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283845</wp:posOffset>
            </wp:positionH>
            <wp:positionV relativeFrom="paragraph">
              <wp:posOffset>358140</wp:posOffset>
            </wp:positionV>
            <wp:extent cx="602869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028690" cy="34290"/>
                    </a:xfrm>
                    <a:prstGeom prst="rect">
                      <a:avLst/>
                    </a:prstGeom>
                    <a:noFill/>
                  </pic:spPr>
                </pic:pic>
              </a:graphicData>
            </a:graphic>
          </wp:anchor>
        </w:drawing>
        <w:drawing>
          <wp:anchor simplePos="0" relativeHeight="251657728" behindDoc="1" locked="0" layoutInCell="0" allowOverlap="1">
            <wp:simplePos x="0" y="0"/>
            <wp:positionH relativeFrom="column">
              <wp:posOffset>283845</wp:posOffset>
            </wp:positionH>
            <wp:positionV relativeFrom="paragraph">
              <wp:posOffset>400685</wp:posOffset>
            </wp:positionV>
            <wp:extent cx="602869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02869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56" w:lineRule="exact"/>
        <w:rPr>
          <w:sz w:val="24"/>
          <w:szCs w:val="24"/>
          <w:color w:val="auto"/>
        </w:rPr>
      </w:pPr>
    </w:p>
    <w:p>
      <w:pPr>
        <w:jc w:val="center"/>
        <w:ind w:right="-439"/>
        <w:spacing w:after="0"/>
        <w:rPr>
          <w:sz w:val="20"/>
          <w:szCs w:val="20"/>
          <w:color w:val="auto"/>
        </w:rPr>
      </w:pPr>
      <w:r>
        <w:rPr>
          <w:rFonts w:ascii="Arial" w:cs="Arial" w:eastAsia="Arial" w:hAnsi="Arial"/>
          <w:sz w:val="14"/>
          <w:szCs w:val="14"/>
          <w:b w:val="1"/>
          <w:bCs w:val="1"/>
          <w:color w:val="auto"/>
        </w:rPr>
        <w:t>UNITED STATES</w:t>
      </w:r>
    </w:p>
    <w:p>
      <w:pPr>
        <w:jc w:val="center"/>
        <w:ind w:right="-439"/>
        <w:spacing w:after="0" w:line="226" w:lineRule="auto"/>
        <w:rPr>
          <w:sz w:val="20"/>
          <w:szCs w:val="20"/>
          <w:color w:val="auto"/>
        </w:rPr>
      </w:pPr>
      <w:r>
        <w:rPr>
          <w:rFonts w:ascii="Arial" w:cs="Arial" w:eastAsia="Arial" w:hAnsi="Arial"/>
          <w:sz w:val="14"/>
          <w:szCs w:val="14"/>
          <w:b w:val="1"/>
          <w:bCs w:val="1"/>
          <w:color w:val="auto"/>
        </w:rPr>
        <w:t>SECURITIES AND EXCHANGE COMMISSION</w:t>
      </w:r>
    </w:p>
    <w:p>
      <w:pPr>
        <w:jc w:val="center"/>
        <w:ind w:right="-399"/>
        <w:spacing w:after="0" w:line="222" w:lineRule="auto"/>
        <w:rPr>
          <w:sz w:val="20"/>
          <w:szCs w:val="20"/>
          <w:color w:val="auto"/>
        </w:rPr>
      </w:pPr>
      <w:r>
        <w:rPr>
          <w:rFonts w:ascii="Arial" w:cs="Arial" w:eastAsia="Arial" w:hAnsi="Arial"/>
          <w:sz w:val="14"/>
          <w:szCs w:val="14"/>
          <w:b w:val="1"/>
          <w:bCs w:val="1"/>
          <w:color w:val="auto"/>
        </w:rPr>
        <w:t>WASHINGTON, D.C. 20549</w:t>
      </w:r>
    </w:p>
    <w:p>
      <w:pPr>
        <w:jc w:val="center"/>
        <w:ind w:right="-439"/>
        <w:spacing w:after="0"/>
        <w:rPr>
          <w:sz w:val="20"/>
          <w:szCs w:val="20"/>
          <w:color w:val="auto"/>
        </w:rPr>
      </w:pPr>
      <w:r>
        <w:rPr>
          <w:rFonts w:ascii="Arial" w:cs="Arial" w:eastAsia="Arial" w:hAnsi="Arial"/>
          <w:sz w:val="14"/>
          <w:szCs w:val="14"/>
          <w:b w:val="1"/>
          <w:bCs w:val="1"/>
          <w:color w:val="auto"/>
        </w:rPr>
        <w:t>FORM 10-K</w:t>
      </w:r>
    </w:p>
    <w:p>
      <w:pPr>
        <w:spacing w:after="0" w:line="93" w:lineRule="exact"/>
        <w:rPr>
          <w:sz w:val="24"/>
          <w:szCs w:val="24"/>
          <w:color w:val="auto"/>
        </w:rPr>
      </w:pPr>
    </w:p>
    <w:p>
      <w:pPr>
        <w:ind w:left="3840" w:right="1680" w:hanging="3390"/>
        <w:spacing w:after="0" w:line="392" w:lineRule="auto"/>
        <w:tabs>
          <w:tab w:leader="none" w:pos="1238" w:val="left"/>
        </w:tabs>
        <w:numPr>
          <w:ilvl w:val="0"/>
          <w:numId w:val="1"/>
        </w:numPr>
        <w:rPr>
          <w:rFonts w:ascii="MS PGothic" w:cs="MS PGothic" w:eastAsia="MS PGothic" w:hAnsi="MS PGothic"/>
          <w:sz w:val="14"/>
          <w:szCs w:val="14"/>
          <w:color w:val="auto"/>
        </w:rPr>
      </w:pPr>
      <w:r>
        <w:rPr>
          <w:rFonts w:ascii="Arial" w:cs="Arial" w:eastAsia="Arial" w:hAnsi="Arial"/>
          <w:sz w:val="14"/>
          <w:szCs w:val="14"/>
          <w:b w:val="1"/>
          <w:bCs w:val="1"/>
          <w:color w:val="auto"/>
        </w:rPr>
        <w:t>ANNUAL REPORT PURSUANT TO SECTION 13 OR 15(d) OF THE SECURITIES EXCHANGE ACT OF 1934 For the fiscal year ended December 31, 2017</w:t>
      </w:r>
    </w:p>
    <w:p>
      <w:pPr>
        <w:ind w:left="5080"/>
        <w:spacing w:after="0"/>
        <w:rPr>
          <w:rFonts w:ascii="MS PGothic" w:cs="MS PGothic" w:eastAsia="MS PGothic" w:hAnsi="MS PGothic"/>
          <w:sz w:val="14"/>
          <w:szCs w:val="14"/>
          <w:color w:val="auto"/>
        </w:rPr>
      </w:pPr>
      <w:r>
        <w:rPr>
          <w:rFonts w:ascii="Arial" w:cs="Arial" w:eastAsia="Arial" w:hAnsi="Arial"/>
          <w:sz w:val="14"/>
          <w:szCs w:val="14"/>
          <w:b w:val="1"/>
          <w:bCs w:val="1"/>
          <w:color w:val="auto"/>
        </w:rPr>
        <w:t>OR</w:t>
      </w:r>
    </w:p>
    <w:p>
      <w:pPr>
        <w:spacing w:after="0" w:line="109" w:lineRule="exact"/>
        <w:rPr>
          <w:sz w:val="24"/>
          <w:szCs w:val="24"/>
          <w:color w:val="auto"/>
        </w:rPr>
      </w:pPr>
    </w:p>
    <w:p>
      <w:pPr>
        <w:ind w:left="1240" w:hanging="790"/>
        <w:spacing w:after="0"/>
        <w:tabs>
          <w:tab w:leader="none" w:pos="1240" w:val="left"/>
        </w:tabs>
        <w:numPr>
          <w:ilvl w:val="0"/>
          <w:numId w:val="2"/>
        </w:numPr>
        <w:rPr>
          <w:rFonts w:ascii="MS PGothic" w:cs="MS PGothic" w:eastAsia="MS PGothic" w:hAnsi="MS PGothic"/>
          <w:sz w:val="14"/>
          <w:szCs w:val="14"/>
          <w:color w:val="auto"/>
        </w:rPr>
      </w:pPr>
      <w:r>
        <w:rPr>
          <w:rFonts w:ascii="Arial" w:cs="Arial" w:eastAsia="Arial" w:hAnsi="Arial"/>
          <w:sz w:val="14"/>
          <w:szCs w:val="14"/>
          <w:b w:val="1"/>
          <w:bCs w:val="1"/>
          <w:color w:val="auto"/>
        </w:rPr>
        <w:t>TRANSITION REPORT PURSUANT TO SECTION 13 OR 15(d) OF THE SECURITIES EXCHANGE ACT OF</w:t>
      </w:r>
    </w:p>
    <w:p>
      <w:pPr>
        <w:sectPr>
          <w:pgSz w:w="11900" w:h="16838" w:orient="portrait"/>
          <w:cols w:equalWidth="0" w:num="1">
            <w:col w:w="9940"/>
          </w:cols>
          <w:pgMar w:left="760" w:top="233" w:right="1199" w:bottom="1440" w:gutter="0" w:footer="0" w:header="0"/>
        </w:sectPr>
      </w:pPr>
    </w:p>
    <w:p>
      <w:pPr>
        <w:spacing w:after="0" w:line="109" w:lineRule="exact"/>
        <w:rPr>
          <w:sz w:val="24"/>
          <w:szCs w:val="24"/>
          <w:color w:val="auto"/>
        </w:rPr>
      </w:pPr>
    </w:p>
    <w:p>
      <w:pPr>
        <w:ind w:left="3920"/>
        <w:spacing w:after="0"/>
        <w:rPr>
          <w:sz w:val="20"/>
          <w:szCs w:val="20"/>
          <w:color w:val="auto"/>
        </w:rPr>
      </w:pPr>
      <w:r>
        <w:rPr>
          <w:rFonts w:ascii="Arial" w:cs="Arial" w:eastAsia="Arial" w:hAnsi="Arial"/>
          <w:sz w:val="13"/>
          <w:szCs w:val="13"/>
          <w:b w:val="1"/>
          <w:bCs w:val="1"/>
          <w:color w:val="auto"/>
        </w:rPr>
        <w:t>1934 for the transition period from</w:t>
      </w:r>
    </w:p>
    <w:p>
      <w:pPr>
        <w:spacing w:after="0" w:line="20" w:lineRule="exact"/>
        <w:rPr>
          <w:sz w:val="24"/>
          <w:szCs w:val="24"/>
          <w:color w:val="auto"/>
        </w:rPr>
      </w:pPr>
      <w:r>
        <w:rPr>
          <w:sz w:val="24"/>
          <w:szCs w:val="24"/>
          <w:color w:val="auto"/>
        </w:rPr>
        <w:br w:type="column"/>
      </w:r>
    </w:p>
    <w:p>
      <w:pPr>
        <w:spacing w:after="0" w:line="89" w:lineRule="exact"/>
        <w:rPr>
          <w:sz w:val="24"/>
          <w:szCs w:val="24"/>
          <w:color w:val="auto"/>
        </w:rPr>
      </w:pPr>
    </w:p>
    <w:p>
      <w:pPr>
        <w:spacing w:after="0"/>
        <w:rPr>
          <w:sz w:val="20"/>
          <w:szCs w:val="20"/>
          <w:color w:val="auto"/>
        </w:rPr>
      </w:pPr>
      <w:r>
        <w:rPr>
          <w:rFonts w:ascii="Arial" w:cs="Arial" w:eastAsia="Arial" w:hAnsi="Arial"/>
          <w:sz w:val="12"/>
          <w:szCs w:val="12"/>
          <w:b w:val="1"/>
          <w:bCs w:val="1"/>
          <w:color w:val="auto"/>
        </w:rPr>
        <w:t>to</w:t>
      </w:r>
    </w:p>
    <w:p>
      <w:pPr>
        <w:spacing w:after="0" w:line="118" w:lineRule="exact"/>
        <w:rPr>
          <w:sz w:val="24"/>
          <w:szCs w:val="24"/>
          <w:color w:val="auto"/>
        </w:rPr>
      </w:pPr>
    </w:p>
    <w:p>
      <w:pPr>
        <w:sectPr>
          <w:pgSz w:w="11900" w:h="16838" w:orient="portrait"/>
          <w:cols w:equalWidth="0" w:num="2">
            <w:col w:w="6060" w:space="280"/>
            <w:col w:w="3600"/>
          </w:cols>
          <w:pgMar w:left="760" w:top="233" w:right="1199" w:bottom="1440" w:gutter="0" w:footer="0" w:header="0"/>
          <w:type w:val="continuous"/>
        </w:sectPr>
      </w:pPr>
    </w:p>
    <w:p>
      <w:pPr>
        <w:ind w:left="4060"/>
        <w:spacing w:after="0"/>
        <w:rPr>
          <w:sz w:val="20"/>
          <w:szCs w:val="20"/>
          <w:color w:val="auto"/>
        </w:rPr>
      </w:pPr>
      <w:r>
        <w:rPr>
          <w:rFonts w:ascii="Arial" w:cs="Arial" w:eastAsia="Arial" w:hAnsi="Arial"/>
          <w:sz w:val="13"/>
          <w:szCs w:val="13"/>
          <w:b w:val="1"/>
          <w:bCs w:val="1"/>
          <w:color w:val="auto"/>
        </w:rPr>
        <w:t>Commission File Number: 001-37935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2547620</wp:posOffset>
            </wp:positionH>
            <wp:positionV relativeFrom="paragraph">
              <wp:posOffset>82550</wp:posOffset>
            </wp:positionV>
            <wp:extent cx="1500505"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00505" cy="17145"/>
                    </a:xfrm>
                    <a:prstGeom prst="rect">
                      <a:avLst/>
                    </a:prstGeom>
                    <a:noFill/>
                  </pic:spPr>
                </pic:pic>
              </a:graphicData>
            </a:graphic>
          </wp:anchor>
        </w:drawing>
      </w:r>
    </w:p>
    <w:p>
      <w:pPr>
        <w:sectPr>
          <w:pgSz w:w="11900" w:h="16838" w:orient="portrait"/>
          <w:cols w:equalWidth="0" w:num="1">
            <w:col w:w="9940"/>
          </w:cols>
          <w:pgMar w:left="760" w:top="233" w:right="1199" w:bottom="1440" w:gutter="0" w:footer="0" w:header="0"/>
          <w:type w:val="continuous"/>
        </w:sectPr>
      </w:pPr>
    </w:p>
    <w:p>
      <w:pPr>
        <w:spacing w:after="0" w:line="242" w:lineRule="exact"/>
        <w:rPr>
          <w:sz w:val="24"/>
          <w:szCs w:val="24"/>
          <w:color w:val="auto"/>
        </w:rPr>
      </w:pPr>
    </w:p>
    <w:p>
      <w:pPr>
        <w:jc w:val="center"/>
        <w:ind w:right="-439"/>
        <w:spacing w:after="0"/>
        <w:rPr>
          <w:sz w:val="20"/>
          <w:szCs w:val="20"/>
          <w:color w:val="auto"/>
        </w:rPr>
      </w:pPr>
      <w:r>
        <w:rPr>
          <w:rFonts w:ascii="Arial" w:cs="Arial" w:eastAsia="Arial" w:hAnsi="Arial"/>
          <w:sz w:val="14"/>
          <w:szCs w:val="14"/>
          <w:b w:val="1"/>
          <w:bCs w:val="1"/>
          <w:color w:val="auto"/>
        </w:rPr>
        <w:t>Acushnet Holdings Corp.</w:t>
      </w:r>
    </w:p>
    <w:p>
      <w:pPr>
        <w:spacing w:after="0" w:line="96" w:lineRule="exact"/>
        <w:rPr>
          <w:sz w:val="24"/>
          <w:szCs w:val="24"/>
          <w:color w:val="auto"/>
        </w:rPr>
      </w:pPr>
    </w:p>
    <w:p>
      <w:pPr>
        <w:jc w:val="center"/>
        <w:ind w:right="-439"/>
        <w:spacing w:after="0"/>
        <w:rPr>
          <w:sz w:val="20"/>
          <w:szCs w:val="20"/>
          <w:color w:val="auto"/>
        </w:rPr>
      </w:pPr>
      <w:r>
        <w:rPr>
          <w:rFonts w:ascii="Arial" w:cs="Arial" w:eastAsia="Arial" w:hAnsi="Arial"/>
          <w:sz w:val="12"/>
          <w:szCs w:val="12"/>
          <w:b w:val="1"/>
          <w:bCs w:val="1"/>
          <w:color w:val="auto"/>
        </w:rPr>
        <w:t>(Exact name of registrant as specified in its charter)</w:t>
      </w:r>
    </w:p>
    <w:p>
      <w:pPr>
        <w:sectPr>
          <w:pgSz w:w="11900" w:h="16838" w:orient="portrait"/>
          <w:cols w:equalWidth="0" w:num="1">
            <w:col w:w="9940"/>
          </w:cols>
          <w:pgMar w:left="760" w:top="233" w:right="1199" w:bottom="1440" w:gutter="0" w:footer="0" w:header="0"/>
          <w:type w:val="continuous"/>
        </w:sectPr>
      </w:pPr>
    </w:p>
    <w:p>
      <w:pPr>
        <w:spacing w:after="0" w:line="173" w:lineRule="exact"/>
        <w:rPr>
          <w:sz w:val="24"/>
          <w:szCs w:val="24"/>
          <w:color w:val="auto"/>
        </w:rPr>
      </w:pPr>
    </w:p>
    <w:p>
      <w:pPr>
        <w:ind w:left="2540"/>
        <w:spacing w:after="0"/>
        <w:rPr>
          <w:sz w:val="20"/>
          <w:szCs w:val="20"/>
          <w:color w:val="auto"/>
        </w:rPr>
      </w:pPr>
      <w:r>
        <w:rPr>
          <w:rFonts w:ascii="Arial" w:cs="Arial" w:eastAsia="Arial" w:hAnsi="Arial"/>
          <w:sz w:val="13"/>
          <w:szCs w:val="13"/>
          <w:b w:val="1"/>
          <w:bCs w:val="1"/>
          <w:color w:val="auto"/>
        </w:rPr>
        <w:t>Delaware</w:t>
      </w:r>
    </w:p>
    <w:p>
      <w:pPr>
        <w:spacing w:after="0" w:line="20" w:lineRule="exact"/>
        <w:rPr>
          <w:sz w:val="24"/>
          <w:szCs w:val="24"/>
          <w:color w:val="auto"/>
        </w:rPr>
      </w:pPr>
      <w:r>
        <w:rPr>
          <w:sz w:val="24"/>
          <w:szCs w:val="24"/>
          <w:color w:val="auto"/>
        </w:rPr>
        <w:br w:type="column"/>
      </w:r>
    </w:p>
    <w:p>
      <w:pPr>
        <w:spacing w:after="0" w:line="166"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45-2644353</w:t>
      </w:r>
    </w:p>
    <w:p>
      <w:pPr>
        <w:spacing w:after="0" w:line="37" w:lineRule="exact"/>
        <w:rPr>
          <w:sz w:val="24"/>
          <w:szCs w:val="24"/>
          <w:color w:val="auto"/>
        </w:rPr>
      </w:pPr>
    </w:p>
    <w:p>
      <w:pPr>
        <w:sectPr>
          <w:pgSz w:w="11900" w:h="16838" w:orient="portrait"/>
          <w:cols w:equalWidth="0" w:num="2">
            <w:col w:w="6620" w:space="720"/>
            <w:col w:w="2600"/>
          </w:cols>
          <w:pgMar w:left="760" w:top="233" w:right="1199" w:bottom="1440" w:gutter="0" w:footer="0" w:header="0"/>
          <w:type w:val="continuous"/>
        </w:sectPr>
      </w:pPr>
    </w:p>
    <w:p>
      <w:pPr>
        <w:ind w:left="1920"/>
        <w:spacing w:after="0"/>
        <w:rPr>
          <w:sz w:val="20"/>
          <w:szCs w:val="20"/>
          <w:color w:val="auto"/>
        </w:rPr>
      </w:pPr>
      <w:r>
        <w:rPr>
          <w:rFonts w:ascii="Arial" w:cs="Arial" w:eastAsia="Arial" w:hAnsi="Arial"/>
          <w:sz w:val="13"/>
          <w:szCs w:val="13"/>
          <w:b w:val="1"/>
          <w:bCs w:val="1"/>
          <w:color w:val="auto"/>
        </w:rPr>
        <w:t>(State or other jurisdiction of</w:t>
      </w:r>
    </w:p>
    <w:p>
      <w:pPr>
        <w:sectPr>
          <w:pgSz w:w="11900" w:h="16838" w:orient="portrait"/>
          <w:cols w:equalWidth="0" w:num="1">
            <w:col w:w="9940"/>
          </w:cols>
          <w:pgMar w:left="760" w:top="233" w:right="1199" w:bottom="1440" w:gutter="0" w:footer="0" w:header="0"/>
          <w:type w:val="continuous"/>
        </w:sectPr>
      </w:pPr>
    </w:p>
    <w:p>
      <w:pPr>
        <w:spacing w:after="0" w:line="15" w:lineRule="exact"/>
        <w:rPr>
          <w:sz w:val="24"/>
          <w:szCs w:val="24"/>
          <w:color w:val="auto"/>
        </w:rPr>
      </w:pPr>
    </w:p>
    <w:p>
      <w:pPr>
        <w:ind w:left="1880"/>
        <w:spacing w:after="0"/>
        <w:rPr>
          <w:sz w:val="20"/>
          <w:szCs w:val="20"/>
          <w:color w:val="auto"/>
        </w:rPr>
      </w:pPr>
      <w:r>
        <w:rPr>
          <w:rFonts w:ascii="Arial" w:cs="Arial" w:eastAsia="Arial" w:hAnsi="Arial"/>
          <w:sz w:val="13"/>
          <w:szCs w:val="13"/>
          <w:b w:val="1"/>
          <w:bCs w:val="1"/>
          <w:color w:val="auto"/>
        </w:rPr>
        <w:t>incorporation or organization)</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b w:val="1"/>
          <w:bCs w:val="1"/>
          <w:color w:val="auto"/>
        </w:rPr>
        <w:t>(I.R.S. Employer Identification No.)</w:t>
      </w:r>
    </w:p>
    <w:p>
      <w:pPr>
        <w:spacing w:after="0" w:line="107" w:lineRule="exact"/>
        <w:rPr>
          <w:sz w:val="24"/>
          <w:szCs w:val="24"/>
          <w:color w:val="auto"/>
        </w:rPr>
      </w:pPr>
    </w:p>
    <w:p>
      <w:pPr>
        <w:sectPr>
          <w:pgSz w:w="11900" w:h="16838" w:orient="portrait"/>
          <w:cols w:equalWidth="0" w:num="2">
            <w:col w:w="5860" w:space="720"/>
            <w:col w:w="3360"/>
          </w:cols>
          <w:pgMar w:left="760" w:top="233" w:right="1199" w:bottom="1440" w:gutter="0" w:footer="0" w:header="0"/>
          <w:type w:val="continuous"/>
        </w:sectPr>
      </w:pPr>
    </w:p>
    <w:p>
      <w:pPr>
        <w:jc w:val="center"/>
        <w:ind w:right="-459"/>
        <w:spacing w:after="0"/>
        <w:rPr>
          <w:sz w:val="20"/>
          <w:szCs w:val="20"/>
          <w:color w:val="auto"/>
        </w:rPr>
      </w:pPr>
      <w:r>
        <w:rPr>
          <w:rFonts w:ascii="Arial" w:cs="Arial" w:eastAsia="Arial" w:hAnsi="Arial"/>
          <w:sz w:val="14"/>
          <w:szCs w:val="14"/>
          <w:b w:val="1"/>
          <w:bCs w:val="1"/>
          <w:color w:val="auto"/>
        </w:rPr>
        <w:t>333 Bridge Street</w:t>
      </w:r>
    </w:p>
    <w:p>
      <w:pPr>
        <w:jc w:val="center"/>
        <w:ind w:right="-459"/>
        <w:spacing w:after="0" w:line="226" w:lineRule="auto"/>
        <w:rPr>
          <w:sz w:val="20"/>
          <w:szCs w:val="20"/>
          <w:color w:val="auto"/>
        </w:rPr>
      </w:pPr>
      <w:r>
        <w:rPr>
          <w:rFonts w:ascii="Arial" w:cs="Arial" w:eastAsia="Arial" w:hAnsi="Arial"/>
          <w:sz w:val="14"/>
          <w:szCs w:val="14"/>
          <w:b w:val="1"/>
          <w:bCs w:val="1"/>
          <w:color w:val="auto"/>
        </w:rPr>
        <w:t>Fairhaven, Massachusetts 02719</w:t>
      </w:r>
    </w:p>
    <w:p>
      <w:pPr>
        <w:jc w:val="center"/>
        <w:ind w:right="-459"/>
        <w:spacing w:after="0" w:line="222" w:lineRule="auto"/>
        <w:rPr>
          <w:sz w:val="20"/>
          <w:szCs w:val="20"/>
          <w:color w:val="auto"/>
        </w:rPr>
      </w:pPr>
      <w:r>
        <w:rPr>
          <w:rFonts w:ascii="Arial" w:cs="Arial" w:eastAsia="Arial" w:hAnsi="Arial"/>
          <w:sz w:val="14"/>
          <w:szCs w:val="14"/>
          <w:b w:val="1"/>
          <w:bCs w:val="1"/>
          <w:color w:val="auto"/>
        </w:rPr>
        <w:t>(Address of principal executive offices)</w:t>
      </w:r>
    </w:p>
    <w:p>
      <w:pPr>
        <w:jc w:val="center"/>
        <w:ind w:right="-459"/>
        <w:spacing w:after="0" w:line="221" w:lineRule="auto"/>
        <w:rPr>
          <w:sz w:val="20"/>
          <w:szCs w:val="20"/>
          <w:color w:val="auto"/>
        </w:rPr>
      </w:pPr>
      <w:r>
        <w:rPr>
          <w:rFonts w:ascii="Arial" w:cs="Arial" w:eastAsia="Arial" w:hAnsi="Arial"/>
          <w:sz w:val="14"/>
          <w:szCs w:val="14"/>
          <w:b w:val="1"/>
          <w:bCs w:val="1"/>
          <w:color w:val="auto"/>
        </w:rPr>
        <w:t>(800) 225-8500</w:t>
      </w:r>
    </w:p>
    <w:p>
      <w:pPr>
        <w:ind w:left="3560"/>
        <w:spacing w:after="0" w:line="222" w:lineRule="auto"/>
        <w:rPr>
          <w:sz w:val="20"/>
          <w:szCs w:val="20"/>
          <w:color w:val="auto"/>
        </w:rPr>
      </w:pPr>
      <w:r>
        <w:rPr>
          <w:rFonts w:ascii="Arial" w:cs="Arial" w:eastAsia="Arial" w:hAnsi="Arial"/>
          <w:sz w:val="14"/>
          <w:szCs w:val="14"/>
          <w:b w:val="1"/>
          <w:bCs w:val="1"/>
          <w:color w:val="auto"/>
        </w:rPr>
        <w:t>(Registrant’s telephone number, including area code)</w:t>
      </w:r>
    </w:p>
    <w:p>
      <w:pPr>
        <w:ind w:left="3540"/>
        <w:spacing w:after="0"/>
        <w:rPr>
          <w:sz w:val="20"/>
          <w:szCs w:val="20"/>
          <w:color w:val="auto"/>
        </w:rPr>
      </w:pPr>
      <w:r>
        <w:rPr>
          <w:rFonts w:ascii="Arial" w:cs="Arial" w:eastAsia="Arial" w:hAnsi="Arial"/>
          <w:sz w:val="14"/>
          <w:szCs w:val="14"/>
          <w:color w:val="auto"/>
        </w:rPr>
        <w:t>Securities registered pursuant to Section 12(b) of the Act:</w:t>
      </w:r>
    </w:p>
    <w:p>
      <w:pPr>
        <w:spacing w:after="0" w:line="255" w:lineRule="exact"/>
        <w:rPr>
          <w:sz w:val="24"/>
          <w:szCs w:val="24"/>
          <w:color w:val="auto"/>
        </w:rPr>
      </w:pPr>
    </w:p>
    <w:tbl>
      <w:tblPr>
        <w:tblLayout w:type="fixed"/>
        <w:tblInd w:w="480" w:type="dxa"/>
        <w:tblCellMar>
          <w:top w:w="0" w:type="dxa"/>
          <w:left w:w="0" w:type="dxa"/>
          <w:bottom w:w="0" w:type="dxa"/>
          <w:right w:w="0" w:type="dxa"/>
        </w:tblCellMar>
      </w:tblPr>
      <w:tr>
        <w:trPr>
          <w:trHeight w:val="180"/>
        </w:trPr>
        <w:tc>
          <w:tcPr>
            <w:tcW w:w="4080" w:type="dxa"/>
            <w:vAlign w:val="bottom"/>
          </w:tcPr>
          <w:p>
            <w:pPr>
              <w:jc w:val="center"/>
              <w:ind w:left="528"/>
              <w:spacing w:after="0"/>
              <w:rPr>
                <w:sz w:val="20"/>
                <w:szCs w:val="20"/>
                <w:color w:val="auto"/>
              </w:rPr>
            </w:pPr>
            <w:r>
              <w:rPr>
                <w:rFonts w:ascii="Arial" w:cs="Arial" w:eastAsia="Arial" w:hAnsi="Arial"/>
                <w:sz w:val="14"/>
                <w:szCs w:val="14"/>
                <w:b w:val="1"/>
                <w:bCs w:val="1"/>
                <w:color w:val="auto"/>
                <w:w w:val="89"/>
              </w:rPr>
              <w:t>Title of each class</w:t>
            </w:r>
          </w:p>
        </w:tc>
        <w:tc>
          <w:tcPr>
            <w:tcW w:w="4460" w:type="dxa"/>
            <w:vAlign w:val="bottom"/>
          </w:tcPr>
          <w:p>
            <w:pPr>
              <w:jc w:val="center"/>
              <w:ind w:left="1708"/>
              <w:spacing w:after="0"/>
              <w:rPr>
                <w:sz w:val="20"/>
                <w:szCs w:val="20"/>
                <w:color w:val="auto"/>
              </w:rPr>
            </w:pPr>
            <w:r>
              <w:rPr>
                <w:rFonts w:ascii="Arial" w:cs="Arial" w:eastAsia="Arial" w:hAnsi="Arial"/>
                <w:sz w:val="14"/>
                <w:szCs w:val="14"/>
                <w:b w:val="1"/>
                <w:bCs w:val="1"/>
                <w:color w:val="auto"/>
                <w:w w:val="90"/>
              </w:rPr>
              <w:t>Name of each exchange on which registered</w:t>
            </w:r>
          </w:p>
        </w:tc>
        <w:tc>
          <w:tcPr>
            <w:tcW w:w="0" w:type="dxa"/>
            <w:vAlign w:val="bottom"/>
          </w:tcPr>
          <w:p>
            <w:pPr>
              <w:spacing w:after="0"/>
              <w:rPr>
                <w:sz w:val="1"/>
                <w:szCs w:val="1"/>
                <w:color w:val="auto"/>
              </w:rPr>
            </w:pPr>
          </w:p>
        </w:tc>
      </w:tr>
      <w:tr>
        <w:trPr>
          <w:trHeight w:val="182"/>
        </w:trPr>
        <w:tc>
          <w:tcPr>
            <w:tcW w:w="4080" w:type="dxa"/>
            <w:vAlign w:val="bottom"/>
          </w:tcPr>
          <w:p>
            <w:pPr>
              <w:jc w:val="center"/>
              <w:ind w:left="548"/>
              <w:spacing w:after="0"/>
              <w:rPr>
                <w:sz w:val="20"/>
                <w:szCs w:val="20"/>
                <w:color w:val="auto"/>
              </w:rPr>
            </w:pPr>
            <w:r>
              <w:rPr>
                <w:rFonts w:ascii="Arial" w:cs="Arial" w:eastAsia="Arial" w:hAnsi="Arial"/>
                <w:sz w:val="14"/>
                <w:szCs w:val="14"/>
                <w:color w:val="auto"/>
                <w:w w:val="92"/>
              </w:rPr>
              <w:t>Common Stock, par value $0.001 per share</w:t>
            </w:r>
          </w:p>
        </w:tc>
        <w:tc>
          <w:tcPr>
            <w:tcW w:w="4460" w:type="dxa"/>
            <w:vAlign w:val="bottom"/>
          </w:tcPr>
          <w:p>
            <w:pPr>
              <w:jc w:val="center"/>
              <w:ind w:left="1708"/>
              <w:spacing w:after="0"/>
              <w:rPr>
                <w:sz w:val="20"/>
                <w:szCs w:val="20"/>
                <w:color w:val="auto"/>
              </w:rPr>
            </w:pPr>
            <w:r>
              <w:rPr>
                <w:rFonts w:ascii="Arial" w:cs="Arial" w:eastAsia="Arial" w:hAnsi="Arial"/>
                <w:sz w:val="14"/>
                <w:szCs w:val="14"/>
                <w:color w:val="auto"/>
                <w:w w:val="94"/>
              </w:rPr>
              <w:t>New York Stock Exchange</w:t>
            </w:r>
          </w:p>
        </w:tc>
        <w:tc>
          <w:tcPr>
            <w:tcW w:w="0" w:type="dxa"/>
            <w:vAlign w:val="bottom"/>
          </w:tcPr>
          <w:p>
            <w:pPr>
              <w:spacing w:after="0"/>
              <w:rPr>
                <w:sz w:val="1"/>
                <w:szCs w:val="1"/>
                <w:color w:val="auto"/>
              </w:rPr>
            </w:pPr>
          </w:p>
        </w:tc>
      </w:tr>
      <w:tr>
        <w:trPr>
          <w:trHeight w:val="257"/>
        </w:trPr>
        <w:tc>
          <w:tcPr>
            <w:tcW w:w="4080" w:type="dxa"/>
            <w:vAlign w:val="bottom"/>
          </w:tcPr>
          <w:p>
            <w:pPr>
              <w:spacing w:after="0"/>
              <w:rPr>
                <w:sz w:val="20"/>
                <w:szCs w:val="20"/>
                <w:color w:val="auto"/>
              </w:rPr>
            </w:pPr>
            <w:r>
              <w:rPr>
                <w:rFonts w:ascii="Arial" w:cs="Arial" w:eastAsia="Arial" w:hAnsi="Arial"/>
                <w:sz w:val="14"/>
                <w:szCs w:val="14"/>
                <w:color w:val="auto"/>
              </w:rPr>
              <w:t>Securities registered pursuant to Section 12(g) of the Act:</w:t>
            </w:r>
          </w:p>
        </w:tc>
        <w:tc>
          <w:tcPr>
            <w:tcW w:w="4460" w:type="dxa"/>
            <w:vAlign w:val="bottom"/>
            <w:vMerge w:val="restart"/>
          </w:tcPr>
          <w:p>
            <w:pPr>
              <w:ind w:left="480"/>
              <w:spacing w:after="0"/>
              <w:rPr>
                <w:sz w:val="20"/>
                <w:szCs w:val="20"/>
                <w:color w:val="auto"/>
              </w:rPr>
            </w:pPr>
            <w:r>
              <w:rPr>
                <w:rFonts w:ascii="Arial" w:cs="Arial" w:eastAsia="Arial" w:hAnsi="Arial"/>
                <w:sz w:val="14"/>
                <w:szCs w:val="14"/>
                <w:color w:val="auto"/>
              </w:rPr>
              <w:t>None</w:t>
            </w:r>
          </w:p>
        </w:tc>
        <w:tc>
          <w:tcPr>
            <w:tcW w:w="0" w:type="dxa"/>
            <w:vAlign w:val="bottom"/>
          </w:tcPr>
          <w:p>
            <w:pPr>
              <w:spacing w:after="0"/>
              <w:rPr>
                <w:sz w:val="1"/>
                <w:szCs w:val="1"/>
                <w:color w:val="auto"/>
              </w:rPr>
            </w:pPr>
          </w:p>
        </w:tc>
      </w:tr>
      <w:tr>
        <w:trPr>
          <w:trHeight w:val="149"/>
        </w:trPr>
        <w:tc>
          <w:tcPr>
            <w:tcW w:w="4080" w:type="dxa"/>
            <w:vAlign w:val="bottom"/>
          </w:tcPr>
          <w:p>
            <w:pPr>
              <w:spacing w:after="0"/>
              <w:rPr>
                <w:sz w:val="12"/>
                <w:szCs w:val="12"/>
                <w:color w:val="auto"/>
              </w:rPr>
            </w:pPr>
          </w:p>
        </w:tc>
        <w:tc>
          <w:tcPr>
            <w:tcW w:w="44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bl>
    <w:p>
      <w:pPr>
        <w:spacing w:after="0" w:line="61" w:lineRule="exact"/>
        <w:rPr>
          <w:sz w:val="24"/>
          <w:szCs w:val="24"/>
          <w:color w:val="auto"/>
        </w:rPr>
      </w:pPr>
    </w:p>
    <w:p>
      <w:pPr>
        <w:ind w:left="460" w:right="1760"/>
        <w:spacing w:after="0" w:line="255" w:lineRule="exact"/>
        <w:rPr>
          <w:sz w:val="20"/>
          <w:szCs w:val="20"/>
          <w:color w:val="auto"/>
        </w:rPr>
      </w:pPr>
      <w:r>
        <w:rPr>
          <w:rFonts w:ascii="Arial" w:cs="Arial" w:eastAsia="Arial" w:hAnsi="Arial"/>
          <w:sz w:val="13"/>
          <w:szCs w:val="13"/>
          <w:color w:val="auto"/>
        </w:rPr>
        <w:t xml:space="preserve">Indicate by check mark if the registrant is a well-known seasoned issuer, as defined in Rule 405 of the Securities Act. Yes </w:t>
      </w:r>
      <w:r>
        <w:rPr>
          <w:rFonts w:ascii="MS PGothic" w:cs="MS PGothic" w:eastAsia="MS PGothic" w:hAnsi="MS PGothic"/>
          <w:sz w:val="13"/>
          <w:szCs w:val="13"/>
          <w:color w:val="auto"/>
        </w:rPr>
        <w:t>☐</w:t>
      </w:r>
      <w:r>
        <w:rPr>
          <w:rFonts w:ascii="Arial" w:cs="Arial" w:eastAsia="Arial" w:hAnsi="Arial"/>
          <w:sz w:val="13"/>
          <w:szCs w:val="13"/>
          <w:color w:val="auto"/>
        </w:rPr>
        <w:t xml:space="preserve"> No </w:t>
      </w:r>
      <w:r>
        <w:rPr>
          <w:rFonts w:ascii="MS PGothic" w:cs="MS PGothic" w:eastAsia="MS PGothic" w:hAnsi="MS PGothic"/>
          <w:sz w:val="13"/>
          <w:szCs w:val="13"/>
          <w:color w:val="auto"/>
        </w:rPr>
        <w:t>☑</w:t>
      </w:r>
      <w:r>
        <w:rPr>
          <w:rFonts w:ascii="Arial" w:cs="Arial" w:eastAsia="Arial" w:hAnsi="Arial"/>
          <w:sz w:val="13"/>
          <w:szCs w:val="13"/>
          <w:color w:val="auto"/>
        </w:rPr>
        <w:t xml:space="preserve"> Indicate by check mark if the registrant is not required to file reports pursuant to Section 13 or Section 15(d) of the Act. Yes </w:t>
      </w:r>
      <w:r>
        <w:rPr>
          <w:rFonts w:ascii="MS PGothic" w:cs="MS PGothic" w:eastAsia="MS PGothic" w:hAnsi="MS PGothic"/>
          <w:sz w:val="13"/>
          <w:szCs w:val="13"/>
          <w:color w:val="auto"/>
        </w:rPr>
        <w:t>☐</w:t>
      </w:r>
      <w:r>
        <w:rPr>
          <w:rFonts w:ascii="Arial" w:cs="Arial" w:eastAsia="Arial" w:hAnsi="Arial"/>
          <w:sz w:val="13"/>
          <w:szCs w:val="13"/>
          <w:color w:val="auto"/>
        </w:rPr>
        <w:t xml:space="preserve"> No </w:t>
      </w:r>
      <w:r>
        <w:rPr>
          <w:rFonts w:ascii="MS PGothic" w:cs="MS PGothic" w:eastAsia="MS PGothic" w:hAnsi="MS PGothic"/>
          <w:sz w:val="13"/>
          <w:szCs w:val="13"/>
          <w:color w:val="auto"/>
        </w:rPr>
        <w:t>☑</w:t>
      </w:r>
    </w:p>
    <w:p>
      <w:pPr>
        <w:spacing w:after="0" w:line="73" w:lineRule="exact"/>
        <w:rPr>
          <w:sz w:val="24"/>
          <w:szCs w:val="24"/>
          <w:color w:val="auto"/>
        </w:rPr>
      </w:pPr>
    </w:p>
    <w:p>
      <w:pPr>
        <w:ind w:left="460" w:right="20"/>
        <w:spacing w:after="0" w:line="254" w:lineRule="auto"/>
        <w:rPr>
          <w:sz w:val="20"/>
          <w:szCs w:val="20"/>
          <w:color w:val="auto"/>
        </w:rPr>
      </w:pPr>
      <w:r>
        <w:rPr>
          <w:rFonts w:ascii="Arial" w:cs="Arial" w:eastAsia="Arial" w:hAnsi="Arial"/>
          <w:sz w:val="13"/>
          <w:szCs w:val="13"/>
          <w:color w:val="auto"/>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w:t>
      </w:r>
    </w:p>
    <w:p>
      <w:pPr>
        <w:spacing w:after="0" w:line="1" w:lineRule="exact"/>
        <w:rPr>
          <w:sz w:val="24"/>
          <w:szCs w:val="24"/>
          <w:color w:val="auto"/>
        </w:rPr>
      </w:pPr>
    </w:p>
    <w:p>
      <w:pPr>
        <w:ind w:left="460"/>
        <w:spacing w:after="0" w:line="161" w:lineRule="exact"/>
        <w:rPr>
          <w:sz w:val="20"/>
          <w:szCs w:val="20"/>
          <w:color w:val="auto"/>
        </w:rPr>
      </w:pPr>
      <w:r>
        <w:rPr>
          <w:rFonts w:ascii="Arial" w:cs="Arial" w:eastAsia="Arial" w:hAnsi="Arial"/>
          <w:sz w:val="14"/>
          <w:szCs w:val="14"/>
          <w:color w:val="auto"/>
        </w:rPr>
        <w:t xml:space="preserve">90 days. Yes </w:t>
      </w:r>
      <w:r>
        <w:rPr>
          <w:rFonts w:ascii="MS PGothic" w:cs="MS PGothic" w:eastAsia="MS PGothic" w:hAnsi="MS PGothic"/>
          <w:sz w:val="14"/>
          <w:szCs w:val="14"/>
          <w:color w:val="auto"/>
        </w:rPr>
        <w:t>☑</w:t>
      </w:r>
      <w:r>
        <w:rPr>
          <w:rFonts w:ascii="Arial" w:cs="Arial" w:eastAsia="Arial" w:hAnsi="Arial"/>
          <w:sz w:val="14"/>
          <w:szCs w:val="14"/>
          <w:color w:val="auto"/>
        </w:rPr>
        <w:t xml:space="preserve"> No </w:t>
      </w:r>
      <w:r>
        <w:rPr>
          <w:rFonts w:ascii="MS PGothic" w:cs="MS PGothic" w:eastAsia="MS PGothic" w:hAnsi="MS PGothic"/>
          <w:sz w:val="14"/>
          <w:szCs w:val="14"/>
          <w:color w:val="auto"/>
        </w:rPr>
        <w:t>☐</w:t>
      </w:r>
    </w:p>
    <w:p>
      <w:pPr>
        <w:spacing w:after="0" w:line="102" w:lineRule="exact"/>
        <w:rPr>
          <w:sz w:val="24"/>
          <w:szCs w:val="24"/>
          <w:color w:val="auto"/>
        </w:rPr>
      </w:pPr>
    </w:p>
    <w:p>
      <w:pPr>
        <w:ind w:left="460" w:right="240"/>
        <w:spacing w:after="0" w:line="254" w:lineRule="auto"/>
        <w:rPr>
          <w:sz w:val="20"/>
          <w:szCs w:val="20"/>
          <w:color w:val="auto"/>
        </w:rPr>
      </w:pPr>
      <w:r>
        <w:rPr>
          <w:rFonts w:ascii="Arial" w:cs="Arial" w:eastAsia="Arial" w:hAnsi="Arial"/>
          <w:sz w:val="13"/>
          <w:szCs w:val="13"/>
          <w:color w:val="auto"/>
        </w:rPr>
        <w:t>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w:t>
      </w:r>
    </w:p>
    <w:p>
      <w:pPr>
        <w:spacing w:after="0" w:line="1" w:lineRule="exact"/>
        <w:rPr>
          <w:sz w:val="24"/>
          <w:szCs w:val="24"/>
          <w:color w:val="auto"/>
        </w:rPr>
      </w:pPr>
    </w:p>
    <w:p>
      <w:pPr>
        <w:ind w:left="460"/>
        <w:spacing w:after="0" w:line="161" w:lineRule="exact"/>
        <w:rPr>
          <w:sz w:val="20"/>
          <w:szCs w:val="20"/>
          <w:color w:val="auto"/>
        </w:rPr>
      </w:pPr>
      <w:r>
        <w:rPr>
          <w:rFonts w:ascii="Arial" w:cs="Arial" w:eastAsia="Arial" w:hAnsi="Arial"/>
          <w:sz w:val="14"/>
          <w:szCs w:val="14"/>
          <w:color w:val="auto"/>
        </w:rPr>
        <w:t xml:space="preserve">registrant was required to submit and post such files). Yes </w:t>
      </w:r>
      <w:r>
        <w:rPr>
          <w:rFonts w:ascii="MS PGothic" w:cs="MS PGothic" w:eastAsia="MS PGothic" w:hAnsi="MS PGothic"/>
          <w:sz w:val="14"/>
          <w:szCs w:val="14"/>
          <w:color w:val="auto"/>
        </w:rPr>
        <w:t>☑</w:t>
      </w:r>
      <w:r>
        <w:rPr>
          <w:rFonts w:ascii="Arial" w:cs="Arial" w:eastAsia="Arial" w:hAnsi="Arial"/>
          <w:sz w:val="14"/>
          <w:szCs w:val="14"/>
          <w:color w:val="auto"/>
        </w:rPr>
        <w:t xml:space="preserve"> No </w:t>
      </w:r>
      <w:r>
        <w:rPr>
          <w:rFonts w:ascii="MS PGothic" w:cs="MS PGothic" w:eastAsia="MS PGothic" w:hAnsi="MS PGothic"/>
          <w:sz w:val="14"/>
          <w:szCs w:val="14"/>
          <w:color w:val="auto"/>
        </w:rPr>
        <w:t>☐</w:t>
      </w:r>
    </w:p>
    <w:p>
      <w:pPr>
        <w:spacing w:after="0" w:line="102" w:lineRule="exact"/>
        <w:rPr>
          <w:sz w:val="24"/>
          <w:szCs w:val="24"/>
          <w:color w:val="auto"/>
        </w:rPr>
      </w:pPr>
    </w:p>
    <w:p>
      <w:pPr>
        <w:jc w:val="both"/>
        <w:ind w:left="460" w:right="140"/>
        <w:spacing w:after="0" w:line="254" w:lineRule="auto"/>
        <w:rPr>
          <w:sz w:val="20"/>
          <w:szCs w:val="20"/>
          <w:color w:val="auto"/>
        </w:rPr>
      </w:pPr>
      <w:r>
        <w:rPr>
          <w:rFonts w:ascii="Arial" w:cs="Arial" w:eastAsia="Arial" w:hAnsi="Arial"/>
          <w:sz w:val="13"/>
          <w:szCs w:val="13"/>
          <w:color w:val="auto"/>
        </w:rPr>
        <w:t>Indicate by check mark if disclosure of delinquent filers pursuant to Item 405 of Regulation S-K (§229.405 of this chapter) is not contained herein, and will not be contained, to the best of registrant’s knowledge, in definitive proxy or information statements incorporated by reference in Part III of this Form 10-K or any</w:t>
      </w:r>
    </w:p>
    <w:p>
      <w:pPr>
        <w:spacing w:after="0" w:line="1" w:lineRule="exact"/>
        <w:rPr>
          <w:sz w:val="24"/>
          <w:szCs w:val="24"/>
          <w:color w:val="auto"/>
        </w:rPr>
      </w:pPr>
    </w:p>
    <w:p>
      <w:pPr>
        <w:ind w:left="460"/>
        <w:spacing w:after="0" w:line="161" w:lineRule="exact"/>
        <w:rPr>
          <w:sz w:val="20"/>
          <w:szCs w:val="20"/>
          <w:color w:val="auto"/>
        </w:rPr>
      </w:pPr>
      <w:r>
        <w:rPr>
          <w:rFonts w:ascii="Arial" w:cs="Arial" w:eastAsia="Arial" w:hAnsi="Arial"/>
          <w:sz w:val="14"/>
          <w:szCs w:val="14"/>
          <w:color w:val="auto"/>
        </w:rPr>
        <w:t xml:space="preserve">amendment to this Form 10-K. </w:t>
      </w:r>
      <w:r>
        <w:rPr>
          <w:rFonts w:ascii="MS PGothic" w:cs="MS PGothic" w:eastAsia="MS PGothic" w:hAnsi="MS PGothic"/>
          <w:sz w:val="14"/>
          <w:szCs w:val="14"/>
          <w:color w:val="auto"/>
        </w:rPr>
        <w:t>☑</w:t>
      </w:r>
    </w:p>
    <w:p>
      <w:pPr>
        <w:spacing w:after="0" w:line="102" w:lineRule="exact"/>
        <w:rPr>
          <w:sz w:val="24"/>
          <w:szCs w:val="24"/>
          <w:color w:val="auto"/>
        </w:rPr>
      </w:pPr>
    </w:p>
    <w:p>
      <w:pPr>
        <w:jc w:val="both"/>
        <w:ind w:left="460" w:right="120"/>
        <w:spacing w:after="0" w:line="160" w:lineRule="exact"/>
        <w:rPr>
          <w:sz w:val="20"/>
          <w:szCs w:val="20"/>
          <w:color w:val="auto"/>
        </w:rPr>
      </w:pPr>
      <w:r>
        <w:rPr>
          <w:rFonts w:ascii="Arial" w:cs="Arial" w:eastAsia="Arial" w:hAnsi="Arial"/>
          <w:sz w:val="14"/>
          <w:szCs w:val="14"/>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w:t>
      </w:r>
      <w:r>
        <w:rPr>
          <w:rFonts w:ascii="MS PGothic" w:cs="MS PGothic" w:eastAsia="MS PGothic" w:hAnsi="MS PGothic"/>
          <w:sz w:val="14"/>
          <w:szCs w:val="14"/>
          <w:color w:val="auto"/>
        </w:rPr>
        <w:t>‑</w:t>
      </w:r>
      <w:r>
        <w:rPr>
          <w:rFonts w:ascii="Arial" w:cs="Arial" w:eastAsia="Arial" w:hAnsi="Arial"/>
          <w:sz w:val="14"/>
          <w:szCs w:val="14"/>
          <w:color w:val="auto"/>
        </w:rPr>
        <w:t>2 of the Exchange Act.</w:t>
      </w:r>
    </w:p>
    <w:p>
      <w:pPr>
        <w:sectPr>
          <w:pgSz w:w="11900" w:h="16838" w:orient="portrait"/>
          <w:cols w:equalWidth="0" w:num="1">
            <w:col w:w="9940"/>
          </w:cols>
          <w:pgMar w:left="760" w:top="233" w:right="1199" w:bottom="1440" w:gutter="0" w:footer="0" w:header="0"/>
          <w:type w:val="continuous"/>
        </w:sectPr>
      </w:pPr>
    </w:p>
    <w:p>
      <w:pPr>
        <w:spacing w:after="0" w:line="156" w:lineRule="exact"/>
        <w:rPr>
          <w:sz w:val="24"/>
          <w:szCs w:val="24"/>
          <w:color w:val="auto"/>
        </w:rPr>
      </w:pPr>
    </w:p>
    <w:p>
      <w:pPr>
        <w:ind w:left="480"/>
        <w:spacing w:after="0"/>
        <w:rPr>
          <w:sz w:val="20"/>
          <w:szCs w:val="20"/>
          <w:color w:val="auto"/>
        </w:rPr>
      </w:pPr>
      <w:r>
        <w:rPr>
          <w:rFonts w:ascii="Arial" w:cs="Arial" w:eastAsia="Arial" w:hAnsi="Arial"/>
          <w:sz w:val="12"/>
          <w:szCs w:val="12"/>
          <w:color w:val="auto"/>
        </w:rPr>
        <w:t>Large accelerated filer</w:t>
      </w:r>
    </w:p>
    <w:p>
      <w:pPr>
        <w:spacing w:after="0" w:line="20" w:lineRule="exact"/>
        <w:rPr>
          <w:sz w:val="24"/>
          <w:szCs w:val="24"/>
          <w:color w:val="auto"/>
        </w:rPr>
      </w:pPr>
      <w:r>
        <w:rPr>
          <w:sz w:val="24"/>
          <w:szCs w:val="24"/>
          <w:color w:val="auto"/>
        </w:rPr>
        <w:br w:type="column"/>
      </w:r>
    </w:p>
    <w:p>
      <w:pPr>
        <w:spacing w:after="0" w:line="108" w:lineRule="exact"/>
        <w:rPr>
          <w:sz w:val="24"/>
          <w:szCs w:val="24"/>
          <w:color w:val="auto"/>
        </w:rPr>
      </w:pPr>
    </w:p>
    <w:p>
      <w:pPr>
        <w:spacing w:after="0" w:line="121" w:lineRule="exact"/>
        <w:rPr>
          <w:sz w:val="20"/>
          <w:szCs w:val="20"/>
          <w:color w:val="auto"/>
        </w:rPr>
      </w:pPr>
      <w:r>
        <w:rPr>
          <w:rFonts w:ascii="MS PGothic" w:cs="MS PGothic" w:eastAsia="MS PGothic" w:hAnsi="MS PGothic"/>
          <w:sz w:val="12"/>
          <w:szCs w:val="12"/>
          <w:color w:val="auto"/>
        </w:rPr>
        <w:t>☐</w:t>
      </w:r>
    </w:p>
    <w:p>
      <w:pPr>
        <w:spacing w:after="0" w:line="20" w:lineRule="exact"/>
        <w:rPr>
          <w:sz w:val="24"/>
          <w:szCs w:val="24"/>
          <w:color w:val="auto"/>
        </w:rPr>
      </w:pPr>
      <w:r>
        <w:rPr>
          <w:sz w:val="24"/>
          <w:szCs w:val="24"/>
          <w:color w:val="auto"/>
        </w:rPr>
        <w:br w:type="column"/>
      </w:r>
    </w:p>
    <w:p>
      <w:pPr>
        <w:spacing w:after="0" w:line="136" w:lineRule="exact"/>
        <w:rPr>
          <w:sz w:val="24"/>
          <w:szCs w:val="24"/>
          <w:color w:val="auto"/>
        </w:rPr>
      </w:pPr>
    </w:p>
    <w:p>
      <w:pPr>
        <w:spacing w:after="0"/>
        <w:rPr>
          <w:sz w:val="20"/>
          <w:szCs w:val="20"/>
          <w:color w:val="auto"/>
        </w:rPr>
      </w:pPr>
      <w:r>
        <w:rPr>
          <w:rFonts w:ascii="Arial" w:cs="Arial" w:eastAsia="Arial" w:hAnsi="Arial"/>
          <w:sz w:val="13"/>
          <w:szCs w:val="13"/>
          <w:color w:val="auto"/>
        </w:rPr>
        <w:t>Non-accelerated filer</w:t>
      </w:r>
    </w:p>
    <w:p>
      <w:pPr>
        <w:spacing w:after="0" w:line="20" w:lineRule="exact"/>
        <w:rPr>
          <w:sz w:val="24"/>
          <w:szCs w:val="24"/>
          <w:color w:val="auto"/>
        </w:rPr>
      </w:pPr>
      <w:r>
        <w:rPr>
          <w:sz w:val="24"/>
          <w:szCs w:val="24"/>
          <w:color w:val="auto"/>
        </w:rPr>
        <w:br w:type="column"/>
      </w:r>
    </w:p>
    <w:p>
      <w:pPr>
        <w:spacing w:after="0" w:line="108" w:lineRule="exact"/>
        <w:rPr>
          <w:sz w:val="24"/>
          <w:szCs w:val="24"/>
          <w:color w:val="auto"/>
        </w:rPr>
      </w:pPr>
    </w:p>
    <w:p>
      <w:pPr>
        <w:spacing w:after="0" w:line="121" w:lineRule="exact"/>
        <w:rPr>
          <w:sz w:val="20"/>
          <w:szCs w:val="20"/>
          <w:color w:val="auto"/>
        </w:rPr>
      </w:pPr>
      <w:r>
        <w:rPr>
          <w:rFonts w:ascii="MS PGothic" w:cs="MS PGothic" w:eastAsia="MS PGothic" w:hAnsi="MS PGothic"/>
          <w:sz w:val="12"/>
          <w:szCs w:val="12"/>
          <w:color w:val="auto"/>
        </w:rPr>
        <w:t>☐</w:t>
      </w:r>
    </w:p>
    <w:p>
      <w:pPr>
        <w:spacing w:after="0" w:line="20" w:lineRule="exact"/>
        <w:rPr>
          <w:sz w:val="24"/>
          <w:szCs w:val="24"/>
          <w:color w:val="auto"/>
        </w:rPr>
      </w:pPr>
      <w:r>
        <w:rPr>
          <w:sz w:val="24"/>
          <w:szCs w:val="24"/>
          <w:color w:val="auto"/>
        </w:rPr>
        <w:br w:type="column"/>
      </w:r>
    </w:p>
    <w:p>
      <w:pPr>
        <w:spacing w:after="0" w:line="136" w:lineRule="exact"/>
        <w:rPr>
          <w:sz w:val="24"/>
          <w:szCs w:val="24"/>
          <w:color w:val="auto"/>
        </w:rPr>
      </w:pPr>
    </w:p>
    <w:p>
      <w:pPr>
        <w:spacing w:after="0"/>
        <w:rPr>
          <w:sz w:val="20"/>
          <w:szCs w:val="20"/>
          <w:color w:val="auto"/>
        </w:rPr>
      </w:pPr>
      <w:r>
        <w:rPr>
          <w:rFonts w:ascii="Arial" w:cs="Arial" w:eastAsia="Arial" w:hAnsi="Arial"/>
          <w:sz w:val="13"/>
          <w:szCs w:val="13"/>
          <w:color w:val="auto"/>
        </w:rPr>
        <w:t>Smaller reporting company</w:t>
      </w:r>
    </w:p>
    <w:p>
      <w:pPr>
        <w:spacing w:after="0" w:line="20" w:lineRule="exact"/>
        <w:rPr>
          <w:sz w:val="24"/>
          <w:szCs w:val="24"/>
          <w:color w:val="auto"/>
        </w:rPr>
      </w:pPr>
      <w:r>
        <w:rPr>
          <w:sz w:val="24"/>
          <w:szCs w:val="24"/>
          <w:color w:val="auto"/>
        </w:rPr>
        <w:br w:type="column"/>
      </w:r>
    </w:p>
    <w:p>
      <w:pPr>
        <w:spacing w:after="0" w:line="95" w:lineRule="exact"/>
        <w:rPr>
          <w:sz w:val="24"/>
          <w:szCs w:val="24"/>
          <w:color w:val="auto"/>
        </w:rPr>
      </w:pPr>
    </w:p>
    <w:p>
      <w:pPr>
        <w:spacing w:after="0" w:line="121" w:lineRule="exact"/>
        <w:rPr>
          <w:sz w:val="20"/>
          <w:szCs w:val="20"/>
          <w:color w:val="auto"/>
        </w:rPr>
      </w:pPr>
      <w:r>
        <w:rPr>
          <w:rFonts w:ascii="MS PGothic" w:cs="MS PGothic" w:eastAsia="MS PGothic" w:hAnsi="MS PGothic"/>
          <w:sz w:val="12"/>
          <w:szCs w:val="12"/>
          <w:color w:val="auto"/>
        </w:rPr>
        <w:t>☐</w:t>
      </w:r>
    </w:p>
    <w:p>
      <w:pPr>
        <w:spacing w:after="0" w:line="150" w:lineRule="exact"/>
        <w:rPr>
          <w:sz w:val="24"/>
          <w:szCs w:val="24"/>
          <w:color w:val="auto"/>
        </w:rPr>
      </w:pPr>
    </w:p>
    <w:p>
      <w:pPr>
        <w:sectPr>
          <w:pgSz w:w="11900" w:h="16838" w:orient="portrait"/>
          <w:cols w:equalWidth="0" w:num="6">
            <w:col w:w="1760" w:space="640"/>
            <w:col w:w="1080" w:space="720"/>
            <w:col w:w="1600" w:space="720"/>
            <w:col w:w="240" w:space="720"/>
            <w:col w:w="1580" w:space="560"/>
            <w:col w:w="320"/>
          </w:cols>
          <w:pgMar w:left="760" w:top="233" w:right="1199" w:bottom="1440" w:gutter="0" w:footer="0" w:header="0"/>
          <w:type w:val="continuous"/>
        </w:sectPr>
      </w:pPr>
    </w:p>
    <w:p>
      <w:pPr>
        <w:spacing w:after="0" w:line="41" w:lineRule="exact"/>
        <w:rPr>
          <w:sz w:val="24"/>
          <w:szCs w:val="24"/>
          <w:color w:val="auto"/>
        </w:rPr>
      </w:pPr>
    </w:p>
    <w:p>
      <w:pPr>
        <w:ind w:left="480"/>
        <w:spacing w:after="0"/>
        <w:rPr>
          <w:sz w:val="20"/>
          <w:szCs w:val="20"/>
          <w:color w:val="auto"/>
        </w:rPr>
      </w:pPr>
      <w:r>
        <w:rPr>
          <w:rFonts w:ascii="Arial" w:cs="Arial" w:eastAsia="Arial" w:hAnsi="Arial"/>
          <w:sz w:val="13"/>
          <w:szCs w:val="13"/>
          <w:color w:val="auto"/>
        </w:rPr>
        <w:t>Accelerated filer</w:t>
      </w:r>
    </w:p>
    <w:p>
      <w:pPr>
        <w:spacing w:after="0" w:line="20" w:lineRule="exact"/>
        <w:rPr>
          <w:sz w:val="24"/>
          <w:szCs w:val="24"/>
          <w:color w:val="auto"/>
        </w:rPr>
      </w:pPr>
      <w:r>
        <w:rPr>
          <w:sz w:val="24"/>
          <w:szCs w:val="24"/>
          <w:color w:val="auto"/>
        </w:rPr>
        <w:br w:type="column"/>
      </w:r>
    </w:p>
    <w:p>
      <w:pPr>
        <w:jc w:val="center"/>
        <w:ind w:right="220"/>
        <w:spacing w:after="0" w:line="114" w:lineRule="exact"/>
        <w:rPr>
          <w:sz w:val="20"/>
          <w:szCs w:val="20"/>
          <w:color w:val="auto"/>
        </w:rPr>
      </w:pPr>
      <w:r>
        <w:rPr>
          <w:rFonts w:ascii="MS PGothic" w:cs="MS PGothic" w:eastAsia="MS PGothic" w:hAnsi="MS PGothic"/>
          <w:sz w:val="12"/>
          <w:szCs w:val="12"/>
          <w:color w:val="auto"/>
        </w:rPr>
        <w:t>☑</w:t>
      </w:r>
    </w:p>
    <w:p>
      <w:pPr>
        <w:spacing w:after="0" w:line="20" w:lineRule="exact"/>
        <w:rPr>
          <w:sz w:val="24"/>
          <w:szCs w:val="24"/>
          <w:color w:val="auto"/>
        </w:rPr>
      </w:pPr>
      <w:r>
        <w:rPr>
          <w:sz w:val="24"/>
          <w:szCs w:val="24"/>
          <w:color w:val="auto"/>
        </w:rPr>
        <w:br w:type="column"/>
      </w:r>
    </w:p>
    <w:p>
      <w:pPr>
        <w:spacing w:after="0" w:line="21" w:lineRule="exact"/>
        <w:rPr>
          <w:sz w:val="24"/>
          <w:szCs w:val="24"/>
          <w:color w:val="auto"/>
        </w:rPr>
      </w:pPr>
    </w:p>
    <w:p>
      <w:pPr>
        <w:spacing w:after="0"/>
        <w:rPr>
          <w:sz w:val="20"/>
          <w:szCs w:val="20"/>
          <w:color w:val="auto"/>
        </w:rPr>
      </w:pPr>
      <w:r>
        <w:rPr>
          <w:rFonts w:ascii="Arial" w:cs="Arial" w:eastAsia="Arial" w:hAnsi="Arial"/>
          <w:sz w:val="13"/>
          <w:szCs w:val="13"/>
          <w:color w:val="auto"/>
        </w:rPr>
        <w:t>(Do not check if a smaller reporting company)</w:t>
      </w:r>
    </w:p>
    <w:p>
      <w:pPr>
        <w:spacing w:after="0" w:line="20" w:lineRule="exact"/>
        <w:rPr>
          <w:sz w:val="24"/>
          <w:szCs w:val="24"/>
          <w:color w:val="auto"/>
        </w:rPr>
      </w:pPr>
      <w:r>
        <w:rPr>
          <w:sz w:val="24"/>
          <w:szCs w:val="24"/>
          <w:color w:val="auto"/>
        </w:rPr>
        <w:br w:type="column"/>
      </w:r>
    </w:p>
    <w:p>
      <w:pPr>
        <w:spacing w:after="0" w:line="21" w:lineRule="exact"/>
        <w:rPr>
          <w:sz w:val="24"/>
          <w:szCs w:val="24"/>
          <w:color w:val="auto"/>
        </w:rPr>
      </w:pPr>
    </w:p>
    <w:p>
      <w:pPr>
        <w:spacing w:after="0"/>
        <w:rPr>
          <w:sz w:val="20"/>
          <w:szCs w:val="20"/>
          <w:color w:val="auto"/>
        </w:rPr>
      </w:pPr>
      <w:r>
        <w:rPr>
          <w:rFonts w:ascii="Arial" w:cs="Arial" w:eastAsia="Arial" w:hAnsi="Arial"/>
          <w:sz w:val="13"/>
          <w:szCs w:val="13"/>
          <w:color w:val="auto"/>
        </w:rPr>
        <w:t>Emerging growth company</w:t>
      </w:r>
    </w:p>
    <w:p>
      <w:pPr>
        <w:spacing w:after="0" w:line="20" w:lineRule="exact"/>
        <w:rPr>
          <w:sz w:val="24"/>
          <w:szCs w:val="24"/>
          <w:color w:val="auto"/>
        </w:rPr>
      </w:pPr>
      <w:r>
        <w:rPr>
          <w:sz w:val="24"/>
          <w:szCs w:val="24"/>
          <w:color w:val="auto"/>
        </w:rPr>
        <w:br w:type="column"/>
      </w:r>
    </w:p>
    <w:p>
      <w:pPr>
        <w:spacing w:after="0" w:line="101" w:lineRule="exact"/>
        <w:rPr>
          <w:sz w:val="20"/>
          <w:szCs w:val="20"/>
          <w:color w:val="auto"/>
        </w:rPr>
      </w:pPr>
      <w:r>
        <w:rPr>
          <w:rFonts w:ascii="MS PGothic" w:cs="MS PGothic" w:eastAsia="MS PGothic" w:hAnsi="MS PGothic"/>
          <w:sz w:val="12"/>
          <w:szCs w:val="12"/>
          <w:color w:val="auto"/>
        </w:rPr>
        <w:t>☐</w:t>
      </w:r>
    </w:p>
    <w:p>
      <w:pPr>
        <w:spacing w:after="0" w:line="270" w:lineRule="exact"/>
        <w:rPr>
          <w:sz w:val="24"/>
          <w:szCs w:val="24"/>
          <w:color w:val="auto"/>
        </w:rPr>
      </w:pPr>
    </w:p>
    <w:p>
      <w:pPr>
        <w:sectPr>
          <w:pgSz w:w="11900" w:h="16838" w:orient="portrait"/>
          <w:cols w:equalWidth="0" w:num="5">
            <w:col w:w="1680" w:space="720"/>
            <w:col w:w="340" w:space="720"/>
            <w:col w:w="3320" w:space="720"/>
            <w:col w:w="1560" w:space="560"/>
            <w:col w:w="320"/>
          </w:cols>
          <w:pgMar w:left="760" w:top="233" w:right="1199" w:bottom="1440" w:gutter="0" w:footer="0" w:header="0"/>
          <w:type w:val="continuous"/>
        </w:sectPr>
      </w:pPr>
    </w:p>
    <w:p>
      <w:pPr>
        <w:spacing w:after="0" w:line="2" w:lineRule="exact"/>
        <w:rPr>
          <w:sz w:val="24"/>
          <w:szCs w:val="24"/>
          <w:color w:val="auto"/>
        </w:rPr>
      </w:pPr>
    </w:p>
    <w:p>
      <w:pPr>
        <w:ind w:left="460" w:right="40"/>
        <w:spacing w:after="0" w:line="180" w:lineRule="exact"/>
        <w:rPr>
          <w:sz w:val="20"/>
          <w:szCs w:val="20"/>
          <w:color w:val="auto"/>
        </w:rPr>
      </w:pPr>
      <w:r>
        <w:rPr>
          <w:rFonts w:ascii="Arial" w:cs="Arial" w:eastAsia="Arial" w:hAnsi="Arial"/>
          <w:sz w:val="14"/>
          <w:szCs w:val="14"/>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4"/>
          <w:szCs w:val="14"/>
          <w:color w:val="auto"/>
        </w:rPr>
        <w:t>☐</w:t>
      </w:r>
    </w:p>
    <w:p>
      <w:pPr>
        <w:spacing w:after="0" w:line="59" w:lineRule="exact"/>
        <w:rPr>
          <w:sz w:val="24"/>
          <w:szCs w:val="24"/>
          <w:color w:val="auto"/>
        </w:rPr>
      </w:pPr>
    </w:p>
    <w:p>
      <w:pPr>
        <w:ind w:left="460"/>
        <w:spacing w:after="0" w:line="161" w:lineRule="exact"/>
        <w:rPr>
          <w:sz w:val="20"/>
          <w:szCs w:val="20"/>
          <w:color w:val="auto"/>
        </w:rPr>
      </w:pPr>
      <w:r>
        <w:rPr>
          <w:rFonts w:ascii="Arial" w:cs="Arial" w:eastAsia="Arial" w:hAnsi="Arial"/>
          <w:sz w:val="14"/>
          <w:szCs w:val="14"/>
          <w:color w:val="auto"/>
        </w:rPr>
        <w:t xml:space="preserve">Indicate by check mark whether the registrant is a shell company (as defined in Rule 12b-2 of the Act). Yes </w:t>
      </w:r>
      <w:r>
        <w:rPr>
          <w:rFonts w:ascii="MS PGothic" w:cs="MS PGothic" w:eastAsia="MS PGothic" w:hAnsi="MS PGothic"/>
          <w:sz w:val="14"/>
          <w:szCs w:val="14"/>
          <w:color w:val="auto"/>
        </w:rPr>
        <w:t>☐</w:t>
      </w:r>
      <w:r>
        <w:rPr>
          <w:rFonts w:ascii="Arial" w:cs="Arial" w:eastAsia="Arial" w:hAnsi="Arial"/>
          <w:sz w:val="14"/>
          <w:szCs w:val="14"/>
          <w:color w:val="auto"/>
        </w:rPr>
        <w:t xml:space="preserve"> No </w:t>
      </w:r>
      <w:r>
        <w:rPr>
          <w:rFonts w:ascii="MS PGothic" w:cs="MS PGothic" w:eastAsia="MS PGothic" w:hAnsi="MS PGothic"/>
          <w:sz w:val="14"/>
          <w:szCs w:val="14"/>
          <w:color w:val="auto"/>
        </w:rPr>
        <w:t>☑</w:t>
      </w:r>
    </w:p>
    <w:p>
      <w:pPr>
        <w:spacing w:after="0" w:line="136" w:lineRule="exact"/>
        <w:rPr>
          <w:sz w:val="24"/>
          <w:szCs w:val="24"/>
          <w:color w:val="auto"/>
        </w:rPr>
      </w:pPr>
    </w:p>
    <w:p>
      <w:pPr>
        <w:jc w:val="both"/>
        <w:ind w:left="460" w:right="100"/>
        <w:spacing w:after="0" w:line="335" w:lineRule="auto"/>
        <w:rPr>
          <w:sz w:val="20"/>
          <w:szCs w:val="20"/>
          <w:color w:val="auto"/>
        </w:rPr>
      </w:pPr>
      <w:r>
        <w:rPr>
          <w:rFonts w:ascii="Arial" w:cs="Arial" w:eastAsia="Arial" w:hAnsi="Arial"/>
          <w:sz w:val="12"/>
          <w:szCs w:val="12"/>
          <w:color w:val="auto"/>
        </w:rPr>
        <w:t>As of the last business day of the registrant's most recently completed second fiscal quarter (June 30, 2017), the aggregate market value of the registrant's common stock held by non-affiliates was approximately $667.6 million. The registrant's common stock trades on the New York Stock Exchange under the symbol “GOLF”.</w:t>
      </w:r>
    </w:p>
    <w:p>
      <w:pPr>
        <w:spacing w:after="0" w:line="20" w:lineRule="exact"/>
        <w:rPr>
          <w:sz w:val="24"/>
          <w:szCs w:val="24"/>
          <w:color w:val="auto"/>
        </w:rPr>
      </w:pPr>
    </w:p>
    <w:p>
      <w:pPr>
        <w:ind w:left="460"/>
        <w:spacing w:after="0"/>
        <w:rPr>
          <w:sz w:val="20"/>
          <w:szCs w:val="20"/>
          <w:color w:val="auto"/>
        </w:rPr>
      </w:pPr>
      <w:r>
        <w:rPr>
          <w:rFonts w:ascii="Arial" w:cs="Arial" w:eastAsia="Arial" w:hAnsi="Arial"/>
          <w:sz w:val="14"/>
          <w:szCs w:val="14"/>
          <w:color w:val="auto"/>
        </w:rPr>
        <w:t>The registrant had 74,744,536 shares of common stock outstanding as of March 2, 2018</w:t>
      </w:r>
    </w:p>
    <w:p>
      <w:pPr>
        <w:spacing w:after="0" w:line="51" w:lineRule="exact"/>
        <w:rPr>
          <w:sz w:val="24"/>
          <w:szCs w:val="24"/>
          <w:color w:val="auto"/>
        </w:rPr>
      </w:pPr>
    </w:p>
    <w:p>
      <w:pPr>
        <w:ind w:left="3540"/>
        <w:spacing w:after="0"/>
        <w:rPr>
          <w:sz w:val="20"/>
          <w:szCs w:val="20"/>
          <w:color w:val="auto"/>
        </w:rPr>
      </w:pPr>
      <w:r>
        <w:rPr>
          <w:rFonts w:ascii="Arial" w:cs="Arial" w:eastAsia="Arial" w:hAnsi="Arial"/>
          <w:sz w:val="14"/>
          <w:szCs w:val="14"/>
          <w:b w:val="1"/>
          <w:bCs w:val="1"/>
          <w:color w:val="auto"/>
        </w:rPr>
        <w:t>DOCUMENTS INCORPORATED BY REFERENCE</w:t>
      </w:r>
    </w:p>
    <w:p>
      <w:pPr>
        <w:spacing w:after="0" w:line="59" w:lineRule="exact"/>
        <w:rPr>
          <w:sz w:val="24"/>
          <w:szCs w:val="24"/>
          <w:color w:val="auto"/>
        </w:rPr>
      </w:pPr>
    </w:p>
    <w:p>
      <w:pPr>
        <w:jc w:val="both"/>
        <w:ind w:left="460" w:firstLine="324"/>
        <w:spacing w:after="0" w:line="264" w:lineRule="auto"/>
        <w:rPr>
          <w:sz w:val="20"/>
          <w:szCs w:val="20"/>
          <w:color w:val="auto"/>
        </w:rPr>
      </w:pPr>
      <w:r>
        <w:rPr>
          <w:rFonts w:ascii="Arial" w:cs="Arial" w:eastAsia="Arial" w:hAnsi="Arial"/>
          <w:sz w:val="13"/>
          <w:szCs w:val="13"/>
          <w:color w:val="auto"/>
        </w:rPr>
        <w:t>Portions of the definitive proxy statement to be filed with the Securities and Exchange Commission pursuant to Regulation 14A relating to the Registrant’s Annual General Meeting of Shareholders, to be held on June 11, 2018, will be incorporated by reference in this Form 10-K in response to Items 10, 11, 12, 13 and 14 of Part III. The definitive proxy statement will be filed with the SEC not later than 120 days after the registrant’s fiscal year ended December 31, 2017.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283845</wp:posOffset>
            </wp:positionH>
            <wp:positionV relativeFrom="paragraph">
              <wp:posOffset>15875</wp:posOffset>
            </wp:positionV>
            <wp:extent cx="602869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028690" cy="8890"/>
                    </a:xfrm>
                    <a:prstGeom prst="rect">
                      <a:avLst/>
                    </a:prstGeom>
                    <a:noFill/>
                  </pic:spPr>
                </pic:pic>
              </a:graphicData>
            </a:graphic>
          </wp:anchor>
        </w:drawing>
        <w:drawing>
          <wp:anchor simplePos="0" relativeHeight="251657728" behindDoc="1" locked="0" layoutInCell="0" allowOverlap="1">
            <wp:simplePos x="0" y="0"/>
            <wp:positionH relativeFrom="column">
              <wp:posOffset>283845</wp:posOffset>
            </wp:positionH>
            <wp:positionV relativeFrom="paragraph">
              <wp:posOffset>41910</wp:posOffset>
            </wp:positionV>
            <wp:extent cx="6028690" cy="342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028690" cy="34290"/>
                    </a:xfrm>
                    <a:prstGeom prst="rect">
                      <a:avLst/>
                    </a:prstGeom>
                    <a:noFill/>
                  </pic:spPr>
                </pic:pic>
              </a:graphicData>
            </a:graphic>
          </wp:anchor>
        </w:drawing>
        <w:drawing>
          <wp:anchor simplePos="0" relativeHeight="251657728" behindDoc="1" locked="0" layoutInCell="0" allowOverlap="1">
            <wp:simplePos x="0" y="0"/>
            <wp:positionH relativeFrom="column">
              <wp:posOffset>283845</wp:posOffset>
            </wp:positionH>
            <wp:positionV relativeFrom="paragraph">
              <wp:posOffset>564515</wp:posOffset>
            </wp:positionV>
            <wp:extent cx="602869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028690" cy="17145"/>
                    </a:xfrm>
                    <a:prstGeom prst="rect">
                      <a:avLst/>
                    </a:prstGeom>
                    <a:noFill/>
                  </pic:spPr>
                </pic:pic>
              </a:graphicData>
            </a:graphic>
          </wp:anchor>
        </w:drawing>
      </w:r>
    </w:p>
    <w:p>
      <w:pPr>
        <w:sectPr>
          <w:pgSz w:w="11900" w:h="16838" w:orient="portrait"/>
          <w:cols w:equalWidth="0" w:num="1">
            <w:col w:w="9940"/>
          </w:cols>
          <w:pgMar w:left="760" w:top="233" w:right="1199" w:bottom="1440" w:gutter="0" w:footer="0" w:header="0"/>
          <w:type w:val="continuous"/>
        </w:sectPr>
      </w:pPr>
    </w:p>
    <w:bookmarkStart w:id="1" w:name="page2"/>
    <w:bookmarkEnd w:id="1"/>
    <w:tbl>
      <w:tblPr>
        <w:tblLayout w:type="fixed"/>
        <w:tblInd w:w="380" w:type="dxa"/>
        <w:tblCellMar>
          <w:top w:w="0" w:type="dxa"/>
          <w:left w:w="0" w:type="dxa"/>
          <w:bottom w:w="0" w:type="dxa"/>
          <w:right w:w="0" w:type="dxa"/>
        </w:tblCellMar>
      </w:tblPr>
      <w:tr>
        <w:trPr>
          <w:trHeight w:val="207"/>
        </w:trPr>
        <w:tc>
          <w:tcPr>
            <w:tcW w:w="7880" w:type="dxa"/>
            <w:vAlign w:val="bottom"/>
            <w:gridSpan w:val="31"/>
          </w:tcPr>
          <w:p>
            <w:pPr>
              <w:spacing w:after="0"/>
              <w:rPr>
                <w:rFonts w:ascii="Arial" w:cs="Arial" w:eastAsia="Arial" w:hAnsi="Arial"/>
                <w:sz w:val="18"/>
                <w:szCs w:val="18"/>
                <w:color w:val="0563C1"/>
              </w:rPr>
            </w:pPr>
            <w:hyperlink w:anchor="page2">
              <w:r>
                <w:rPr>
                  <w:rFonts w:ascii="Arial" w:cs="Arial" w:eastAsia="Arial" w:hAnsi="Arial"/>
                  <w:sz w:val="18"/>
                  <w:szCs w:val="18"/>
                  <w:color w:val="0563C1"/>
                </w:rPr>
                <w:t>Table of Contents</w:t>
              </w:r>
            </w:hyperlink>
          </w:p>
        </w:tc>
        <w:tc>
          <w:tcPr>
            <w:tcW w:w="3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790"/>
        </w:trPr>
        <w:tc>
          <w:tcPr>
            <w:tcW w:w="460" w:type="dxa"/>
            <w:vAlign w:val="bottom"/>
            <w:tcBorders>
              <w:top w:val="single" w:sz="8" w:color="0563C1"/>
            </w:tcBorders>
          </w:tcPr>
          <w:p>
            <w:pPr>
              <w:spacing w:after="0"/>
              <w:rPr>
                <w:sz w:val="24"/>
                <w:szCs w:val="24"/>
                <w:color w:val="auto"/>
              </w:rPr>
            </w:pPr>
          </w:p>
        </w:tc>
        <w:tc>
          <w:tcPr>
            <w:tcW w:w="60" w:type="dxa"/>
            <w:vAlign w:val="bottom"/>
            <w:tcBorders>
              <w:top w:val="single" w:sz="8" w:color="0563C1"/>
            </w:tcBorders>
          </w:tcPr>
          <w:p>
            <w:pPr>
              <w:spacing w:after="0"/>
              <w:rPr>
                <w:sz w:val="24"/>
                <w:szCs w:val="24"/>
                <w:color w:val="auto"/>
              </w:rPr>
            </w:pPr>
          </w:p>
        </w:tc>
        <w:tc>
          <w:tcPr>
            <w:tcW w:w="20" w:type="dxa"/>
            <w:vAlign w:val="bottom"/>
            <w:tcBorders>
              <w:top w:val="single" w:sz="8" w:color="0563C1"/>
            </w:tcBorders>
          </w:tcPr>
          <w:p>
            <w:pPr>
              <w:spacing w:after="0"/>
              <w:rPr>
                <w:sz w:val="24"/>
                <w:szCs w:val="24"/>
                <w:color w:val="auto"/>
              </w:rPr>
            </w:pPr>
          </w:p>
        </w:tc>
        <w:tc>
          <w:tcPr>
            <w:tcW w:w="40" w:type="dxa"/>
            <w:vAlign w:val="bottom"/>
            <w:tcBorders>
              <w:top w:val="single" w:sz="8" w:color="0563C1"/>
            </w:tcBorders>
          </w:tcPr>
          <w:p>
            <w:pPr>
              <w:spacing w:after="0"/>
              <w:rPr>
                <w:sz w:val="24"/>
                <w:szCs w:val="24"/>
                <w:color w:val="auto"/>
              </w:rPr>
            </w:pPr>
          </w:p>
        </w:tc>
        <w:tc>
          <w:tcPr>
            <w:tcW w:w="40" w:type="dxa"/>
            <w:vAlign w:val="bottom"/>
            <w:tcBorders>
              <w:top w:val="single" w:sz="8" w:color="0563C1"/>
            </w:tcBorders>
          </w:tcPr>
          <w:p>
            <w:pPr>
              <w:spacing w:after="0"/>
              <w:rPr>
                <w:sz w:val="24"/>
                <w:szCs w:val="24"/>
                <w:color w:val="auto"/>
              </w:rPr>
            </w:pPr>
          </w:p>
        </w:tc>
        <w:tc>
          <w:tcPr>
            <w:tcW w:w="40" w:type="dxa"/>
            <w:vAlign w:val="bottom"/>
            <w:tcBorders>
              <w:top w:val="single" w:sz="8" w:color="0563C1"/>
            </w:tcBorders>
          </w:tcPr>
          <w:p>
            <w:pPr>
              <w:spacing w:after="0"/>
              <w:rPr>
                <w:sz w:val="24"/>
                <w:szCs w:val="24"/>
                <w:color w:val="auto"/>
              </w:rPr>
            </w:pPr>
          </w:p>
        </w:tc>
        <w:tc>
          <w:tcPr>
            <w:tcW w:w="40" w:type="dxa"/>
            <w:vAlign w:val="bottom"/>
            <w:tcBorders>
              <w:top w:val="single" w:sz="8" w:color="0563C1"/>
            </w:tcBorders>
          </w:tcPr>
          <w:p>
            <w:pPr>
              <w:spacing w:after="0"/>
              <w:rPr>
                <w:sz w:val="24"/>
                <w:szCs w:val="24"/>
                <w:color w:val="auto"/>
              </w:rPr>
            </w:pPr>
          </w:p>
        </w:tc>
        <w:tc>
          <w:tcPr>
            <w:tcW w:w="560" w:type="dxa"/>
            <w:vAlign w:val="bottom"/>
            <w:tcBorders>
              <w:top w:val="single" w:sz="8" w:color="0563C1"/>
            </w:tcBorders>
          </w:tcPr>
          <w:p>
            <w:pPr>
              <w:spacing w:after="0"/>
              <w:rPr>
                <w:sz w:val="24"/>
                <w:szCs w:val="24"/>
                <w:color w:val="auto"/>
              </w:rPr>
            </w:pPr>
          </w:p>
        </w:tc>
        <w:tc>
          <w:tcPr>
            <w:tcW w:w="20" w:type="dxa"/>
            <w:vAlign w:val="bottom"/>
            <w:tcBorders>
              <w:top w:val="single" w:sz="8" w:color="0563C1"/>
            </w:tcBorders>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120" w:type="dxa"/>
            <w:vAlign w:val="bottom"/>
            <w:gridSpan w:val="12"/>
          </w:tcPr>
          <w:p>
            <w:pPr>
              <w:ind w:left="420"/>
              <w:spacing w:after="0"/>
              <w:rPr>
                <w:sz w:val="20"/>
                <w:szCs w:val="20"/>
                <w:color w:val="auto"/>
              </w:rPr>
            </w:pPr>
            <w:r>
              <w:rPr>
                <w:rFonts w:ascii="Arial" w:cs="Arial" w:eastAsia="Arial" w:hAnsi="Arial"/>
                <w:sz w:val="18"/>
                <w:szCs w:val="18"/>
                <w:b w:val="1"/>
                <w:bCs w:val="1"/>
                <w:color w:val="auto"/>
              </w:rPr>
              <w:t>TABLE OF CONTENTS</w:t>
            </w: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46"/>
        </w:trPr>
        <w:tc>
          <w:tcPr>
            <w:tcW w:w="4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380" w:type="dxa"/>
            <w:vAlign w:val="bottom"/>
          </w:tcPr>
          <w:p>
            <w:pPr>
              <w:jc w:val="right"/>
              <w:spacing w:after="0"/>
              <w:rPr>
                <w:sz w:val="20"/>
                <w:szCs w:val="20"/>
                <w:color w:val="auto"/>
              </w:rPr>
            </w:pPr>
            <w:r>
              <w:rPr>
                <w:rFonts w:ascii="Arial" w:cs="Arial" w:eastAsia="Arial" w:hAnsi="Arial"/>
                <w:sz w:val="18"/>
                <w:szCs w:val="18"/>
                <w:b w:val="1"/>
                <w:bCs w:val="1"/>
                <w:color w:val="auto"/>
                <w:w w:val="83"/>
              </w:rPr>
              <w:t>Page</w:t>
            </w:r>
          </w:p>
        </w:tc>
        <w:tc>
          <w:tcPr>
            <w:tcW w:w="0" w:type="dxa"/>
            <w:vAlign w:val="bottom"/>
          </w:tcPr>
          <w:p>
            <w:pPr>
              <w:spacing w:after="0"/>
              <w:rPr>
                <w:sz w:val="1"/>
                <w:szCs w:val="1"/>
                <w:color w:val="auto"/>
              </w:rPr>
            </w:pPr>
          </w:p>
        </w:tc>
      </w:tr>
      <w:tr>
        <w:trPr>
          <w:trHeight w:val="95"/>
        </w:trPr>
        <w:tc>
          <w:tcPr>
            <w:tcW w:w="460" w:type="dxa"/>
            <w:vAlign w:val="bottom"/>
            <w:vMerge w:val="restart"/>
          </w:tcPr>
          <w:p>
            <w:pPr>
              <w:spacing w:after="0"/>
              <w:rPr>
                <w:rFonts w:ascii="Arial" w:cs="Arial" w:eastAsia="Arial" w:hAnsi="Arial"/>
                <w:sz w:val="18"/>
                <w:szCs w:val="18"/>
                <w:b w:val="1"/>
                <w:bCs w:val="1"/>
                <w:color w:val="0000EE"/>
                <w:w w:val="97"/>
              </w:rPr>
            </w:pPr>
            <w:hyperlink w:anchor="page5">
              <w:r>
                <w:rPr>
                  <w:rFonts w:ascii="Arial" w:cs="Arial" w:eastAsia="Arial" w:hAnsi="Arial"/>
                  <w:sz w:val="18"/>
                  <w:szCs w:val="18"/>
                  <w:b w:val="1"/>
                  <w:bCs w:val="1"/>
                  <w:color w:val="0000EE"/>
                  <w:w w:val="97"/>
                </w:rPr>
                <w:t>Part I</w:t>
              </w:r>
            </w:hyperlink>
          </w:p>
        </w:tc>
        <w:tc>
          <w:tcPr>
            <w:tcW w:w="240" w:type="dxa"/>
            <w:vAlign w:val="bottom"/>
            <w:gridSpan w:val="6"/>
            <w:vMerge w:val="restart"/>
          </w:tcPr>
          <w:p>
            <w:pPr>
              <w:spacing w:after="0"/>
              <w:rPr>
                <w:sz w:val="8"/>
                <w:szCs w:val="8"/>
                <w:color w:val="auto"/>
              </w:rPr>
            </w:pPr>
          </w:p>
        </w:tc>
        <w:tc>
          <w:tcPr>
            <w:tcW w:w="56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100" w:type="dxa"/>
            <w:vAlign w:val="bottom"/>
          </w:tcPr>
          <w:p>
            <w:pPr>
              <w:spacing w:after="0"/>
              <w:rPr>
                <w:sz w:val="8"/>
                <w:szCs w:val="8"/>
                <w:color w:val="auto"/>
              </w:rPr>
            </w:pPr>
          </w:p>
        </w:tc>
        <w:tc>
          <w:tcPr>
            <w:tcW w:w="160" w:type="dxa"/>
            <w:vAlign w:val="bottom"/>
          </w:tcPr>
          <w:p>
            <w:pPr>
              <w:spacing w:after="0"/>
              <w:rPr>
                <w:sz w:val="8"/>
                <w:szCs w:val="8"/>
                <w:color w:val="auto"/>
              </w:rPr>
            </w:pPr>
          </w:p>
        </w:tc>
        <w:tc>
          <w:tcPr>
            <w:tcW w:w="220" w:type="dxa"/>
            <w:vAlign w:val="bottom"/>
          </w:tcPr>
          <w:p>
            <w:pPr>
              <w:spacing w:after="0"/>
              <w:rPr>
                <w:sz w:val="8"/>
                <w:szCs w:val="8"/>
                <w:color w:val="auto"/>
              </w:rPr>
            </w:pPr>
          </w:p>
        </w:tc>
        <w:tc>
          <w:tcPr>
            <w:tcW w:w="1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440" w:type="dxa"/>
            <w:vAlign w:val="bottom"/>
          </w:tcPr>
          <w:p>
            <w:pPr>
              <w:spacing w:after="0"/>
              <w:rPr>
                <w:sz w:val="8"/>
                <w:szCs w:val="8"/>
                <w:color w:val="auto"/>
              </w:rPr>
            </w:pPr>
          </w:p>
        </w:tc>
        <w:tc>
          <w:tcPr>
            <w:tcW w:w="20" w:type="dxa"/>
            <w:vAlign w:val="bottom"/>
          </w:tcPr>
          <w:p>
            <w:pPr>
              <w:spacing w:after="0"/>
              <w:rPr>
                <w:sz w:val="8"/>
                <w:szCs w:val="8"/>
                <w:color w:val="auto"/>
              </w:rPr>
            </w:pPr>
          </w:p>
        </w:tc>
        <w:tc>
          <w:tcPr>
            <w:tcW w:w="2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60" w:type="dxa"/>
            <w:vAlign w:val="bottom"/>
          </w:tcPr>
          <w:p>
            <w:pPr>
              <w:spacing w:after="0"/>
              <w:rPr>
                <w:sz w:val="8"/>
                <w:szCs w:val="8"/>
                <w:color w:val="auto"/>
              </w:rPr>
            </w:pPr>
          </w:p>
        </w:tc>
        <w:tc>
          <w:tcPr>
            <w:tcW w:w="300" w:type="dxa"/>
            <w:vAlign w:val="bottom"/>
          </w:tcPr>
          <w:p>
            <w:pPr>
              <w:spacing w:after="0"/>
              <w:rPr>
                <w:sz w:val="8"/>
                <w:szCs w:val="8"/>
                <w:color w:val="auto"/>
              </w:rPr>
            </w:pPr>
          </w:p>
        </w:tc>
        <w:tc>
          <w:tcPr>
            <w:tcW w:w="180" w:type="dxa"/>
            <w:vAlign w:val="bottom"/>
          </w:tcPr>
          <w:p>
            <w:pPr>
              <w:spacing w:after="0"/>
              <w:rPr>
                <w:sz w:val="8"/>
                <w:szCs w:val="8"/>
                <w:color w:val="auto"/>
              </w:rPr>
            </w:pPr>
          </w:p>
        </w:tc>
        <w:tc>
          <w:tcPr>
            <w:tcW w:w="760" w:type="dxa"/>
            <w:vAlign w:val="bottom"/>
          </w:tcPr>
          <w:p>
            <w:pPr>
              <w:spacing w:after="0"/>
              <w:rPr>
                <w:sz w:val="8"/>
                <w:szCs w:val="8"/>
                <w:color w:val="auto"/>
              </w:rPr>
            </w:pPr>
          </w:p>
        </w:tc>
        <w:tc>
          <w:tcPr>
            <w:tcW w:w="2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20" w:type="dxa"/>
            <w:vAlign w:val="bottom"/>
          </w:tcPr>
          <w:p>
            <w:pPr>
              <w:spacing w:after="0"/>
              <w:rPr>
                <w:sz w:val="8"/>
                <w:szCs w:val="8"/>
                <w:color w:val="auto"/>
              </w:rPr>
            </w:pPr>
          </w:p>
        </w:tc>
        <w:tc>
          <w:tcPr>
            <w:tcW w:w="40" w:type="dxa"/>
            <w:vAlign w:val="bottom"/>
          </w:tcPr>
          <w:p>
            <w:pPr>
              <w:spacing w:after="0"/>
              <w:rPr>
                <w:sz w:val="8"/>
                <w:szCs w:val="8"/>
                <w:color w:val="auto"/>
              </w:rPr>
            </w:pPr>
          </w:p>
        </w:tc>
        <w:tc>
          <w:tcPr>
            <w:tcW w:w="180" w:type="dxa"/>
            <w:vAlign w:val="bottom"/>
          </w:tcPr>
          <w:p>
            <w:pPr>
              <w:spacing w:after="0"/>
              <w:rPr>
                <w:sz w:val="8"/>
                <w:szCs w:val="8"/>
                <w:color w:val="auto"/>
              </w:rPr>
            </w:pPr>
          </w:p>
        </w:tc>
        <w:tc>
          <w:tcPr>
            <w:tcW w:w="380" w:type="dxa"/>
            <w:vAlign w:val="bottom"/>
          </w:tcPr>
          <w:p>
            <w:pPr>
              <w:spacing w:after="0"/>
              <w:rPr>
                <w:sz w:val="8"/>
                <w:szCs w:val="8"/>
                <w:color w:val="auto"/>
              </w:rPr>
            </w:pPr>
          </w:p>
        </w:tc>
        <w:tc>
          <w:tcPr>
            <w:tcW w:w="38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61"/>
        </w:trPr>
        <w:tc>
          <w:tcPr>
            <w:tcW w:w="460" w:type="dxa"/>
            <w:vAlign w:val="bottom"/>
            <w:tcBorders>
              <w:bottom w:val="single" w:sz="8" w:color="0000EE"/>
            </w:tcBorders>
            <w:vMerge w:val="continue"/>
          </w:tcPr>
          <w:p>
            <w:pPr>
              <w:spacing w:after="0"/>
              <w:rPr>
                <w:sz w:val="13"/>
                <w:szCs w:val="13"/>
                <w:color w:val="auto"/>
              </w:rPr>
            </w:pPr>
          </w:p>
        </w:tc>
        <w:tc>
          <w:tcPr>
            <w:tcW w:w="240" w:type="dxa"/>
            <w:vAlign w:val="bottom"/>
            <w:gridSpan w:val="6"/>
            <w:vMerge w:val="continue"/>
          </w:tcPr>
          <w:p>
            <w:pPr>
              <w:spacing w:after="0"/>
              <w:rPr>
                <w:sz w:val="13"/>
                <w:szCs w:val="13"/>
                <w:color w:val="auto"/>
              </w:rPr>
            </w:pPr>
          </w:p>
        </w:tc>
        <w:tc>
          <w:tcPr>
            <w:tcW w:w="5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4"/>
        </w:trPr>
        <w:tc>
          <w:tcPr>
            <w:tcW w:w="520" w:type="dxa"/>
            <w:vAlign w:val="bottom"/>
            <w:gridSpan w:val="2"/>
          </w:tcPr>
          <w:p>
            <w:pPr>
              <w:spacing w:after="0"/>
              <w:rPr>
                <w:rFonts w:ascii="Arial" w:cs="Arial" w:eastAsia="Arial" w:hAnsi="Arial"/>
                <w:sz w:val="18"/>
                <w:szCs w:val="18"/>
                <w:color w:val="0000EE"/>
                <w:w w:val="90"/>
              </w:rPr>
            </w:pPr>
            <w:hyperlink w:anchor="page5">
              <w:r>
                <w:rPr>
                  <w:rFonts w:ascii="Arial" w:cs="Arial" w:eastAsia="Arial" w:hAnsi="Arial"/>
                  <w:sz w:val="18"/>
                  <w:szCs w:val="18"/>
                  <w:color w:val="0000EE"/>
                  <w:w w:val="90"/>
                </w:rPr>
                <w:t>Item 1.</w:t>
              </w:r>
            </w:hyperlink>
          </w:p>
        </w:tc>
        <w:tc>
          <w:tcPr>
            <w:tcW w:w="180" w:type="dxa"/>
            <w:vAlign w:val="bottom"/>
            <w:gridSpan w:val="5"/>
          </w:tcPr>
          <w:p>
            <w:pPr>
              <w:spacing w:after="0"/>
              <w:rPr>
                <w:sz w:val="24"/>
                <w:szCs w:val="24"/>
                <w:color w:val="auto"/>
              </w:rPr>
            </w:pPr>
          </w:p>
        </w:tc>
        <w:tc>
          <w:tcPr>
            <w:tcW w:w="7180" w:type="dxa"/>
            <w:vAlign w:val="bottom"/>
            <w:gridSpan w:val="24"/>
          </w:tcPr>
          <w:p>
            <w:pPr>
              <w:spacing w:after="0"/>
              <w:rPr>
                <w:rFonts w:ascii="Arial" w:cs="Arial" w:eastAsia="Arial" w:hAnsi="Arial"/>
                <w:sz w:val="18"/>
                <w:szCs w:val="18"/>
                <w:color w:val="0000EE"/>
              </w:rPr>
            </w:pPr>
            <w:hyperlink w:anchor="page5">
              <w:r>
                <w:rPr>
                  <w:rFonts w:ascii="Arial" w:cs="Arial" w:eastAsia="Arial" w:hAnsi="Arial"/>
                  <w:sz w:val="18"/>
                  <w:szCs w:val="18"/>
                  <w:color w:val="0000EE"/>
                </w:rPr>
                <w:t>Business</w:t>
              </w:r>
            </w:hyperlink>
          </w:p>
        </w:tc>
        <w:tc>
          <w:tcPr>
            <w:tcW w:w="380" w:type="dxa"/>
            <w:vAlign w:val="bottom"/>
          </w:tcPr>
          <w:p>
            <w:pPr>
              <w:jc w:val="right"/>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0"/>
        </w:trPr>
        <w:tc>
          <w:tcPr>
            <w:tcW w:w="52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80" w:type="dxa"/>
            <w:vAlign w:val="bottom"/>
            <w:gridSpan w:val="2"/>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1"/>
        </w:trPr>
        <w:tc>
          <w:tcPr>
            <w:tcW w:w="660" w:type="dxa"/>
            <w:vAlign w:val="bottom"/>
            <w:gridSpan w:val="6"/>
          </w:tcPr>
          <w:p>
            <w:pPr>
              <w:spacing w:after="0"/>
              <w:rPr>
                <w:rFonts w:ascii="Arial" w:cs="Arial" w:eastAsia="Arial" w:hAnsi="Arial"/>
                <w:sz w:val="18"/>
                <w:szCs w:val="18"/>
                <w:color w:val="0000EE"/>
                <w:w w:val="92"/>
              </w:rPr>
            </w:pPr>
            <w:hyperlink w:anchor="page17">
              <w:r>
                <w:rPr>
                  <w:rFonts w:ascii="Arial" w:cs="Arial" w:eastAsia="Arial" w:hAnsi="Arial"/>
                  <w:sz w:val="18"/>
                  <w:szCs w:val="18"/>
                  <w:color w:val="0000EE"/>
                  <w:w w:val="92"/>
                </w:rPr>
                <w:t>Item 1A.</w:t>
              </w:r>
            </w:hyperlink>
          </w:p>
        </w:tc>
        <w:tc>
          <w:tcPr>
            <w:tcW w:w="40" w:type="dxa"/>
            <w:vAlign w:val="bottom"/>
          </w:tcPr>
          <w:p>
            <w:pPr>
              <w:spacing w:after="0"/>
              <w:rPr>
                <w:sz w:val="24"/>
                <w:szCs w:val="24"/>
                <w:color w:val="auto"/>
              </w:rPr>
            </w:pPr>
          </w:p>
        </w:tc>
        <w:tc>
          <w:tcPr>
            <w:tcW w:w="7180" w:type="dxa"/>
            <w:vAlign w:val="bottom"/>
            <w:gridSpan w:val="24"/>
          </w:tcPr>
          <w:p>
            <w:pPr>
              <w:spacing w:after="0"/>
              <w:rPr>
                <w:rFonts w:ascii="Arial" w:cs="Arial" w:eastAsia="Arial" w:hAnsi="Arial"/>
                <w:sz w:val="18"/>
                <w:szCs w:val="18"/>
                <w:color w:val="0000EE"/>
              </w:rPr>
            </w:pPr>
            <w:hyperlink w:anchor="page17">
              <w:r>
                <w:rPr>
                  <w:rFonts w:ascii="Arial" w:cs="Arial" w:eastAsia="Arial" w:hAnsi="Arial"/>
                  <w:sz w:val="18"/>
                  <w:szCs w:val="18"/>
                  <w:color w:val="0000EE"/>
                </w:rPr>
                <w:t>Risk Factors</w:t>
              </w:r>
            </w:hyperlink>
          </w:p>
        </w:tc>
        <w:tc>
          <w:tcPr>
            <w:tcW w:w="380" w:type="dxa"/>
            <w:vAlign w:val="bottom"/>
          </w:tcPr>
          <w:p>
            <w:pPr>
              <w:jc w:val="right"/>
              <w:spacing w:after="0"/>
              <w:rPr>
                <w:sz w:val="20"/>
                <w:szCs w:val="20"/>
                <w:color w:val="auto"/>
              </w:rPr>
            </w:pPr>
            <w:r>
              <w:rPr>
                <w:rFonts w:ascii="Arial" w:cs="Arial" w:eastAsia="Arial" w:hAnsi="Arial"/>
                <w:sz w:val="18"/>
                <w:szCs w:val="18"/>
                <w:color w:val="auto"/>
              </w:rPr>
              <w:t>13</w:t>
            </w:r>
          </w:p>
        </w:tc>
        <w:tc>
          <w:tcPr>
            <w:tcW w:w="0" w:type="dxa"/>
            <w:vAlign w:val="bottom"/>
          </w:tcPr>
          <w:p>
            <w:pPr>
              <w:spacing w:after="0"/>
              <w:rPr>
                <w:sz w:val="1"/>
                <w:szCs w:val="1"/>
                <w:color w:val="auto"/>
              </w:rPr>
            </w:pPr>
          </w:p>
        </w:tc>
      </w:tr>
      <w:tr>
        <w:trPr>
          <w:trHeight w:val="20"/>
        </w:trPr>
        <w:tc>
          <w:tcPr>
            <w:tcW w:w="52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40" w:type="dxa"/>
            <w:vAlign w:val="bottom"/>
            <w:tcBorders>
              <w:left w:val="single" w:sz="8" w:color="0000EE"/>
            </w:tcBorders>
            <w:shd w:val="clear" w:color="auto" w:fill="0000EE"/>
          </w:tcPr>
          <w:p>
            <w:pPr>
              <w:spacing w:after="0" w:line="20" w:lineRule="exact"/>
              <w:rPr>
                <w:sz w:val="1"/>
                <w:szCs w:val="1"/>
                <w:color w:val="auto"/>
              </w:rPr>
            </w:pPr>
          </w:p>
        </w:tc>
        <w:tc>
          <w:tcPr>
            <w:tcW w:w="40" w:type="dxa"/>
            <w:vAlign w:val="bottom"/>
            <w:tcBorders>
              <w:right w:val="single" w:sz="8" w:color="0000EE"/>
            </w:tcBorders>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180" w:type="dxa"/>
            <w:vAlign w:val="bottom"/>
            <w:gridSpan w:val="3"/>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1"/>
        </w:trPr>
        <w:tc>
          <w:tcPr>
            <w:tcW w:w="660" w:type="dxa"/>
            <w:vAlign w:val="bottom"/>
            <w:tcBorders>
              <w:bottom w:val="single" w:sz="8" w:color="0000EE"/>
            </w:tcBorders>
            <w:gridSpan w:val="6"/>
          </w:tcPr>
          <w:p>
            <w:pPr>
              <w:spacing w:after="0"/>
              <w:rPr>
                <w:rFonts w:ascii="Arial" w:cs="Arial" w:eastAsia="Arial" w:hAnsi="Arial"/>
                <w:sz w:val="18"/>
                <w:szCs w:val="18"/>
                <w:color w:val="0000EE"/>
                <w:w w:val="92"/>
              </w:rPr>
            </w:pPr>
            <w:hyperlink w:anchor="page46">
              <w:r>
                <w:rPr>
                  <w:rFonts w:ascii="Arial" w:cs="Arial" w:eastAsia="Arial" w:hAnsi="Arial"/>
                  <w:sz w:val="18"/>
                  <w:szCs w:val="18"/>
                  <w:color w:val="0000EE"/>
                  <w:w w:val="92"/>
                </w:rPr>
                <w:t>Item 1B.</w:t>
              </w:r>
            </w:hyperlink>
          </w:p>
        </w:tc>
        <w:tc>
          <w:tcPr>
            <w:tcW w:w="40" w:type="dxa"/>
            <w:vAlign w:val="bottom"/>
          </w:tcPr>
          <w:p>
            <w:pPr>
              <w:spacing w:after="0"/>
              <w:rPr>
                <w:sz w:val="24"/>
                <w:szCs w:val="24"/>
                <w:color w:val="auto"/>
              </w:rPr>
            </w:pPr>
          </w:p>
        </w:tc>
        <w:tc>
          <w:tcPr>
            <w:tcW w:w="2060" w:type="dxa"/>
            <w:vAlign w:val="bottom"/>
            <w:tcBorders>
              <w:bottom w:val="single" w:sz="8" w:color="0000EE"/>
            </w:tcBorders>
            <w:gridSpan w:val="12"/>
          </w:tcPr>
          <w:p>
            <w:pPr>
              <w:spacing w:after="0"/>
              <w:rPr>
                <w:rFonts w:ascii="Arial" w:cs="Arial" w:eastAsia="Arial" w:hAnsi="Arial"/>
                <w:sz w:val="18"/>
                <w:szCs w:val="18"/>
                <w:color w:val="0000EE"/>
                <w:w w:val="90"/>
              </w:rPr>
            </w:pPr>
            <w:hyperlink w:anchor="page46">
              <w:r>
                <w:rPr>
                  <w:rFonts w:ascii="Arial" w:cs="Arial" w:eastAsia="Arial" w:hAnsi="Arial"/>
                  <w:sz w:val="18"/>
                  <w:szCs w:val="18"/>
                  <w:color w:val="0000EE"/>
                  <w:w w:val="90"/>
                </w:rPr>
                <w:t>Unresolved Staff Comments</w:t>
              </w:r>
            </w:hyperlink>
          </w:p>
        </w:tc>
        <w:tc>
          <w:tcPr>
            <w:tcW w:w="5120" w:type="dxa"/>
            <w:vAlign w:val="bottom"/>
            <w:gridSpan w:val="12"/>
          </w:tcPr>
          <w:p>
            <w:pPr>
              <w:spacing w:after="0"/>
              <w:rPr>
                <w:sz w:val="24"/>
                <w:szCs w:val="24"/>
                <w:color w:val="auto"/>
              </w:rPr>
            </w:pPr>
          </w:p>
        </w:tc>
        <w:tc>
          <w:tcPr>
            <w:tcW w:w="380" w:type="dxa"/>
            <w:vAlign w:val="bottom"/>
          </w:tcPr>
          <w:p>
            <w:pPr>
              <w:jc w:val="right"/>
              <w:spacing w:after="0"/>
              <w:rPr>
                <w:sz w:val="20"/>
                <w:szCs w:val="20"/>
                <w:color w:val="auto"/>
              </w:rPr>
            </w:pPr>
            <w:r>
              <w:rPr>
                <w:rFonts w:ascii="Arial" w:cs="Arial" w:eastAsia="Arial" w:hAnsi="Arial"/>
                <w:sz w:val="18"/>
                <w:szCs w:val="18"/>
                <w:color w:val="auto"/>
              </w:rPr>
              <w:t>42</w:t>
            </w:r>
          </w:p>
        </w:tc>
        <w:tc>
          <w:tcPr>
            <w:tcW w:w="0" w:type="dxa"/>
            <w:vAlign w:val="bottom"/>
          </w:tcPr>
          <w:p>
            <w:pPr>
              <w:spacing w:after="0"/>
              <w:rPr>
                <w:sz w:val="1"/>
                <w:szCs w:val="1"/>
                <w:color w:val="auto"/>
              </w:rPr>
            </w:pPr>
          </w:p>
        </w:tc>
      </w:tr>
      <w:tr>
        <w:trPr>
          <w:trHeight w:val="291"/>
        </w:trPr>
        <w:tc>
          <w:tcPr>
            <w:tcW w:w="520" w:type="dxa"/>
            <w:vAlign w:val="bottom"/>
            <w:tcBorders>
              <w:bottom w:val="single" w:sz="8" w:color="0000EE"/>
            </w:tcBorders>
            <w:gridSpan w:val="2"/>
          </w:tcPr>
          <w:p>
            <w:pPr>
              <w:spacing w:after="0"/>
              <w:rPr>
                <w:rFonts w:ascii="Arial" w:cs="Arial" w:eastAsia="Arial" w:hAnsi="Arial"/>
                <w:sz w:val="18"/>
                <w:szCs w:val="18"/>
                <w:color w:val="0000EE"/>
                <w:w w:val="90"/>
              </w:rPr>
            </w:pPr>
            <w:hyperlink w:anchor="page47">
              <w:r>
                <w:rPr>
                  <w:rFonts w:ascii="Arial" w:cs="Arial" w:eastAsia="Arial" w:hAnsi="Arial"/>
                  <w:sz w:val="18"/>
                  <w:szCs w:val="18"/>
                  <w:color w:val="0000EE"/>
                  <w:w w:val="90"/>
                </w:rPr>
                <w:t>Item 2.</w:t>
              </w:r>
            </w:hyperlink>
          </w:p>
        </w:tc>
        <w:tc>
          <w:tcPr>
            <w:tcW w:w="180" w:type="dxa"/>
            <w:vAlign w:val="bottom"/>
            <w:gridSpan w:val="5"/>
          </w:tcPr>
          <w:p>
            <w:pPr>
              <w:spacing w:after="0"/>
              <w:rPr>
                <w:sz w:val="24"/>
                <w:szCs w:val="24"/>
                <w:color w:val="auto"/>
              </w:rPr>
            </w:pPr>
          </w:p>
        </w:tc>
        <w:tc>
          <w:tcPr>
            <w:tcW w:w="740" w:type="dxa"/>
            <w:vAlign w:val="bottom"/>
            <w:tcBorders>
              <w:bottom w:val="single" w:sz="8" w:color="0000EE"/>
            </w:tcBorders>
            <w:gridSpan w:val="4"/>
          </w:tcPr>
          <w:p>
            <w:pPr>
              <w:spacing w:after="0"/>
              <w:rPr>
                <w:rFonts w:ascii="Arial" w:cs="Arial" w:eastAsia="Arial" w:hAnsi="Arial"/>
                <w:sz w:val="18"/>
                <w:szCs w:val="18"/>
                <w:color w:val="0000EE"/>
                <w:w w:val="87"/>
              </w:rPr>
            </w:pPr>
            <w:hyperlink w:anchor="page47">
              <w:r>
                <w:rPr>
                  <w:rFonts w:ascii="Arial" w:cs="Arial" w:eastAsia="Arial" w:hAnsi="Arial"/>
                  <w:sz w:val="18"/>
                  <w:szCs w:val="18"/>
                  <w:color w:val="0000EE"/>
                  <w:w w:val="87"/>
                </w:rPr>
                <w:t>Properties</w:t>
              </w:r>
            </w:hyperlink>
          </w:p>
        </w:tc>
        <w:tc>
          <w:tcPr>
            <w:tcW w:w="6440" w:type="dxa"/>
            <w:vAlign w:val="bottom"/>
            <w:gridSpan w:val="20"/>
          </w:tcPr>
          <w:p>
            <w:pPr>
              <w:spacing w:after="0"/>
              <w:rPr>
                <w:sz w:val="24"/>
                <w:szCs w:val="24"/>
                <w:color w:val="auto"/>
              </w:rPr>
            </w:pPr>
          </w:p>
        </w:tc>
        <w:tc>
          <w:tcPr>
            <w:tcW w:w="380" w:type="dxa"/>
            <w:vAlign w:val="bottom"/>
          </w:tcPr>
          <w:p>
            <w:pPr>
              <w:jc w:val="right"/>
              <w:spacing w:after="0"/>
              <w:rPr>
                <w:sz w:val="20"/>
                <w:szCs w:val="20"/>
                <w:color w:val="auto"/>
              </w:rPr>
            </w:pPr>
            <w:r>
              <w:rPr>
                <w:rFonts w:ascii="Arial" w:cs="Arial" w:eastAsia="Arial" w:hAnsi="Arial"/>
                <w:sz w:val="18"/>
                <w:szCs w:val="18"/>
                <w:color w:val="auto"/>
              </w:rPr>
              <w:t>43</w:t>
            </w:r>
          </w:p>
        </w:tc>
        <w:tc>
          <w:tcPr>
            <w:tcW w:w="0" w:type="dxa"/>
            <w:vAlign w:val="bottom"/>
          </w:tcPr>
          <w:p>
            <w:pPr>
              <w:spacing w:after="0"/>
              <w:rPr>
                <w:sz w:val="1"/>
                <w:szCs w:val="1"/>
                <w:color w:val="auto"/>
              </w:rPr>
            </w:pPr>
          </w:p>
        </w:tc>
      </w:tr>
      <w:tr>
        <w:trPr>
          <w:trHeight w:val="291"/>
        </w:trPr>
        <w:tc>
          <w:tcPr>
            <w:tcW w:w="520" w:type="dxa"/>
            <w:vAlign w:val="bottom"/>
            <w:tcBorders>
              <w:bottom w:val="single" w:sz="8" w:color="0000EE"/>
            </w:tcBorders>
            <w:gridSpan w:val="2"/>
          </w:tcPr>
          <w:p>
            <w:pPr>
              <w:spacing w:after="0"/>
              <w:rPr>
                <w:rFonts w:ascii="Arial" w:cs="Arial" w:eastAsia="Arial" w:hAnsi="Arial"/>
                <w:sz w:val="18"/>
                <w:szCs w:val="18"/>
                <w:color w:val="0000EE"/>
                <w:w w:val="90"/>
              </w:rPr>
            </w:pPr>
            <w:hyperlink w:anchor="page48">
              <w:r>
                <w:rPr>
                  <w:rFonts w:ascii="Arial" w:cs="Arial" w:eastAsia="Arial" w:hAnsi="Arial"/>
                  <w:sz w:val="18"/>
                  <w:szCs w:val="18"/>
                  <w:color w:val="0000EE"/>
                  <w:w w:val="90"/>
                </w:rPr>
                <w:t>Item 3.</w:t>
              </w:r>
            </w:hyperlink>
          </w:p>
        </w:tc>
        <w:tc>
          <w:tcPr>
            <w:tcW w:w="180" w:type="dxa"/>
            <w:vAlign w:val="bottom"/>
            <w:gridSpan w:val="5"/>
          </w:tcPr>
          <w:p>
            <w:pPr>
              <w:spacing w:after="0"/>
              <w:rPr>
                <w:sz w:val="24"/>
                <w:szCs w:val="24"/>
                <w:color w:val="auto"/>
              </w:rPr>
            </w:pPr>
          </w:p>
        </w:tc>
        <w:tc>
          <w:tcPr>
            <w:tcW w:w="1340" w:type="dxa"/>
            <w:vAlign w:val="bottom"/>
            <w:tcBorders>
              <w:bottom w:val="single" w:sz="8" w:color="0000EE"/>
            </w:tcBorders>
            <w:gridSpan w:val="9"/>
          </w:tcPr>
          <w:p>
            <w:pPr>
              <w:spacing w:after="0"/>
              <w:rPr>
                <w:rFonts w:ascii="Arial" w:cs="Arial" w:eastAsia="Arial" w:hAnsi="Arial"/>
                <w:sz w:val="18"/>
                <w:szCs w:val="18"/>
                <w:color w:val="0000EE"/>
                <w:w w:val="88"/>
              </w:rPr>
            </w:pPr>
            <w:hyperlink w:anchor="page48">
              <w:r>
                <w:rPr>
                  <w:rFonts w:ascii="Arial" w:cs="Arial" w:eastAsia="Arial" w:hAnsi="Arial"/>
                  <w:sz w:val="18"/>
                  <w:szCs w:val="18"/>
                  <w:color w:val="0000EE"/>
                  <w:w w:val="88"/>
                </w:rPr>
                <w:t>Legal Proceedings</w:t>
              </w:r>
            </w:hyperlink>
          </w:p>
        </w:tc>
        <w:tc>
          <w:tcPr>
            <w:tcW w:w="5840" w:type="dxa"/>
            <w:vAlign w:val="bottom"/>
            <w:gridSpan w:val="15"/>
          </w:tcPr>
          <w:p>
            <w:pPr>
              <w:spacing w:after="0"/>
              <w:rPr>
                <w:sz w:val="24"/>
                <w:szCs w:val="24"/>
                <w:color w:val="auto"/>
              </w:rPr>
            </w:pPr>
          </w:p>
        </w:tc>
        <w:tc>
          <w:tcPr>
            <w:tcW w:w="380" w:type="dxa"/>
            <w:vAlign w:val="bottom"/>
          </w:tcPr>
          <w:p>
            <w:pPr>
              <w:jc w:val="right"/>
              <w:spacing w:after="0"/>
              <w:rPr>
                <w:sz w:val="20"/>
                <w:szCs w:val="20"/>
                <w:color w:val="auto"/>
              </w:rPr>
            </w:pPr>
            <w:r>
              <w:rPr>
                <w:rFonts w:ascii="Arial" w:cs="Arial" w:eastAsia="Arial" w:hAnsi="Arial"/>
                <w:sz w:val="18"/>
                <w:szCs w:val="18"/>
                <w:color w:val="auto"/>
              </w:rPr>
              <w:t>44</w:t>
            </w:r>
          </w:p>
        </w:tc>
        <w:tc>
          <w:tcPr>
            <w:tcW w:w="0" w:type="dxa"/>
            <w:vAlign w:val="bottom"/>
          </w:tcPr>
          <w:p>
            <w:pPr>
              <w:spacing w:after="0"/>
              <w:rPr>
                <w:sz w:val="1"/>
                <w:szCs w:val="1"/>
                <w:color w:val="auto"/>
              </w:rPr>
            </w:pPr>
          </w:p>
        </w:tc>
      </w:tr>
      <w:tr>
        <w:trPr>
          <w:trHeight w:val="291"/>
        </w:trPr>
        <w:tc>
          <w:tcPr>
            <w:tcW w:w="520" w:type="dxa"/>
            <w:vAlign w:val="bottom"/>
            <w:tcBorders>
              <w:bottom w:val="single" w:sz="8" w:color="0000EE"/>
            </w:tcBorders>
            <w:gridSpan w:val="2"/>
          </w:tcPr>
          <w:p>
            <w:pPr>
              <w:spacing w:after="0"/>
              <w:rPr>
                <w:rFonts w:ascii="Arial" w:cs="Arial" w:eastAsia="Arial" w:hAnsi="Arial"/>
                <w:sz w:val="18"/>
                <w:szCs w:val="18"/>
                <w:color w:val="0000EE"/>
                <w:w w:val="90"/>
              </w:rPr>
            </w:pPr>
            <w:hyperlink w:anchor="page48">
              <w:r>
                <w:rPr>
                  <w:rFonts w:ascii="Arial" w:cs="Arial" w:eastAsia="Arial" w:hAnsi="Arial"/>
                  <w:sz w:val="18"/>
                  <w:szCs w:val="18"/>
                  <w:color w:val="0000EE"/>
                  <w:w w:val="90"/>
                </w:rPr>
                <w:t>Item 4.</w:t>
              </w:r>
            </w:hyperlink>
          </w:p>
        </w:tc>
        <w:tc>
          <w:tcPr>
            <w:tcW w:w="180" w:type="dxa"/>
            <w:vAlign w:val="bottom"/>
            <w:gridSpan w:val="5"/>
          </w:tcPr>
          <w:p>
            <w:pPr>
              <w:spacing w:after="0"/>
              <w:rPr>
                <w:sz w:val="24"/>
                <w:szCs w:val="24"/>
                <w:color w:val="auto"/>
              </w:rPr>
            </w:pPr>
          </w:p>
        </w:tc>
        <w:tc>
          <w:tcPr>
            <w:tcW w:w="1780" w:type="dxa"/>
            <w:vAlign w:val="bottom"/>
            <w:tcBorders>
              <w:bottom w:val="single" w:sz="8" w:color="0000EE"/>
            </w:tcBorders>
            <w:gridSpan w:val="10"/>
          </w:tcPr>
          <w:p>
            <w:pPr>
              <w:spacing w:after="0"/>
              <w:rPr>
                <w:rFonts w:ascii="Arial" w:cs="Arial" w:eastAsia="Arial" w:hAnsi="Arial"/>
                <w:sz w:val="18"/>
                <w:szCs w:val="18"/>
                <w:color w:val="0000EE"/>
                <w:w w:val="91"/>
              </w:rPr>
            </w:pPr>
            <w:hyperlink w:anchor="page48">
              <w:r>
                <w:rPr>
                  <w:rFonts w:ascii="Arial" w:cs="Arial" w:eastAsia="Arial" w:hAnsi="Arial"/>
                  <w:sz w:val="18"/>
                  <w:szCs w:val="18"/>
                  <w:color w:val="0000EE"/>
                  <w:w w:val="91"/>
                </w:rPr>
                <w:t>Mine Safety Disclosures</w:t>
              </w:r>
            </w:hyperlink>
          </w:p>
        </w:tc>
        <w:tc>
          <w:tcPr>
            <w:tcW w:w="5400" w:type="dxa"/>
            <w:vAlign w:val="bottom"/>
            <w:gridSpan w:val="14"/>
          </w:tcPr>
          <w:p>
            <w:pPr>
              <w:spacing w:after="0"/>
              <w:rPr>
                <w:sz w:val="24"/>
                <w:szCs w:val="24"/>
                <w:color w:val="auto"/>
              </w:rPr>
            </w:pPr>
          </w:p>
        </w:tc>
        <w:tc>
          <w:tcPr>
            <w:tcW w:w="380" w:type="dxa"/>
            <w:vAlign w:val="bottom"/>
          </w:tcPr>
          <w:p>
            <w:pPr>
              <w:jc w:val="right"/>
              <w:spacing w:after="0"/>
              <w:rPr>
                <w:sz w:val="20"/>
                <w:szCs w:val="20"/>
                <w:color w:val="auto"/>
              </w:rPr>
            </w:pPr>
            <w:r>
              <w:rPr>
                <w:rFonts w:ascii="Arial" w:cs="Arial" w:eastAsia="Arial" w:hAnsi="Arial"/>
                <w:sz w:val="18"/>
                <w:szCs w:val="18"/>
                <w:color w:val="auto"/>
              </w:rPr>
              <w:t>44</w:t>
            </w:r>
          </w:p>
        </w:tc>
        <w:tc>
          <w:tcPr>
            <w:tcW w:w="0" w:type="dxa"/>
            <w:vAlign w:val="bottom"/>
          </w:tcPr>
          <w:p>
            <w:pPr>
              <w:spacing w:after="0"/>
              <w:rPr>
                <w:sz w:val="1"/>
                <w:szCs w:val="1"/>
                <w:color w:val="auto"/>
              </w:rPr>
            </w:pPr>
          </w:p>
        </w:tc>
      </w:tr>
      <w:tr>
        <w:trPr>
          <w:trHeight w:val="291"/>
        </w:trPr>
        <w:tc>
          <w:tcPr>
            <w:tcW w:w="540" w:type="dxa"/>
            <w:vAlign w:val="bottom"/>
            <w:tcBorders>
              <w:bottom w:val="single" w:sz="8" w:color="0000EE"/>
            </w:tcBorders>
            <w:gridSpan w:val="3"/>
          </w:tcPr>
          <w:p>
            <w:pPr>
              <w:spacing w:after="0"/>
              <w:rPr>
                <w:rFonts w:ascii="Arial" w:cs="Arial" w:eastAsia="Arial" w:hAnsi="Arial"/>
                <w:sz w:val="18"/>
                <w:szCs w:val="18"/>
                <w:b w:val="1"/>
                <w:bCs w:val="1"/>
                <w:color w:val="0000EE"/>
              </w:rPr>
            </w:pPr>
            <w:hyperlink w:anchor="page50">
              <w:r>
                <w:rPr>
                  <w:rFonts w:ascii="Arial" w:cs="Arial" w:eastAsia="Arial" w:hAnsi="Arial"/>
                  <w:sz w:val="18"/>
                  <w:szCs w:val="18"/>
                  <w:b w:val="1"/>
                  <w:bCs w:val="1"/>
                  <w:color w:val="0000EE"/>
                </w:rPr>
                <w:t>Part II</w:t>
              </w:r>
            </w:hyperlink>
          </w:p>
        </w:tc>
        <w:tc>
          <w:tcPr>
            <w:tcW w:w="160" w:type="dxa"/>
            <w:vAlign w:val="bottom"/>
            <w:gridSpan w:val="4"/>
          </w:tcPr>
          <w:p>
            <w:pPr>
              <w:spacing w:after="0"/>
              <w:rPr>
                <w:sz w:val="24"/>
                <w:szCs w:val="24"/>
                <w:color w:val="auto"/>
              </w:rPr>
            </w:pPr>
          </w:p>
        </w:tc>
        <w:tc>
          <w:tcPr>
            <w:tcW w:w="5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1"/>
        </w:trPr>
        <w:tc>
          <w:tcPr>
            <w:tcW w:w="520" w:type="dxa"/>
            <w:vAlign w:val="bottom"/>
            <w:gridSpan w:val="2"/>
          </w:tcPr>
          <w:p>
            <w:pPr>
              <w:spacing w:after="0"/>
              <w:rPr>
                <w:rFonts w:ascii="Arial" w:cs="Arial" w:eastAsia="Arial" w:hAnsi="Arial"/>
                <w:sz w:val="18"/>
                <w:szCs w:val="18"/>
                <w:color w:val="0000EE"/>
                <w:w w:val="90"/>
              </w:rPr>
            </w:pPr>
            <w:hyperlink w:anchor="page50">
              <w:r>
                <w:rPr>
                  <w:rFonts w:ascii="Arial" w:cs="Arial" w:eastAsia="Arial" w:hAnsi="Arial"/>
                  <w:sz w:val="18"/>
                  <w:szCs w:val="18"/>
                  <w:color w:val="0000EE"/>
                  <w:w w:val="90"/>
                </w:rPr>
                <w:t>Item 5.</w:t>
              </w:r>
            </w:hyperlink>
          </w:p>
        </w:tc>
        <w:tc>
          <w:tcPr>
            <w:tcW w:w="180" w:type="dxa"/>
            <w:vAlign w:val="bottom"/>
            <w:gridSpan w:val="5"/>
          </w:tcPr>
          <w:p>
            <w:pPr>
              <w:spacing w:after="0"/>
              <w:rPr>
                <w:sz w:val="24"/>
                <w:szCs w:val="24"/>
                <w:color w:val="auto"/>
              </w:rPr>
            </w:pPr>
          </w:p>
        </w:tc>
        <w:tc>
          <w:tcPr>
            <w:tcW w:w="7180" w:type="dxa"/>
            <w:vAlign w:val="bottom"/>
            <w:gridSpan w:val="24"/>
          </w:tcPr>
          <w:p>
            <w:pPr>
              <w:spacing w:after="0"/>
              <w:rPr>
                <w:rFonts w:ascii="Arial" w:cs="Arial" w:eastAsia="Arial" w:hAnsi="Arial"/>
                <w:sz w:val="18"/>
                <w:szCs w:val="18"/>
                <w:color w:val="0000EE"/>
                <w:w w:val="95"/>
              </w:rPr>
            </w:pPr>
            <w:hyperlink w:anchor="page50">
              <w:r>
                <w:rPr>
                  <w:rFonts w:ascii="Arial" w:cs="Arial" w:eastAsia="Arial" w:hAnsi="Arial"/>
                  <w:sz w:val="18"/>
                  <w:szCs w:val="18"/>
                  <w:color w:val="0000EE"/>
                  <w:w w:val="95"/>
                </w:rPr>
                <w:t>Market for Registrant’s Common Equity, Related Stockholder Matters and Issuer Purchases of</w:t>
              </w:r>
            </w:hyperlink>
          </w:p>
        </w:tc>
        <w:tc>
          <w:tcPr>
            <w:tcW w:w="380" w:type="dxa"/>
            <w:vAlign w:val="bottom"/>
          </w:tcPr>
          <w:p>
            <w:pPr>
              <w:jc w:val="right"/>
              <w:spacing w:after="0"/>
              <w:rPr>
                <w:sz w:val="20"/>
                <w:szCs w:val="20"/>
                <w:color w:val="auto"/>
              </w:rPr>
            </w:pPr>
            <w:r>
              <w:rPr>
                <w:rFonts w:ascii="Arial" w:cs="Arial" w:eastAsia="Arial" w:hAnsi="Arial"/>
                <w:sz w:val="18"/>
                <w:szCs w:val="18"/>
                <w:color w:val="auto"/>
              </w:rPr>
              <w:t>46</w:t>
            </w:r>
          </w:p>
        </w:tc>
        <w:tc>
          <w:tcPr>
            <w:tcW w:w="0" w:type="dxa"/>
            <w:vAlign w:val="bottom"/>
          </w:tcPr>
          <w:p>
            <w:pPr>
              <w:spacing w:after="0"/>
              <w:rPr>
                <w:sz w:val="1"/>
                <w:szCs w:val="1"/>
                <w:color w:val="auto"/>
              </w:rPr>
            </w:pPr>
          </w:p>
        </w:tc>
      </w:tr>
      <w:tr>
        <w:trPr>
          <w:trHeight w:val="196"/>
        </w:trPr>
        <w:tc>
          <w:tcPr>
            <w:tcW w:w="460" w:type="dxa"/>
            <w:vAlign w:val="bottom"/>
            <w:tcBorders>
              <w:top w:val="single" w:sz="8" w:color="0000EE"/>
            </w:tcBorders>
          </w:tcPr>
          <w:p>
            <w:pPr>
              <w:spacing w:after="0"/>
              <w:rPr>
                <w:sz w:val="17"/>
                <w:szCs w:val="17"/>
                <w:color w:val="auto"/>
              </w:rPr>
            </w:pPr>
          </w:p>
        </w:tc>
        <w:tc>
          <w:tcPr>
            <w:tcW w:w="60" w:type="dxa"/>
            <w:vAlign w:val="bottom"/>
            <w:tcBorders>
              <w:top w:val="single" w:sz="8" w:color="0000EE"/>
            </w:tcBorders>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240" w:type="dxa"/>
            <w:vAlign w:val="bottom"/>
            <w:tcBorders>
              <w:top w:val="single" w:sz="8" w:color="0000EE"/>
              <w:bottom w:val="single" w:sz="8" w:color="0000EE"/>
            </w:tcBorders>
            <w:gridSpan w:val="7"/>
          </w:tcPr>
          <w:p>
            <w:pPr>
              <w:spacing w:after="0" w:line="196" w:lineRule="exact"/>
              <w:rPr>
                <w:rFonts w:ascii="Arial" w:cs="Arial" w:eastAsia="Arial" w:hAnsi="Arial"/>
                <w:sz w:val="18"/>
                <w:szCs w:val="18"/>
                <w:color w:val="0000EE"/>
                <w:w w:val="90"/>
              </w:rPr>
            </w:pPr>
            <w:hyperlink w:anchor="page50">
              <w:r>
                <w:rPr>
                  <w:rFonts w:ascii="Arial" w:cs="Arial" w:eastAsia="Arial" w:hAnsi="Arial"/>
                  <w:sz w:val="18"/>
                  <w:szCs w:val="18"/>
                  <w:color w:val="0000EE"/>
                  <w:w w:val="90"/>
                </w:rPr>
                <w:t>Equity Securities</w:t>
              </w:r>
            </w:hyperlink>
          </w:p>
        </w:tc>
        <w:tc>
          <w:tcPr>
            <w:tcW w:w="5560" w:type="dxa"/>
            <w:vAlign w:val="bottom"/>
            <w:tcBorders>
              <w:top w:val="single" w:sz="8" w:color="0000EE"/>
            </w:tcBorders>
            <w:gridSpan w:val="16"/>
          </w:tcPr>
          <w:p>
            <w:pPr>
              <w:spacing w:after="0"/>
              <w:rPr>
                <w:sz w:val="17"/>
                <w:szCs w:val="17"/>
                <w:color w:val="auto"/>
              </w:rPr>
            </w:pPr>
          </w:p>
        </w:tc>
        <w:tc>
          <w:tcPr>
            <w:tcW w:w="3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91"/>
        </w:trPr>
        <w:tc>
          <w:tcPr>
            <w:tcW w:w="520" w:type="dxa"/>
            <w:vAlign w:val="bottom"/>
            <w:gridSpan w:val="2"/>
          </w:tcPr>
          <w:p>
            <w:pPr>
              <w:spacing w:after="0"/>
              <w:rPr>
                <w:rFonts w:ascii="Arial" w:cs="Arial" w:eastAsia="Arial" w:hAnsi="Arial"/>
                <w:sz w:val="18"/>
                <w:szCs w:val="18"/>
                <w:color w:val="0000EE"/>
                <w:w w:val="90"/>
              </w:rPr>
            </w:pPr>
            <w:hyperlink w:anchor="page51">
              <w:r>
                <w:rPr>
                  <w:rFonts w:ascii="Arial" w:cs="Arial" w:eastAsia="Arial" w:hAnsi="Arial"/>
                  <w:sz w:val="18"/>
                  <w:szCs w:val="18"/>
                  <w:color w:val="0000EE"/>
                  <w:w w:val="90"/>
                </w:rPr>
                <w:t>Item 6.</w:t>
              </w:r>
            </w:hyperlink>
          </w:p>
        </w:tc>
        <w:tc>
          <w:tcPr>
            <w:tcW w:w="180" w:type="dxa"/>
            <w:vAlign w:val="bottom"/>
            <w:gridSpan w:val="5"/>
          </w:tcPr>
          <w:p>
            <w:pPr>
              <w:spacing w:after="0"/>
              <w:rPr>
                <w:sz w:val="24"/>
                <w:szCs w:val="24"/>
                <w:color w:val="auto"/>
              </w:rPr>
            </w:pPr>
          </w:p>
        </w:tc>
        <w:tc>
          <w:tcPr>
            <w:tcW w:w="7180" w:type="dxa"/>
            <w:vAlign w:val="bottom"/>
            <w:gridSpan w:val="24"/>
          </w:tcPr>
          <w:p>
            <w:pPr>
              <w:spacing w:after="0"/>
              <w:rPr>
                <w:rFonts w:ascii="Arial" w:cs="Arial" w:eastAsia="Arial" w:hAnsi="Arial"/>
                <w:sz w:val="18"/>
                <w:szCs w:val="18"/>
                <w:color w:val="0000EE"/>
              </w:rPr>
            </w:pPr>
            <w:hyperlink w:anchor="page51">
              <w:r>
                <w:rPr>
                  <w:rFonts w:ascii="Arial" w:cs="Arial" w:eastAsia="Arial" w:hAnsi="Arial"/>
                  <w:sz w:val="18"/>
                  <w:szCs w:val="18"/>
                  <w:color w:val="0000EE"/>
                </w:rPr>
                <w:t>Selected Consolidated Financial Data</w:t>
              </w:r>
            </w:hyperlink>
          </w:p>
        </w:tc>
        <w:tc>
          <w:tcPr>
            <w:tcW w:w="380" w:type="dxa"/>
            <w:vAlign w:val="bottom"/>
          </w:tcPr>
          <w:p>
            <w:pPr>
              <w:jc w:val="right"/>
              <w:spacing w:after="0"/>
              <w:rPr>
                <w:sz w:val="20"/>
                <w:szCs w:val="20"/>
                <w:color w:val="auto"/>
              </w:rPr>
            </w:pPr>
            <w:r>
              <w:rPr>
                <w:rFonts w:ascii="Arial" w:cs="Arial" w:eastAsia="Arial" w:hAnsi="Arial"/>
                <w:sz w:val="18"/>
                <w:szCs w:val="18"/>
                <w:color w:val="auto"/>
              </w:rPr>
              <w:t>47</w:t>
            </w:r>
          </w:p>
        </w:tc>
        <w:tc>
          <w:tcPr>
            <w:tcW w:w="0" w:type="dxa"/>
            <w:vAlign w:val="bottom"/>
          </w:tcPr>
          <w:p>
            <w:pPr>
              <w:spacing w:after="0"/>
              <w:rPr>
                <w:sz w:val="1"/>
                <w:szCs w:val="1"/>
                <w:color w:val="auto"/>
              </w:rPr>
            </w:pPr>
          </w:p>
        </w:tc>
      </w:tr>
      <w:tr>
        <w:trPr>
          <w:trHeight w:val="20"/>
        </w:trPr>
        <w:tc>
          <w:tcPr>
            <w:tcW w:w="520" w:type="dxa"/>
            <w:vAlign w:val="bottom"/>
            <w:gridSpan w:val="2"/>
            <w:shd w:val="clear" w:color="auto" w:fill="0000EE"/>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560" w:type="dxa"/>
            <w:vAlign w:val="bottom"/>
            <w:gridSpan w:val="5"/>
            <w:shd w:val="clear" w:color="auto" w:fill="0000EE"/>
          </w:tcPr>
          <w:p>
            <w:pPr>
              <w:spacing w:after="0" w:line="20" w:lineRule="exact"/>
              <w:rPr>
                <w:sz w:val="1"/>
                <w:szCs w:val="1"/>
                <w:color w:val="auto"/>
              </w:rPr>
            </w:pPr>
          </w:p>
        </w:tc>
        <w:tc>
          <w:tcPr>
            <w:tcW w:w="200" w:type="dxa"/>
            <w:vAlign w:val="bottom"/>
            <w:gridSpan w:val="2"/>
            <w:shd w:val="clear" w:color="auto" w:fill="0000EE"/>
          </w:tcPr>
          <w:p>
            <w:pPr>
              <w:spacing w:after="0" w:line="20" w:lineRule="exact"/>
              <w:rPr>
                <w:sz w:val="1"/>
                <w:szCs w:val="1"/>
                <w:color w:val="auto"/>
              </w:rPr>
            </w:pPr>
          </w:p>
        </w:tc>
        <w:tc>
          <w:tcPr>
            <w:tcW w:w="480" w:type="dxa"/>
            <w:vAlign w:val="bottom"/>
            <w:gridSpan w:val="3"/>
            <w:shd w:val="clear" w:color="auto" w:fill="0000EE"/>
          </w:tcPr>
          <w:p>
            <w:pPr>
              <w:spacing w:after="0" w:line="20" w:lineRule="exact"/>
              <w:rPr>
                <w:sz w:val="1"/>
                <w:szCs w:val="1"/>
                <w:color w:val="auto"/>
              </w:rPr>
            </w:pPr>
          </w:p>
        </w:tc>
        <w:tc>
          <w:tcPr>
            <w:tcW w:w="900" w:type="dxa"/>
            <w:vAlign w:val="bottom"/>
            <w:gridSpan w:val="2"/>
            <w:shd w:val="clear" w:color="auto" w:fill="0000EE"/>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1"/>
        </w:trPr>
        <w:tc>
          <w:tcPr>
            <w:tcW w:w="520" w:type="dxa"/>
            <w:vAlign w:val="bottom"/>
            <w:gridSpan w:val="2"/>
          </w:tcPr>
          <w:p>
            <w:pPr>
              <w:spacing w:after="0"/>
              <w:rPr>
                <w:rFonts w:ascii="Arial" w:cs="Arial" w:eastAsia="Arial" w:hAnsi="Arial"/>
                <w:sz w:val="18"/>
                <w:szCs w:val="18"/>
                <w:color w:val="0000EE"/>
                <w:w w:val="90"/>
              </w:rPr>
            </w:pPr>
            <w:hyperlink w:anchor="page53">
              <w:r>
                <w:rPr>
                  <w:rFonts w:ascii="Arial" w:cs="Arial" w:eastAsia="Arial" w:hAnsi="Arial"/>
                  <w:sz w:val="18"/>
                  <w:szCs w:val="18"/>
                  <w:color w:val="0000EE"/>
                  <w:w w:val="90"/>
                </w:rPr>
                <w:t>Item 7.</w:t>
              </w:r>
            </w:hyperlink>
          </w:p>
        </w:tc>
        <w:tc>
          <w:tcPr>
            <w:tcW w:w="180" w:type="dxa"/>
            <w:vAlign w:val="bottom"/>
            <w:gridSpan w:val="5"/>
          </w:tcPr>
          <w:p>
            <w:pPr>
              <w:spacing w:after="0"/>
              <w:rPr>
                <w:sz w:val="24"/>
                <w:szCs w:val="24"/>
                <w:color w:val="auto"/>
              </w:rPr>
            </w:pPr>
          </w:p>
        </w:tc>
        <w:tc>
          <w:tcPr>
            <w:tcW w:w="7180" w:type="dxa"/>
            <w:vAlign w:val="bottom"/>
            <w:gridSpan w:val="24"/>
          </w:tcPr>
          <w:p>
            <w:pPr>
              <w:spacing w:after="0"/>
              <w:rPr>
                <w:rFonts w:ascii="Arial" w:cs="Arial" w:eastAsia="Arial" w:hAnsi="Arial"/>
                <w:sz w:val="18"/>
                <w:szCs w:val="18"/>
                <w:color w:val="0000EE"/>
              </w:rPr>
            </w:pPr>
            <w:hyperlink w:anchor="page53">
              <w:r>
                <w:rPr>
                  <w:rFonts w:ascii="Arial" w:cs="Arial" w:eastAsia="Arial" w:hAnsi="Arial"/>
                  <w:sz w:val="18"/>
                  <w:szCs w:val="18"/>
                  <w:color w:val="0000EE"/>
                </w:rPr>
                <w:t>Management’s Discussion and Analysis of Financial Condition and Results of Operations</w:t>
              </w:r>
            </w:hyperlink>
          </w:p>
        </w:tc>
        <w:tc>
          <w:tcPr>
            <w:tcW w:w="380" w:type="dxa"/>
            <w:vAlign w:val="bottom"/>
          </w:tcPr>
          <w:p>
            <w:pPr>
              <w:jc w:val="right"/>
              <w:spacing w:after="0"/>
              <w:rPr>
                <w:sz w:val="20"/>
                <w:szCs w:val="20"/>
                <w:color w:val="auto"/>
              </w:rPr>
            </w:pPr>
            <w:r>
              <w:rPr>
                <w:rFonts w:ascii="Arial" w:cs="Arial" w:eastAsia="Arial" w:hAnsi="Arial"/>
                <w:sz w:val="18"/>
                <w:szCs w:val="18"/>
                <w:color w:val="auto"/>
              </w:rPr>
              <w:t>49</w:t>
            </w:r>
          </w:p>
        </w:tc>
        <w:tc>
          <w:tcPr>
            <w:tcW w:w="0" w:type="dxa"/>
            <w:vAlign w:val="bottom"/>
          </w:tcPr>
          <w:p>
            <w:pPr>
              <w:spacing w:after="0"/>
              <w:rPr>
                <w:sz w:val="1"/>
                <w:szCs w:val="1"/>
                <w:color w:val="auto"/>
              </w:rPr>
            </w:pPr>
          </w:p>
        </w:tc>
      </w:tr>
      <w:tr>
        <w:trPr>
          <w:trHeight w:val="20"/>
        </w:trPr>
        <w:tc>
          <w:tcPr>
            <w:tcW w:w="520" w:type="dxa"/>
            <w:vAlign w:val="bottom"/>
            <w:gridSpan w:val="2"/>
            <w:shd w:val="clear" w:color="auto" w:fill="0000EE"/>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560" w:type="dxa"/>
            <w:vAlign w:val="bottom"/>
            <w:gridSpan w:val="5"/>
            <w:shd w:val="clear" w:color="auto" w:fill="0000EE"/>
          </w:tcPr>
          <w:p>
            <w:pPr>
              <w:spacing w:after="0" w:line="20" w:lineRule="exact"/>
              <w:rPr>
                <w:sz w:val="1"/>
                <w:szCs w:val="1"/>
                <w:color w:val="auto"/>
              </w:rPr>
            </w:pPr>
          </w:p>
        </w:tc>
        <w:tc>
          <w:tcPr>
            <w:tcW w:w="200" w:type="dxa"/>
            <w:vAlign w:val="bottom"/>
            <w:gridSpan w:val="2"/>
            <w:shd w:val="clear" w:color="auto" w:fill="0000EE"/>
          </w:tcPr>
          <w:p>
            <w:pPr>
              <w:spacing w:after="0" w:line="20" w:lineRule="exact"/>
              <w:rPr>
                <w:sz w:val="1"/>
                <w:szCs w:val="1"/>
                <w:color w:val="auto"/>
              </w:rPr>
            </w:pPr>
          </w:p>
        </w:tc>
        <w:tc>
          <w:tcPr>
            <w:tcW w:w="480" w:type="dxa"/>
            <w:vAlign w:val="bottom"/>
            <w:gridSpan w:val="3"/>
            <w:shd w:val="clear" w:color="auto" w:fill="0000EE"/>
          </w:tcPr>
          <w:p>
            <w:pPr>
              <w:spacing w:after="0" w:line="20" w:lineRule="exact"/>
              <w:rPr>
                <w:sz w:val="1"/>
                <w:szCs w:val="1"/>
                <w:color w:val="auto"/>
              </w:rPr>
            </w:pPr>
          </w:p>
        </w:tc>
        <w:tc>
          <w:tcPr>
            <w:tcW w:w="1060" w:type="dxa"/>
            <w:vAlign w:val="bottom"/>
            <w:gridSpan w:val="3"/>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76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1140" w:type="dxa"/>
            <w:vAlign w:val="bottom"/>
            <w:shd w:val="clear" w:color="auto" w:fill="0000EE"/>
          </w:tcPr>
          <w:p>
            <w:pPr>
              <w:spacing w:after="0" w:line="20" w:lineRule="exact"/>
              <w:rPr>
                <w:sz w:val="1"/>
                <w:szCs w:val="1"/>
                <w:color w:val="auto"/>
              </w:rPr>
            </w:pPr>
          </w:p>
        </w:tc>
        <w:tc>
          <w:tcPr>
            <w:tcW w:w="1000" w:type="dxa"/>
            <w:vAlign w:val="bottom"/>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1"/>
        </w:trPr>
        <w:tc>
          <w:tcPr>
            <w:tcW w:w="660" w:type="dxa"/>
            <w:vAlign w:val="bottom"/>
            <w:tcBorders>
              <w:bottom w:val="single" w:sz="8" w:color="0000EE"/>
            </w:tcBorders>
            <w:gridSpan w:val="6"/>
          </w:tcPr>
          <w:p>
            <w:pPr>
              <w:spacing w:after="0"/>
              <w:rPr>
                <w:rFonts w:ascii="Arial" w:cs="Arial" w:eastAsia="Arial" w:hAnsi="Arial"/>
                <w:sz w:val="18"/>
                <w:szCs w:val="18"/>
                <w:color w:val="0000EE"/>
                <w:w w:val="92"/>
              </w:rPr>
            </w:pPr>
            <w:hyperlink w:anchor="page79">
              <w:r>
                <w:rPr>
                  <w:rFonts w:ascii="Arial" w:cs="Arial" w:eastAsia="Arial" w:hAnsi="Arial"/>
                  <w:sz w:val="18"/>
                  <w:szCs w:val="18"/>
                  <w:color w:val="0000EE"/>
                  <w:w w:val="92"/>
                </w:rPr>
                <w:t>Item 7A.</w:t>
              </w:r>
            </w:hyperlink>
          </w:p>
        </w:tc>
        <w:tc>
          <w:tcPr>
            <w:tcW w:w="40" w:type="dxa"/>
            <w:vAlign w:val="bottom"/>
          </w:tcPr>
          <w:p>
            <w:pPr>
              <w:spacing w:after="0"/>
              <w:rPr>
                <w:sz w:val="24"/>
                <w:szCs w:val="24"/>
                <w:color w:val="auto"/>
              </w:rPr>
            </w:pPr>
          </w:p>
        </w:tc>
        <w:tc>
          <w:tcPr>
            <w:tcW w:w="4320" w:type="dxa"/>
            <w:vAlign w:val="bottom"/>
            <w:tcBorders>
              <w:bottom w:val="single" w:sz="8" w:color="0000EE"/>
            </w:tcBorders>
            <w:gridSpan w:val="18"/>
          </w:tcPr>
          <w:p>
            <w:pPr>
              <w:spacing w:after="0"/>
              <w:rPr>
                <w:rFonts w:ascii="Arial" w:cs="Arial" w:eastAsia="Arial" w:hAnsi="Arial"/>
                <w:sz w:val="18"/>
                <w:szCs w:val="18"/>
                <w:color w:val="0000EE"/>
                <w:w w:val="91"/>
              </w:rPr>
            </w:pPr>
            <w:hyperlink w:anchor="page79">
              <w:r>
                <w:rPr>
                  <w:rFonts w:ascii="Arial" w:cs="Arial" w:eastAsia="Arial" w:hAnsi="Arial"/>
                  <w:sz w:val="18"/>
                  <w:szCs w:val="18"/>
                  <w:color w:val="0000EE"/>
                  <w:w w:val="91"/>
                </w:rPr>
                <w:t>Quantitative and Qualitative Disclosures about Market Risk</w:t>
              </w:r>
            </w:hyperlink>
          </w:p>
        </w:tc>
        <w:tc>
          <w:tcPr>
            <w:tcW w:w="2860" w:type="dxa"/>
            <w:vAlign w:val="bottom"/>
            <w:gridSpan w:val="6"/>
          </w:tcPr>
          <w:p>
            <w:pPr>
              <w:spacing w:after="0"/>
              <w:rPr>
                <w:sz w:val="24"/>
                <w:szCs w:val="24"/>
                <w:color w:val="auto"/>
              </w:rPr>
            </w:pPr>
          </w:p>
        </w:tc>
        <w:tc>
          <w:tcPr>
            <w:tcW w:w="380" w:type="dxa"/>
            <w:vAlign w:val="bottom"/>
          </w:tcPr>
          <w:p>
            <w:pPr>
              <w:jc w:val="right"/>
              <w:spacing w:after="0"/>
              <w:rPr>
                <w:sz w:val="20"/>
                <w:szCs w:val="20"/>
                <w:color w:val="auto"/>
              </w:rPr>
            </w:pPr>
            <w:r>
              <w:rPr>
                <w:rFonts w:ascii="Arial" w:cs="Arial" w:eastAsia="Arial" w:hAnsi="Arial"/>
                <w:sz w:val="18"/>
                <w:szCs w:val="18"/>
                <w:color w:val="auto"/>
              </w:rPr>
              <w:t>75</w:t>
            </w:r>
          </w:p>
        </w:tc>
        <w:tc>
          <w:tcPr>
            <w:tcW w:w="0" w:type="dxa"/>
            <w:vAlign w:val="bottom"/>
          </w:tcPr>
          <w:p>
            <w:pPr>
              <w:spacing w:after="0"/>
              <w:rPr>
                <w:sz w:val="1"/>
                <w:szCs w:val="1"/>
                <w:color w:val="auto"/>
              </w:rPr>
            </w:pPr>
          </w:p>
        </w:tc>
      </w:tr>
      <w:tr>
        <w:trPr>
          <w:trHeight w:val="291"/>
        </w:trPr>
        <w:tc>
          <w:tcPr>
            <w:tcW w:w="520" w:type="dxa"/>
            <w:vAlign w:val="bottom"/>
            <w:tcBorders>
              <w:bottom w:val="single" w:sz="8" w:color="0000EE"/>
            </w:tcBorders>
            <w:gridSpan w:val="2"/>
          </w:tcPr>
          <w:p>
            <w:pPr>
              <w:spacing w:after="0"/>
              <w:rPr>
                <w:rFonts w:ascii="Arial" w:cs="Arial" w:eastAsia="Arial" w:hAnsi="Arial"/>
                <w:sz w:val="18"/>
                <w:szCs w:val="18"/>
                <w:color w:val="0000EE"/>
                <w:w w:val="90"/>
              </w:rPr>
            </w:pPr>
            <w:hyperlink w:anchor="page80">
              <w:r>
                <w:rPr>
                  <w:rFonts w:ascii="Arial" w:cs="Arial" w:eastAsia="Arial" w:hAnsi="Arial"/>
                  <w:sz w:val="18"/>
                  <w:szCs w:val="18"/>
                  <w:color w:val="0000EE"/>
                  <w:w w:val="90"/>
                </w:rPr>
                <w:t>Item 8.</w:t>
              </w:r>
            </w:hyperlink>
          </w:p>
        </w:tc>
        <w:tc>
          <w:tcPr>
            <w:tcW w:w="180" w:type="dxa"/>
            <w:vAlign w:val="bottom"/>
            <w:gridSpan w:val="5"/>
          </w:tcPr>
          <w:p>
            <w:pPr>
              <w:spacing w:after="0"/>
              <w:rPr>
                <w:sz w:val="24"/>
                <w:szCs w:val="24"/>
                <w:color w:val="auto"/>
              </w:rPr>
            </w:pPr>
          </w:p>
        </w:tc>
        <w:tc>
          <w:tcPr>
            <w:tcW w:w="3340" w:type="dxa"/>
            <w:vAlign w:val="bottom"/>
            <w:tcBorders>
              <w:bottom w:val="single" w:sz="8" w:color="0000EE"/>
            </w:tcBorders>
            <w:gridSpan w:val="16"/>
          </w:tcPr>
          <w:p>
            <w:pPr>
              <w:spacing w:after="0"/>
              <w:rPr>
                <w:rFonts w:ascii="Arial" w:cs="Arial" w:eastAsia="Arial" w:hAnsi="Arial"/>
                <w:sz w:val="18"/>
                <w:szCs w:val="18"/>
                <w:color w:val="0000EE"/>
                <w:w w:val="89"/>
              </w:rPr>
            </w:pPr>
            <w:hyperlink w:anchor="page80">
              <w:r>
                <w:rPr>
                  <w:rFonts w:ascii="Arial" w:cs="Arial" w:eastAsia="Arial" w:hAnsi="Arial"/>
                  <w:sz w:val="18"/>
                  <w:szCs w:val="18"/>
                  <w:color w:val="0000EE"/>
                  <w:w w:val="89"/>
                </w:rPr>
                <w:t>Financial Statements and Supplementary Data</w:t>
              </w:r>
            </w:hyperlink>
          </w:p>
        </w:tc>
        <w:tc>
          <w:tcPr>
            <w:tcW w:w="3840" w:type="dxa"/>
            <w:vAlign w:val="bottom"/>
            <w:gridSpan w:val="8"/>
          </w:tcPr>
          <w:p>
            <w:pPr>
              <w:spacing w:after="0"/>
              <w:rPr>
                <w:sz w:val="24"/>
                <w:szCs w:val="24"/>
                <w:color w:val="auto"/>
              </w:rPr>
            </w:pPr>
          </w:p>
        </w:tc>
        <w:tc>
          <w:tcPr>
            <w:tcW w:w="380" w:type="dxa"/>
            <w:vAlign w:val="bottom"/>
          </w:tcPr>
          <w:p>
            <w:pPr>
              <w:jc w:val="right"/>
              <w:spacing w:after="0"/>
              <w:rPr>
                <w:sz w:val="20"/>
                <w:szCs w:val="20"/>
                <w:color w:val="auto"/>
              </w:rPr>
            </w:pPr>
            <w:r>
              <w:rPr>
                <w:rFonts w:ascii="Arial" w:cs="Arial" w:eastAsia="Arial" w:hAnsi="Arial"/>
                <w:sz w:val="18"/>
                <w:szCs w:val="18"/>
                <w:color w:val="auto"/>
              </w:rPr>
              <w:t>76</w:t>
            </w:r>
          </w:p>
        </w:tc>
        <w:tc>
          <w:tcPr>
            <w:tcW w:w="0" w:type="dxa"/>
            <w:vAlign w:val="bottom"/>
          </w:tcPr>
          <w:p>
            <w:pPr>
              <w:spacing w:after="0"/>
              <w:rPr>
                <w:sz w:val="1"/>
                <w:szCs w:val="1"/>
                <w:color w:val="auto"/>
              </w:rPr>
            </w:pPr>
          </w:p>
        </w:tc>
      </w:tr>
      <w:tr>
        <w:trPr>
          <w:trHeight w:val="291"/>
        </w:trPr>
        <w:tc>
          <w:tcPr>
            <w:tcW w:w="520" w:type="dxa"/>
            <w:vAlign w:val="bottom"/>
            <w:gridSpan w:val="2"/>
          </w:tcPr>
          <w:p>
            <w:pPr>
              <w:spacing w:after="0"/>
              <w:rPr>
                <w:rFonts w:ascii="Arial" w:cs="Arial" w:eastAsia="Arial" w:hAnsi="Arial"/>
                <w:sz w:val="18"/>
                <w:szCs w:val="18"/>
                <w:color w:val="0000EE"/>
                <w:w w:val="90"/>
              </w:rPr>
            </w:pPr>
            <w:hyperlink w:anchor="page80">
              <w:r>
                <w:rPr>
                  <w:rFonts w:ascii="Arial" w:cs="Arial" w:eastAsia="Arial" w:hAnsi="Arial"/>
                  <w:sz w:val="18"/>
                  <w:szCs w:val="18"/>
                  <w:color w:val="0000EE"/>
                  <w:w w:val="90"/>
                </w:rPr>
                <w:t>Item 9.</w:t>
              </w:r>
            </w:hyperlink>
          </w:p>
        </w:tc>
        <w:tc>
          <w:tcPr>
            <w:tcW w:w="180" w:type="dxa"/>
            <w:vAlign w:val="bottom"/>
            <w:gridSpan w:val="5"/>
          </w:tcPr>
          <w:p>
            <w:pPr>
              <w:spacing w:after="0"/>
              <w:rPr>
                <w:sz w:val="24"/>
                <w:szCs w:val="24"/>
                <w:color w:val="auto"/>
              </w:rPr>
            </w:pPr>
          </w:p>
        </w:tc>
        <w:tc>
          <w:tcPr>
            <w:tcW w:w="7180" w:type="dxa"/>
            <w:vAlign w:val="bottom"/>
            <w:gridSpan w:val="24"/>
          </w:tcPr>
          <w:p>
            <w:pPr>
              <w:spacing w:after="0"/>
              <w:rPr>
                <w:rFonts w:ascii="Arial" w:cs="Arial" w:eastAsia="Arial" w:hAnsi="Arial"/>
                <w:sz w:val="18"/>
                <w:szCs w:val="18"/>
                <w:color w:val="0000EE"/>
                <w:w w:val="98"/>
              </w:rPr>
            </w:pPr>
            <w:hyperlink w:anchor="page80">
              <w:r>
                <w:rPr>
                  <w:rFonts w:ascii="Arial" w:cs="Arial" w:eastAsia="Arial" w:hAnsi="Arial"/>
                  <w:sz w:val="18"/>
                  <w:szCs w:val="18"/>
                  <w:color w:val="0000EE"/>
                  <w:w w:val="98"/>
                </w:rPr>
                <w:t>Changes in and Disagreements With Accountants on Accounting and Financial Disclosures</w:t>
              </w:r>
            </w:hyperlink>
          </w:p>
        </w:tc>
        <w:tc>
          <w:tcPr>
            <w:tcW w:w="380" w:type="dxa"/>
            <w:vAlign w:val="bottom"/>
          </w:tcPr>
          <w:p>
            <w:pPr>
              <w:jc w:val="right"/>
              <w:spacing w:after="0"/>
              <w:rPr>
                <w:sz w:val="20"/>
                <w:szCs w:val="20"/>
                <w:color w:val="auto"/>
              </w:rPr>
            </w:pPr>
            <w:r>
              <w:rPr>
                <w:rFonts w:ascii="Arial" w:cs="Arial" w:eastAsia="Arial" w:hAnsi="Arial"/>
                <w:sz w:val="18"/>
                <w:szCs w:val="18"/>
                <w:color w:val="auto"/>
              </w:rPr>
              <w:t>76</w:t>
            </w:r>
          </w:p>
        </w:tc>
        <w:tc>
          <w:tcPr>
            <w:tcW w:w="0" w:type="dxa"/>
            <w:vAlign w:val="bottom"/>
          </w:tcPr>
          <w:p>
            <w:pPr>
              <w:spacing w:after="0"/>
              <w:rPr>
                <w:sz w:val="1"/>
                <w:szCs w:val="1"/>
                <w:color w:val="auto"/>
              </w:rPr>
            </w:pPr>
          </w:p>
        </w:tc>
      </w:tr>
      <w:tr>
        <w:trPr>
          <w:trHeight w:val="20"/>
        </w:trPr>
        <w:tc>
          <w:tcPr>
            <w:tcW w:w="520" w:type="dxa"/>
            <w:vAlign w:val="bottom"/>
            <w:gridSpan w:val="2"/>
            <w:shd w:val="clear" w:color="auto" w:fill="0000EE"/>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560" w:type="dxa"/>
            <w:vAlign w:val="bottom"/>
            <w:gridSpan w:val="5"/>
            <w:shd w:val="clear" w:color="auto" w:fill="0000EE"/>
          </w:tcPr>
          <w:p>
            <w:pPr>
              <w:spacing w:after="0" w:line="20" w:lineRule="exact"/>
              <w:rPr>
                <w:sz w:val="1"/>
                <w:szCs w:val="1"/>
                <w:color w:val="auto"/>
              </w:rPr>
            </w:pPr>
          </w:p>
        </w:tc>
        <w:tc>
          <w:tcPr>
            <w:tcW w:w="200" w:type="dxa"/>
            <w:vAlign w:val="bottom"/>
            <w:gridSpan w:val="2"/>
            <w:shd w:val="clear" w:color="auto" w:fill="0000EE"/>
          </w:tcPr>
          <w:p>
            <w:pPr>
              <w:spacing w:after="0" w:line="20" w:lineRule="exact"/>
              <w:rPr>
                <w:sz w:val="1"/>
                <w:szCs w:val="1"/>
                <w:color w:val="auto"/>
              </w:rPr>
            </w:pPr>
          </w:p>
        </w:tc>
        <w:tc>
          <w:tcPr>
            <w:tcW w:w="480" w:type="dxa"/>
            <w:vAlign w:val="bottom"/>
            <w:gridSpan w:val="3"/>
            <w:shd w:val="clear" w:color="auto" w:fill="0000EE"/>
          </w:tcPr>
          <w:p>
            <w:pPr>
              <w:spacing w:after="0" w:line="20" w:lineRule="exact"/>
              <w:rPr>
                <w:sz w:val="1"/>
                <w:szCs w:val="1"/>
                <w:color w:val="auto"/>
              </w:rPr>
            </w:pPr>
          </w:p>
        </w:tc>
        <w:tc>
          <w:tcPr>
            <w:tcW w:w="1060" w:type="dxa"/>
            <w:vAlign w:val="bottom"/>
            <w:gridSpan w:val="3"/>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940" w:type="dxa"/>
            <w:vAlign w:val="bottom"/>
            <w:gridSpan w:val="2"/>
            <w:shd w:val="clear" w:color="auto" w:fill="0000EE"/>
          </w:tcPr>
          <w:p>
            <w:pPr>
              <w:spacing w:after="0" w:line="20" w:lineRule="exact"/>
              <w:rPr>
                <w:sz w:val="1"/>
                <w:szCs w:val="1"/>
                <w:color w:val="auto"/>
              </w:rPr>
            </w:pPr>
          </w:p>
        </w:tc>
        <w:tc>
          <w:tcPr>
            <w:tcW w:w="1360" w:type="dxa"/>
            <w:vAlign w:val="bottom"/>
            <w:gridSpan w:val="2"/>
            <w:shd w:val="clear" w:color="auto" w:fill="0000EE"/>
          </w:tcPr>
          <w:p>
            <w:pPr>
              <w:spacing w:after="0" w:line="20" w:lineRule="exact"/>
              <w:rPr>
                <w:sz w:val="1"/>
                <w:szCs w:val="1"/>
                <w:color w:val="auto"/>
              </w:rPr>
            </w:pPr>
          </w:p>
        </w:tc>
        <w:tc>
          <w:tcPr>
            <w:tcW w:w="1120" w:type="dxa"/>
            <w:vAlign w:val="bottom"/>
            <w:gridSpan w:val="2"/>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1"/>
        </w:trPr>
        <w:tc>
          <w:tcPr>
            <w:tcW w:w="660" w:type="dxa"/>
            <w:vAlign w:val="bottom"/>
            <w:tcBorders>
              <w:bottom w:val="single" w:sz="8" w:color="0000EE"/>
            </w:tcBorders>
            <w:gridSpan w:val="6"/>
          </w:tcPr>
          <w:p>
            <w:pPr>
              <w:spacing w:after="0"/>
              <w:rPr>
                <w:rFonts w:ascii="Arial" w:cs="Arial" w:eastAsia="Arial" w:hAnsi="Arial"/>
                <w:sz w:val="18"/>
                <w:szCs w:val="18"/>
                <w:color w:val="0000EE"/>
                <w:w w:val="92"/>
              </w:rPr>
            </w:pPr>
            <w:hyperlink w:anchor="page80">
              <w:r>
                <w:rPr>
                  <w:rFonts w:ascii="Arial" w:cs="Arial" w:eastAsia="Arial" w:hAnsi="Arial"/>
                  <w:sz w:val="18"/>
                  <w:szCs w:val="18"/>
                  <w:color w:val="0000EE"/>
                  <w:w w:val="92"/>
                </w:rPr>
                <w:t>Item 9A.</w:t>
              </w:r>
            </w:hyperlink>
          </w:p>
        </w:tc>
        <w:tc>
          <w:tcPr>
            <w:tcW w:w="40" w:type="dxa"/>
            <w:vAlign w:val="bottom"/>
          </w:tcPr>
          <w:p>
            <w:pPr>
              <w:spacing w:after="0"/>
              <w:rPr>
                <w:sz w:val="24"/>
                <w:szCs w:val="24"/>
                <w:color w:val="auto"/>
              </w:rPr>
            </w:pPr>
          </w:p>
        </w:tc>
        <w:tc>
          <w:tcPr>
            <w:tcW w:w="1780" w:type="dxa"/>
            <w:vAlign w:val="bottom"/>
            <w:tcBorders>
              <w:bottom w:val="single" w:sz="8" w:color="0000EE"/>
            </w:tcBorders>
            <w:gridSpan w:val="10"/>
          </w:tcPr>
          <w:p>
            <w:pPr>
              <w:spacing w:after="0"/>
              <w:rPr>
                <w:rFonts w:ascii="Arial" w:cs="Arial" w:eastAsia="Arial" w:hAnsi="Arial"/>
                <w:sz w:val="18"/>
                <w:szCs w:val="18"/>
                <w:color w:val="0000EE"/>
                <w:w w:val="88"/>
              </w:rPr>
            </w:pPr>
            <w:hyperlink w:anchor="page80">
              <w:r>
                <w:rPr>
                  <w:rFonts w:ascii="Arial" w:cs="Arial" w:eastAsia="Arial" w:hAnsi="Arial"/>
                  <w:sz w:val="18"/>
                  <w:szCs w:val="18"/>
                  <w:color w:val="0000EE"/>
                  <w:w w:val="88"/>
                </w:rPr>
                <w:t>Controls and Procedures</w:t>
              </w:r>
            </w:hyperlink>
          </w:p>
        </w:tc>
        <w:tc>
          <w:tcPr>
            <w:tcW w:w="5400" w:type="dxa"/>
            <w:vAlign w:val="bottom"/>
            <w:gridSpan w:val="14"/>
          </w:tcPr>
          <w:p>
            <w:pPr>
              <w:spacing w:after="0"/>
              <w:rPr>
                <w:sz w:val="24"/>
                <w:szCs w:val="24"/>
                <w:color w:val="auto"/>
              </w:rPr>
            </w:pPr>
          </w:p>
        </w:tc>
        <w:tc>
          <w:tcPr>
            <w:tcW w:w="380" w:type="dxa"/>
            <w:vAlign w:val="bottom"/>
          </w:tcPr>
          <w:p>
            <w:pPr>
              <w:jc w:val="right"/>
              <w:spacing w:after="0"/>
              <w:rPr>
                <w:sz w:val="20"/>
                <w:szCs w:val="20"/>
                <w:color w:val="auto"/>
              </w:rPr>
            </w:pPr>
            <w:r>
              <w:rPr>
                <w:rFonts w:ascii="Arial" w:cs="Arial" w:eastAsia="Arial" w:hAnsi="Arial"/>
                <w:sz w:val="18"/>
                <w:szCs w:val="18"/>
                <w:color w:val="auto"/>
              </w:rPr>
              <w:t>76</w:t>
            </w:r>
          </w:p>
        </w:tc>
        <w:tc>
          <w:tcPr>
            <w:tcW w:w="0" w:type="dxa"/>
            <w:vAlign w:val="bottom"/>
          </w:tcPr>
          <w:p>
            <w:pPr>
              <w:spacing w:after="0"/>
              <w:rPr>
                <w:sz w:val="1"/>
                <w:szCs w:val="1"/>
                <w:color w:val="auto"/>
              </w:rPr>
            </w:pPr>
          </w:p>
        </w:tc>
      </w:tr>
      <w:tr>
        <w:trPr>
          <w:trHeight w:val="291"/>
        </w:trPr>
        <w:tc>
          <w:tcPr>
            <w:tcW w:w="660" w:type="dxa"/>
            <w:vAlign w:val="bottom"/>
            <w:tcBorders>
              <w:bottom w:val="single" w:sz="8" w:color="0000EE"/>
            </w:tcBorders>
            <w:gridSpan w:val="6"/>
          </w:tcPr>
          <w:p>
            <w:pPr>
              <w:spacing w:after="0"/>
              <w:rPr>
                <w:rFonts w:ascii="Arial" w:cs="Arial" w:eastAsia="Arial" w:hAnsi="Arial"/>
                <w:sz w:val="18"/>
                <w:szCs w:val="18"/>
                <w:color w:val="0000EE"/>
                <w:w w:val="92"/>
              </w:rPr>
            </w:pPr>
            <w:hyperlink w:anchor="page82">
              <w:r>
                <w:rPr>
                  <w:rFonts w:ascii="Arial" w:cs="Arial" w:eastAsia="Arial" w:hAnsi="Arial"/>
                  <w:sz w:val="18"/>
                  <w:szCs w:val="18"/>
                  <w:color w:val="0000EE"/>
                  <w:w w:val="92"/>
                </w:rPr>
                <w:t>Item 9B.</w:t>
              </w:r>
            </w:hyperlink>
          </w:p>
        </w:tc>
        <w:tc>
          <w:tcPr>
            <w:tcW w:w="40" w:type="dxa"/>
            <w:vAlign w:val="bottom"/>
          </w:tcPr>
          <w:p>
            <w:pPr>
              <w:spacing w:after="0"/>
              <w:rPr>
                <w:sz w:val="24"/>
                <w:szCs w:val="24"/>
                <w:color w:val="auto"/>
              </w:rPr>
            </w:pPr>
          </w:p>
        </w:tc>
        <w:tc>
          <w:tcPr>
            <w:tcW w:w="1320" w:type="dxa"/>
            <w:vAlign w:val="bottom"/>
            <w:tcBorders>
              <w:bottom w:val="single" w:sz="8" w:color="0000EE"/>
            </w:tcBorders>
            <w:gridSpan w:val="8"/>
          </w:tcPr>
          <w:p>
            <w:pPr>
              <w:spacing w:after="0"/>
              <w:rPr>
                <w:rFonts w:ascii="Arial" w:cs="Arial" w:eastAsia="Arial" w:hAnsi="Arial"/>
                <w:sz w:val="18"/>
                <w:szCs w:val="18"/>
                <w:color w:val="0000EE"/>
                <w:w w:val="92"/>
              </w:rPr>
            </w:pPr>
            <w:hyperlink w:anchor="page82">
              <w:r>
                <w:rPr>
                  <w:rFonts w:ascii="Arial" w:cs="Arial" w:eastAsia="Arial" w:hAnsi="Arial"/>
                  <w:sz w:val="18"/>
                  <w:szCs w:val="18"/>
                  <w:color w:val="0000EE"/>
                  <w:w w:val="92"/>
                </w:rPr>
                <w:t>Other Information</w:t>
              </w:r>
            </w:hyperlink>
          </w:p>
        </w:tc>
        <w:tc>
          <w:tcPr>
            <w:tcW w:w="5860" w:type="dxa"/>
            <w:vAlign w:val="bottom"/>
            <w:gridSpan w:val="16"/>
          </w:tcPr>
          <w:p>
            <w:pPr>
              <w:spacing w:after="0"/>
              <w:rPr>
                <w:sz w:val="24"/>
                <w:szCs w:val="24"/>
                <w:color w:val="auto"/>
              </w:rPr>
            </w:pPr>
          </w:p>
        </w:tc>
        <w:tc>
          <w:tcPr>
            <w:tcW w:w="380" w:type="dxa"/>
            <w:vAlign w:val="bottom"/>
          </w:tcPr>
          <w:p>
            <w:pPr>
              <w:jc w:val="right"/>
              <w:spacing w:after="0"/>
              <w:rPr>
                <w:sz w:val="20"/>
                <w:szCs w:val="20"/>
                <w:color w:val="auto"/>
              </w:rPr>
            </w:pPr>
            <w:r>
              <w:rPr>
                <w:rFonts w:ascii="Arial" w:cs="Arial" w:eastAsia="Arial" w:hAnsi="Arial"/>
                <w:sz w:val="18"/>
                <w:szCs w:val="18"/>
                <w:color w:val="auto"/>
              </w:rPr>
              <w:t>78</w:t>
            </w:r>
          </w:p>
        </w:tc>
        <w:tc>
          <w:tcPr>
            <w:tcW w:w="0" w:type="dxa"/>
            <w:vAlign w:val="bottom"/>
          </w:tcPr>
          <w:p>
            <w:pPr>
              <w:spacing w:after="0"/>
              <w:rPr>
                <w:sz w:val="1"/>
                <w:szCs w:val="1"/>
                <w:color w:val="auto"/>
              </w:rPr>
            </w:pPr>
          </w:p>
        </w:tc>
      </w:tr>
      <w:tr>
        <w:trPr>
          <w:trHeight w:val="291"/>
        </w:trPr>
        <w:tc>
          <w:tcPr>
            <w:tcW w:w="580" w:type="dxa"/>
            <w:vAlign w:val="bottom"/>
            <w:tcBorders>
              <w:bottom w:val="single" w:sz="8" w:color="0000EE"/>
            </w:tcBorders>
            <w:gridSpan w:val="4"/>
          </w:tcPr>
          <w:p>
            <w:pPr>
              <w:spacing w:after="0"/>
              <w:rPr>
                <w:rFonts w:ascii="Arial" w:cs="Arial" w:eastAsia="Arial" w:hAnsi="Arial"/>
                <w:sz w:val="18"/>
                <w:szCs w:val="18"/>
                <w:b w:val="1"/>
                <w:bCs w:val="1"/>
                <w:color w:val="0000EE"/>
                <w:w w:val="98"/>
              </w:rPr>
            </w:pPr>
            <w:hyperlink w:anchor="page83">
              <w:r>
                <w:rPr>
                  <w:rFonts w:ascii="Arial" w:cs="Arial" w:eastAsia="Arial" w:hAnsi="Arial"/>
                  <w:sz w:val="18"/>
                  <w:szCs w:val="18"/>
                  <w:b w:val="1"/>
                  <w:bCs w:val="1"/>
                  <w:color w:val="0000EE"/>
                  <w:w w:val="98"/>
                </w:rPr>
                <w:t>Part III</w:t>
              </w:r>
            </w:hyperlink>
          </w:p>
        </w:tc>
        <w:tc>
          <w:tcPr>
            <w:tcW w:w="120" w:type="dxa"/>
            <w:vAlign w:val="bottom"/>
            <w:gridSpan w:val="3"/>
          </w:tcPr>
          <w:p>
            <w:pPr>
              <w:spacing w:after="0"/>
              <w:rPr>
                <w:sz w:val="24"/>
                <w:szCs w:val="24"/>
                <w:color w:val="auto"/>
              </w:rPr>
            </w:pPr>
          </w:p>
        </w:tc>
        <w:tc>
          <w:tcPr>
            <w:tcW w:w="5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1"/>
        </w:trPr>
        <w:tc>
          <w:tcPr>
            <w:tcW w:w="700" w:type="dxa"/>
            <w:vAlign w:val="bottom"/>
            <w:gridSpan w:val="7"/>
          </w:tcPr>
          <w:p>
            <w:pPr>
              <w:spacing w:after="0"/>
              <w:rPr>
                <w:rFonts w:ascii="Arial" w:cs="Arial" w:eastAsia="Arial" w:hAnsi="Arial"/>
                <w:sz w:val="18"/>
                <w:szCs w:val="18"/>
                <w:color w:val="0000EE"/>
              </w:rPr>
            </w:pPr>
            <w:hyperlink w:anchor="page83">
              <w:r>
                <w:rPr>
                  <w:rFonts w:ascii="Arial" w:cs="Arial" w:eastAsia="Arial" w:hAnsi="Arial"/>
                  <w:sz w:val="18"/>
                  <w:szCs w:val="18"/>
                  <w:color w:val="0000EE"/>
                </w:rPr>
                <w:t>Item 10.</w:t>
              </w:r>
            </w:hyperlink>
          </w:p>
        </w:tc>
        <w:tc>
          <w:tcPr>
            <w:tcW w:w="7180" w:type="dxa"/>
            <w:vAlign w:val="bottom"/>
            <w:gridSpan w:val="24"/>
          </w:tcPr>
          <w:p>
            <w:pPr>
              <w:spacing w:after="0"/>
              <w:rPr>
                <w:rFonts w:ascii="Arial" w:cs="Arial" w:eastAsia="Arial" w:hAnsi="Arial"/>
                <w:sz w:val="18"/>
                <w:szCs w:val="18"/>
                <w:color w:val="0000EE"/>
              </w:rPr>
            </w:pPr>
            <w:hyperlink w:anchor="page83">
              <w:r>
                <w:rPr>
                  <w:rFonts w:ascii="Arial" w:cs="Arial" w:eastAsia="Arial" w:hAnsi="Arial"/>
                  <w:sz w:val="18"/>
                  <w:szCs w:val="18"/>
                  <w:color w:val="0000EE"/>
                </w:rPr>
                <w:t>Directors, Executive Officers and Corporate Governance</w:t>
              </w:r>
            </w:hyperlink>
          </w:p>
        </w:tc>
        <w:tc>
          <w:tcPr>
            <w:tcW w:w="380" w:type="dxa"/>
            <w:vAlign w:val="bottom"/>
          </w:tcPr>
          <w:p>
            <w:pPr>
              <w:jc w:val="right"/>
              <w:spacing w:after="0"/>
              <w:rPr>
                <w:sz w:val="20"/>
                <w:szCs w:val="20"/>
                <w:color w:val="auto"/>
              </w:rPr>
            </w:pPr>
            <w:r>
              <w:rPr>
                <w:rFonts w:ascii="Arial" w:cs="Arial" w:eastAsia="Arial" w:hAnsi="Arial"/>
                <w:sz w:val="18"/>
                <w:szCs w:val="18"/>
                <w:color w:val="auto"/>
              </w:rPr>
              <w:t>79</w:t>
            </w:r>
          </w:p>
        </w:tc>
        <w:tc>
          <w:tcPr>
            <w:tcW w:w="0" w:type="dxa"/>
            <w:vAlign w:val="bottom"/>
          </w:tcPr>
          <w:p>
            <w:pPr>
              <w:spacing w:after="0"/>
              <w:rPr>
                <w:sz w:val="1"/>
                <w:szCs w:val="1"/>
                <w:color w:val="auto"/>
              </w:rPr>
            </w:pPr>
          </w:p>
        </w:tc>
      </w:tr>
      <w:tr>
        <w:trPr>
          <w:trHeight w:val="291"/>
        </w:trPr>
        <w:tc>
          <w:tcPr>
            <w:tcW w:w="580" w:type="dxa"/>
            <w:vAlign w:val="bottom"/>
            <w:tcBorders>
              <w:top w:val="single" w:sz="8" w:color="0000EE"/>
            </w:tcBorders>
            <w:gridSpan w:val="4"/>
          </w:tcPr>
          <w:p>
            <w:pPr>
              <w:spacing w:after="0"/>
              <w:rPr>
                <w:rFonts w:ascii="Arial" w:cs="Arial" w:eastAsia="Arial" w:hAnsi="Arial"/>
                <w:sz w:val="18"/>
                <w:szCs w:val="18"/>
                <w:color w:val="0000EE"/>
                <w:w w:val="82"/>
              </w:rPr>
            </w:pPr>
            <w:hyperlink w:anchor="page83">
              <w:r>
                <w:rPr>
                  <w:rFonts w:ascii="Arial" w:cs="Arial" w:eastAsia="Arial" w:hAnsi="Arial"/>
                  <w:sz w:val="18"/>
                  <w:szCs w:val="18"/>
                  <w:color w:val="0000EE"/>
                  <w:w w:val="82"/>
                </w:rPr>
                <w:t>Item 11.</w:t>
              </w:r>
            </w:hyperlink>
          </w:p>
        </w:tc>
        <w:tc>
          <w:tcPr>
            <w:tcW w:w="120" w:type="dxa"/>
            <w:vAlign w:val="bottom"/>
            <w:gridSpan w:val="3"/>
          </w:tcPr>
          <w:p>
            <w:pPr>
              <w:spacing w:after="0"/>
              <w:rPr>
                <w:sz w:val="24"/>
                <w:szCs w:val="24"/>
                <w:color w:val="auto"/>
              </w:rPr>
            </w:pPr>
          </w:p>
        </w:tc>
        <w:tc>
          <w:tcPr>
            <w:tcW w:w="4100" w:type="dxa"/>
            <w:vAlign w:val="bottom"/>
            <w:tcBorders>
              <w:top w:val="single" w:sz="8" w:color="0000EE"/>
            </w:tcBorders>
            <w:gridSpan w:val="17"/>
          </w:tcPr>
          <w:p>
            <w:pPr>
              <w:spacing w:after="0"/>
              <w:rPr>
                <w:rFonts w:ascii="Arial" w:cs="Arial" w:eastAsia="Arial" w:hAnsi="Arial"/>
                <w:sz w:val="18"/>
                <w:szCs w:val="18"/>
                <w:color w:val="0000EE"/>
              </w:rPr>
            </w:pPr>
            <w:hyperlink w:anchor="page83">
              <w:r>
                <w:rPr>
                  <w:rFonts w:ascii="Arial" w:cs="Arial" w:eastAsia="Arial" w:hAnsi="Arial"/>
                  <w:sz w:val="18"/>
                  <w:szCs w:val="18"/>
                  <w:color w:val="0000EE"/>
                </w:rPr>
                <w:t>Executive Compensation</w:t>
              </w:r>
            </w:hyperlink>
          </w:p>
        </w:tc>
        <w:tc>
          <w:tcPr>
            <w:tcW w:w="3080" w:type="dxa"/>
            <w:vAlign w:val="bottom"/>
            <w:gridSpan w:val="7"/>
          </w:tcPr>
          <w:p>
            <w:pPr>
              <w:spacing w:after="0"/>
              <w:rPr>
                <w:sz w:val="24"/>
                <w:szCs w:val="24"/>
                <w:color w:val="auto"/>
              </w:rPr>
            </w:pPr>
          </w:p>
        </w:tc>
        <w:tc>
          <w:tcPr>
            <w:tcW w:w="380" w:type="dxa"/>
            <w:vAlign w:val="bottom"/>
          </w:tcPr>
          <w:p>
            <w:pPr>
              <w:jc w:val="right"/>
              <w:spacing w:after="0"/>
              <w:rPr>
                <w:sz w:val="20"/>
                <w:szCs w:val="20"/>
                <w:color w:val="auto"/>
              </w:rPr>
            </w:pPr>
            <w:r>
              <w:rPr>
                <w:rFonts w:ascii="Arial" w:cs="Arial" w:eastAsia="Arial" w:hAnsi="Arial"/>
                <w:sz w:val="18"/>
                <w:szCs w:val="18"/>
                <w:color w:val="auto"/>
              </w:rPr>
              <w:t>79</w:t>
            </w:r>
          </w:p>
        </w:tc>
        <w:tc>
          <w:tcPr>
            <w:tcW w:w="0" w:type="dxa"/>
            <w:vAlign w:val="bottom"/>
          </w:tcPr>
          <w:p>
            <w:pPr>
              <w:spacing w:after="0"/>
              <w:rPr>
                <w:sz w:val="1"/>
                <w:szCs w:val="1"/>
                <w:color w:val="auto"/>
              </w:rPr>
            </w:pPr>
          </w:p>
        </w:tc>
      </w:tr>
      <w:tr>
        <w:trPr>
          <w:trHeight w:val="20"/>
        </w:trPr>
        <w:tc>
          <w:tcPr>
            <w:tcW w:w="580" w:type="dxa"/>
            <w:vAlign w:val="bottom"/>
            <w:gridSpan w:val="4"/>
            <w:shd w:val="clear" w:color="auto" w:fill="0000EE"/>
          </w:tcPr>
          <w:p>
            <w:pPr>
              <w:spacing w:after="0" w:line="20" w:lineRule="exact"/>
              <w:rPr>
                <w:sz w:val="1"/>
                <w:szCs w:val="1"/>
                <w:color w:val="auto"/>
              </w:rPr>
            </w:pPr>
          </w:p>
        </w:tc>
        <w:tc>
          <w:tcPr>
            <w:tcW w:w="40" w:type="dxa"/>
            <w:vAlign w:val="bottom"/>
            <w:tcBorders>
              <w:left w:val="single" w:sz="8" w:color="0000EE"/>
            </w:tcBorders>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560" w:type="dxa"/>
            <w:vAlign w:val="bottom"/>
            <w:gridSpan w:val="5"/>
            <w:shd w:val="clear" w:color="auto" w:fill="0000EE"/>
          </w:tcPr>
          <w:p>
            <w:pPr>
              <w:spacing w:after="0" w:line="20" w:lineRule="exact"/>
              <w:rPr>
                <w:sz w:val="1"/>
                <w:szCs w:val="1"/>
                <w:color w:val="auto"/>
              </w:rPr>
            </w:pPr>
          </w:p>
        </w:tc>
        <w:tc>
          <w:tcPr>
            <w:tcW w:w="680" w:type="dxa"/>
            <w:vAlign w:val="bottom"/>
            <w:gridSpan w:val="5"/>
            <w:shd w:val="clear" w:color="auto" w:fill="0000EE"/>
          </w:tcPr>
          <w:p>
            <w:pPr>
              <w:spacing w:after="0" w:line="20" w:lineRule="exact"/>
              <w:rPr>
                <w:sz w:val="1"/>
                <w:szCs w:val="1"/>
                <w:color w:val="auto"/>
              </w:rPr>
            </w:pPr>
          </w:p>
        </w:tc>
        <w:tc>
          <w:tcPr>
            <w:tcW w:w="1060" w:type="dxa"/>
            <w:vAlign w:val="bottom"/>
            <w:gridSpan w:val="3"/>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300" w:type="dxa"/>
            <w:vAlign w:val="bottom"/>
            <w:gridSpan w:val="4"/>
          </w:tcPr>
          <w:p>
            <w:pPr>
              <w:spacing w:after="0" w:line="20" w:lineRule="exact"/>
              <w:rPr>
                <w:sz w:val="1"/>
                <w:szCs w:val="1"/>
                <w:color w:val="auto"/>
              </w:rPr>
            </w:pPr>
          </w:p>
        </w:tc>
        <w:tc>
          <w:tcPr>
            <w:tcW w:w="1160" w:type="dxa"/>
            <w:vAlign w:val="bottom"/>
            <w:gridSpan w:val="3"/>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1"/>
        </w:trPr>
        <w:tc>
          <w:tcPr>
            <w:tcW w:w="700" w:type="dxa"/>
            <w:vAlign w:val="bottom"/>
            <w:gridSpan w:val="7"/>
          </w:tcPr>
          <w:p>
            <w:pPr>
              <w:spacing w:after="0"/>
              <w:rPr>
                <w:rFonts w:ascii="Arial" w:cs="Arial" w:eastAsia="Arial" w:hAnsi="Arial"/>
                <w:sz w:val="18"/>
                <w:szCs w:val="18"/>
                <w:color w:val="0000EE"/>
              </w:rPr>
            </w:pPr>
            <w:hyperlink w:anchor="page83">
              <w:r>
                <w:rPr>
                  <w:rFonts w:ascii="Arial" w:cs="Arial" w:eastAsia="Arial" w:hAnsi="Arial"/>
                  <w:sz w:val="18"/>
                  <w:szCs w:val="18"/>
                  <w:color w:val="0000EE"/>
                </w:rPr>
                <w:t>Item 12.</w:t>
              </w:r>
            </w:hyperlink>
          </w:p>
        </w:tc>
        <w:tc>
          <w:tcPr>
            <w:tcW w:w="7180" w:type="dxa"/>
            <w:vAlign w:val="bottom"/>
            <w:gridSpan w:val="24"/>
          </w:tcPr>
          <w:p>
            <w:pPr>
              <w:spacing w:after="0"/>
              <w:rPr>
                <w:rFonts w:ascii="Arial" w:cs="Arial" w:eastAsia="Arial" w:hAnsi="Arial"/>
                <w:sz w:val="18"/>
                <w:szCs w:val="18"/>
                <w:color w:val="0000EE"/>
                <w:w w:val="98"/>
              </w:rPr>
            </w:pPr>
            <w:hyperlink w:anchor="page83">
              <w:r>
                <w:rPr>
                  <w:rFonts w:ascii="Arial" w:cs="Arial" w:eastAsia="Arial" w:hAnsi="Arial"/>
                  <w:sz w:val="18"/>
                  <w:szCs w:val="18"/>
                  <w:color w:val="0000EE"/>
                  <w:w w:val="98"/>
                </w:rPr>
                <w:t>Security Ownership of Certain Beneficial Owners and Management and Related Stocholder</w:t>
              </w:r>
            </w:hyperlink>
          </w:p>
        </w:tc>
        <w:tc>
          <w:tcPr>
            <w:tcW w:w="380" w:type="dxa"/>
            <w:vAlign w:val="bottom"/>
          </w:tcPr>
          <w:p>
            <w:pPr>
              <w:jc w:val="right"/>
              <w:spacing w:after="0"/>
              <w:rPr>
                <w:sz w:val="20"/>
                <w:szCs w:val="20"/>
                <w:color w:val="auto"/>
              </w:rPr>
            </w:pPr>
            <w:r>
              <w:rPr>
                <w:rFonts w:ascii="Arial" w:cs="Arial" w:eastAsia="Arial" w:hAnsi="Arial"/>
                <w:sz w:val="18"/>
                <w:szCs w:val="18"/>
                <w:color w:val="auto"/>
              </w:rPr>
              <w:t>79</w:t>
            </w:r>
          </w:p>
        </w:tc>
        <w:tc>
          <w:tcPr>
            <w:tcW w:w="0" w:type="dxa"/>
            <w:vAlign w:val="bottom"/>
          </w:tcPr>
          <w:p>
            <w:pPr>
              <w:spacing w:after="0"/>
              <w:rPr>
                <w:sz w:val="1"/>
                <w:szCs w:val="1"/>
                <w:color w:val="auto"/>
              </w:rPr>
            </w:pPr>
          </w:p>
        </w:tc>
      </w:tr>
      <w:tr>
        <w:trPr>
          <w:trHeight w:val="196"/>
        </w:trPr>
        <w:tc>
          <w:tcPr>
            <w:tcW w:w="460" w:type="dxa"/>
            <w:vAlign w:val="bottom"/>
            <w:tcBorders>
              <w:top w:val="single" w:sz="8" w:color="0000EE"/>
            </w:tcBorders>
          </w:tcPr>
          <w:p>
            <w:pPr>
              <w:spacing w:after="0"/>
              <w:rPr>
                <w:sz w:val="17"/>
                <w:szCs w:val="17"/>
                <w:color w:val="auto"/>
              </w:rPr>
            </w:pPr>
          </w:p>
        </w:tc>
        <w:tc>
          <w:tcPr>
            <w:tcW w:w="6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40" w:type="dxa"/>
            <w:vAlign w:val="bottom"/>
            <w:tcBorders>
              <w:top w:val="single" w:sz="8" w:color="0000EE"/>
            </w:tcBorders>
          </w:tcPr>
          <w:p>
            <w:pPr>
              <w:spacing w:after="0"/>
              <w:rPr>
                <w:sz w:val="17"/>
                <w:szCs w:val="17"/>
                <w:color w:val="auto"/>
              </w:rPr>
            </w:pPr>
          </w:p>
        </w:tc>
        <w:tc>
          <w:tcPr>
            <w:tcW w:w="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560" w:type="dxa"/>
            <w:vAlign w:val="bottom"/>
            <w:tcBorders>
              <w:top w:val="single" w:sz="8" w:color="0000EE"/>
              <w:bottom w:val="single" w:sz="8" w:color="0000EE"/>
            </w:tcBorders>
          </w:tcPr>
          <w:p>
            <w:pPr>
              <w:spacing w:after="0" w:line="196" w:lineRule="exact"/>
              <w:rPr>
                <w:rFonts w:ascii="Arial" w:cs="Arial" w:eastAsia="Arial" w:hAnsi="Arial"/>
                <w:sz w:val="18"/>
                <w:szCs w:val="18"/>
                <w:color w:val="0000EE"/>
                <w:w w:val="89"/>
              </w:rPr>
            </w:pPr>
            <w:hyperlink w:anchor="page83">
              <w:r>
                <w:rPr>
                  <w:rFonts w:ascii="Arial" w:cs="Arial" w:eastAsia="Arial" w:hAnsi="Arial"/>
                  <w:sz w:val="18"/>
                  <w:szCs w:val="18"/>
                  <w:color w:val="0000EE"/>
                  <w:w w:val="89"/>
                </w:rPr>
                <w:t>Matters</w:t>
              </w:r>
            </w:hyperlink>
          </w:p>
        </w:tc>
        <w:tc>
          <w:tcPr>
            <w:tcW w:w="6060" w:type="dxa"/>
            <w:vAlign w:val="bottom"/>
            <w:tcBorders>
              <w:top w:val="single" w:sz="8" w:color="0000EE"/>
            </w:tcBorders>
            <w:gridSpan w:val="21"/>
          </w:tcPr>
          <w:p>
            <w:pPr>
              <w:spacing w:after="0"/>
              <w:rPr>
                <w:sz w:val="17"/>
                <w:szCs w:val="17"/>
                <w:color w:val="auto"/>
              </w:rPr>
            </w:pPr>
          </w:p>
        </w:tc>
        <w:tc>
          <w:tcPr>
            <w:tcW w:w="560" w:type="dxa"/>
            <w:vAlign w:val="bottom"/>
            <w:gridSpan w:val="2"/>
          </w:tcPr>
          <w:p>
            <w:pPr>
              <w:spacing w:after="0"/>
              <w:rPr>
                <w:sz w:val="17"/>
                <w:szCs w:val="17"/>
                <w:color w:val="auto"/>
              </w:rPr>
            </w:pPr>
          </w:p>
        </w:tc>
        <w:tc>
          <w:tcPr>
            <w:tcW w:w="3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91"/>
        </w:trPr>
        <w:tc>
          <w:tcPr>
            <w:tcW w:w="620" w:type="dxa"/>
            <w:vAlign w:val="bottom"/>
            <w:tcBorders>
              <w:bottom w:val="single" w:sz="8" w:color="0000EE"/>
            </w:tcBorders>
            <w:gridSpan w:val="5"/>
          </w:tcPr>
          <w:p>
            <w:pPr>
              <w:spacing w:after="0"/>
              <w:rPr>
                <w:rFonts w:ascii="Arial" w:cs="Arial" w:eastAsia="Arial" w:hAnsi="Arial"/>
                <w:sz w:val="18"/>
                <w:szCs w:val="18"/>
                <w:color w:val="0000EE"/>
                <w:w w:val="92"/>
              </w:rPr>
            </w:pPr>
            <w:hyperlink w:anchor="page83">
              <w:r>
                <w:rPr>
                  <w:rFonts w:ascii="Arial" w:cs="Arial" w:eastAsia="Arial" w:hAnsi="Arial"/>
                  <w:sz w:val="18"/>
                  <w:szCs w:val="18"/>
                  <w:color w:val="0000EE"/>
                  <w:w w:val="92"/>
                </w:rPr>
                <w:t>Item 13.</w:t>
              </w:r>
            </w:hyperlink>
          </w:p>
        </w:tc>
        <w:tc>
          <w:tcPr>
            <w:tcW w:w="80" w:type="dxa"/>
            <w:vAlign w:val="bottom"/>
            <w:gridSpan w:val="2"/>
          </w:tcPr>
          <w:p>
            <w:pPr>
              <w:spacing w:after="0"/>
              <w:rPr>
                <w:sz w:val="24"/>
                <w:szCs w:val="24"/>
                <w:color w:val="auto"/>
              </w:rPr>
            </w:pPr>
          </w:p>
        </w:tc>
        <w:tc>
          <w:tcPr>
            <w:tcW w:w="5460" w:type="dxa"/>
            <w:vAlign w:val="bottom"/>
            <w:tcBorders>
              <w:bottom w:val="single" w:sz="8" w:color="0000EE"/>
            </w:tcBorders>
            <w:gridSpan w:val="19"/>
          </w:tcPr>
          <w:p>
            <w:pPr>
              <w:spacing w:after="0"/>
              <w:rPr>
                <w:rFonts w:ascii="Arial" w:cs="Arial" w:eastAsia="Arial" w:hAnsi="Arial"/>
                <w:sz w:val="18"/>
                <w:szCs w:val="18"/>
                <w:color w:val="0000EE"/>
                <w:w w:val="89"/>
              </w:rPr>
            </w:pPr>
            <w:hyperlink w:anchor="page83">
              <w:r>
                <w:rPr>
                  <w:rFonts w:ascii="Arial" w:cs="Arial" w:eastAsia="Arial" w:hAnsi="Arial"/>
                  <w:sz w:val="18"/>
                  <w:szCs w:val="18"/>
                  <w:color w:val="0000EE"/>
                  <w:w w:val="89"/>
                </w:rPr>
                <w:t>Certain Relationships and Related Transactions, and Director Independence</w:t>
              </w:r>
            </w:hyperlink>
          </w:p>
        </w:tc>
        <w:tc>
          <w:tcPr>
            <w:tcW w:w="1720" w:type="dxa"/>
            <w:vAlign w:val="bottom"/>
            <w:gridSpan w:val="5"/>
          </w:tcPr>
          <w:p>
            <w:pPr>
              <w:spacing w:after="0"/>
              <w:rPr>
                <w:sz w:val="24"/>
                <w:szCs w:val="24"/>
                <w:color w:val="auto"/>
              </w:rPr>
            </w:pPr>
          </w:p>
        </w:tc>
        <w:tc>
          <w:tcPr>
            <w:tcW w:w="380" w:type="dxa"/>
            <w:vAlign w:val="bottom"/>
          </w:tcPr>
          <w:p>
            <w:pPr>
              <w:jc w:val="right"/>
              <w:spacing w:after="0"/>
              <w:rPr>
                <w:sz w:val="20"/>
                <w:szCs w:val="20"/>
                <w:color w:val="auto"/>
              </w:rPr>
            </w:pPr>
            <w:r>
              <w:rPr>
                <w:rFonts w:ascii="Arial" w:cs="Arial" w:eastAsia="Arial" w:hAnsi="Arial"/>
                <w:sz w:val="18"/>
                <w:szCs w:val="18"/>
                <w:color w:val="auto"/>
              </w:rPr>
              <w:t>79</w:t>
            </w:r>
          </w:p>
        </w:tc>
        <w:tc>
          <w:tcPr>
            <w:tcW w:w="0" w:type="dxa"/>
            <w:vAlign w:val="bottom"/>
          </w:tcPr>
          <w:p>
            <w:pPr>
              <w:spacing w:after="0"/>
              <w:rPr>
                <w:sz w:val="1"/>
                <w:szCs w:val="1"/>
                <w:color w:val="auto"/>
              </w:rPr>
            </w:pPr>
          </w:p>
        </w:tc>
      </w:tr>
      <w:tr>
        <w:trPr>
          <w:trHeight w:val="291"/>
        </w:trPr>
        <w:tc>
          <w:tcPr>
            <w:tcW w:w="700" w:type="dxa"/>
            <w:vAlign w:val="bottom"/>
            <w:gridSpan w:val="7"/>
          </w:tcPr>
          <w:p>
            <w:pPr>
              <w:spacing w:after="0"/>
              <w:rPr>
                <w:rFonts w:ascii="Arial" w:cs="Arial" w:eastAsia="Arial" w:hAnsi="Arial"/>
                <w:sz w:val="18"/>
                <w:szCs w:val="18"/>
                <w:color w:val="0000EE"/>
              </w:rPr>
            </w:pPr>
            <w:hyperlink w:anchor="page83">
              <w:r>
                <w:rPr>
                  <w:rFonts w:ascii="Arial" w:cs="Arial" w:eastAsia="Arial" w:hAnsi="Arial"/>
                  <w:sz w:val="18"/>
                  <w:szCs w:val="18"/>
                  <w:color w:val="0000EE"/>
                </w:rPr>
                <w:t>Item 14.</w:t>
              </w:r>
            </w:hyperlink>
          </w:p>
        </w:tc>
        <w:tc>
          <w:tcPr>
            <w:tcW w:w="7180" w:type="dxa"/>
            <w:vAlign w:val="bottom"/>
            <w:gridSpan w:val="24"/>
          </w:tcPr>
          <w:p>
            <w:pPr>
              <w:spacing w:after="0"/>
              <w:rPr>
                <w:rFonts w:ascii="Arial" w:cs="Arial" w:eastAsia="Arial" w:hAnsi="Arial"/>
                <w:sz w:val="18"/>
                <w:szCs w:val="18"/>
                <w:color w:val="0000EE"/>
              </w:rPr>
            </w:pPr>
            <w:hyperlink w:anchor="page83">
              <w:r>
                <w:rPr>
                  <w:rFonts w:ascii="Arial" w:cs="Arial" w:eastAsia="Arial" w:hAnsi="Arial"/>
                  <w:sz w:val="18"/>
                  <w:szCs w:val="18"/>
                  <w:color w:val="0000EE"/>
                </w:rPr>
                <w:t>Principal Accountant Fees and Services</w:t>
              </w:r>
            </w:hyperlink>
          </w:p>
        </w:tc>
        <w:tc>
          <w:tcPr>
            <w:tcW w:w="380" w:type="dxa"/>
            <w:vAlign w:val="bottom"/>
          </w:tcPr>
          <w:p>
            <w:pPr>
              <w:jc w:val="right"/>
              <w:spacing w:after="0"/>
              <w:rPr>
                <w:sz w:val="20"/>
                <w:szCs w:val="20"/>
                <w:color w:val="auto"/>
              </w:rPr>
            </w:pPr>
            <w:r>
              <w:rPr>
                <w:rFonts w:ascii="Arial" w:cs="Arial" w:eastAsia="Arial" w:hAnsi="Arial"/>
                <w:sz w:val="18"/>
                <w:szCs w:val="18"/>
                <w:color w:val="auto"/>
              </w:rPr>
              <w:t>79</w:t>
            </w:r>
          </w:p>
        </w:tc>
        <w:tc>
          <w:tcPr>
            <w:tcW w:w="0" w:type="dxa"/>
            <w:vAlign w:val="bottom"/>
          </w:tcPr>
          <w:p>
            <w:pPr>
              <w:spacing w:after="0"/>
              <w:rPr>
                <w:sz w:val="1"/>
                <w:szCs w:val="1"/>
                <w:color w:val="auto"/>
              </w:rPr>
            </w:pPr>
          </w:p>
        </w:tc>
      </w:tr>
      <w:tr>
        <w:trPr>
          <w:trHeight w:val="291"/>
        </w:trPr>
        <w:tc>
          <w:tcPr>
            <w:tcW w:w="580" w:type="dxa"/>
            <w:vAlign w:val="bottom"/>
            <w:tcBorders>
              <w:top w:val="single" w:sz="8" w:color="0000EE"/>
            </w:tcBorders>
            <w:gridSpan w:val="4"/>
          </w:tcPr>
          <w:p>
            <w:pPr>
              <w:spacing w:after="0"/>
              <w:rPr>
                <w:rFonts w:ascii="Arial" w:cs="Arial" w:eastAsia="Arial" w:hAnsi="Arial"/>
                <w:sz w:val="18"/>
                <w:szCs w:val="18"/>
                <w:b w:val="1"/>
                <w:bCs w:val="1"/>
                <w:color w:val="0000EE"/>
                <w:w w:val="94"/>
              </w:rPr>
            </w:pPr>
            <w:hyperlink w:anchor="page83">
              <w:r>
                <w:rPr>
                  <w:rFonts w:ascii="Arial" w:cs="Arial" w:eastAsia="Arial" w:hAnsi="Arial"/>
                  <w:sz w:val="18"/>
                  <w:szCs w:val="18"/>
                  <w:b w:val="1"/>
                  <w:bCs w:val="1"/>
                  <w:color w:val="0000EE"/>
                  <w:w w:val="94"/>
                </w:rPr>
                <w:t>Part IV</w:t>
              </w:r>
            </w:hyperlink>
          </w:p>
        </w:tc>
        <w:tc>
          <w:tcPr>
            <w:tcW w:w="120" w:type="dxa"/>
            <w:vAlign w:val="bottom"/>
            <w:gridSpan w:val="3"/>
          </w:tcPr>
          <w:p>
            <w:pPr>
              <w:spacing w:after="0"/>
              <w:rPr>
                <w:sz w:val="24"/>
                <w:szCs w:val="24"/>
                <w:color w:val="auto"/>
              </w:rPr>
            </w:pPr>
          </w:p>
        </w:tc>
        <w:tc>
          <w:tcPr>
            <w:tcW w:w="56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60" w:type="dxa"/>
            <w:vAlign w:val="bottom"/>
            <w:tcBorders>
              <w:top w:val="single" w:sz="8" w:color="0000EE"/>
            </w:tcBorders>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160" w:type="dxa"/>
            <w:vAlign w:val="bottom"/>
            <w:tcBorders>
              <w:top w:val="single" w:sz="8" w:color="0000EE"/>
            </w:tcBorders>
          </w:tcPr>
          <w:p>
            <w:pPr>
              <w:spacing w:after="0"/>
              <w:rPr>
                <w:sz w:val="24"/>
                <w:szCs w:val="24"/>
                <w:color w:val="auto"/>
              </w:rPr>
            </w:pPr>
          </w:p>
        </w:tc>
        <w:tc>
          <w:tcPr>
            <w:tcW w:w="220" w:type="dxa"/>
            <w:vAlign w:val="bottom"/>
            <w:tcBorders>
              <w:top w:val="single" w:sz="8" w:color="0000EE"/>
            </w:tcBorders>
          </w:tcPr>
          <w:p>
            <w:pPr>
              <w:spacing w:after="0"/>
              <w:rPr>
                <w:sz w:val="24"/>
                <w:szCs w:val="24"/>
                <w:color w:val="auto"/>
              </w:rPr>
            </w:pPr>
          </w:p>
        </w:tc>
        <w:tc>
          <w:tcPr>
            <w:tcW w:w="12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44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260" w:type="dxa"/>
            <w:vAlign w:val="bottom"/>
            <w:tcBorders>
              <w:top w:val="single" w:sz="8" w:color="0000EE"/>
            </w:tcBorders>
          </w:tcPr>
          <w:p>
            <w:pPr>
              <w:spacing w:after="0"/>
              <w:rPr>
                <w:sz w:val="24"/>
                <w:szCs w:val="24"/>
                <w:color w:val="auto"/>
              </w:rPr>
            </w:pPr>
          </w:p>
        </w:tc>
        <w:tc>
          <w:tcPr>
            <w:tcW w:w="640" w:type="dxa"/>
            <w:vAlign w:val="bottom"/>
            <w:tcBorders>
              <w:top w:val="single" w:sz="8" w:color="0000EE"/>
            </w:tcBorders>
          </w:tcPr>
          <w:p>
            <w:pPr>
              <w:spacing w:after="0"/>
              <w:rPr>
                <w:sz w:val="24"/>
                <w:szCs w:val="24"/>
                <w:color w:val="auto"/>
              </w:rPr>
            </w:pPr>
          </w:p>
        </w:tc>
        <w:tc>
          <w:tcPr>
            <w:tcW w:w="160" w:type="dxa"/>
            <w:vAlign w:val="bottom"/>
            <w:tcBorders>
              <w:top w:val="single" w:sz="8" w:color="0000EE"/>
            </w:tcBorders>
          </w:tcPr>
          <w:p>
            <w:pPr>
              <w:spacing w:after="0"/>
              <w:rPr>
                <w:sz w:val="24"/>
                <w:szCs w:val="24"/>
                <w:color w:val="auto"/>
              </w:rPr>
            </w:pPr>
          </w:p>
        </w:tc>
        <w:tc>
          <w:tcPr>
            <w:tcW w:w="3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580" w:type="dxa"/>
            <w:vAlign w:val="bottom"/>
            <w:gridSpan w:val="4"/>
            <w:shd w:val="clear" w:color="auto" w:fill="0000EE"/>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c>
          <w:tcPr>
            <w:tcW w:w="1120" w:type="dxa"/>
            <w:vAlign w:val="bottom"/>
            <w:gridSpan w:val="6"/>
          </w:tcPr>
          <w:p>
            <w:pPr>
              <w:spacing w:after="0" w:line="20" w:lineRule="exact"/>
              <w:rPr>
                <w:sz w:val="1"/>
                <w:szCs w:val="1"/>
                <w:color w:val="auto"/>
              </w:rPr>
            </w:pPr>
          </w:p>
        </w:tc>
        <w:tc>
          <w:tcPr>
            <w:tcW w:w="2040" w:type="dxa"/>
            <w:vAlign w:val="bottom"/>
            <w:gridSpan w:val="9"/>
          </w:tcPr>
          <w:p>
            <w:pPr>
              <w:spacing w:after="0" w:line="20" w:lineRule="exact"/>
              <w:rPr>
                <w:sz w:val="1"/>
                <w:szCs w:val="1"/>
                <w:color w:val="auto"/>
              </w:rPr>
            </w:pPr>
          </w:p>
        </w:tc>
        <w:tc>
          <w:tcPr>
            <w:tcW w:w="4020" w:type="dxa"/>
            <w:vAlign w:val="bottom"/>
            <w:gridSpan w:val="9"/>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1"/>
        </w:trPr>
        <w:tc>
          <w:tcPr>
            <w:tcW w:w="620" w:type="dxa"/>
            <w:vAlign w:val="bottom"/>
            <w:gridSpan w:val="5"/>
          </w:tcPr>
          <w:p>
            <w:pPr>
              <w:spacing w:after="0"/>
              <w:rPr>
                <w:rFonts w:ascii="Arial" w:cs="Arial" w:eastAsia="Arial" w:hAnsi="Arial"/>
                <w:sz w:val="18"/>
                <w:szCs w:val="18"/>
                <w:color w:val="0000EE"/>
                <w:w w:val="92"/>
              </w:rPr>
            </w:pPr>
            <w:hyperlink w:anchor="page84">
              <w:r>
                <w:rPr>
                  <w:rFonts w:ascii="Arial" w:cs="Arial" w:eastAsia="Arial" w:hAnsi="Arial"/>
                  <w:sz w:val="18"/>
                  <w:szCs w:val="18"/>
                  <w:color w:val="0000EE"/>
                  <w:w w:val="92"/>
                </w:rPr>
                <w:t>Item 15.</w:t>
              </w:r>
            </w:hyperlink>
          </w:p>
        </w:tc>
        <w:tc>
          <w:tcPr>
            <w:tcW w:w="80" w:type="dxa"/>
            <w:vAlign w:val="bottom"/>
            <w:gridSpan w:val="2"/>
          </w:tcPr>
          <w:p>
            <w:pPr>
              <w:spacing w:after="0"/>
              <w:rPr>
                <w:sz w:val="24"/>
                <w:szCs w:val="24"/>
                <w:color w:val="auto"/>
              </w:rPr>
            </w:pPr>
          </w:p>
        </w:tc>
        <w:tc>
          <w:tcPr>
            <w:tcW w:w="7180" w:type="dxa"/>
            <w:vAlign w:val="bottom"/>
            <w:gridSpan w:val="24"/>
          </w:tcPr>
          <w:p>
            <w:pPr>
              <w:spacing w:after="0"/>
              <w:rPr>
                <w:rFonts w:ascii="Arial" w:cs="Arial" w:eastAsia="Arial" w:hAnsi="Arial"/>
                <w:sz w:val="18"/>
                <w:szCs w:val="18"/>
                <w:color w:val="0000EE"/>
              </w:rPr>
            </w:pPr>
            <w:hyperlink w:anchor="page84">
              <w:r>
                <w:rPr>
                  <w:rFonts w:ascii="Arial" w:cs="Arial" w:eastAsia="Arial" w:hAnsi="Arial"/>
                  <w:sz w:val="18"/>
                  <w:szCs w:val="18"/>
                  <w:color w:val="0000EE"/>
                </w:rPr>
                <w:t>Exhibits and Financial Statement Schedules</w:t>
              </w:r>
            </w:hyperlink>
          </w:p>
        </w:tc>
        <w:tc>
          <w:tcPr>
            <w:tcW w:w="380" w:type="dxa"/>
            <w:vAlign w:val="bottom"/>
          </w:tcPr>
          <w:p>
            <w:pPr>
              <w:jc w:val="right"/>
              <w:spacing w:after="0"/>
              <w:rPr>
                <w:sz w:val="20"/>
                <w:szCs w:val="20"/>
                <w:color w:val="auto"/>
              </w:rPr>
            </w:pPr>
            <w:r>
              <w:rPr>
                <w:rFonts w:ascii="Arial" w:cs="Arial" w:eastAsia="Arial" w:hAnsi="Arial"/>
                <w:sz w:val="18"/>
                <w:szCs w:val="18"/>
                <w:color w:val="auto"/>
              </w:rPr>
              <w:t>80</w:t>
            </w:r>
          </w:p>
        </w:tc>
        <w:tc>
          <w:tcPr>
            <w:tcW w:w="0" w:type="dxa"/>
            <w:vAlign w:val="bottom"/>
          </w:tcPr>
          <w:p>
            <w:pPr>
              <w:spacing w:after="0"/>
              <w:rPr>
                <w:sz w:val="1"/>
                <w:szCs w:val="1"/>
                <w:color w:val="auto"/>
              </w:rPr>
            </w:pPr>
          </w:p>
        </w:tc>
      </w:tr>
      <w:tr>
        <w:trPr>
          <w:trHeight w:val="291"/>
        </w:trPr>
        <w:tc>
          <w:tcPr>
            <w:tcW w:w="620" w:type="dxa"/>
            <w:vAlign w:val="bottom"/>
            <w:tcBorders>
              <w:top w:val="single" w:sz="8" w:color="0000EE"/>
              <w:bottom w:val="single" w:sz="8" w:color="0000EE"/>
            </w:tcBorders>
            <w:gridSpan w:val="5"/>
          </w:tcPr>
          <w:p>
            <w:pPr>
              <w:spacing w:after="0"/>
              <w:rPr>
                <w:rFonts w:ascii="Arial" w:cs="Arial" w:eastAsia="Arial" w:hAnsi="Arial"/>
                <w:sz w:val="18"/>
                <w:szCs w:val="18"/>
                <w:color w:val="0000EE"/>
                <w:w w:val="92"/>
              </w:rPr>
            </w:pPr>
            <w:hyperlink w:anchor="page85">
              <w:r>
                <w:rPr>
                  <w:rFonts w:ascii="Arial" w:cs="Arial" w:eastAsia="Arial" w:hAnsi="Arial"/>
                  <w:sz w:val="18"/>
                  <w:szCs w:val="18"/>
                  <w:color w:val="0000EE"/>
                  <w:w w:val="92"/>
                </w:rPr>
                <w:t>Item 16.</w:t>
              </w:r>
            </w:hyperlink>
          </w:p>
        </w:tc>
        <w:tc>
          <w:tcPr>
            <w:tcW w:w="80" w:type="dxa"/>
            <w:vAlign w:val="bottom"/>
            <w:gridSpan w:val="2"/>
          </w:tcPr>
          <w:p>
            <w:pPr>
              <w:spacing w:after="0"/>
              <w:rPr>
                <w:sz w:val="24"/>
                <w:szCs w:val="24"/>
                <w:color w:val="auto"/>
              </w:rPr>
            </w:pPr>
          </w:p>
        </w:tc>
        <w:tc>
          <w:tcPr>
            <w:tcW w:w="1120" w:type="dxa"/>
            <w:vAlign w:val="bottom"/>
            <w:tcBorders>
              <w:top w:val="single" w:sz="8" w:color="0000EE"/>
              <w:bottom w:val="single" w:sz="8" w:color="0000EE"/>
            </w:tcBorders>
            <w:gridSpan w:val="6"/>
          </w:tcPr>
          <w:p>
            <w:pPr>
              <w:spacing w:after="0" w:line="207" w:lineRule="exact"/>
              <w:rPr>
                <w:rFonts w:ascii="Arial" w:cs="Arial" w:eastAsia="Arial" w:hAnsi="Arial"/>
                <w:sz w:val="18"/>
                <w:szCs w:val="18"/>
                <w:color w:val="0000EE"/>
                <w:w w:val="91"/>
              </w:rPr>
            </w:pPr>
            <w:hyperlink w:anchor="page85">
              <w:r>
                <w:rPr>
                  <w:rFonts w:ascii="Arial" w:cs="Arial" w:eastAsia="Arial" w:hAnsi="Arial"/>
                  <w:sz w:val="18"/>
                  <w:szCs w:val="18"/>
                  <w:color w:val="0000EE"/>
                  <w:w w:val="91"/>
                </w:rPr>
                <w:t>10</w:t>
              </w:r>
              <w:r>
                <w:rPr>
                  <w:rFonts w:ascii="MS PGothic" w:cs="MS PGothic" w:eastAsia="MS PGothic" w:hAnsi="MS PGothic"/>
                  <w:sz w:val="18"/>
                  <w:szCs w:val="18"/>
                  <w:color w:val="0000EE"/>
                  <w:w w:val="91"/>
                </w:rPr>
                <w:t>‑</w:t>
              </w:r>
              <w:r>
                <w:rPr>
                  <w:rFonts w:ascii="Arial" w:cs="Arial" w:eastAsia="Arial" w:hAnsi="Arial"/>
                  <w:sz w:val="18"/>
                  <w:szCs w:val="18"/>
                  <w:color w:val="0000EE"/>
                  <w:w w:val="91"/>
                </w:rPr>
                <w:t>K Summary</w:t>
              </w:r>
            </w:hyperlink>
          </w:p>
        </w:tc>
        <w:tc>
          <w:tcPr>
            <w:tcW w:w="2040" w:type="dxa"/>
            <w:vAlign w:val="bottom"/>
            <w:tcBorders>
              <w:top w:val="single" w:sz="8" w:color="0000EE"/>
            </w:tcBorders>
            <w:gridSpan w:val="9"/>
          </w:tcPr>
          <w:p>
            <w:pPr>
              <w:spacing w:after="0"/>
              <w:rPr>
                <w:sz w:val="24"/>
                <w:szCs w:val="24"/>
                <w:color w:val="auto"/>
              </w:rPr>
            </w:pPr>
          </w:p>
        </w:tc>
        <w:tc>
          <w:tcPr>
            <w:tcW w:w="4020" w:type="dxa"/>
            <w:vAlign w:val="bottom"/>
            <w:gridSpan w:val="9"/>
          </w:tcPr>
          <w:p>
            <w:pPr>
              <w:spacing w:after="0"/>
              <w:rPr>
                <w:sz w:val="24"/>
                <w:szCs w:val="24"/>
                <w:color w:val="auto"/>
              </w:rPr>
            </w:pPr>
          </w:p>
        </w:tc>
        <w:tc>
          <w:tcPr>
            <w:tcW w:w="380" w:type="dxa"/>
            <w:vAlign w:val="bottom"/>
          </w:tcPr>
          <w:p>
            <w:pPr>
              <w:jc w:val="right"/>
              <w:spacing w:after="0"/>
              <w:rPr>
                <w:sz w:val="20"/>
                <w:szCs w:val="20"/>
                <w:color w:val="auto"/>
              </w:rPr>
            </w:pPr>
            <w:r>
              <w:rPr>
                <w:rFonts w:ascii="Arial" w:cs="Arial" w:eastAsia="Arial" w:hAnsi="Arial"/>
                <w:sz w:val="18"/>
                <w:szCs w:val="18"/>
                <w:color w:val="auto"/>
              </w:rPr>
              <w:t>81</w:t>
            </w:r>
          </w:p>
        </w:tc>
        <w:tc>
          <w:tcPr>
            <w:tcW w:w="0" w:type="dxa"/>
            <w:vAlign w:val="bottom"/>
          </w:tcPr>
          <w:p>
            <w:pPr>
              <w:spacing w:after="0"/>
              <w:rPr>
                <w:sz w:val="1"/>
                <w:szCs w:val="1"/>
                <w:color w:val="auto"/>
              </w:rPr>
            </w:pPr>
          </w:p>
        </w:tc>
      </w:tr>
    </w:tbl>
    <w:p>
      <w:pPr>
        <w:spacing w:after="0" w:line="323" w:lineRule="exact"/>
        <w:rPr>
          <w:sz w:val="20"/>
          <w:szCs w:val="20"/>
          <w:color w:val="auto"/>
        </w:rPr>
      </w:pPr>
    </w:p>
    <w:p>
      <w:pPr>
        <w:ind w:left="380" w:right="959"/>
        <w:spacing w:after="0" w:line="223" w:lineRule="exact"/>
        <w:rPr>
          <w:sz w:val="20"/>
          <w:szCs w:val="20"/>
          <w:color w:val="auto"/>
        </w:rPr>
      </w:pPr>
      <w:r>
        <w:rPr>
          <w:rFonts w:ascii="Arial" w:cs="Arial" w:eastAsia="Arial" w:hAnsi="Arial"/>
          <w:sz w:val="18"/>
          <w:szCs w:val="18"/>
          <w:color w:val="auto"/>
        </w:rPr>
        <w:t>In this Annual Report on Form 10</w:t>
      </w:r>
      <w:r>
        <w:rPr>
          <w:rFonts w:ascii="MS PGothic" w:cs="MS PGothic" w:eastAsia="MS PGothic" w:hAnsi="MS PGothic"/>
          <w:sz w:val="18"/>
          <w:szCs w:val="18"/>
          <w:color w:val="auto"/>
        </w:rPr>
        <w:t>‑</w:t>
      </w:r>
      <w:r>
        <w:rPr>
          <w:rFonts w:ascii="Arial" w:cs="Arial" w:eastAsia="Arial" w:hAnsi="Arial"/>
          <w:sz w:val="18"/>
          <w:szCs w:val="18"/>
          <w:color w:val="auto"/>
        </w:rPr>
        <w:t>K, the terms “Acushnet,” “we,” “us,” “our” and the “Company” refer to Acushnet Holdings Corp. and its consolidated subsidiaries.</w:t>
      </w: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83185</wp:posOffset>
            </wp:positionV>
            <wp:extent cx="5240020" cy="260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08" w:right="1440" w:bottom="1440" w:gutter="0" w:footer="0" w:header="0"/>
        </w:sectPr>
      </w:pPr>
    </w:p>
    <w:bookmarkStart w:id="2" w:name="page3"/>
    <w:bookmarkEnd w:id="2"/>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SPECIAL NOTE REGARDING FORWARD-LOOKING STATEMENTS</w:t>
      </w:r>
    </w:p>
    <w:p>
      <w:pPr>
        <w:spacing w:after="0" w:line="229" w:lineRule="exact"/>
        <w:rPr>
          <w:sz w:val="20"/>
          <w:szCs w:val="20"/>
          <w:color w:val="auto"/>
        </w:rPr>
      </w:pPr>
    </w:p>
    <w:p>
      <w:pPr>
        <w:ind w:left="380" w:right="399" w:firstLine="648"/>
        <w:spacing w:after="0" w:line="217" w:lineRule="exact"/>
        <w:rPr>
          <w:sz w:val="20"/>
          <w:szCs w:val="20"/>
          <w:color w:val="auto"/>
        </w:rPr>
      </w:pPr>
      <w:r>
        <w:rPr>
          <w:rFonts w:ascii="Arial" w:cs="Arial" w:eastAsia="Arial" w:hAnsi="Arial"/>
          <w:sz w:val="16"/>
          <w:szCs w:val="16"/>
          <w:color w:val="auto"/>
        </w:rPr>
        <w:t>This Annual Report on Form 10</w:t>
      </w:r>
      <w:r>
        <w:rPr>
          <w:rFonts w:ascii="MS PGothic" w:cs="MS PGothic" w:eastAsia="MS PGothic" w:hAnsi="MS PGothic"/>
          <w:sz w:val="16"/>
          <w:szCs w:val="16"/>
          <w:color w:val="auto"/>
        </w:rPr>
        <w:t>‑</w:t>
      </w:r>
      <w:r>
        <w:rPr>
          <w:rFonts w:ascii="Arial" w:cs="Arial" w:eastAsia="Arial" w:hAnsi="Arial"/>
          <w:sz w:val="16"/>
          <w:szCs w:val="16"/>
          <w:color w:val="auto"/>
        </w:rPr>
        <w:t>K contains “forward-looking statements” within the meaning of Section 21E of the Securities Exchange Act of 1934, as amended (the “Exchange Act”), which are subject to the “safe harbor” created by that section. These forward-looking statements are included throughout this report, including in the sections entitled “Risk Factors” and “Management’s Discussion and Analysis of Financial Condition and Results of Operations,” and relate to matters such as our industry, business strategy, goals and expectations concerning our market position, future operations, margins, profitability, capital expenditures, liquidity and capital resources and other financial and operating information. We have used the words “anticipate,” “assume,” “believe,” “continue,” “could,” “estimate,” “expect,” “intend,” “may,” “plan,” “potential,” “predict,” “project,” “future,” “will,” “seek,” “foreseeable” and similar terms and phrases to identify forward-looking statements in this report, although not all forward-looking statements use these identifying words.</w:t>
      </w:r>
    </w:p>
    <w:p>
      <w:pPr>
        <w:spacing w:after="0" w:line="207" w:lineRule="exact"/>
        <w:rPr>
          <w:sz w:val="20"/>
          <w:szCs w:val="20"/>
          <w:color w:val="auto"/>
        </w:rPr>
      </w:pPr>
    </w:p>
    <w:p>
      <w:pPr>
        <w:ind w:left="380" w:right="379" w:firstLine="648"/>
        <w:spacing w:after="0" w:line="255" w:lineRule="auto"/>
        <w:rPr>
          <w:sz w:val="20"/>
          <w:szCs w:val="20"/>
          <w:color w:val="auto"/>
        </w:rPr>
      </w:pPr>
      <w:r>
        <w:rPr>
          <w:rFonts w:ascii="Arial" w:cs="Arial" w:eastAsia="Arial" w:hAnsi="Arial"/>
          <w:sz w:val="18"/>
          <w:szCs w:val="18"/>
          <w:color w:val="auto"/>
        </w:rPr>
        <w:t>The forward-looking statements contained in this report are based on management’s current expectations and are subject to uncertainty and changes in circumstances. We cannot assure you that future developments affecting us will be those that we have anticipated. Actual results may differ materially from these expectations due to changes in global, regional or local economic, business, competitive, market, regulatory and other factors, many of which are beyond our control. We believe that these factors include, but are not limited to those identified in the section entitled “Risk Factors.”</w:t>
      </w:r>
    </w:p>
    <w:p>
      <w:pPr>
        <w:spacing w:after="0" w:line="193" w:lineRule="exact"/>
        <w:rPr>
          <w:sz w:val="20"/>
          <w:szCs w:val="20"/>
          <w:color w:val="auto"/>
        </w:rPr>
      </w:pPr>
    </w:p>
    <w:p>
      <w:pPr>
        <w:ind w:left="380" w:right="739" w:firstLine="648"/>
        <w:spacing w:after="0" w:line="259" w:lineRule="auto"/>
        <w:rPr>
          <w:sz w:val="20"/>
          <w:szCs w:val="20"/>
          <w:color w:val="auto"/>
        </w:rPr>
      </w:pPr>
      <w:r>
        <w:rPr>
          <w:rFonts w:ascii="Arial" w:cs="Arial" w:eastAsia="Arial" w:hAnsi="Arial"/>
          <w:sz w:val="18"/>
          <w:szCs w:val="18"/>
          <w:color w:val="auto"/>
        </w:rPr>
        <w:t>These factors should not be construed as exhaustive and should be read in conjunction with the other cautionary statements that are included in this report. Should one or more of these risks or uncertainties materialize, or should any of our assumptions prove incorrect, our actual results may vary in material respects from those projected in these forward-looking statements.</w:t>
      </w:r>
    </w:p>
    <w:p>
      <w:pPr>
        <w:spacing w:after="0" w:line="187" w:lineRule="exact"/>
        <w:rPr>
          <w:sz w:val="20"/>
          <w:szCs w:val="20"/>
          <w:color w:val="auto"/>
        </w:rPr>
      </w:pPr>
    </w:p>
    <w:p>
      <w:pPr>
        <w:ind w:left="380" w:right="399" w:firstLine="648"/>
        <w:spacing w:after="0" w:line="290" w:lineRule="auto"/>
        <w:rPr>
          <w:sz w:val="20"/>
          <w:szCs w:val="20"/>
          <w:color w:val="auto"/>
        </w:rPr>
      </w:pPr>
      <w:r>
        <w:rPr>
          <w:rFonts w:ascii="Arial" w:cs="Arial" w:eastAsia="Arial" w:hAnsi="Arial"/>
          <w:sz w:val="16"/>
          <w:szCs w:val="16"/>
          <w:color w:val="auto"/>
        </w:rPr>
        <w:t>Any forward-looking statement made by us in this report speaks only as of the date of this report. Factors or events that could cause our actual results to differ may emerge from time to time, and it is not possible for us to predict all of them. We may not actually achieve the plans, intentions or expectations disclosed in our forward-looking statements and you should not place undue reliance on our forward-looking statements. Our forward-looking statements do not reflect the potential impact of any future acquisitions, mergers, dispositions, joint ventures, investments or other strategic transactions we may make. We undertake no obligation to publicly update or review any forward-looking statement, whether as a result of new information, future developments or otherwise, except as may be required by any applicable securities laws.</w:t>
      </w:r>
    </w:p>
    <w:p>
      <w:pPr>
        <w:spacing w:after="0" w:line="162"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INDUSTRY AND MARKET DATA</w:t>
      </w:r>
    </w:p>
    <w:p>
      <w:pPr>
        <w:spacing w:after="0" w:line="229" w:lineRule="exact"/>
        <w:rPr>
          <w:sz w:val="20"/>
          <w:szCs w:val="20"/>
          <w:color w:val="auto"/>
        </w:rPr>
      </w:pPr>
    </w:p>
    <w:p>
      <w:pPr>
        <w:ind w:left="380" w:right="419" w:firstLine="648"/>
        <w:spacing w:after="0" w:line="217" w:lineRule="exact"/>
        <w:rPr>
          <w:sz w:val="20"/>
          <w:szCs w:val="20"/>
          <w:color w:val="auto"/>
        </w:rPr>
      </w:pPr>
      <w:r>
        <w:rPr>
          <w:rFonts w:ascii="Arial" w:cs="Arial" w:eastAsia="Arial" w:hAnsi="Arial"/>
          <w:sz w:val="17"/>
          <w:szCs w:val="17"/>
          <w:color w:val="auto"/>
        </w:rPr>
        <w:t>Within this Annual Report on Form 10</w:t>
      </w:r>
      <w:r>
        <w:rPr>
          <w:rFonts w:ascii="MS PGothic" w:cs="MS PGothic" w:eastAsia="MS PGothic" w:hAnsi="MS PGothic"/>
          <w:sz w:val="17"/>
          <w:szCs w:val="17"/>
          <w:color w:val="auto"/>
        </w:rPr>
        <w:t>‑</w:t>
      </w:r>
      <w:r>
        <w:rPr>
          <w:rFonts w:ascii="Arial" w:cs="Arial" w:eastAsia="Arial" w:hAnsi="Arial"/>
          <w:sz w:val="17"/>
          <w:szCs w:val="17"/>
          <w:color w:val="auto"/>
        </w:rPr>
        <w:t>K, we reference information and statistics regarding the golf industry and the golf equipment, wear and gear markets. We have obtained certain of this information and statistics from various independent third-party sources, including independent industry publications, reports by market research firms and other independent sources for the most recent available date. We believe that these external sources and estimates are reliable, but have not independently verified them. Certain of this information and statistics are based on our good faith, reasonable estimates, which are derived from our review of internal surveys and independent sources. In addition, projections, assumptions and estimates of the future performance of the golf industry and our future performance are necessarily subject to uncertainty and risk due to a variety of factors, including those described in “Risk Factors” and “Forward-Looking Statements.” These and other factors could cause results to differ materially from those expressed in the estimates made by the independent parties and by us.</w:t>
      </w:r>
    </w:p>
    <w:p>
      <w:pPr>
        <w:spacing w:after="0" w:line="206"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WEBSITE DISCLOSURE</w:t>
      </w:r>
    </w:p>
    <w:p>
      <w:pPr>
        <w:spacing w:after="0" w:line="229" w:lineRule="exact"/>
        <w:rPr>
          <w:sz w:val="20"/>
          <w:szCs w:val="20"/>
          <w:color w:val="auto"/>
        </w:rPr>
      </w:pPr>
    </w:p>
    <w:p>
      <w:pPr>
        <w:ind w:left="380" w:right="399" w:firstLine="648"/>
        <w:spacing w:after="0" w:line="272" w:lineRule="auto"/>
        <w:rPr>
          <w:sz w:val="20"/>
          <w:szCs w:val="20"/>
          <w:color w:val="auto"/>
        </w:rPr>
      </w:pPr>
      <w:r>
        <w:rPr>
          <w:rFonts w:ascii="Arial" w:cs="Arial" w:eastAsia="Arial" w:hAnsi="Arial"/>
          <w:sz w:val="17"/>
          <w:szCs w:val="17"/>
          <w:color w:val="auto"/>
        </w:rPr>
        <w:t>We use our website (www.acushnetholdingscorp.com) as a channel of distribution of company information. The information we post through this channel may be material. Accordingly, investors should monitor this channel, in addition to following our press releases, Securities and Exchange Commission (“SEC”) filings and public conference calls and webcasts. In addition, you may automatically receive e-mail alerts and other information about Acushnet Holdings Corp. when you enroll your e-mail address by visiting the “Resources” section of our website at https://www.acushnetholdingscorp.com/investors/resources. The contents of our website are not, however, a part of this report.</w:t>
      </w:r>
    </w:p>
    <w:p>
      <w:pPr>
        <w:spacing w:after="0" w:line="178"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83185</wp:posOffset>
            </wp:positionV>
            <wp:extent cx="5240020" cy="260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3" w:name="page4"/>
    <w:bookmarkEnd w:id="3"/>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TRADEMARKS, TRADE NAMES AND SERVICE MARKS</w:t>
      </w:r>
    </w:p>
    <w:p>
      <w:pPr>
        <w:spacing w:after="0" w:line="229" w:lineRule="exact"/>
        <w:rPr>
          <w:sz w:val="20"/>
          <w:szCs w:val="20"/>
          <w:color w:val="auto"/>
        </w:rPr>
      </w:pPr>
    </w:p>
    <w:p>
      <w:pPr>
        <w:ind w:left="380" w:right="499" w:firstLine="648"/>
        <w:spacing w:after="0" w:line="218" w:lineRule="exact"/>
        <w:rPr>
          <w:sz w:val="20"/>
          <w:szCs w:val="20"/>
          <w:color w:val="auto"/>
        </w:rPr>
      </w:pPr>
      <w:r>
        <w:rPr>
          <w:rFonts w:ascii="Arial" w:cs="Arial" w:eastAsia="Arial" w:hAnsi="Arial"/>
          <w:sz w:val="18"/>
          <w:szCs w:val="18"/>
          <w:color w:val="auto"/>
        </w:rPr>
        <w:t>This Annual Report on Form 10</w:t>
      </w:r>
      <w:r>
        <w:rPr>
          <w:rFonts w:ascii="MS PGothic" w:cs="MS PGothic" w:eastAsia="MS PGothic" w:hAnsi="MS PGothic"/>
          <w:sz w:val="18"/>
          <w:szCs w:val="18"/>
          <w:color w:val="auto"/>
        </w:rPr>
        <w:t>‑</w:t>
      </w:r>
      <w:r>
        <w:rPr>
          <w:rFonts w:ascii="Arial" w:cs="Arial" w:eastAsia="Arial" w:hAnsi="Arial"/>
          <w:sz w:val="18"/>
          <w:szCs w:val="18"/>
          <w:color w:val="auto"/>
        </w:rPr>
        <w:t xml:space="preserve">K includes trademarks, trade names and service marks that we either own or license, such as “Titleist,” “FootJoy,” “Pro V1,” “Pro V1x,” “FJ,” “Pinnacle,” “Scotty Cameron,” and “Vokey Design” which are protected under applicable intellectual property laws. Solely for convenience, trademarks, trade names and service marks referred to in this report may appear without the </w:t>
      </w:r>
      <w:r>
        <w:rPr>
          <w:rFonts w:ascii="Arial" w:cs="Arial" w:eastAsia="Arial" w:hAnsi="Arial"/>
          <w:sz w:val="8"/>
          <w:szCs w:val="8"/>
          <w:color w:val="auto"/>
        </w:rPr>
        <w:t>®</w:t>
      </w:r>
      <w:r>
        <w:rPr>
          <w:rFonts w:ascii="Arial" w:cs="Arial" w:eastAsia="Arial" w:hAnsi="Arial"/>
          <w:sz w:val="18"/>
          <w:szCs w:val="18"/>
          <w:color w:val="auto"/>
        </w:rPr>
        <w:t xml:space="preserve">, </w:t>
      </w:r>
      <w:r>
        <w:rPr>
          <w:rFonts w:ascii="Arial" w:cs="Arial" w:eastAsia="Arial" w:hAnsi="Arial"/>
          <w:sz w:val="8"/>
          <w:szCs w:val="8"/>
          <w:color w:val="auto"/>
        </w:rPr>
        <w:t>TM</w:t>
      </w:r>
      <w:r>
        <w:rPr>
          <w:rFonts w:ascii="Arial" w:cs="Arial" w:eastAsia="Arial" w:hAnsi="Arial"/>
          <w:sz w:val="18"/>
          <w:szCs w:val="18"/>
          <w:color w:val="auto"/>
        </w:rPr>
        <w:t xml:space="preserve"> or </w:t>
      </w:r>
      <w:r>
        <w:rPr>
          <w:rFonts w:ascii="Arial" w:cs="Arial" w:eastAsia="Arial" w:hAnsi="Arial"/>
          <w:sz w:val="8"/>
          <w:szCs w:val="8"/>
          <w:color w:val="auto"/>
        </w:rPr>
        <w:t>SM</w:t>
      </w:r>
      <w:r>
        <w:rPr>
          <w:rFonts w:ascii="Arial" w:cs="Arial" w:eastAsia="Arial" w:hAnsi="Arial"/>
          <w:sz w:val="18"/>
          <w:szCs w:val="18"/>
          <w:color w:val="auto"/>
        </w:rPr>
        <w:t xml:space="preserve"> symbols, but such references are not intended to indicate, in any way, that we will not assert, to the fullest extent under applicable law, our rights or the right of the applicable licensor to these trademarks, trade names and service marks. This report may also contain trademarks, trade names and service marks of other parties, and we do not intend our use or display of other parties’ trademarks, trade names or service marks to imply, and such use or display should not be construed to imply, a relationship with, or endorsement or sponsorship of us by, these other parties.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83185</wp:posOffset>
            </wp:positionV>
            <wp:extent cx="5240020" cy="260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4" w:name="page5"/>
    <w:bookmarkEnd w:id="4"/>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PART I</w:t>
      </w:r>
    </w:p>
    <w:p>
      <w:pPr>
        <w:spacing w:after="0" w:line="225" w:lineRule="exact"/>
        <w:rPr>
          <w:sz w:val="20"/>
          <w:szCs w:val="20"/>
          <w:color w:val="auto"/>
        </w:rPr>
      </w:pPr>
    </w:p>
    <w:p>
      <w:pPr>
        <w:ind w:left="380"/>
        <w:spacing w:after="0"/>
        <w:tabs>
          <w:tab w:leader="none" w:pos="156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7"/>
          <w:szCs w:val="17"/>
          <w:b w:val="1"/>
          <w:bCs w:val="1"/>
          <w:color w:val="auto"/>
        </w:rPr>
        <w:t>BUSINESS</w:t>
      </w:r>
    </w:p>
    <w:p>
      <w:pPr>
        <w:spacing w:after="0" w:line="225" w:lineRule="exact"/>
        <w:rPr>
          <w:sz w:val="20"/>
          <w:szCs w:val="20"/>
          <w:color w:val="auto"/>
        </w:rPr>
      </w:pPr>
    </w:p>
    <w:p>
      <w:pPr>
        <w:ind w:left="380"/>
        <w:spacing w:after="0"/>
        <w:rPr>
          <w:sz w:val="20"/>
          <w:szCs w:val="20"/>
          <w:color w:val="auto"/>
        </w:rPr>
      </w:pPr>
      <w:r>
        <w:rPr>
          <w:rFonts w:ascii="Arial" w:cs="Arial" w:eastAsia="Arial" w:hAnsi="Arial"/>
          <w:sz w:val="18"/>
          <w:szCs w:val="18"/>
          <w:b w:val="1"/>
          <w:bCs w:val="1"/>
          <w:color w:val="auto"/>
        </w:rPr>
        <w:t>Overview</w:t>
      </w:r>
    </w:p>
    <w:p>
      <w:pPr>
        <w:spacing w:after="0" w:line="229" w:lineRule="exact"/>
        <w:rPr>
          <w:sz w:val="20"/>
          <w:szCs w:val="20"/>
          <w:color w:val="auto"/>
        </w:rPr>
      </w:pPr>
    </w:p>
    <w:p>
      <w:pPr>
        <w:ind w:left="380" w:right="419" w:firstLine="648"/>
        <w:spacing w:after="0" w:line="218" w:lineRule="exact"/>
        <w:rPr>
          <w:sz w:val="20"/>
          <w:szCs w:val="20"/>
          <w:color w:val="auto"/>
        </w:rPr>
      </w:pPr>
      <w:r>
        <w:rPr>
          <w:rFonts w:ascii="Arial" w:cs="Arial" w:eastAsia="Arial" w:hAnsi="Arial"/>
          <w:sz w:val="17"/>
          <w:szCs w:val="17"/>
          <w:color w:val="auto"/>
        </w:rPr>
        <w:t>We are the global leader in the design, development, manufacture and distribution of performance</w:t>
      </w:r>
      <w:r>
        <w:rPr>
          <w:rFonts w:ascii="MS PGothic" w:cs="MS PGothic" w:eastAsia="MS PGothic" w:hAnsi="MS PGothic"/>
          <w:sz w:val="17"/>
          <w:szCs w:val="17"/>
          <w:color w:val="auto"/>
        </w:rPr>
        <w:t>‑</w:t>
      </w:r>
      <w:r>
        <w:rPr>
          <w:rFonts w:ascii="Arial" w:cs="Arial" w:eastAsia="Arial" w:hAnsi="Arial"/>
          <w:sz w:val="17"/>
          <w:szCs w:val="17"/>
          <w:color w:val="auto"/>
        </w:rPr>
        <w:t>driven golf products, which are widely recognized for their quality excellence. Our mission—to be the performance and quality leader in every golf product category in which we compete—has remained consistent since we entered the golf ball business in 1932. Today, we are the steward of two of the most revered brands in golf—Titleist, one of golf’s leading performance equipment brands, and FootJoy, one of golf’s leading performance wear brands. Titleist has been the #1 ball in professional golf for 69 years and FootJoy has been the #1 shoe on the PGA Tour for over six decades.</w:t>
      </w:r>
    </w:p>
    <w:p>
      <w:pPr>
        <w:spacing w:after="0" w:line="206" w:lineRule="exact"/>
        <w:rPr>
          <w:sz w:val="20"/>
          <w:szCs w:val="20"/>
          <w:color w:val="auto"/>
        </w:rPr>
      </w:pPr>
    </w:p>
    <w:p>
      <w:pPr>
        <w:ind w:left="380" w:right="379" w:firstLine="648"/>
        <w:spacing w:after="0" w:line="218" w:lineRule="exact"/>
        <w:rPr>
          <w:sz w:val="20"/>
          <w:szCs w:val="20"/>
          <w:color w:val="auto"/>
        </w:rPr>
      </w:pPr>
      <w:r>
        <w:rPr>
          <w:rFonts w:ascii="Arial" w:cs="Arial" w:eastAsia="Arial" w:hAnsi="Arial"/>
          <w:sz w:val="18"/>
          <w:szCs w:val="18"/>
          <w:color w:val="auto"/>
        </w:rPr>
        <w:t>Our target market is dedicated golfers, who are the cornerstone of the worldwide golf industry. These dedicated golfers are avid and skill</w:t>
      </w:r>
      <w:r>
        <w:rPr>
          <w:rFonts w:ascii="MS PGothic" w:cs="MS PGothic" w:eastAsia="MS PGothic" w:hAnsi="MS PGothic"/>
          <w:sz w:val="18"/>
          <w:szCs w:val="18"/>
          <w:color w:val="auto"/>
        </w:rPr>
        <w:t>‑</w:t>
      </w:r>
      <w:r>
        <w:rPr>
          <w:rFonts w:ascii="Arial" w:cs="Arial" w:eastAsia="Arial" w:hAnsi="Arial"/>
          <w:sz w:val="18"/>
          <w:szCs w:val="18"/>
          <w:color w:val="auto"/>
        </w:rPr>
        <w:t>biased, prioritize performance and commit the time, effort and money to improve their game. We believe our focus on innovation and process excellence yields golf products that represent superior performance and consistent product quality, which are the key attributes sought after by dedicated golfers. Many of the game’s professional players, who represent the most dedicated golfers, prefer our products thereby validating our performance and quality promise, while also driving brand awareness. We seek to leverage a pyramid of influence product and promotion strategy, whereby our products are the most played by the best players, creating aspirational appeal for a broad range of golfers who want to emulate the performance of the game’s best players.</w:t>
      </w:r>
    </w:p>
    <w:p>
      <w:pPr>
        <w:spacing w:after="0" w:line="205" w:lineRule="exact"/>
        <w:rPr>
          <w:sz w:val="20"/>
          <w:szCs w:val="20"/>
          <w:color w:val="auto"/>
        </w:rPr>
      </w:pPr>
    </w:p>
    <w:p>
      <w:pPr>
        <w:ind w:left="380" w:right="479" w:firstLine="648"/>
        <w:spacing w:after="0" w:line="219" w:lineRule="exact"/>
        <w:rPr>
          <w:sz w:val="20"/>
          <w:szCs w:val="20"/>
          <w:color w:val="auto"/>
        </w:rPr>
      </w:pPr>
      <w:r>
        <w:rPr>
          <w:rFonts w:ascii="Arial" w:cs="Arial" w:eastAsia="Arial" w:hAnsi="Arial"/>
          <w:sz w:val="18"/>
          <w:szCs w:val="18"/>
          <w:color w:val="auto"/>
        </w:rPr>
        <w:t>Dedicated golfers view premium golf shops, such as on</w:t>
      </w:r>
      <w:r>
        <w:rPr>
          <w:rFonts w:ascii="MS PGothic" w:cs="MS PGothic" w:eastAsia="MS PGothic" w:hAnsi="MS PGothic"/>
          <w:sz w:val="18"/>
          <w:szCs w:val="18"/>
          <w:color w:val="auto"/>
        </w:rPr>
        <w:t>‑</w:t>
      </w:r>
      <w:r>
        <w:rPr>
          <w:rFonts w:ascii="Arial" w:cs="Arial" w:eastAsia="Arial" w:hAnsi="Arial"/>
          <w:sz w:val="18"/>
          <w:szCs w:val="18"/>
          <w:color w:val="auto"/>
        </w:rPr>
        <w:t>course golf shops and golf specialty retailers, as preferred retail channels for golf products of superior performance and product quality. As a result, we have committed to being one of the preferred and trusted partners to premium golf shops worldwide. We believe this commitment provides us a retail environment where our product performance and quality advantage can most effectively be communicated to dedicated golfers. In addition, we also service other qualified retailers that sell golf products to consumers worldwide.</w:t>
      </w:r>
    </w:p>
    <w:p>
      <w:pPr>
        <w:spacing w:after="0" w:line="203" w:lineRule="exact"/>
        <w:rPr>
          <w:sz w:val="20"/>
          <w:szCs w:val="20"/>
          <w:color w:val="auto"/>
        </w:rPr>
      </w:pPr>
    </w:p>
    <w:p>
      <w:pPr>
        <w:ind w:left="380" w:right="379" w:firstLine="648"/>
        <w:spacing w:after="0" w:line="286" w:lineRule="auto"/>
        <w:rPr>
          <w:sz w:val="20"/>
          <w:szCs w:val="20"/>
          <w:color w:val="auto"/>
        </w:rPr>
      </w:pPr>
      <w:r>
        <w:rPr>
          <w:rFonts w:ascii="Arial" w:cs="Arial" w:eastAsia="Arial" w:hAnsi="Arial"/>
          <w:sz w:val="17"/>
          <w:szCs w:val="17"/>
          <w:color w:val="auto"/>
        </w:rPr>
        <w:t>Our vision is to consistently be regarded by industry participants, from dedicated golfers to the golf shops that serve them, as the best golf company in the world. We have established leadership positions across all major golf equipment and golf wear categories under our globally recognized brands.</w:t>
      </w:r>
    </w:p>
    <w:p>
      <w:pPr>
        <w:spacing w:after="0" w:line="166" w:lineRule="exact"/>
        <w:rPr>
          <w:sz w:val="20"/>
          <w:szCs w:val="20"/>
          <w:color w:val="auto"/>
        </w:rPr>
      </w:pPr>
    </w:p>
    <w:p>
      <w:pPr>
        <w:ind w:left="380" w:right="419" w:firstLine="648"/>
        <w:spacing w:after="0" w:line="257" w:lineRule="auto"/>
        <w:rPr>
          <w:sz w:val="20"/>
          <w:szCs w:val="20"/>
          <w:color w:val="auto"/>
        </w:rPr>
      </w:pPr>
      <w:r>
        <w:rPr>
          <w:rFonts w:ascii="Arial" w:cs="Arial" w:eastAsia="Arial" w:hAnsi="Arial"/>
          <w:sz w:val="18"/>
          <w:szCs w:val="18"/>
          <w:color w:val="auto"/>
        </w:rPr>
        <w:t>For the year ended December 31, 2017, we recorded net sales of $1,560.3 million, net income attributable to Acushnet Holdings Corp. of $92.1 million and Adjusted EBITDA of $223.4 million. See “Item 7. – Management’s Discussion and Analysis of Financial Condition and Results of Operations” for a reconciliation of Adjusted EBITDA to net income attributable to Acushnet Holdings Corp., the most directly comparable GAAP financial measure.</w:t>
      </w:r>
    </w:p>
    <w:p>
      <w:pPr>
        <w:spacing w:after="0" w:line="184" w:lineRule="exact"/>
        <w:rPr>
          <w:sz w:val="20"/>
          <w:szCs w:val="20"/>
          <w:color w:val="auto"/>
        </w:rPr>
      </w:pPr>
    </w:p>
    <w:p>
      <w:pPr>
        <w:ind w:left="380"/>
        <w:spacing w:after="0"/>
        <w:rPr>
          <w:sz w:val="20"/>
          <w:szCs w:val="20"/>
          <w:color w:val="auto"/>
        </w:rPr>
      </w:pPr>
      <w:r>
        <w:rPr>
          <w:rFonts w:ascii="Arial" w:cs="Arial" w:eastAsia="Arial" w:hAnsi="Arial"/>
          <w:sz w:val="18"/>
          <w:szCs w:val="18"/>
          <w:b w:val="1"/>
          <w:bCs w:val="1"/>
          <w:color w:val="auto"/>
        </w:rPr>
        <w:t>Corporate History</w:t>
      </w:r>
    </w:p>
    <w:p>
      <w:pPr>
        <w:spacing w:after="0" w:line="229" w:lineRule="exact"/>
        <w:rPr>
          <w:sz w:val="20"/>
          <w:szCs w:val="20"/>
          <w:color w:val="auto"/>
        </w:rPr>
      </w:pPr>
    </w:p>
    <w:p>
      <w:pPr>
        <w:ind w:left="380" w:right="379" w:firstLine="648"/>
        <w:spacing w:after="0" w:line="271" w:lineRule="auto"/>
        <w:rPr>
          <w:sz w:val="20"/>
          <w:szCs w:val="20"/>
          <w:color w:val="auto"/>
        </w:rPr>
      </w:pPr>
      <w:r>
        <w:rPr>
          <w:rFonts w:ascii="Arial" w:cs="Arial" w:eastAsia="Arial" w:hAnsi="Arial"/>
          <w:sz w:val="17"/>
          <w:szCs w:val="17"/>
          <w:color w:val="auto"/>
        </w:rPr>
        <w:t>Acushnet Company was originally founded as “Acushnet Process Company” in Acushnet, Massachusetts by Phil “Skipper” Young in 1910 and our golf business was established in 1932. In 1976, Acushnet Company was acquired by American Brands, Inc. (the predecessor company of Beam Suntory, Inc. (“Beam”)). We acquired FootJoy in 1985. On July 29, 2011, Acushnet Holdings Corp. (at the time known as Alexandria Holdings Corp.), an entity owned by Fila Korea and certain financial investors, acquired Acushnet Company from Beam. We completed an initial public offering of our common stock in November 2016. See “Notes to Consolidated Financial Statements– Note 2– Summary of Significant Accounting Policies,” for disclosures related to our initial public offering and other related transactions.</w:t>
      </w:r>
    </w:p>
    <w:p>
      <w:pPr>
        <w:spacing w:after="0" w:line="17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5" w:name="page6"/>
    <w:bookmarkEnd w:id="5"/>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ind w:left="380"/>
        <w:spacing w:after="0"/>
        <w:rPr>
          <w:sz w:val="20"/>
          <w:szCs w:val="20"/>
          <w:color w:val="auto"/>
        </w:rPr>
      </w:pPr>
      <w:r>
        <w:rPr>
          <w:rFonts w:ascii="Arial" w:cs="Arial" w:eastAsia="Arial" w:hAnsi="Arial"/>
          <w:sz w:val="18"/>
          <w:szCs w:val="18"/>
          <w:b w:val="1"/>
          <w:bCs w:val="1"/>
          <w:color w:val="auto"/>
        </w:rPr>
        <w:t>Our Core Focus</w:t>
      </w:r>
    </w:p>
    <w:p>
      <w:pPr>
        <w:spacing w:after="0" w:line="229" w:lineRule="exact"/>
        <w:rPr>
          <w:sz w:val="20"/>
          <w:szCs w:val="20"/>
          <w:color w:val="auto"/>
        </w:rPr>
      </w:pPr>
    </w:p>
    <w:p>
      <w:pPr>
        <w:ind w:left="380"/>
        <w:spacing w:after="0"/>
        <w:rPr>
          <w:sz w:val="20"/>
          <w:szCs w:val="20"/>
          <w:color w:val="auto"/>
        </w:rPr>
      </w:pPr>
      <w:r>
        <w:rPr>
          <w:rFonts w:ascii="Arial" w:cs="Arial" w:eastAsia="Arial" w:hAnsi="Arial"/>
          <w:sz w:val="18"/>
          <w:szCs w:val="18"/>
          <w:b w:val="1"/>
          <w:bCs w:val="1"/>
          <w:i w:val="1"/>
          <w:iCs w:val="1"/>
          <w:color w:val="auto"/>
        </w:rPr>
        <w:t>Dedicated Golfers</w:t>
      </w:r>
    </w:p>
    <w:p>
      <w:pPr>
        <w:spacing w:after="0" w:line="225" w:lineRule="exact"/>
        <w:rPr>
          <w:sz w:val="20"/>
          <w:szCs w:val="20"/>
          <w:color w:val="auto"/>
        </w:rPr>
      </w:pPr>
    </w:p>
    <w:p>
      <w:pPr>
        <w:ind w:left="380" w:right="459" w:firstLine="648"/>
        <w:spacing w:after="0" w:line="220" w:lineRule="exact"/>
        <w:rPr>
          <w:sz w:val="20"/>
          <w:szCs w:val="20"/>
          <w:color w:val="auto"/>
        </w:rPr>
      </w:pPr>
      <w:r>
        <w:rPr>
          <w:rFonts w:ascii="Arial" w:cs="Arial" w:eastAsia="Arial" w:hAnsi="Arial"/>
          <w:sz w:val="17"/>
          <w:szCs w:val="17"/>
          <w:color w:val="auto"/>
        </w:rPr>
        <w:t>Our target market is dedicated golfers, who are avid and skill</w:t>
      </w:r>
      <w:r>
        <w:rPr>
          <w:rFonts w:ascii="MS PGothic" w:cs="MS PGothic" w:eastAsia="MS PGothic" w:hAnsi="MS PGothic"/>
          <w:sz w:val="17"/>
          <w:szCs w:val="17"/>
          <w:color w:val="auto"/>
        </w:rPr>
        <w:t>‑</w:t>
      </w:r>
      <w:r>
        <w:rPr>
          <w:rFonts w:ascii="Arial" w:cs="Arial" w:eastAsia="Arial" w:hAnsi="Arial"/>
          <w:sz w:val="17"/>
          <w:szCs w:val="17"/>
          <w:color w:val="auto"/>
        </w:rPr>
        <w:t>biased, prioritize performance and commit the time, effort and money to improve their game. We believe that dedicated golfers are the most consistent purchasers of golf products and account for an outsize share of golf equipment and gear spending outside the United States and purchase a significant portion of golf wear products worldwide.</w:t>
      </w:r>
    </w:p>
    <w:p>
      <w:pPr>
        <w:spacing w:after="0" w:line="204" w:lineRule="exact"/>
        <w:rPr>
          <w:sz w:val="20"/>
          <w:szCs w:val="20"/>
          <w:color w:val="auto"/>
        </w:rPr>
      </w:pPr>
    </w:p>
    <w:p>
      <w:pPr>
        <w:ind w:left="380"/>
        <w:spacing w:after="0"/>
        <w:rPr>
          <w:sz w:val="20"/>
          <w:szCs w:val="20"/>
          <w:color w:val="auto"/>
        </w:rPr>
      </w:pPr>
      <w:r>
        <w:rPr>
          <w:rFonts w:ascii="Arial" w:cs="Arial" w:eastAsia="Arial" w:hAnsi="Arial"/>
          <w:sz w:val="18"/>
          <w:szCs w:val="18"/>
          <w:b w:val="1"/>
          <w:bCs w:val="1"/>
          <w:i w:val="1"/>
          <w:iCs w:val="1"/>
          <w:color w:val="auto"/>
        </w:rPr>
        <w:t>Product Platform</w:t>
      </w:r>
    </w:p>
    <w:p>
      <w:pPr>
        <w:spacing w:after="0" w:line="225" w:lineRule="exact"/>
        <w:rPr>
          <w:sz w:val="20"/>
          <w:szCs w:val="20"/>
          <w:color w:val="auto"/>
        </w:rPr>
      </w:pPr>
    </w:p>
    <w:p>
      <w:pPr>
        <w:ind w:left="380" w:right="399" w:firstLine="648"/>
        <w:spacing w:after="0" w:line="312" w:lineRule="auto"/>
        <w:rPr>
          <w:sz w:val="20"/>
          <w:szCs w:val="20"/>
          <w:color w:val="auto"/>
        </w:rPr>
      </w:pPr>
      <w:r>
        <w:rPr>
          <w:rFonts w:ascii="Arial" w:cs="Arial" w:eastAsia="Arial" w:hAnsi="Arial"/>
          <w:sz w:val="16"/>
          <w:szCs w:val="16"/>
          <w:color w:val="auto"/>
        </w:rPr>
        <w:t>Leveraging the success of our golf ball and golf shoe businesses, while maintaining the core values of the Titleist and FootJoy brands, we have strategically entered into product categories such as golf clubs, wedges, putters, golf gloves, golf gear and golf wear with an objective of being the performance and quality leader.</w:t>
      </w:r>
    </w:p>
    <w:p>
      <w:pPr>
        <w:spacing w:after="0" w:line="147" w:lineRule="exact"/>
        <w:rPr>
          <w:sz w:val="20"/>
          <w:szCs w:val="20"/>
          <w:color w:val="auto"/>
        </w:rPr>
      </w:pPr>
    </w:p>
    <w:p>
      <w:pPr>
        <w:ind w:left="380" w:right="479" w:firstLine="648"/>
        <w:spacing w:after="0" w:line="218" w:lineRule="exact"/>
        <w:rPr>
          <w:sz w:val="20"/>
          <w:szCs w:val="20"/>
          <w:color w:val="auto"/>
        </w:rPr>
      </w:pPr>
      <w:r>
        <w:rPr>
          <w:rFonts w:ascii="Arial" w:cs="Arial" w:eastAsia="Arial" w:hAnsi="Arial"/>
          <w:sz w:val="17"/>
          <w:szCs w:val="17"/>
          <w:color w:val="auto"/>
        </w:rPr>
        <w:t>Since the dedicated golfer views each performance product category on its own merits, we have approached each category on its own terms by committing the necessary resources to become a performance and quality leader in each product category where we participate. As a result, we have built an industry leading platform across all performance product categories, driving a market</w:t>
      </w:r>
      <w:r>
        <w:rPr>
          <w:rFonts w:ascii="MS PGothic" w:cs="MS PGothic" w:eastAsia="MS PGothic" w:hAnsi="MS PGothic"/>
          <w:sz w:val="17"/>
          <w:szCs w:val="17"/>
          <w:color w:val="auto"/>
        </w:rPr>
        <w:t>‑</w:t>
      </w:r>
      <w:r>
        <w:rPr>
          <w:rFonts w:ascii="Arial" w:cs="Arial" w:eastAsia="Arial" w:hAnsi="Arial"/>
          <w:sz w:val="17"/>
          <w:szCs w:val="17"/>
          <w:color w:val="auto"/>
        </w:rPr>
        <w:t>differentiating mix of consumable products, which we consider to be golf balls and golf gloves, which collectively represented 40% of our net sales in 2017, and more durable products, which we consider to be golf clubs, golf shoes, golf apparel and golf gear, which collectively represented 60% of our net sales in 2017.</w:t>
      </w:r>
    </w:p>
    <w:p>
      <w:pPr>
        <w:spacing w:after="0" w:line="206" w:lineRule="exact"/>
        <w:rPr>
          <w:sz w:val="20"/>
          <w:szCs w:val="20"/>
          <w:color w:val="auto"/>
        </w:rPr>
      </w:pPr>
    </w:p>
    <w:p>
      <w:pPr>
        <w:ind w:left="380" w:right="519" w:firstLine="648"/>
        <w:spacing w:after="0" w:line="293" w:lineRule="auto"/>
        <w:rPr>
          <w:sz w:val="20"/>
          <w:szCs w:val="20"/>
          <w:color w:val="auto"/>
        </w:rPr>
      </w:pPr>
      <w:r>
        <w:rPr>
          <w:rFonts w:ascii="Arial" w:cs="Arial" w:eastAsia="Arial" w:hAnsi="Arial"/>
          <w:sz w:val="16"/>
          <w:szCs w:val="16"/>
          <w:color w:val="auto"/>
        </w:rPr>
        <w:t>We operate under the following four reportable segments: Titleist golf balls; Titleist golf clubs; Titleist golf gear; and FootJoy golf wear, which represented approximately 33%, 26%, 9% and 28%, respectively, of net sales in 2017. For further information surrounding the principal products of each reportable segment, see “Our Products” further below. Financial information for our segments, including sales by geographic area, is included in “Item 7. – Management’s Discussion and Analysis of Financial Condition and Results of Operations” and in “Notes to Consolidated Financial Statements – Note 20 – Segment Information.”</w:t>
      </w:r>
    </w:p>
    <w:p>
      <w:pPr>
        <w:spacing w:after="0" w:line="165" w:lineRule="exact"/>
        <w:rPr>
          <w:sz w:val="20"/>
          <w:szCs w:val="20"/>
          <w:color w:val="auto"/>
        </w:rPr>
      </w:pPr>
    </w:p>
    <w:p>
      <w:pPr>
        <w:ind w:left="380"/>
        <w:spacing w:after="0"/>
        <w:rPr>
          <w:sz w:val="20"/>
          <w:szCs w:val="20"/>
          <w:color w:val="auto"/>
        </w:rPr>
      </w:pPr>
      <w:r>
        <w:rPr>
          <w:rFonts w:ascii="Arial" w:cs="Arial" w:eastAsia="Arial" w:hAnsi="Arial"/>
          <w:sz w:val="18"/>
          <w:szCs w:val="18"/>
          <w:b w:val="1"/>
          <w:bCs w:val="1"/>
          <w:i w:val="1"/>
          <w:iCs w:val="1"/>
          <w:color w:val="auto"/>
        </w:rPr>
        <w:t>Pyramid of Influence</w:t>
      </w:r>
    </w:p>
    <w:p>
      <w:pPr>
        <w:spacing w:after="0" w:line="225" w:lineRule="exact"/>
        <w:rPr>
          <w:sz w:val="20"/>
          <w:szCs w:val="20"/>
          <w:color w:val="auto"/>
        </w:rPr>
      </w:pPr>
    </w:p>
    <w:p>
      <w:pPr>
        <w:ind w:left="380" w:right="439" w:firstLine="648"/>
        <w:spacing w:after="0" w:line="217" w:lineRule="exact"/>
        <w:rPr>
          <w:sz w:val="20"/>
          <w:szCs w:val="20"/>
          <w:color w:val="auto"/>
        </w:rPr>
      </w:pPr>
      <w:r>
        <w:rPr>
          <w:rFonts w:ascii="Arial" w:cs="Arial" w:eastAsia="Arial" w:hAnsi="Arial"/>
          <w:sz w:val="16"/>
          <w:szCs w:val="16"/>
          <w:color w:val="auto"/>
        </w:rPr>
        <w:t>The game of golf is learned by observation and imitation, and golfers improve their own performance by attempting to emulate highly skilled golfers. Golfers are influenced not only by how other golfers swing but also by what they swing with and what they swing at. This is the essence of golf’s pyramid of influence, which is deeply ingrained in the mindset of the dedicated golfer. At the top of the pyramid is the most dedicated golfer, who attempts to make a living playing the game professionally. Adoption by most of the best golfers, whose professional success depends on their performance, validates the quality, features and benefits of using the best performing products. This, in turn, creates aspirational appeal for golfers who want to emulate the performance of the best players. Our primary marketing strategy is for our products to be the most played by the best players, including both professional and amateur golfers. We believe this strategy has proven to be enduring and effective in the long</w:t>
      </w:r>
      <w:r>
        <w:rPr>
          <w:rFonts w:ascii="MS PGothic" w:cs="MS PGothic" w:eastAsia="MS PGothic" w:hAnsi="MS PGothic"/>
          <w:sz w:val="16"/>
          <w:szCs w:val="16"/>
          <w:color w:val="auto"/>
        </w:rPr>
        <w:t>‑</w:t>
      </w:r>
      <w:r>
        <w:rPr>
          <w:rFonts w:ascii="Arial" w:cs="Arial" w:eastAsia="Arial" w:hAnsi="Arial"/>
          <w:sz w:val="16"/>
          <w:szCs w:val="16"/>
          <w:color w:val="auto"/>
        </w:rPr>
        <w:t>term and is not dependent on the transient success of a few elite players at any given point in time.</w:t>
      </w:r>
    </w:p>
    <w:p>
      <w:pPr>
        <w:spacing w:after="0" w:line="207" w:lineRule="exact"/>
        <w:rPr>
          <w:sz w:val="20"/>
          <w:szCs w:val="20"/>
          <w:color w:val="auto"/>
        </w:rPr>
      </w:pPr>
    </w:p>
    <w:p>
      <w:pPr>
        <w:ind w:left="380"/>
        <w:spacing w:after="0"/>
        <w:rPr>
          <w:sz w:val="20"/>
          <w:szCs w:val="20"/>
          <w:color w:val="auto"/>
        </w:rPr>
      </w:pPr>
      <w:r>
        <w:rPr>
          <w:rFonts w:ascii="Arial" w:cs="Arial" w:eastAsia="Arial" w:hAnsi="Arial"/>
          <w:sz w:val="18"/>
          <w:szCs w:val="18"/>
          <w:b w:val="1"/>
          <w:bCs w:val="1"/>
          <w:i w:val="1"/>
          <w:iCs w:val="1"/>
          <w:color w:val="auto"/>
        </w:rPr>
        <w:t>Innovation Leadership</w:t>
      </w:r>
    </w:p>
    <w:p>
      <w:pPr>
        <w:spacing w:after="0" w:line="225" w:lineRule="exact"/>
        <w:rPr>
          <w:sz w:val="20"/>
          <w:szCs w:val="20"/>
          <w:color w:val="auto"/>
        </w:rPr>
      </w:pPr>
    </w:p>
    <w:p>
      <w:pPr>
        <w:ind w:left="380" w:right="439" w:firstLine="648"/>
        <w:spacing w:after="0" w:line="279" w:lineRule="auto"/>
        <w:rPr>
          <w:sz w:val="20"/>
          <w:szCs w:val="20"/>
          <w:color w:val="auto"/>
        </w:rPr>
      </w:pPr>
      <w:r>
        <w:rPr>
          <w:rFonts w:ascii="Arial" w:cs="Arial" w:eastAsia="Arial" w:hAnsi="Arial"/>
          <w:sz w:val="17"/>
          <w:szCs w:val="17"/>
          <w:color w:val="auto"/>
        </w:rPr>
        <w:t>We believe innovation is critical to dedicated golfers as they depend on the ability of new and innovative products to drive improved performance. We currently employ an R&amp;D team of approximately 180 scientists, chemists, engineers and technicians. We also introduce new product innovations at a cadence that best aligns with the typical dedicated golfer’s replacement cycle within each product category.</w:t>
      </w:r>
    </w:p>
    <w:p>
      <w:pPr>
        <w:spacing w:after="0" w:line="171" w:lineRule="exact"/>
        <w:rPr>
          <w:sz w:val="20"/>
          <w:szCs w:val="20"/>
          <w:color w:val="auto"/>
        </w:rPr>
      </w:pPr>
    </w:p>
    <w:p>
      <w:pPr>
        <w:ind w:left="380"/>
        <w:spacing w:after="0"/>
        <w:rPr>
          <w:sz w:val="20"/>
          <w:szCs w:val="20"/>
          <w:color w:val="auto"/>
        </w:rPr>
      </w:pPr>
      <w:r>
        <w:rPr>
          <w:rFonts w:ascii="Arial" w:cs="Arial" w:eastAsia="Arial" w:hAnsi="Arial"/>
          <w:sz w:val="18"/>
          <w:szCs w:val="18"/>
          <w:b w:val="1"/>
          <w:bCs w:val="1"/>
          <w:i w:val="1"/>
          <w:iCs w:val="1"/>
          <w:color w:val="auto"/>
        </w:rPr>
        <w:t>Operational Excellence</w:t>
      </w:r>
    </w:p>
    <w:p>
      <w:pPr>
        <w:spacing w:after="0" w:line="225" w:lineRule="exact"/>
        <w:rPr>
          <w:sz w:val="20"/>
          <w:szCs w:val="20"/>
          <w:color w:val="auto"/>
        </w:rPr>
      </w:pPr>
    </w:p>
    <w:p>
      <w:pPr>
        <w:ind w:left="380" w:right="599" w:firstLine="648"/>
        <w:spacing w:after="0" w:line="259" w:lineRule="auto"/>
        <w:rPr>
          <w:sz w:val="20"/>
          <w:szCs w:val="20"/>
          <w:color w:val="auto"/>
        </w:rPr>
      </w:pPr>
      <w:r>
        <w:rPr>
          <w:rFonts w:ascii="Arial" w:cs="Arial" w:eastAsia="Arial" w:hAnsi="Arial"/>
          <w:sz w:val="18"/>
          <w:szCs w:val="18"/>
          <w:color w:val="auto"/>
        </w:rPr>
        <w:t>The requirements of the game lead the dedicated golfer to seek out products of maximum performance and consistency. We own or control the design, sourcing, manufacturing, packaging and distribution of our products. In doing so, we are able to exercise control over every step of the manufacturing process and supply chain operations,</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6" w:name="page7"/>
    <w:bookmarkEnd w:id="6"/>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380" w:right="379"/>
        <w:spacing w:after="0" w:line="277" w:lineRule="auto"/>
        <w:rPr>
          <w:sz w:val="20"/>
          <w:szCs w:val="20"/>
          <w:color w:val="auto"/>
        </w:rPr>
      </w:pPr>
      <w:r>
        <w:rPr>
          <w:rFonts w:ascii="Arial" w:cs="Arial" w:eastAsia="Arial" w:hAnsi="Arial"/>
          <w:sz w:val="18"/>
          <w:szCs w:val="18"/>
          <w:color w:val="auto"/>
        </w:rPr>
        <w:t>thereby setting the standard for quality and consistency. We have developed and refined distinct and independently managed supply chains for each of our product categories.</w:t>
      </w:r>
    </w:p>
    <w:p>
      <w:pPr>
        <w:spacing w:after="0" w:line="170" w:lineRule="exact"/>
        <w:rPr>
          <w:sz w:val="20"/>
          <w:szCs w:val="20"/>
          <w:color w:val="auto"/>
        </w:rPr>
      </w:pPr>
    </w:p>
    <w:p>
      <w:pPr>
        <w:ind w:left="380"/>
        <w:spacing w:after="0"/>
        <w:rPr>
          <w:sz w:val="20"/>
          <w:szCs w:val="20"/>
          <w:color w:val="auto"/>
        </w:rPr>
      </w:pPr>
      <w:r>
        <w:rPr>
          <w:rFonts w:ascii="Arial" w:cs="Arial" w:eastAsia="Arial" w:hAnsi="Arial"/>
          <w:sz w:val="18"/>
          <w:szCs w:val="18"/>
          <w:b w:val="1"/>
          <w:bCs w:val="1"/>
          <w:i w:val="1"/>
          <w:iCs w:val="1"/>
          <w:color w:val="auto"/>
        </w:rPr>
        <w:t>Route to Market Leadership</w:t>
      </w:r>
    </w:p>
    <w:p>
      <w:pPr>
        <w:spacing w:after="0" w:line="225" w:lineRule="exact"/>
        <w:rPr>
          <w:sz w:val="20"/>
          <w:szCs w:val="20"/>
          <w:color w:val="auto"/>
        </w:rPr>
      </w:pPr>
    </w:p>
    <w:p>
      <w:pPr>
        <w:ind w:left="380" w:right="419" w:firstLine="648"/>
        <w:spacing w:after="0" w:line="218" w:lineRule="exact"/>
        <w:rPr>
          <w:sz w:val="20"/>
          <w:szCs w:val="20"/>
          <w:color w:val="auto"/>
        </w:rPr>
      </w:pPr>
      <w:r>
        <w:rPr>
          <w:rFonts w:ascii="Arial" w:cs="Arial" w:eastAsia="Arial" w:hAnsi="Arial"/>
          <w:sz w:val="17"/>
          <w:szCs w:val="17"/>
          <w:color w:val="auto"/>
        </w:rPr>
        <w:t>As one of the preferred partners to premium golf shops, we seek to ensure that the performance benefits derived from using our products are showcased and our products are properly merchandised. As we see our retail partners as a critical connection to dedicated golfers, we place great emphasis on building strong relationships and trust with them. This is the reason our sales associates are expected not simply to be salespeople, but to function as golf experts and enthusiasts in their respective territories, who advise and assist our retail partners to better serve their customers. We help generate golfer demand and sell</w:t>
      </w:r>
      <w:r>
        <w:rPr>
          <w:rFonts w:ascii="MS PGothic" w:cs="MS PGothic" w:eastAsia="MS PGothic" w:hAnsi="MS PGothic"/>
          <w:sz w:val="17"/>
          <w:szCs w:val="17"/>
          <w:color w:val="auto"/>
        </w:rPr>
        <w:t>‑</w:t>
      </w:r>
      <w:r>
        <w:rPr>
          <w:rFonts w:ascii="Arial" w:cs="Arial" w:eastAsia="Arial" w:hAnsi="Arial"/>
          <w:sz w:val="17"/>
          <w:szCs w:val="17"/>
          <w:color w:val="auto"/>
        </w:rPr>
        <w:t>through via in</w:t>
      </w:r>
      <w:r>
        <w:rPr>
          <w:rFonts w:ascii="MS PGothic" w:cs="MS PGothic" w:eastAsia="MS PGothic" w:hAnsi="MS PGothic"/>
          <w:sz w:val="17"/>
          <w:szCs w:val="17"/>
          <w:color w:val="auto"/>
        </w:rPr>
        <w:t>‑</w:t>
      </w:r>
      <w:r>
        <w:rPr>
          <w:rFonts w:ascii="Arial" w:cs="Arial" w:eastAsia="Arial" w:hAnsi="Arial"/>
          <w:sz w:val="17"/>
          <w:szCs w:val="17"/>
          <w:color w:val="auto"/>
        </w:rPr>
        <w:t>shop merchandising, promotions and advertising, and also provide product education to club professionals, coaches and instructors. Lastly, we place a strong focus on consumer engagement, starting with fitting and trial initiatives across our balls, clubs and shoes categories. We offer custom products across categories that we believe are better aligned with golfers’ personal styles, skill levels and preferences.</w:t>
      </w:r>
    </w:p>
    <w:p>
      <w:pPr>
        <w:spacing w:after="0" w:line="198" w:lineRule="exact"/>
        <w:rPr>
          <w:sz w:val="20"/>
          <w:szCs w:val="20"/>
          <w:color w:val="auto"/>
        </w:rPr>
      </w:pPr>
    </w:p>
    <w:p>
      <w:pPr>
        <w:ind w:left="380"/>
        <w:spacing w:after="0"/>
        <w:rPr>
          <w:sz w:val="20"/>
          <w:szCs w:val="20"/>
          <w:color w:val="auto"/>
        </w:rPr>
      </w:pPr>
      <w:r>
        <w:rPr>
          <w:rFonts w:ascii="Arial" w:cs="Arial" w:eastAsia="Arial" w:hAnsi="Arial"/>
          <w:sz w:val="18"/>
          <w:szCs w:val="18"/>
          <w:b w:val="1"/>
          <w:bCs w:val="1"/>
          <w:color w:val="auto"/>
        </w:rPr>
        <w:t>Market Overview and Opportunity</w:t>
      </w:r>
    </w:p>
    <w:p>
      <w:pPr>
        <w:spacing w:after="0" w:line="229" w:lineRule="exact"/>
        <w:rPr>
          <w:sz w:val="20"/>
          <w:szCs w:val="20"/>
          <w:color w:val="auto"/>
        </w:rPr>
      </w:pPr>
    </w:p>
    <w:p>
      <w:pPr>
        <w:ind w:left="380"/>
        <w:spacing w:after="0"/>
        <w:rPr>
          <w:sz w:val="20"/>
          <w:szCs w:val="20"/>
          <w:color w:val="auto"/>
        </w:rPr>
      </w:pPr>
      <w:r>
        <w:rPr>
          <w:rFonts w:ascii="Arial" w:cs="Arial" w:eastAsia="Arial" w:hAnsi="Arial"/>
          <w:sz w:val="18"/>
          <w:szCs w:val="18"/>
          <w:b w:val="1"/>
          <w:bCs w:val="1"/>
          <w:i w:val="1"/>
          <w:iCs w:val="1"/>
          <w:color w:val="auto"/>
        </w:rPr>
        <w:t>Market Overview</w:t>
      </w:r>
    </w:p>
    <w:p>
      <w:pPr>
        <w:spacing w:after="0" w:line="225" w:lineRule="exact"/>
        <w:rPr>
          <w:sz w:val="20"/>
          <w:szCs w:val="20"/>
          <w:color w:val="auto"/>
        </w:rPr>
      </w:pPr>
    </w:p>
    <w:p>
      <w:pPr>
        <w:ind w:left="380" w:right="459" w:firstLine="648"/>
        <w:spacing w:after="0" w:line="273" w:lineRule="auto"/>
        <w:rPr>
          <w:sz w:val="20"/>
          <w:szCs w:val="20"/>
          <w:color w:val="auto"/>
        </w:rPr>
      </w:pPr>
      <w:r>
        <w:rPr>
          <w:rFonts w:ascii="Arial" w:cs="Arial" w:eastAsia="Arial" w:hAnsi="Arial"/>
          <w:sz w:val="17"/>
          <w:szCs w:val="17"/>
          <w:color w:val="auto"/>
        </w:rPr>
        <w:t>In 2016, there were over 50 million golfers worldwide playing over 800 million rounds annually on over 32,000 golf courses, and our addressable market, comprised of golf equipment, golf wear and golf gear, represented approximately $12 billion in retail sales and approximately $8 billion in wholesale sales. The United States accounted for over 40% of our addressable market, followed by Japan and Korea collectively accounting for over 30% of our addressable market, each in 2016. We believe the number of rounds of golf played by our target market of dedicated golfers has remained stable over the past few years.</w:t>
      </w:r>
    </w:p>
    <w:p>
      <w:pPr>
        <w:spacing w:after="0" w:line="178" w:lineRule="exact"/>
        <w:rPr>
          <w:sz w:val="20"/>
          <w:szCs w:val="20"/>
          <w:color w:val="auto"/>
        </w:rPr>
      </w:pPr>
    </w:p>
    <w:p>
      <w:pPr>
        <w:ind w:left="380" w:right="479" w:firstLine="648"/>
        <w:spacing w:after="0" w:line="221" w:lineRule="exact"/>
        <w:rPr>
          <w:sz w:val="20"/>
          <w:szCs w:val="20"/>
          <w:color w:val="auto"/>
        </w:rPr>
      </w:pPr>
      <w:r>
        <w:rPr>
          <w:rFonts w:ascii="Arial" w:cs="Arial" w:eastAsia="Arial" w:hAnsi="Arial"/>
          <w:sz w:val="16"/>
          <w:szCs w:val="16"/>
          <w:color w:val="auto"/>
        </w:rPr>
        <w:t>We view emerging economies, such as the markets in Southeast Asia, as attractive long</w:t>
      </w:r>
      <w:r>
        <w:rPr>
          <w:rFonts w:ascii="MS PGothic" w:cs="MS PGothic" w:eastAsia="MS PGothic" w:hAnsi="MS PGothic"/>
          <w:sz w:val="16"/>
          <w:szCs w:val="16"/>
          <w:color w:val="auto"/>
        </w:rPr>
        <w:t>‑</w:t>
      </w:r>
      <w:r>
        <w:rPr>
          <w:rFonts w:ascii="Arial" w:cs="Arial" w:eastAsia="Arial" w:hAnsi="Arial"/>
          <w:sz w:val="16"/>
          <w:szCs w:val="16"/>
          <w:color w:val="auto"/>
        </w:rPr>
        <w:t>term opportunities based on our assessment of the five collectively necessary and sufficient conditions for a country to embrace golf: (1) sizeable middle</w:t>
      </w:r>
      <w:r>
        <w:rPr>
          <w:rFonts w:ascii="MS PGothic" w:cs="MS PGothic" w:eastAsia="MS PGothic" w:hAnsi="MS PGothic"/>
          <w:sz w:val="16"/>
          <w:szCs w:val="16"/>
          <w:color w:val="auto"/>
        </w:rPr>
        <w:t>‑</w:t>
      </w:r>
      <w:r>
        <w:rPr>
          <w:rFonts w:ascii="Arial" w:cs="Arial" w:eastAsia="Arial" w:hAnsi="Arial"/>
          <w:sz w:val="16"/>
          <w:szCs w:val="16"/>
          <w:color w:val="auto"/>
        </w:rPr>
        <w:t>class population; (2) educational infrastructure; (3) places to play and practice;</w:t>
      </w:r>
    </w:p>
    <w:p>
      <w:pPr>
        <w:ind w:left="380"/>
        <w:spacing w:after="0"/>
        <w:rPr>
          <w:sz w:val="20"/>
          <w:szCs w:val="20"/>
          <w:color w:val="auto"/>
        </w:rPr>
      </w:pPr>
      <w:r>
        <w:rPr>
          <w:rFonts w:ascii="Arial" w:cs="Arial" w:eastAsia="Arial" w:hAnsi="Arial"/>
          <w:sz w:val="18"/>
          <w:szCs w:val="18"/>
          <w:color w:val="auto"/>
        </w:rPr>
        <w:t>(4) professional success that inspires the local golfers; and (5) corporate support.</w:t>
      </w:r>
    </w:p>
    <w:p>
      <w:pPr>
        <w:spacing w:after="0" w:line="211" w:lineRule="exact"/>
        <w:rPr>
          <w:sz w:val="20"/>
          <w:szCs w:val="20"/>
          <w:color w:val="auto"/>
        </w:rPr>
      </w:pPr>
    </w:p>
    <w:p>
      <w:pPr>
        <w:ind w:left="380" w:right="699" w:firstLine="648"/>
        <w:spacing w:after="0" w:line="277" w:lineRule="auto"/>
        <w:rPr>
          <w:sz w:val="20"/>
          <w:szCs w:val="20"/>
          <w:color w:val="auto"/>
        </w:rPr>
      </w:pPr>
      <w:r>
        <w:rPr>
          <w:rFonts w:ascii="Arial" w:cs="Arial" w:eastAsia="Arial" w:hAnsi="Arial"/>
          <w:sz w:val="18"/>
          <w:szCs w:val="18"/>
          <w:color w:val="auto"/>
        </w:rPr>
        <w:t>We believe the golf industry is mainly driven by golfer demographics, dedicated golfers, weather and economic conditions.</w:t>
      </w:r>
    </w:p>
    <w:p>
      <w:pPr>
        <w:spacing w:after="0" w:line="170" w:lineRule="exact"/>
        <w:rPr>
          <w:sz w:val="20"/>
          <w:szCs w:val="20"/>
          <w:color w:val="auto"/>
        </w:rPr>
      </w:pPr>
    </w:p>
    <w:p>
      <w:pPr>
        <w:ind w:left="380" w:right="379" w:firstLine="648"/>
        <w:spacing w:after="0" w:line="218" w:lineRule="exact"/>
        <w:rPr>
          <w:sz w:val="20"/>
          <w:szCs w:val="20"/>
          <w:color w:val="auto"/>
        </w:rPr>
      </w:pPr>
      <w:r>
        <w:rPr>
          <w:rFonts w:ascii="Arial" w:cs="Arial" w:eastAsia="Arial" w:hAnsi="Arial"/>
          <w:sz w:val="16"/>
          <w:szCs w:val="16"/>
          <w:b w:val="1"/>
          <w:bCs w:val="1"/>
          <w:i w:val="1"/>
          <w:iCs w:val="1"/>
          <w:color w:val="auto"/>
        </w:rPr>
        <w:t xml:space="preserve">Golfer Demographics. </w:t>
      </w:r>
      <w:r>
        <w:rPr>
          <w:rFonts w:ascii="Arial" w:cs="Arial" w:eastAsia="Arial" w:hAnsi="Arial"/>
          <w:sz w:val="16"/>
          <w:szCs w:val="16"/>
          <w:color w:val="auto"/>
        </w:rPr>
        <w:t>Golf is a recreational activity that requires time and money. The golf industry has</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been principally driven by the age cohort of 30 and above, currently “gen</w:t>
      </w:r>
      <w:r>
        <w:rPr>
          <w:rFonts w:ascii="MS PGothic" w:cs="MS PGothic" w:eastAsia="MS PGothic" w:hAnsi="MS PGothic"/>
          <w:sz w:val="16"/>
          <w:szCs w:val="16"/>
          <w:color w:val="auto"/>
        </w:rPr>
        <w:t>‑</w:t>
      </w:r>
      <w:r>
        <w:rPr>
          <w:rFonts w:ascii="Arial" w:cs="Arial" w:eastAsia="Arial" w:hAnsi="Arial"/>
          <w:sz w:val="16"/>
          <w:szCs w:val="16"/>
          <w:color w:val="auto"/>
        </w:rPr>
        <w:t>x” (age 30 to 49) and “baby boomers” (age 50 to 69), who have the time and money to engage in the sport. Since a significant number of baby boomers have yet to retire, we anticipate growth in spending from this demographic as it has been demonstrated that rounds of play increase significantly as those in this cohort reach retirement. Further, we also believe that the percentage of women golfers will continue to grow, as a higher percentage of new golfers in recent years have been women. Beyond the gen</w:t>
      </w:r>
      <w:r>
        <w:rPr>
          <w:rFonts w:ascii="MS PGothic" w:cs="MS PGothic" w:eastAsia="MS PGothic" w:hAnsi="MS PGothic"/>
          <w:sz w:val="16"/>
          <w:szCs w:val="16"/>
          <w:color w:val="auto"/>
        </w:rPr>
        <w:t>‑</w:t>
      </w:r>
      <w:r>
        <w:rPr>
          <w:rFonts w:ascii="Arial" w:cs="Arial" w:eastAsia="Arial" w:hAnsi="Arial"/>
          <w:sz w:val="16"/>
          <w:szCs w:val="16"/>
          <w:color w:val="auto"/>
        </w:rPr>
        <w:t>x and baby boomer generation, another promising development in golf has been the generational shift with millennial golfers making their marks at both professional and amateur levels.</w:t>
      </w:r>
    </w:p>
    <w:p>
      <w:pPr>
        <w:spacing w:after="0" w:line="203" w:lineRule="exact"/>
        <w:rPr>
          <w:sz w:val="20"/>
          <w:szCs w:val="20"/>
          <w:color w:val="auto"/>
        </w:rPr>
      </w:pPr>
    </w:p>
    <w:p>
      <w:pPr>
        <w:ind w:left="380" w:right="639" w:firstLine="648"/>
        <w:spacing w:after="0" w:line="221" w:lineRule="exact"/>
        <w:rPr>
          <w:sz w:val="20"/>
          <w:szCs w:val="20"/>
          <w:color w:val="auto"/>
        </w:rPr>
      </w:pPr>
      <w:r>
        <w:rPr>
          <w:rFonts w:ascii="Arial" w:cs="Arial" w:eastAsia="Arial" w:hAnsi="Arial"/>
          <w:sz w:val="16"/>
          <w:szCs w:val="16"/>
          <w:b w:val="1"/>
          <w:bCs w:val="1"/>
          <w:i w:val="1"/>
          <w:iCs w:val="1"/>
          <w:color w:val="auto"/>
        </w:rPr>
        <w:t xml:space="preserve">Dedicated Golfers. </w:t>
      </w:r>
      <w:r>
        <w:rPr>
          <w:rFonts w:ascii="Arial" w:cs="Arial" w:eastAsia="Arial" w:hAnsi="Arial"/>
          <w:sz w:val="16"/>
          <w:szCs w:val="16"/>
          <w:color w:val="auto"/>
        </w:rPr>
        <w:t>Dedicated golfers are largely gen</w:t>
      </w:r>
      <w:r>
        <w:rPr>
          <w:rFonts w:ascii="MS PGothic" w:cs="MS PGothic" w:eastAsia="MS PGothic" w:hAnsi="MS PGothic"/>
          <w:sz w:val="16"/>
          <w:szCs w:val="16"/>
          <w:color w:val="auto"/>
        </w:rPr>
        <w:t>‑</w:t>
      </w:r>
      <w:r>
        <w:rPr>
          <w:rFonts w:ascii="Arial" w:cs="Arial" w:eastAsia="Arial" w:hAnsi="Arial"/>
          <w:sz w:val="16"/>
          <w:szCs w:val="16"/>
          <w:color w:val="auto"/>
        </w:rPr>
        <w:t>x and baby boomers who have demonstrated the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propensity to pay a premium for products that help them perform better. We believe dedicated golfers, who comprise our target market, will continue to be a key driver for the global golf industry.</w:t>
      </w:r>
    </w:p>
    <w:p>
      <w:pPr>
        <w:spacing w:after="0" w:line="202" w:lineRule="exact"/>
        <w:rPr>
          <w:sz w:val="20"/>
          <w:szCs w:val="20"/>
          <w:color w:val="auto"/>
        </w:rPr>
      </w:pPr>
    </w:p>
    <w:p>
      <w:pPr>
        <w:ind w:left="380" w:right="479" w:firstLine="648"/>
        <w:spacing w:after="0" w:line="219" w:lineRule="exact"/>
        <w:rPr>
          <w:sz w:val="20"/>
          <w:szCs w:val="20"/>
          <w:color w:val="auto"/>
        </w:rPr>
      </w:pPr>
      <w:r>
        <w:rPr>
          <w:rFonts w:ascii="Arial" w:cs="Arial" w:eastAsia="Arial" w:hAnsi="Arial"/>
          <w:sz w:val="18"/>
          <w:szCs w:val="18"/>
          <w:b w:val="1"/>
          <w:bCs w:val="1"/>
          <w:i w:val="1"/>
          <w:iCs w:val="1"/>
          <w:color w:val="auto"/>
        </w:rPr>
        <w:t xml:space="preserve">Weather Conditions. </w:t>
      </w:r>
      <w:r>
        <w:rPr>
          <w:rFonts w:ascii="Arial" w:cs="Arial" w:eastAsia="Arial" w:hAnsi="Arial"/>
          <w:sz w:val="18"/>
          <w:szCs w:val="18"/>
          <w:color w:val="auto"/>
        </w:rPr>
        <w:t>Weather conditions determine the number of playable days in a year and thus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influence the amount of time people spend on golf. Weather conditions in most parts of the world, including our primary geographic markets, generally restrict golf from being played year</w:t>
      </w:r>
      <w:r>
        <w:rPr>
          <w:rFonts w:ascii="MS PGothic" w:cs="MS PGothic" w:eastAsia="MS PGothic" w:hAnsi="MS PGothic"/>
          <w:sz w:val="18"/>
          <w:szCs w:val="18"/>
          <w:color w:val="auto"/>
        </w:rPr>
        <w:t>‑</w:t>
      </w:r>
      <w:r>
        <w:rPr>
          <w:rFonts w:ascii="Arial" w:cs="Arial" w:eastAsia="Arial" w:hAnsi="Arial"/>
          <w:sz w:val="18"/>
          <w:szCs w:val="18"/>
          <w:color w:val="auto"/>
        </w:rPr>
        <w:t>round, with many of our on</w:t>
      </w:r>
      <w:r>
        <w:rPr>
          <w:rFonts w:ascii="MS PGothic" w:cs="MS PGothic" w:eastAsia="MS PGothic" w:hAnsi="MS PGothic"/>
          <w:sz w:val="18"/>
          <w:szCs w:val="18"/>
          <w:color w:val="auto"/>
        </w:rPr>
        <w:t>‑</w:t>
      </w:r>
      <w:r>
        <w:rPr>
          <w:rFonts w:ascii="Arial" w:cs="Arial" w:eastAsia="Arial" w:hAnsi="Arial"/>
          <w:sz w:val="18"/>
          <w:szCs w:val="18"/>
          <w:color w:val="auto"/>
        </w:rPr>
        <w:t>course customers closed during the cold weather months. Therefore, favorable weather conditions generally result in more playable days in a given year and more golf rounds played, which generally results in increased demand for all golf products.</w:t>
      </w:r>
    </w:p>
    <w:p>
      <w:pPr>
        <w:spacing w:after="0" w:line="203" w:lineRule="exact"/>
        <w:rPr>
          <w:sz w:val="20"/>
          <w:szCs w:val="20"/>
          <w:color w:val="auto"/>
        </w:rPr>
      </w:pPr>
    </w:p>
    <w:p>
      <w:pPr>
        <w:ind w:left="380" w:right="519" w:firstLine="648"/>
        <w:spacing w:after="0" w:line="302" w:lineRule="auto"/>
        <w:rPr>
          <w:sz w:val="20"/>
          <w:szCs w:val="20"/>
          <w:color w:val="auto"/>
        </w:rPr>
      </w:pPr>
      <w:r>
        <w:rPr>
          <w:rFonts w:ascii="Arial" w:cs="Arial" w:eastAsia="Arial" w:hAnsi="Arial"/>
          <w:sz w:val="16"/>
          <w:szCs w:val="16"/>
          <w:b w:val="1"/>
          <w:bCs w:val="1"/>
          <w:i w:val="1"/>
          <w:iCs w:val="1"/>
          <w:color w:val="auto"/>
        </w:rPr>
        <w:t xml:space="preserve">Economic Conditions. </w:t>
      </w:r>
      <w:r>
        <w:rPr>
          <w:rFonts w:ascii="Arial" w:cs="Arial" w:eastAsia="Arial" w:hAnsi="Arial"/>
          <w:sz w:val="16"/>
          <w:szCs w:val="16"/>
          <w:color w:val="auto"/>
        </w:rPr>
        <w:t>The state of the economy influences the amount of money people spend on golf.</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Golf equipment, including clubs, balls and accessories, is recreational in nature and is therefore a discretionary purchase for consumers. Consumers are generally more willing to make discretionary purchases of golf products when economic conditions are favorable and when consumers are feeling confident and prosperous.</w:t>
      </w:r>
    </w:p>
    <w:p>
      <w:pPr>
        <w:spacing w:after="0" w:line="152"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7" w:name="page8"/>
    <w:bookmarkEnd w:id="7"/>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ind w:left="380"/>
        <w:spacing w:after="0"/>
        <w:rPr>
          <w:sz w:val="20"/>
          <w:szCs w:val="20"/>
          <w:color w:val="auto"/>
        </w:rPr>
      </w:pPr>
      <w:r>
        <w:rPr>
          <w:rFonts w:ascii="Arial" w:cs="Arial" w:eastAsia="Arial" w:hAnsi="Arial"/>
          <w:sz w:val="18"/>
          <w:szCs w:val="18"/>
          <w:b w:val="1"/>
          <w:bCs w:val="1"/>
          <w:color w:val="auto"/>
        </w:rPr>
        <w:t>Our Growth Strategies</w:t>
      </w:r>
    </w:p>
    <w:p>
      <w:pPr>
        <w:spacing w:after="0" w:line="229" w:lineRule="exact"/>
        <w:rPr>
          <w:sz w:val="20"/>
          <w:szCs w:val="20"/>
          <w:color w:val="auto"/>
        </w:rPr>
      </w:pPr>
    </w:p>
    <w:p>
      <w:pPr>
        <w:ind w:left="380" w:right="1239" w:firstLine="648"/>
        <w:spacing w:after="0" w:line="277" w:lineRule="auto"/>
        <w:rPr>
          <w:sz w:val="20"/>
          <w:szCs w:val="20"/>
          <w:color w:val="auto"/>
        </w:rPr>
      </w:pPr>
      <w:r>
        <w:rPr>
          <w:rFonts w:ascii="Arial" w:cs="Arial" w:eastAsia="Arial" w:hAnsi="Arial"/>
          <w:sz w:val="18"/>
          <w:szCs w:val="18"/>
          <w:color w:val="auto"/>
        </w:rPr>
        <w:t>We plan to continue to pursue organic growth initiatives across all product categories, brands, geographies and marketing channels.</w:t>
      </w:r>
    </w:p>
    <w:p>
      <w:pPr>
        <w:spacing w:after="0" w:line="170" w:lineRule="exact"/>
        <w:rPr>
          <w:sz w:val="20"/>
          <w:szCs w:val="20"/>
          <w:color w:val="auto"/>
        </w:rPr>
      </w:pPr>
    </w:p>
    <w:p>
      <w:pPr>
        <w:ind w:left="380" w:right="419" w:firstLine="648"/>
        <w:spacing w:after="0" w:line="264" w:lineRule="auto"/>
        <w:rPr>
          <w:sz w:val="20"/>
          <w:szCs w:val="20"/>
          <w:color w:val="auto"/>
        </w:rPr>
      </w:pPr>
      <w:r>
        <w:rPr>
          <w:rFonts w:ascii="Arial" w:cs="Arial" w:eastAsia="Arial" w:hAnsi="Arial"/>
          <w:sz w:val="18"/>
          <w:szCs w:val="18"/>
          <w:b w:val="1"/>
          <w:bCs w:val="1"/>
          <w:i w:val="1"/>
          <w:iCs w:val="1"/>
          <w:color w:val="auto"/>
        </w:rPr>
        <w:t xml:space="preserve">Introduce New Products and Extend Market Share Leadership in Equipment Categories. </w:t>
      </w:r>
      <w:r>
        <w:rPr>
          <w:rFonts w:ascii="Arial" w:cs="Arial" w:eastAsia="Arial" w:hAnsi="Arial"/>
          <w:sz w:val="18"/>
          <w:szCs w:val="18"/>
          <w:color w:val="auto"/>
        </w:rPr>
        <w:t>We expect to</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sustain our strong performance in our core categories of golf balls and golf clubs through several targeted strategies:</w:t>
      </w:r>
    </w:p>
    <w:p>
      <w:pPr>
        <w:spacing w:after="0" w:line="181" w:lineRule="exact"/>
        <w:rPr>
          <w:sz w:val="20"/>
          <w:szCs w:val="20"/>
          <w:color w:val="auto"/>
        </w:rPr>
      </w:pPr>
    </w:p>
    <w:p>
      <w:pPr>
        <w:ind w:left="1360" w:hanging="329"/>
        <w:spacing w:after="0" w:line="207" w:lineRule="exact"/>
        <w:tabs>
          <w:tab w:leader="none" w:pos="1360" w:val="left"/>
        </w:tabs>
        <w:numPr>
          <w:ilvl w:val="0"/>
          <w:numId w:val="3"/>
        </w:numPr>
        <w:rPr>
          <w:rFonts w:ascii="Arial" w:cs="Arial" w:eastAsia="Arial" w:hAnsi="Arial"/>
          <w:sz w:val="18"/>
          <w:szCs w:val="18"/>
          <w:color w:val="auto"/>
        </w:rPr>
      </w:pPr>
      <w:r>
        <w:rPr>
          <w:rFonts w:ascii="Arial" w:cs="Arial" w:eastAsia="Arial" w:hAnsi="Arial"/>
          <w:sz w:val="18"/>
          <w:szCs w:val="18"/>
          <w:i w:val="1"/>
          <w:iCs w:val="1"/>
          <w:u w:val="single" w:color="auto"/>
          <w:color w:val="auto"/>
        </w:rPr>
        <w:t>Titleist Golf Balls</w:t>
      </w:r>
      <w:r>
        <w:rPr>
          <w:rFonts w:ascii="Arial" w:cs="Arial" w:eastAsia="Arial" w:hAnsi="Arial"/>
          <w:sz w:val="18"/>
          <w:szCs w:val="18"/>
          <w:i w:val="1"/>
          <w:iCs w:val="1"/>
          <w:color w:val="auto"/>
        </w:rPr>
        <w:t xml:space="preserve">. </w:t>
      </w:r>
      <w:r>
        <w:rPr>
          <w:rFonts w:ascii="Arial" w:cs="Arial" w:eastAsia="Arial" w:hAnsi="Arial"/>
          <w:sz w:val="18"/>
          <w:szCs w:val="18"/>
          <w:color w:val="auto"/>
        </w:rPr>
        <w:t>We continuously invest in design innovation and refining our sell</w:t>
      </w:r>
      <w:r>
        <w:rPr>
          <w:rFonts w:ascii="MS PGothic" w:cs="MS PGothic" w:eastAsia="MS PGothic" w:hAnsi="MS PGothic"/>
          <w:sz w:val="18"/>
          <w:szCs w:val="18"/>
          <w:color w:val="auto"/>
        </w:rPr>
        <w:t>‑</w:t>
      </w:r>
      <w:r>
        <w:rPr>
          <w:rFonts w:ascii="Arial" w:cs="Arial" w:eastAsia="Arial" w:hAnsi="Arial"/>
          <w:sz w:val="18"/>
          <w:szCs w:val="18"/>
          <w:color w:val="auto"/>
        </w:rPr>
        <w:t>in and</w:t>
      </w:r>
    </w:p>
    <w:p>
      <w:pPr>
        <w:spacing w:after="0" w:line="23" w:lineRule="exact"/>
        <w:rPr>
          <w:rFonts w:ascii="Arial" w:cs="Arial" w:eastAsia="Arial" w:hAnsi="Arial"/>
          <w:sz w:val="18"/>
          <w:szCs w:val="18"/>
          <w:color w:val="auto"/>
        </w:rPr>
      </w:pPr>
    </w:p>
    <w:p>
      <w:pPr>
        <w:ind w:left="1360" w:right="499"/>
        <w:spacing w:after="0" w:line="216" w:lineRule="exact"/>
        <w:rPr>
          <w:rFonts w:ascii="Arial" w:cs="Arial" w:eastAsia="Arial" w:hAnsi="Arial"/>
          <w:sz w:val="18"/>
          <w:szCs w:val="18"/>
          <w:color w:val="auto"/>
        </w:rPr>
      </w:pPr>
      <w:r>
        <w:rPr>
          <w:rFonts w:ascii="Arial" w:cs="Arial" w:eastAsia="Arial" w:hAnsi="Arial"/>
          <w:sz w:val="16"/>
          <w:szCs w:val="16"/>
          <w:color w:val="auto"/>
        </w:rPr>
        <w:t>sell</w:t>
      </w:r>
      <w:r>
        <w:rPr>
          <w:rFonts w:ascii="MS PGothic" w:cs="MS PGothic" w:eastAsia="MS PGothic" w:hAnsi="MS PGothic"/>
          <w:sz w:val="16"/>
          <w:szCs w:val="16"/>
          <w:color w:val="auto"/>
        </w:rPr>
        <w:t>‑</w:t>
      </w:r>
      <w:r>
        <w:rPr>
          <w:rFonts w:ascii="Arial" w:cs="Arial" w:eastAsia="Arial" w:hAnsi="Arial"/>
          <w:sz w:val="16"/>
          <w:szCs w:val="16"/>
          <w:color w:val="auto"/>
        </w:rPr>
        <w:t>through route to market capabilities and effectiveness in the golf ball product category. We are currently focused on improving our sales team training in product, merchandising, local promotion and selling skills, as well as enhancing trade partnerships in those channels where dedicated golfers shop. To grow our custom golf ball business, we have in place several new initiatives designed to develop strategic partnerships with corporations heavily invested in golf and to drive growth with a particular focus on the areas of corporate, country club, tournament and personalized sales. The 2016 launch of the “My Pro V1” online golf shop allows golfers to create and purchase their own unique Titleist Pro V1 / Pro V1x golf balls with special play numbers, logos or personalization.</w:t>
      </w:r>
    </w:p>
    <w:p>
      <w:pPr>
        <w:spacing w:after="0" w:line="207" w:lineRule="exact"/>
        <w:rPr>
          <w:rFonts w:ascii="Arial" w:cs="Arial" w:eastAsia="Arial" w:hAnsi="Arial"/>
          <w:sz w:val="18"/>
          <w:szCs w:val="18"/>
          <w:color w:val="auto"/>
        </w:rPr>
      </w:pPr>
    </w:p>
    <w:p>
      <w:pPr>
        <w:ind w:left="1360" w:right="499" w:hanging="329"/>
        <w:spacing w:after="0" w:line="218" w:lineRule="exact"/>
        <w:tabs>
          <w:tab w:leader="none" w:pos="1360" w:val="left"/>
        </w:tabs>
        <w:numPr>
          <w:ilvl w:val="0"/>
          <w:numId w:val="3"/>
        </w:numPr>
        <w:rPr>
          <w:rFonts w:ascii="Arial" w:cs="Arial" w:eastAsia="Arial" w:hAnsi="Arial"/>
          <w:sz w:val="16"/>
          <w:szCs w:val="16"/>
          <w:color w:val="auto"/>
        </w:rPr>
      </w:pPr>
      <w:r>
        <w:rPr>
          <w:rFonts w:ascii="Arial" w:cs="Arial" w:eastAsia="Arial" w:hAnsi="Arial"/>
          <w:sz w:val="16"/>
          <w:szCs w:val="16"/>
          <w:i w:val="1"/>
          <w:iCs w:val="1"/>
          <w:u w:val="single" w:color="auto"/>
          <w:color w:val="auto"/>
        </w:rPr>
        <w:t>Titleist Clubs, Wedges and Putters</w:t>
      </w:r>
      <w:r>
        <w:rPr>
          <w:rFonts w:ascii="Arial" w:cs="Arial" w:eastAsia="Arial" w:hAnsi="Arial"/>
          <w:sz w:val="16"/>
          <w:szCs w:val="16"/>
          <w:i w:val="1"/>
          <w:iCs w:val="1"/>
          <w:color w:val="auto"/>
        </w:rPr>
        <w:t xml:space="preserve">. </w:t>
      </w:r>
      <w:r>
        <w:rPr>
          <w:rFonts w:ascii="Arial" w:cs="Arial" w:eastAsia="Arial" w:hAnsi="Arial"/>
          <w:sz w:val="16"/>
          <w:szCs w:val="16"/>
          <w:color w:val="auto"/>
        </w:rPr>
        <w:t>We intend to continue to launch innovative, high performance</w:t>
      </w:r>
      <w:r>
        <w:rPr>
          <w:rFonts w:ascii="Arial" w:cs="Arial" w:eastAsia="Arial" w:hAnsi="Arial"/>
          <w:sz w:val="16"/>
          <w:szCs w:val="16"/>
          <w:i w:val="1"/>
          <w:iCs w:val="1"/>
          <w:color w:val="auto"/>
        </w:rPr>
        <w:t xml:space="preserve"> </w:t>
      </w:r>
      <w:r>
        <w:rPr>
          <w:rFonts w:ascii="Arial" w:cs="Arial" w:eastAsia="Arial" w:hAnsi="Arial"/>
          <w:sz w:val="16"/>
          <w:szCs w:val="16"/>
          <w:color w:val="auto"/>
        </w:rPr>
        <w:t>golf clubs by further leveraging Titleist clubs’ R&amp;D platform. We believe concept and specialty products and premium quality digital content will further drive customer awareness and market share gains across all premium club categories. To enhance trial and fitting, we plan to continue our consumer connection initiatives, grow our fitting network in opportunistic markets and further promote the utilization of our distinctive fitting operations. We are also executing several initiatives to further elevate Vokey Design wedges and Scotty Cameron putters as golf’s leaders in short</w:t>
      </w:r>
      <w:r>
        <w:rPr>
          <w:rFonts w:ascii="MS PGothic" w:cs="MS PGothic" w:eastAsia="MS PGothic" w:hAnsi="MS PGothic"/>
          <w:sz w:val="16"/>
          <w:szCs w:val="16"/>
          <w:color w:val="auto"/>
        </w:rPr>
        <w:t>‑</w:t>
      </w:r>
      <w:r>
        <w:rPr>
          <w:rFonts w:ascii="Arial" w:cs="Arial" w:eastAsia="Arial" w:hAnsi="Arial"/>
          <w:sz w:val="16"/>
          <w:szCs w:val="16"/>
          <w:color w:val="auto"/>
        </w:rPr>
        <w:t>game performance, technology, craftsmanship and selection.</w:t>
      </w:r>
    </w:p>
    <w:p>
      <w:pPr>
        <w:spacing w:after="0" w:line="203" w:lineRule="exact"/>
        <w:rPr>
          <w:sz w:val="20"/>
          <w:szCs w:val="20"/>
          <w:color w:val="auto"/>
        </w:rPr>
      </w:pPr>
    </w:p>
    <w:p>
      <w:pPr>
        <w:ind w:left="380" w:right="459" w:firstLine="648"/>
        <w:spacing w:after="0" w:line="279" w:lineRule="auto"/>
        <w:rPr>
          <w:sz w:val="20"/>
          <w:szCs w:val="20"/>
          <w:color w:val="auto"/>
        </w:rPr>
      </w:pPr>
      <w:r>
        <w:rPr>
          <w:rFonts w:ascii="Arial" w:cs="Arial" w:eastAsia="Arial" w:hAnsi="Arial"/>
          <w:sz w:val="17"/>
          <w:szCs w:val="17"/>
          <w:b w:val="1"/>
          <w:bCs w:val="1"/>
          <w:i w:val="1"/>
          <w:iCs w:val="1"/>
          <w:color w:val="auto"/>
        </w:rPr>
        <w:t xml:space="preserve">Increase Penetration in Golf Gear and Wear Categories. </w:t>
      </w:r>
      <w:r>
        <w:rPr>
          <w:rFonts w:ascii="Arial" w:cs="Arial" w:eastAsia="Arial" w:hAnsi="Arial"/>
          <w:sz w:val="17"/>
          <w:szCs w:val="17"/>
          <w:color w:val="auto"/>
        </w:rPr>
        <w:t>We intend to build on the brand loyalty that</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the dedicated golfer has developed for our Titleist ball and club categories and FootJoy shoe and glove categories in order to increase our penetration in the adjacent categories of golf gear and golf wear. We expect to continue to drive growth across these categories by employing the following initiatives:</w:t>
      </w:r>
    </w:p>
    <w:p>
      <w:pPr>
        <w:spacing w:after="0" w:line="171" w:lineRule="exact"/>
        <w:rPr>
          <w:sz w:val="20"/>
          <w:szCs w:val="20"/>
          <w:color w:val="auto"/>
        </w:rPr>
      </w:pPr>
    </w:p>
    <w:p>
      <w:pPr>
        <w:ind w:left="1360" w:right="479" w:hanging="329"/>
        <w:spacing w:after="0" w:line="255" w:lineRule="auto"/>
        <w:tabs>
          <w:tab w:leader="none" w:pos="1360" w:val="left"/>
        </w:tabs>
        <w:numPr>
          <w:ilvl w:val="0"/>
          <w:numId w:val="4"/>
        </w:numPr>
        <w:rPr>
          <w:rFonts w:ascii="Arial" w:cs="Arial" w:eastAsia="Arial" w:hAnsi="Arial"/>
          <w:sz w:val="18"/>
          <w:szCs w:val="18"/>
          <w:color w:val="auto"/>
        </w:rPr>
      </w:pPr>
      <w:r>
        <w:rPr>
          <w:rFonts w:ascii="Arial" w:cs="Arial" w:eastAsia="Arial" w:hAnsi="Arial"/>
          <w:sz w:val="18"/>
          <w:szCs w:val="18"/>
          <w:i w:val="1"/>
          <w:iCs w:val="1"/>
          <w:u w:val="single" w:color="auto"/>
          <w:color w:val="auto"/>
        </w:rPr>
        <w:t>Titleist Golf Gear</w:t>
      </w:r>
      <w:r>
        <w:rPr>
          <w:rFonts w:ascii="Arial" w:cs="Arial" w:eastAsia="Arial" w:hAnsi="Arial"/>
          <w:sz w:val="18"/>
          <w:szCs w:val="18"/>
          <w:i w:val="1"/>
          <w:iCs w:val="1"/>
          <w:color w:val="auto"/>
        </w:rPr>
        <w:t xml:space="preserve">. </w:t>
      </w:r>
      <w:r>
        <w:rPr>
          <w:rFonts w:ascii="Arial" w:cs="Arial" w:eastAsia="Arial" w:hAnsi="Arial"/>
          <w:sz w:val="18"/>
          <w:szCs w:val="18"/>
          <w:color w:val="auto"/>
        </w:rPr>
        <w:t>We are committed to providing dedicated golfers with golf gear—including golf</w:t>
      </w:r>
      <w:r>
        <w:rPr>
          <w:rFonts w:ascii="Arial" w:cs="Arial" w:eastAsia="Arial" w:hAnsi="Arial"/>
          <w:sz w:val="18"/>
          <w:szCs w:val="18"/>
          <w:i w:val="1"/>
          <w:iCs w:val="1"/>
          <w:color w:val="auto"/>
        </w:rPr>
        <w:t xml:space="preserve"> </w:t>
      </w:r>
      <w:r>
        <w:rPr>
          <w:rFonts w:ascii="Arial" w:cs="Arial" w:eastAsia="Arial" w:hAnsi="Arial"/>
          <w:sz w:val="18"/>
          <w:szCs w:val="18"/>
          <w:color w:val="auto"/>
        </w:rPr>
        <w:t>bags, headwear, gloves, travel gear, head covers and other accessories—of performance and quality excellence that is faithful to the Titleist brand promise. We are making significant investments in design and engineering resources and are leveraging dedicated player research methodologies and insights to drive innovation in this product category. We also plan to expand our custom and limited edition product offerings.</w:t>
      </w:r>
    </w:p>
    <w:p>
      <w:pPr>
        <w:spacing w:after="0" w:line="193" w:lineRule="exact"/>
        <w:rPr>
          <w:rFonts w:ascii="Arial" w:cs="Arial" w:eastAsia="Arial" w:hAnsi="Arial"/>
          <w:sz w:val="18"/>
          <w:szCs w:val="18"/>
          <w:color w:val="auto"/>
        </w:rPr>
      </w:pPr>
    </w:p>
    <w:p>
      <w:pPr>
        <w:ind w:left="1360" w:right="419" w:hanging="329"/>
        <w:spacing w:after="0" w:line="219" w:lineRule="exact"/>
        <w:tabs>
          <w:tab w:leader="none" w:pos="1360" w:val="left"/>
        </w:tabs>
        <w:numPr>
          <w:ilvl w:val="0"/>
          <w:numId w:val="4"/>
        </w:numPr>
        <w:rPr>
          <w:rFonts w:ascii="Arial" w:cs="Arial" w:eastAsia="Arial" w:hAnsi="Arial"/>
          <w:sz w:val="18"/>
          <w:szCs w:val="18"/>
          <w:color w:val="auto"/>
        </w:rPr>
      </w:pPr>
      <w:r>
        <w:rPr>
          <w:rFonts w:ascii="Arial" w:cs="Arial" w:eastAsia="Arial" w:hAnsi="Arial"/>
          <w:sz w:val="18"/>
          <w:szCs w:val="18"/>
          <w:i w:val="1"/>
          <w:iCs w:val="1"/>
          <w:u w:val="single" w:color="auto"/>
          <w:color w:val="auto"/>
        </w:rPr>
        <w:t>FootJoy Women’s Apparel Initiative</w:t>
      </w:r>
      <w:r>
        <w:rPr>
          <w:rFonts w:ascii="Arial" w:cs="Arial" w:eastAsia="Arial" w:hAnsi="Arial"/>
          <w:sz w:val="18"/>
          <w:szCs w:val="18"/>
          <w:i w:val="1"/>
          <w:iCs w:val="1"/>
          <w:color w:val="auto"/>
        </w:rPr>
        <w:t xml:space="preserve">. </w:t>
      </w:r>
      <w:r>
        <w:rPr>
          <w:rFonts w:ascii="Arial" w:cs="Arial" w:eastAsia="Arial" w:hAnsi="Arial"/>
          <w:sz w:val="18"/>
          <w:szCs w:val="18"/>
          <w:color w:val="auto"/>
        </w:rPr>
        <w:t>We are currently building out a focused, performance</w:t>
      </w:r>
      <w:r>
        <w:rPr>
          <w:rFonts w:ascii="MS PGothic" w:cs="MS PGothic" w:eastAsia="MS PGothic" w:hAnsi="MS PGothic"/>
          <w:sz w:val="18"/>
          <w:szCs w:val="18"/>
          <w:color w:val="auto"/>
        </w:rPr>
        <w:t>‑</w:t>
      </w:r>
      <w:r>
        <w:rPr>
          <w:rFonts w:ascii="Arial" w:cs="Arial" w:eastAsia="Arial" w:hAnsi="Arial"/>
          <w:sz w:val="18"/>
          <w:szCs w:val="18"/>
          <w:color w:val="auto"/>
        </w:rPr>
        <w:t>based</w:t>
      </w:r>
      <w:r>
        <w:rPr>
          <w:rFonts w:ascii="Arial" w:cs="Arial" w:eastAsia="Arial" w:hAnsi="Arial"/>
          <w:sz w:val="18"/>
          <w:szCs w:val="18"/>
          <w:i w:val="1"/>
          <w:iCs w:val="1"/>
          <w:color w:val="auto"/>
        </w:rPr>
        <w:t xml:space="preserve"> </w:t>
      </w:r>
      <w:r>
        <w:rPr>
          <w:rFonts w:ascii="Arial" w:cs="Arial" w:eastAsia="Arial" w:hAnsi="Arial"/>
          <w:sz w:val="18"/>
          <w:szCs w:val="18"/>
          <w:color w:val="auto"/>
        </w:rPr>
        <w:t>FootJoy women’s apparel line consistent with the brand’s successful positioning in men’s apparel. The women’s apparel line, which launched in early 2016, pairs sophisticated performance fabrics and design with layering technology pioneered by FootJoy to create comfort and protection from the elements.</w:t>
      </w:r>
    </w:p>
    <w:p>
      <w:pPr>
        <w:spacing w:after="0" w:line="205" w:lineRule="exact"/>
        <w:rPr>
          <w:rFonts w:ascii="Arial" w:cs="Arial" w:eastAsia="Arial" w:hAnsi="Arial"/>
          <w:sz w:val="18"/>
          <w:szCs w:val="18"/>
          <w:color w:val="auto"/>
        </w:rPr>
      </w:pPr>
    </w:p>
    <w:p>
      <w:pPr>
        <w:ind w:left="1360" w:right="659" w:hanging="329"/>
        <w:spacing w:after="0" w:line="297" w:lineRule="auto"/>
        <w:tabs>
          <w:tab w:leader="none" w:pos="1360" w:val="left"/>
        </w:tabs>
        <w:numPr>
          <w:ilvl w:val="0"/>
          <w:numId w:val="4"/>
        </w:numPr>
        <w:rPr>
          <w:rFonts w:ascii="Arial" w:cs="Arial" w:eastAsia="Arial" w:hAnsi="Arial"/>
          <w:sz w:val="16"/>
          <w:szCs w:val="16"/>
          <w:color w:val="auto"/>
        </w:rPr>
      </w:pPr>
      <w:r>
        <w:rPr>
          <w:rFonts w:ascii="Arial" w:cs="Arial" w:eastAsia="Arial" w:hAnsi="Arial"/>
          <w:sz w:val="16"/>
          <w:szCs w:val="16"/>
          <w:i w:val="1"/>
          <w:iCs w:val="1"/>
          <w:u w:val="single" w:color="auto"/>
          <w:color w:val="auto"/>
        </w:rPr>
        <w:t>FootJoy eCommerce Launch</w:t>
      </w:r>
      <w:r>
        <w:rPr>
          <w:rFonts w:ascii="Arial" w:cs="Arial" w:eastAsia="Arial" w:hAnsi="Arial"/>
          <w:sz w:val="16"/>
          <w:szCs w:val="16"/>
          <w:i w:val="1"/>
          <w:iCs w:val="1"/>
          <w:color w:val="auto"/>
        </w:rPr>
        <w:t xml:space="preserve">. </w:t>
      </w:r>
      <w:r>
        <w:rPr>
          <w:rFonts w:ascii="Arial" w:cs="Arial" w:eastAsia="Arial" w:hAnsi="Arial"/>
          <w:sz w:val="16"/>
          <w:szCs w:val="16"/>
          <w:color w:val="auto"/>
        </w:rPr>
        <w:t>We launched eCommerce websites for FootJoy in the U.S. in 2016</w:t>
      </w:r>
      <w:r>
        <w:rPr>
          <w:rFonts w:ascii="Arial" w:cs="Arial" w:eastAsia="Arial" w:hAnsi="Arial"/>
          <w:sz w:val="16"/>
          <w:szCs w:val="16"/>
          <w:i w:val="1"/>
          <w:iCs w:val="1"/>
          <w:color w:val="auto"/>
        </w:rPr>
        <w:t xml:space="preserve"> </w:t>
      </w:r>
      <w:r>
        <w:rPr>
          <w:rFonts w:ascii="Arial" w:cs="Arial" w:eastAsia="Arial" w:hAnsi="Arial"/>
          <w:sz w:val="16"/>
          <w:szCs w:val="16"/>
          <w:color w:val="auto"/>
        </w:rPr>
        <w:t>and in Canada and certain European markets in 2017. Over 6,000 SKUs are offered across all FootJoy categories, including shoes, gloves and apparel. The eCommerce initiative is expected to yield incremental sales and profitability, and enriched data on preferences and trends, as well as foster a deeper and more real time connection with dedicated golfers.</w:t>
      </w:r>
    </w:p>
    <w:p>
      <w:pPr>
        <w:spacing w:after="0" w:line="372"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8" w:name="page9"/>
    <w:bookmarkEnd w:id="8"/>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380" w:right="399" w:firstLine="648"/>
        <w:spacing w:after="0" w:line="218" w:lineRule="exact"/>
        <w:rPr>
          <w:sz w:val="20"/>
          <w:szCs w:val="20"/>
          <w:color w:val="auto"/>
        </w:rPr>
      </w:pPr>
      <w:r>
        <w:rPr>
          <w:rFonts w:ascii="Arial" w:cs="Arial" w:eastAsia="Arial" w:hAnsi="Arial"/>
          <w:sz w:val="17"/>
          <w:szCs w:val="17"/>
          <w:b w:val="1"/>
          <w:bCs w:val="1"/>
          <w:i w:val="1"/>
          <w:iCs w:val="1"/>
          <w:color w:val="auto"/>
        </w:rPr>
        <w:t xml:space="preserve">Strategically Pursue Global Growth. </w:t>
      </w:r>
      <w:r>
        <w:rPr>
          <w:rFonts w:ascii="Arial" w:cs="Arial" w:eastAsia="Arial" w:hAnsi="Arial"/>
          <w:sz w:val="17"/>
          <w:szCs w:val="17"/>
          <w:color w:val="auto"/>
        </w:rPr>
        <w:t>The Titleist and FootJoy brands are both global brands. While we</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believe that a majority of the near</w:t>
      </w:r>
      <w:r>
        <w:rPr>
          <w:rFonts w:ascii="MS PGothic" w:cs="MS PGothic" w:eastAsia="MS PGothic" w:hAnsi="MS PGothic"/>
          <w:sz w:val="17"/>
          <w:szCs w:val="17"/>
          <w:color w:val="auto"/>
        </w:rPr>
        <w:t>‑</w:t>
      </w:r>
      <w:r>
        <w:rPr>
          <w:rFonts w:ascii="Arial" w:cs="Arial" w:eastAsia="Arial" w:hAnsi="Arial"/>
          <w:sz w:val="17"/>
          <w:szCs w:val="17"/>
          <w:color w:val="auto"/>
        </w:rPr>
        <w:t>term growth will be driven by the developed economies, emerging economies, such as the markets in Southeast Asia, represent longer</w:t>
      </w:r>
      <w:r>
        <w:rPr>
          <w:rFonts w:ascii="MS PGothic" w:cs="MS PGothic" w:eastAsia="MS PGothic" w:hAnsi="MS PGothic"/>
          <w:sz w:val="17"/>
          <w:szCs w:val="17"/>
          <w:color w:val="auto"/>
        </w:rPr>
        <w:t>‑</w:t>
      </w:r>
      <w:r>
        <w:rPr>
          <w:rFonts w:ascii="Arial" w:cs="Arial" w:eastAsia="Arial" w:hAnsi="Arial"/>
          <w:sz w:val="17"/>
          <w:szCs w:val="17"/>
          <w:color w:val="auto"/>
        </w:rPr>
        <w:t>term growth opportunities. To meet future demand, we are ensuring that local capabilities and expertise in sales, customer service, merchandising, online presence, golf education and fitting initiatives are in place to support our operations. We continue to hire local talent across all functions in order to better position Titleist and FootJoy products in those markets where participation and popularity of the sport are expected to increase.</w:t>
      </w:r>
    </w:p>
    <w:p>
      <w:pPr>
        <w:spacing w:after="0" w:line="202" w:lineRule="exact"/>
        <w:rPr>
          <w:sz w:val="20"/>
          <w:szCs w:val="20"/>
          <w:color w:val="auto"/>
        </w:rPr>
      </w:pPr>
    </w:p>
    <w:p>
      <w:pPr>
        <w:ind w:left="380"/>
        <w:spacing w:after="0"/>
        <w:rPr>
          <w:sz w:val="20"/>
          <w:szCs w:val="20"/>
          <w:color w:val="auto"/>
        </w:rPr>
      </w:pPr>
      <w:r>
        <w:rPr>
          <w:rFonts w:ascii="Arial" w:cs="Arial" w:eastAsia="Arial" w:hAnsi="Arial"/>
          <w:sz w:val="18"/>
          <w:szCs w:val="18"/>
          <w:b w:val="1"/>
          <w:bCs w:val="1"/>
          <w:color w:val="auto"/>
        </w:rPr>
        <w:t>Our Products</w:t>
      </w:r>
    </w:p>
    <w:p>
      <w:pPr>
        <w:spacing w:after="0" w:line="229" w:lineRule="exact"/>
        <w:rPr>
          <w:sz w:val="20"/>
          <w:szCs w:val="20"/>
          <w:color w:val="auto"/>
        </w:rPr>
      </w:pPr>
    </w:p>
    <w:p>
      <w:pPr>
        <w:ind w:left="380" w:right="739" w:firstLine="648"/>
        <w:spacing w:after="0" w:line="259" w:lineRule="auto"/>
        <w:rPr>
          <w:sz w:val="20"/>
          <w:szCs w:val="20"/>
          <w:color w:val="auto"/>
        </w:rPr>
      </w:pPr>
      <w:r>
        <w:rPr>
          <w:rFonts w:ascii="Arial" w:cs="Arial" w:eastAsia="Arial" w:hAnsi="Arial"/>
          <w:sz w:val="18"/>
          <w:szCs w:val="18"/>
          <w:color w:val="auto"/>
        </w:rPr>
        <w:t>We design, manufacture and market a broad range of products under the Titleist and FootJoy brands. Both brands are recognized as industry leaders in performance, quality, innovation and design. Our products include golf balls, golf clubs, wedges and putters, golf shoes, golf gloves, golf gear and golf outerwear and apparel.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2235835</wp:posOffset>
            </wp:positionH>
            <wp:positionV relativeFrom="paragraph">
              <wp:posOffset>136525</wp:posOffset>
            </wp:positionV>
            <wp:extent cx="1252220" cy="4457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252220" cy="4457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tbl>
      <w:tblPr>
        <w:tblLayout w:type="fixed"/>
        <w:tblInd w:w="700" w:type="dxa"/>
        <w:tblCellMar>
          <w:top w:w="0" w:type="dxa"/>
          <w:left w:w="0" w:type="dxa"/>
          <w:bottom w:w="0" w:type="dxa"/>
          <w:right w:w="0" w:type="dxa"/>
        </w:tblCellMar>
      </w:tblPr>
      <w:tr>
        <w:trPr>
          <w:trHeight w:val="216"/>
        </w:trPr>
        <w:tc>
          <w:tcPr>
            <w:tcW w:w="2240" w:type="dxa"/>
            <w:vAlign w:val="bottom"/>
          </w:tcPr>
          <w:p>
            <w:pPr>
              <w:ind w:left="400"/>
              <w:spacing w:after="0"/>
              <w:rPr>
                <w:sz w:val="20"/>
                <w:szCs w:val="20"/>
                <w:color w:val="auto"/>
              </w:rPr>
            </w:pPr>
            <w:r>
              <w:rPr>
                <w:rFonts w:ascii="Arial" w:cs="Arial" w:eastAsia="Arial" w:hAnsi="Arial"/>
                <w:sz w:val="18"/>
                <w:szCs w:val="18"/>
                <w:b w:val="1"/>
                <w:bCs w:val="1"/>
                <w:i w:val="1"/>
                <w:iCs w:val="1"/>
                <w:color w:val="auto"/>
              </w:rPr>
              <w:t>Titleist Golf Balls</w:t>
            </w:r>
          </w:p>
        </w:tc>
        <w:tc>
          <w:tcPr>
            <w:tcW w:w="2800" w:type="dxa"/>
            <w:vAlign w:val="bottom"/>
          </w:tcPr>
          <w:p>
            <w:pPr>
              <w:ind w:left="880"/>
              <w:spacing w:after="0"/>
              <w:rPr>
                <w:sz w:val="20"/>
                <w:szCs w:val="20"/>
                <w:color w:val="auto"/>
              </w:rPr>
            </w:pPr>
            <w:r>
              <w:rPr>
                <w:rFonts w:ascii="Arial" w:cs="Arial" w:eastAsia="Arial" w:hAnsi="Arial"/>
                <w:sz w:val="18"/>
                <w:szCs w:val="18"/>
                <w:b w:val="1"/>
                <w:bCs w:val="1"/>
                <w:i w:val="1"/>
                <w:iCs w:val="1"/>
                <w:color w:val="auto"/>
              </w:rPr>
              <w:t>Titleist Golf Clubs,</w:t>
            </w:r>
          </w:p>
        </w:tc>
        <w:tc>
          <w:tcPr>
            <w:tcW w:w="2180" w:type="dxa"/>
            <w:vAlign w:val="bottom"/>
          </w:tcPr>
          <w:p>
            <w:pPr>
              <w:ind w:left="880"/>
              <w:spacing w:after="0"/>
              <w:rPr>
                <w:sz w:val="20"/>
                <w:szCs w:val="20"/>
                <w:color w:val="auto"/>
              </w:rPr>
            </w:pPr>
            <w:r>
              <w:rPr>
                <w:rFonts w:ascii="Arial" w:cs="Arial" w:eastAsia="Arial" w:hAnsi="Arial"/>
                <w:sz w:val="18"/>
                <w:szCs w:val="18"/>
                <w:b w:val="1"/>
                <w:bCs w:val="1"/>
                <w:i w:val="1"/>
                <w:iCs w:val="1"/>
                <w:color w:val="auto"/>
                <w:w w:val="88"/>
              </w:rPr>
              <w:t>Titleist Golf Gear</w:t>
            </w:r>
          </w:p>
        </w:tc>
      </w:tr>
      <w:tr>
        <w:trPr>
          <w:trHeight w:val="230"/>
        </w:trPr>
        <w:tc>
          <w:tcPr>
            <w:tcW w:w="2240" w:type="dxa"/>
            <w:vAlign w:val="bottom"/>
          </w:tcPr>
          <w:p>
            <w:pPr>
              <w:spacing w:after="0"/>
              <w:rPr>
                <w:sz w:val="20"/>
                <w:szCs w:val="20"/>
                <w:color w:val="auto"/>
              </w:rPr>
            </w:pPr>
          </w:p>
        </w:tc>
        <w:tc>
          <w:tcPr>
            <w:tcW w:w="2800" w:type="dxa"/>
            <w:vAlign w:val="bottom"/>
          </w:tcPr>
          <w:p>
            <w:pPr>
              <w:ind w:left="840"/>
              <w:spacing w:after="0"/>
              <w:rPr>
                <w:sz w:val="20"/>
                <w:szCs w:val="20"/>
                <w:color w:val="auto"/>
              </w:rPr>
            </w:pPr>
            <w:r>
              <w:rPr>
                <w:rFonts w:ascii="Arial" w:cs="Arial" w:eastAsia="Arial" w:hAnsi="Arial"/>
                <w:sz w:val="18"/>
                <w:szCs w:val="18"/>
                <w:b w:val="1"/>
                <w:bCs w:val="1"/>
                <w:i w:val="1"/>
                <w:iCs w:val="1"/>
                <w:color w:val="auto"/>
              </w:rPr>
              <w:t>Wedges and Putters</w:t>
            </w:r>
          </w:p>
        </w:tc>
        <w:tc>
          <w:tcPr>
            <w:tcW w:w="2180" w:type="dxa"/>
            <w:vAlign w:val="bottom"/>
          </w:tcPr>
          <w:p>
            <w:pPr>
              <w:spacing w:after="0"/>
              <w:rPr>
                <w:sz w:val="20"/>
                <w:szCs w:val="20"/>
                <w:color w:val="auto"/>
              </w:rPr>
            </w:pPr>
          </w:p>
        </w:tc>
      </w:tr>
      <w:tr>
        <w:trPr>
          <w:trHeight w:val="418"/>
        </w:trPr>
        <w:tc>
          <w:tcPr>
            <w:tcW w:w="2240" w:type="dxa"/>
            <w:vAlign w:val="bottom"/>
          </w:tcPr>
          <w:p>
            <w:pPr>
              <w:spacing w:after="0"/>
              <w:rPr>
                <w:sz w:val="20"/>
                <w:szCs w:val="20"/>
                <w:color w:val="auto"/>
              </w:rPr>
            </w:pPr>
            <w:r>
              <w:rPr>
                <w:rFonts w:ascii="Arial" w:cs="Arial" w:eastAsia="Arial" w:hAnsi="Arial"/>
                <w:sz w:val="18"/>
                <w:szCs w:val="18"/>
                <w:color w:val="auto"/>
              </w:rPr>
              <w:t>Pro V1</w:t>
            </w:r>
          </w:p>
        </w:tc>
        <w:tc>
          <w:tcPr>
            <w:tcW w:w="2800" w:type="dxa"/>
            <w:vAlign w:val="bottom"/>
          </w:tcPr>
          <w:p>
            <w:pPr>
              <w:ind w:left="520"/>
              <w:spacing w:after="0"/>
              <w:rPr>
                <w:sz w:val="20"/>
                <w:szCs w:val="20"/>
                <w:color w:val="auto"/>
              </w:rPr>
            </w:pPr>
            <w:r>
              <w:rPr>
                <w:rFonts w:ascii="Arial" w:cs="Arial" w:eastAsia="Arial" w:hAnsi="Arial"/>
                <w:sz w:val="18"/>
                <w:szCs w:val="18"/>
                <w:color w:val="auto"/>
              </w:rPr>
              <w:t>Drivers</w:t>
            </w:r>
          </w:p>
        </w:tc>
        <w:tc>
          <w:tcPr>
            <w:tcW w:w="2180" w:type="dxa"/>
            <w:vAlign w:val="bottom"/>
          </w:tcPr>
          <w:p>
            <w:pPr>
              <w:ind w:left="480"/>
              <w:spacing w:after="0"/>
              <w:rPr>
                <w:sz w:val="20"/>
                <w:szCs w:val="20"/>
                <w:color w:val="auto"/>
              </w:rPr>
            </w:pPr>
            <w:r>
              <w:rPr>
                <w:rFonts w:ascii="Arial" w:cs="Arial" w:eastAsia="Arial" w:hAnsi="Arial"/>
                <w:sz w:val="18"/>
                <w:szCs w:val="18"/>
                <w:color w:val="auto"/>
              </w:rPr>
              <w:t>Golf bags</w:t>
            </w:r>
          </w:p>
        </w:tc>
      </w:tr>
      <w:tr>
        <w:trPr>
          <w:trHeight w:val="216"/>
        </w:trPr>
        <w:tc>
          <w:tcPr>
            <w:tcW w:w="2240" w:type="dxa"/>
            <w:vAlign w:val="bottom"/>
          </w:tcPr>
          <w:p>
            <w:pPr>
              <w:spacing w:after="0"/>
              <w:rPr>
                <w:sz w:val="20"/>
                <w:szCs w:val="20"/>
                <w:color w:val="auto"/>
              </w:rPr>
            </w:pPr>
            <w:r>
              <w:rPr>
                <w:rFonts w:ascii="Arial" w:cs="Arial" w:eastAsia="Arial" w:hAnsi="Arial"/>
                <w:sz w:val="18"/>
                <w:szCs w:val="18"/>
                <w:color w:val="auto"/>
              </w:rPr>
              <w:t>Pro V1x</w:t>
            </w:r>
          </w:p>
        </w:tc>
        <w:tc>
          <w:tcPr>
            <w:tcW w:w="2800" w:type="dxa"/>
            <w:vAlign w:val="bottom"/>
          </w:tcPr>
          <w:p>
            <w:pPr>
              <w:ind w:left="520"/>
              <w:spacing w:after="0"/>
              <w:rPr>
                <w:sz w:val="20"/>
                <w:szCs w:val="20"/>
                <w:color w:val="auto"/>
              </w:rPr>
            </w:pPr>
            <w:r>
              <w:rPr>
                <w:rFonts w:ascii="Arial" w:cs="Arial" w:eastAsia="Arial" w:hAnsi="Arial"/>
                <w:sz w:val="18"/>
                <w:szCs w:val="18"/>
                <w:color w:val="auto"/>
              </w:rPr>
              <w:t>Fairways</w:t>
            </w:r>
          </w:p>
        </w:tc>
        <w:tc>
          <w:tcPr>
            <w:tcW w:w="2180" w:type="dxa"/>
            <w:vAlign w:val="bottom"/>
          </w:tcPr>
          <w:p>
            <w:pPr>
              <w:ind w:left="480"/>
              <w:spacing w:after="0"/>
              <w:rPr>
                <w:sz w:val="20"/>
                <w:szCs w:val="20"/>
                <w:color w:val="auto"/>
              </w:rPr>
            </w:pPr>
            <w:r>
              <w:rPr>
                <w:rFonts w:ascii="Arial" w:cs="Arial" w:eastAsia="Arial" w:hAnsi="Arial"/>
                <w:sz w:val="18"/>
                <w:szCs w:val="18"/>
                <w:color w:val="auto"/>
              </w:rPr>
              <w:t>Headwear</w:t>
            </w:r>
          </w:p>
        </w:tc>
      </w:tr>
      <w:tr>
        <w:trPr>
          <w:trHeight w:val="216"/>
        </w:trPr>
        <w:tc>
          <w:tcPr>
            <w:tcW w:w="2240" w:type="dxa"/>
            <w:vAlign w:val="bottom"/>
          </w:tcPr>
          <w:p>
            <w:pPr>
              <w:spacing w:after="0"/>
              <w:rPr>
                <w:sz w:val="20"/>
                <w:szCs w:val="20"/>
                <w:color w:val="auto"/>
              </w:rPr>
            </w:pPr>
            <w:r>
              <w:rPr>
                <w:rFonts w:ascii="Arial" w:cs="Arial" w:eastAsia="Arial" w:hAnsi="Arial"/>
                <w:sz w:val="18"/>
                <w:szCs w:val="18"/>
                <w:color w:val="auto"/>
              </w:rPr>
              <w:t>Tour Soft</w:t>
            </w:r>
          </w:p>
        </w:tc>
        <w:tc>
          <w:tcPr>
            <w:tcW w:w="2800" w:type="dxa"/>
            <w:vAlign w:val="bottom"/>
          </w:tcPr>
          <w:p>
            <w:pPr>
              <w:ind w:left="520"/>
              <w:spacing w:after="0"/>
              <w:rPr>
                <w:sz w:val="20"/>
                <w:szCs w:val="20"/>
                <w:color w:val="auto"/>
              </w:rPr>
            </w:pPr>
            <w:r>
              <w:rPr>
                <w:rFonts w:ascii="Arial" w:cs="Arial" w:eastAsia="Arial" w:hAnsi="Arial"/>
                <w:sz w:val="18"/>
                <w:szCs w:val="18"/>
                <w:color w:val="auto"/>
              </w:rPr>
              <w:t>Hybrids</w:t>
            </w:r>
          </w:p>
        </w:tc>
        <w:tc>
          <w:tcPr>
            <w:tcW w:w="2180" w:type="dxa"/>
            <w:vAlign w:val="bottom"/>
          </w:tcPr>
          <w:p>
            <w:pPr>
              <w:ind w:left="480"/>
              <w:spacing w:after="0"/>
              <w:rPr>
                <w:sz w:val="20"/>
                <w:szCs w:val="20"/>
                <w:color w:val="auto"/>
              </w:rPr>
            </w:pPr>
            <w:r>
              <w:rPr>
                <w:rFonts w:ascii="Arial" w:cs="Arial" w:eastAsia="Arial" w:hAnsi="Arial"/>
                <w:sz w:val="18"/>
                <w:szCs w:val="18"/>
                <w:color w:val="auto"/>
              </w:rPr>
              <w:t>Golf gloves</w:t>
            </w:r>
          </w:p>
        </w:tc>
      </w:tr>
      <w:tr>
        <w:trPr>
          <w:trHeight w:val="216"/>
        </w:trPr>
        <w:tc>
          <w:tcPr>
            <w:tcW w:w="2240" w:type="dxa"/>
            <w:vAlign w:val="bottom"/>
          </w:tcPr>
          <w:p>
            <w:pPr>
              <w:spacing w:after="0"/>
              <w:rPr>
                <w:sz w:val="20"/>
                <w:szCs w:val="20"/>
                <w:color w:val="auto"/>
              </w:rPr>
            </w:pPr>
            <w:r>
              <w:rPr>
                <w:rFonts w:ascii="Arial" w:cs="Arial" w:eastAsia="Arial" w:hAnsi="Arial"/>
                <w:sz w:val="18"/>
                <w:szCs w:val="18"/>
                <w:color w:val="auto"/>
              </w:rPr>
              <w:t>Velocity</w:t>
            </w:r>
          </w:p>
        </w:tc>
        <w:tc>
          <w:tcPr>
            <w:tcW w:w="2800" w:type="dxa"/>
            <w:vAlign w:val="bottom"/>
          </w:tcPr>
          <w:p>
            <w:pPr>
              <w:ind w:left="520"/>
              <w:spacing w:after="0"/>
              <w:rPr>
                <w:sz w:val="20"/>
                <w:szCs w:val="20"/>
                <w:color w:val="auto"/>
              </w:rPr>
            </w:pPr>
            <w:r>
              <w:rPr>
                <w:rFonts w:ascii="Arial" w:cs="Arial" w:eastAsia="Arial" w:hAnsi="Arial"/>
                <w:sz w:val="18"/>
                <w:szCs w:val="18"/>
                <w:color w:val="auto"/>
              </w:rPr>
              <w:t>Irons</w:t>
            </w:r>
          </w:p>
        </w:tc>
        <w:tc>
          <w:tcPr>
            <w:tcW w:w="2180" w:type="dxa"/>
            <w:vAlign w:val="bottom"/>
          </w:tcPr>
          <w:p>
            <w:pPr>
              <w:ind w:left="480"/>
              <w:spacing w:after="0"/>
              <w:rPr>
                <w:sz w:val="20"/>
                <w:szCs w:val="20"/>
                <w:color w:val="auto"/>
              </w:rPr>
            </w:pPr>
            <w:r>
              <w:rPr>
                <w:rFonts w:ascii="Arial" w:cs="Arial" w:eastAsia="Arial" w:hAnsi="Arial"/>
                <w:sz w:val="18"/>
                <w:szCs w:val="18"/>
                <w:color w:val="auto"/>
              </w:rPr>
              <w:t>Travel gear</w:t>
            </w:r>
          </w:p>
        </w:tc>
      </w:tr>
      <w:tr>
        <w:trPr>
          <w:trHeight w:val="216"/>
        </w:trPr>
        <w:tc>
          <w:tcPr>
            <w:tcW w:w="2240" w:type="dxa"/>
            <w:vAlign w:val="bottom"/>
          </w:tcPr>
          <w:p>
            <w:pPr>
              <w:spacing w:after="0"/>
              <w:rPr>
                <w:sz w:val="20"/>
                <w:szCs w:val="20"/>
                <w:color w:val="auto"/>
              </w:rPr>
            </w:pPr>
            <w:r>
              <w:rPr>
                <w:rFonts w:ascii="Arial" w:cs="Arial" w:eastAsia="Arial" w:hAnsi="Arial"/>
                <w:sz w:val="18"/>
                <w:szCs w:val="18"/>
                <w:color w:val="auto"/>
              </w:rPr>
              <w:t>DT TruSoft</w:t>
            </w:r>
          </w:p>
        </w:tc>
        <w:tc>
          <w:tcPr>
            <w:tcW w:w="2800" w:type="dxa"/>
            <w:vAlign w:val="bottom"/>
          </w:tcPr>
          <w:p>
            <w:pPr>
              <w:ind w:left="520"/>
              <w:spacing w:after="0"/>
              <w:rPr>
                <w:sz w:val="20"/>
                <w:szCs w:val="20"/>
                <w:color w:val="auto"/>
              </w:rPr>
            </w:pPr>
            <w:r>
              <w:rPr>
                <w:rFonts w:ascii="Arial" w:cs="Arial" w:eastAsia="Arial" w:hAnsi="Arial"/>
                <w:sz w:val="18"/>
                <w:szCs w:val="18"/>
                <w:color w:val="auto"/>
              </w:rPr>
              <w:t>Vokey Design wedges</w:t>
            </w:r>
          </w:p>
        </w:tc>
        <w:tc>
          <w:tcPr>
            <w:tcW w:w="2180" w:type="dxa"/>
            <w:vAlign w:val="bottom"/>
          </w:tcPr>
          <w:p>
            <w:pPr>
              <w:ind w:left="480"/>
              <w:spacing w:after="0"/>
              <w:rPr>
                <w:sz w:val="20"/>
                <w:szCs w:val="20"/>
                <w:color w:val="auto"/>
              </w:rPr>
            </w:pPr>
            <w:r>
              <w:rPr>
                <w:rFonts w:ascii="Arial" w:cs="Arial" w:eastAsia="Arial" w:hAnsi="Arial"/>
                <w:sz w:val="18"/>
                <w:szCs w:val="18"/>
                <w:color w:val="auto"/>
              </w:rPr>
              <w:t>Head covers</w:t>
            </w:r>
          </w:p>
        </w:tc>
      </w:tr>
      <w:tr>
        <w:trPr>
          <w:trHeight w:val="230"/>
        </w:trPr>
        <w:tc>
          <w:tcPr>
            <w:tcW w:w="2240" w:type="dxa"/>
            <w:vAlign w:val="bottom"/>
          </w:tcPr>
          <w:p>
            <w:pPr>
              <w:spacing w:after="0"/>
              <w:rPr>
                <w:sz w:val="20"/>
                <w:szCs w:val="20"/>
                <w:color w:val="auto"/>
              </w:rPr>
            </w:pPr>
            <w:r>
              <w:rPr>
                <w:rFonts w:ascii="Arial" w:cs="Arial" w:eastAsia="Arial" w:hAnsi="Arial"/>
                <w:sz w:val="18"/>
                <w:szCs w:val="18"/>
                <w:color w:val="auto"/>
              </w:rPr>
              <w:t>Pinnacle</w:t>
            </w:r>
          </w:p>
        </w:tc>
        <w:tc>
          <w:tcPr>
            <w:tcW w:w="2800" w:type="dxa"/>
            <w:vAlign w:val="bottom"/>
          </w:tcPr>
          <w:p>
            <w:pPr>
              <w:ind w:left="520"/>
              <w:spacing w:after="0"/>
              <w:rPr>
                <w:sz w:val="20"/>
                <w:szCs w:val="20"/>
                <w:color w:val="auto"/>
              </w:rPr>
            </w:pPr>
            <w:r>
              <w:rPr>
                <w:rFonts w:ascii="Arial" w:cs="Arial" w:eastAsia="Arial" w:hAnsi="Arial"/>
                <w:sz w:val="18"/>
                <w:szCs w:val="18"/>
                <w:color w:val="auto"/>
              </w:rPr>
              <w:t>Scotty Cameron putters</w:t>
            </w:r>
          </w:p>
        </w:tc>
        <w:tc>
          <w:tcPr>
            <w:tcW w:w="2180" w:type="dxa"/>
            <w:vAlign w:val="bottom"/>
          </w:tcPr>
          <w:p>
            <w:pPr>
              <w:ind w:left="480"/>
              <w:spacing w:after="0"/>
              <w:rPr>
                <w:sz w:val="20"/>
                <w:szCs w:val="20"/>
                <w:color w:val="auto"/>
              </w:rPr>
            </w:pPr>
            <w:r>
              <w:rPr>
                <w:rFonts w:ascii="Arial" w:cs="Arial" w:eastAsia="Arial" w:hAnsi="Arial"/>
                <w:sz w:val="18"/>
                <w:szCs w:val="18"/>
                <w:color w:val="auto"/>
              </w:rPr>
              <w:t>Other golf gear</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2081530</wp:posOffset>
            </wp:positionH>
            <wp:positionV relativeFrom="paragraph">
              <wp:posOffset>0</wp:posOffset>
            </wp:positionV>
            <wp:extent cx="1560830" cy="4114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560830" cy="4114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tbl>
      <w:tblPr>
        <w:tblLayout w:type="fixed"/>
        <w:tblInd w:w="700" w:type="dxa"/>
        <w:tblCellMar>
          <w:top w:w="0" w:type="dxa"/>
          <w:left w:w="0" w:type="dxa"/>
          <w:bottom w:w="0" w:type="dxa"/>
          <w:right w:w="0" w:type="dxa"/>
        </w:tblCellMar>
      </w:tblPr>
      <w:tr>
        <w:trPr>
          <w:trHeight w:val="230"/>
        </w:trPr>
        <w:tc>
          <w:tcPr>
            <w:tcW w:w="2180" w:type="dxa"/>
            <w:vAlign w:val="bottom"/>
          </w:tcPr>
          <w:p>
            <w:pPr>
              <w:ind w:left="520"/>
              <w:spacing w:after="0"/>
              <w:rPr>
                <w:sz w:val="20"/>
                <w:szCs w:val="20"/>
                <w:color w:val="auto"/>
              </w:rPr>
            </w:pPr>
            <w:r>
              <w:rPr>
                <w:rFonts w:ascii="Arial" w:cs="Arial" w:eastAsia="Arial" w:hAnsi="Arial"/>
                <w:sz w:val="18"/>
                <w:szCs w:val="18"/>
                <w:b w:val="1"/>
                <w:bCs w:val="1"/>
                <w:i w:val="1"/>
                <w:iCs w:val="1"/>
                <w:color w:val="auto"/>
              </w:rPr>
              <w:t>FootJoy Shoes</w:t>
            </w:r>
          </w:p>
        </w:tc>
        <w:tc>
          <w:tcPr>
            <w:tcW w:w="2980" w:type="dxa"/>
            <w:vAlign w:val="bottom"/>
          </w:tcPr>
          <w:p>
            <w:pPr>
              <w:ind w:left="1060"/>
              <w:spacing w:after="0"/>
              <w:rPr>
                <w:sz w:val="20"/>
                <w:szCs w:val="20"/>
                <w:color w:val="auto"/>
              </w:rPr>
            </w:pPr>
            <w:r>
              <w:rPr>
                <w:rFonts w:ascii="Arial" w:cs="Arial" w:eastAsia="Arial" w:hAnsi="Arial"/>
                <w:sz w:val="18"/>
                <w:szCs w:val="18"/>
                <w:b w:val="1"/>
                <w:bCs w:val="1"/>
                <w:i w:val="1"/>
                <w:iCs w:val="1"/>
                <w:color w:val="auto"/>
              </w:rPr>
              <w:t>FootJoy Gloves</w:t>
            </w:r>
          </w:p>
        </w:tc>
        <w:tc>
          <w:tcPr>
            <w:tcW w:w="2600" w:type="dxa"/>
            <w:vAlign w:val="bottom"/>
          </w:tcPr>
          <w:p>
            <w:pPr>
              <w:ind w:left="200"/>
              <w:spacing w:after="0"/>
              <w:rPr>
                <w:sz w:val="20"/>
                <w:szCs w:val="20"/>
                <w:color w:val="auto"/>
              </w:rPr>
            </w:pPr>
            <w:r>
              <w:rPr>
                <w:rFonts w:ascii="Arial" w:cs="Arial" w:eastAsia="Arial" w:hAnsi="Arial"/>
                <w:sz w:val="18"/>
                <w:szCs w:val="18"/>
                <w:b w:val="1"/>
                <w:bCs w:val="1"/>
                <w:i w:val="1"/>
                <w:iCs w:val="1"/>
                <w:color w:val="auto"/>
                <w:w w:val="87"/>
              </w:rPr>
              <w:t>FootJoy Outerwear and Apparel</w:t>
            </w:r>
          </w:p>
        </w:tc>
      </w:tr>
      <w:tr>
        <w:trPr>
          <w:trHeight w:val="418"/>
        </w:trPr>
        <w:tc>
          <w:tcPr>
            <w:tcW w:w="2180" w:type="dxa"/>
            <w:vAlign w:val="bottom"/>
          </w:tcPr>
          <w:p>
            <w:pPr>
              <w:spacing w:after="0"/>
              <w:rPr>
                <w:sz w:val="20"/>
                <w:szCs w:val="20"/>
                <w:color w:val="auto"/>
              </w:rPr>
            </w:pPr>
            <w:r>
              <w:rPr>
                <w:rFonts w:ascii="Arial" w:cs="Arial" w:eastAsia="Arial" w:hAnsi="Arial"/>
                <w:sz w:val="18"/>
                <w:szCs w:val="18"/>
                <w:color w:val="auto"/>
              </w:rPr>
              <w:t>Traditional</w:t>
            </w:r>
          </w:p>
        </w:tc>
        <w:tc>
          <w:tcPr>
            <w:tcW w:w="2980" w:type="dxa"/>
            <w:vAlign w:val="bottom"/>
          </w:tcPr>
          <w:p>
            <w:pPr>
              <w:ind w:left="580"/>
              <w:spacing w:after="0"/>
              <w:rPr>
                <w:sz w:val="20"/>
                <w:szCs w:val="20"/>
                <w:color w:val="auto"/>
              </w:rPr>
            </w:pPr>
            <w:r>
              <w:rPr>
                <w:rFonts w:ascii="Arial" w:cs="Arial" w:eastAsia="Arial" w:hAnsi="Arial"/>
                <w:sz w:val="18"/>
                <w:szCs w:val="18"/>
                <w:color w:val="auto"/>
              </w:rPr>
              <w:t>Leather construction</w:t>
            </w:r>
          </w:p>
        </w:tc>
        <w:tc>
          <w:tcPr>
            <w:tcW w:w="2600" w:type="dxa"/>
            <w:vAlign w:val="bottom"/>
          </w:tcPr>
          <w:p>
            <w:pPr>
              <w:ind w:left="360"/>
              <w:spacing w:after="0"/>
              <w:rPr>
                <w:sz w:val="20"/>
                <w:szCs w:val="20"/>
                <w:color w:val="auto"/>
              </w:rPr>
            </w:pPr>
            <w:r>
              <w:rPr>
                <w:rFonts w:ascii="Arial" w:cs="Arial" w:eastAsia="Arial" w:hAnsi="Arial"/>
                <w:sz w:val="18"/>
                <w:szCs w:val="18"/>
                <w:color w:val="auto"/>
              </w:rPr>
              <w:t>Performance outerwear</w:t>
            </w:r>
          </w:p>
        </w:tc>
      </w:tr>
      <w:tr>
        <w:trPr>
          <w:trHeight w:val="216"/>
        </w:trPr>
        <w:tc>
          <w:tcPr>
            <w:tcW w:w="2180" w:type="dxa"/>
            <w:vAlign w:val="bottom"/>
          </w:tcPr>
          <w:p>
            <w:pPr>
              <w:spacing w:after="0"/>
              <w:rPr>
                <w:sz w:val="20"/>
                <w:szCs w:val="20"/>
                <w:color w:val="auto"/>
              </w:rPr>
            </w:pPr>
            <w:r>
              <w:rPr>
                <w:rFonts w:ascii="Arial" w:cs="Arial" w:eastAsia="Arial" w:hAnsi="Arial"/>
                <w:sz w:val="18"/>
                <w:szCs w:val="18"/>
                <w:color w:val="auto"/>
              </w:rPr>
              <w:t>Spikeless</w:t>
            </w:r>
          </w:p>
        </w:tc>
        <w:tc>
          <w:tcPr>
            <w:tcW w:w="2980" w:type="dxa"/>
            <w:vAlign w:val="bottom"/>
          </w:tcPr>
          <w:p>
            <w:pPr>
              <w:ind w:left="580"/>
              <w:spacing w:after="0"/>
              <w:rPr>
                <w:sz w:val="20"/>
                <w:szCs w:val="20"/>
                <w:color w:val="auto"/>
              </w:rPr>
            </w:pPr>
            <w:r>
              <w:rPr>
                <w:rFonts w:ascii="Arial" w:cs="Arial" w:eastAsia="Arial" w:hAnsi="Arial"/>
                <w:sz w:val="18"/>
                <w:szCs w:val="18"/>
                <w:color w:val="auto"/>
              </w:rPr>
              <w:t>Synthetic</w:t>
            </w:r>
          </w:p>
        </w:tc>
        <w:tc>
          <w:tcPr>
            <w:tcW w:w="2600" w:type="dxa"/>
            <w:vAlign w:val="bottom"/>
          </w:tcPr>
          <w:p>
            <w:pPr>
              <w:ind w:left="360"/>
              <w:spacing w:after="0"/>
              <w:rPr>
                <w:sz w:val="20"/>
                <w:szCs w:val="20"/>
                <w:color w:val="auto"/>
              </w:rPr>
            </w:pPr>
            <w:r>
              <w:rPr>
                <w:rFonts w:ascii="Arial" w:cs="Arial" w:eastAsia="Arial" w:hAnsi="Arial"/>
                <w:sz w:val="18"/>
                <w:szCs w:val="18"/>
                <w:color w:val="auto"/>
              </w:rPr>
              <w:t>Performance golf apparel</w:t>
            </w:r>
          </w:p>
        </w:tc>
      </w:tr>
      <w:tr>
        <w:trPr>
          <w:trHeight w:val="216"/>
        </w:trPr>
        <w:tc>
          <w:tcPr>
            <w:tcW w:w="2180" w:type="dxa"/>
            <w:vAlign w:val="bottom"/>
          </w:tcPr>
          <w:p>
            <w:pPr>
              <w:spacing w:after="0"/>
              <w:rPr>
                <w:sz w:val="20"/>
                <w:szCs w:val="20"/>
                <w:color w:val="auto"/>
              </w:rPr>
            </w:pPr>
            <w:r>
              <w:rPr>
                <w:rFonts w:ascii="Arial" w:cs="Arial" w:eastAsia="Arial" w:hAnsi="Arial"/>
                <w:sz w:val="18"/>
                <w:szCs w:val="18"/>
                <w:color w:val="auto"/>
              </w:rPr>
              <w:t>Athletic</w:t>
            </w:r>
          </w:p>
        </w:tc>
        <w:tc>
          <w:tcPr>
            <w:tcW w:w="2980" w:type="dxa"/>
            <w:vAlign w:val="bottom"/>
          </w:tcPr>
          <w:p>
            <w:pPr>
              <w:ind w:left="580"/>
              <w:spacing w:after="0"/>
              <w:rPr>
                <w:sz w:val="20"/>
                <w:szCs w:val="20"/>
                <w:color w:val="auto"/>
              </w:rPr>
            </w:pPr>
            <w:r>
              <w:rPr>
                <w:rFonts w:ascii="Arial" w:cs="Arial" w:eastAsia="Arial" w:hAnsi="Arial"/>
                <w:sz w:val="18"/>
                <w:szCs w:val="18"/>
                <w:color w:val="auto"/>
                <w:w w:val="99"/>
              </w:rPr>
              <w:t>Leather/synthetic combination</w:t>
            </w:r>
          </w:p>
        </w:tc>
        <w:tc>
          <w:tcPr>
            <w:tcW w:w="2600" w:type="dxa"/>
            <w:vAlign w:val="bottom"/>
          </w:tcPr>
          <w:p>
            <w:pPr>
              <w:ind w:left="360"/>
              <w:spacing w:after="0"/>
              <w:rPr>
                <w:sz w:val="20"/>
                <w:szCs w:val="20"/>
                <w:color w:val="auto"/>
              </w:rPr>
            </w:pPr>
            <w:r>
              <w:rPr>
                <w:rFonts w:ascii="Arial" w:cs="Arial" w:eastAsia="Arial" w:hAnsi="Arial"/>
                <w:sz w:val="18"/>
                <w:szCs w:val="18"/>
                <w:color w:val="auto"/>
                <w:w w:val="97"/>
              </w:rPr>
              <w:t>Golfleisure women’s apparel</w:t>
            </w:r>
          </w:p>
        </w:tc>
      </w:tr>
      <w:tr>
        <w:trPr>
          <w:trHeight w:val="230"/>
        </w:trPr>
        <w:tc>
          <w:tcPr>
            <w:tcW w:w="2180" w:type="dxa"/>
            <w:vAlign w:val="bottom"/>
          </w:tcPr>
          <w:p>
            <w:pPr>
              <w:spacing w:after="0"/>
              <w:rPr>
                <w:sz w:val="20"/>
                <w:szCs w:val="20"/>
                <w:color w:val="auto"/>
              </w:rPr>
            </w:pPr>
            <w:r>
              <w:rPr>
                <w:rFonts w:ascii="Arial" w:cs="Arial" w:eastAsia="Arial" w:hAnsi="Arial"/>
                <w:sz w:val="18"/>
                <w:szCs w:val="18"/>
                <w:color w:val="auto"/>
              </w:rPr>
              <w:t>Casual</w:t>
            </w:r>
          </w:p>
        </w:tc>
        <w:tc>
          <w:tcPr>
            <w:tcW w:w="2980" w:type="dxa"/>
            <w:vAlign w:val="bottom"/>
          </w:tcPr>
          <w:p>
            <w:pPr>
              <w:ind w:left="580"/>
              <w:spacing w:after="0"/>
              <w:rPr>
                <w:sz w:val="20"/>
                <w:szCs w:val="20"/>
                <w:color w:val="auto"/>
              </w:rPr>
            </w:pPr>
            <w:r>
              <w:rPr>
                <w:rFonts w:ascii="Arial" w:cs="Arial" w:eastAsia="Arial" w:hAnsi="Arial"/>
                <w:sz w:val="18"/>
                <w:szCs w:val="18"/>
                <w:color w:val="auto"/>
              </w:rPr>
              <w:t>Specialty</w:t>
            </w:r>
          </w:p>
        </w:tc>
        <w:tc>
          <w:tcPr>
            <w:tcW w:w="2600" w:type="dxa"/>
            <w:vAlign w:val="bottom"/>
          </w:tcPr>
          <w:p>
            <w:pPr>
              <w:spacing w:after="0"/>
              <w:rPr>
                <w:sz w:val="20"/>
                <w:szCs w:val="20"/>
                <w:color w:val="auto"/>
              </w:rPr>
            </w:pPr>
          </w:p>
        </w:tc>
      </w:tr>
      <w:tr>
        <w:trPr>
          <w:trHeight w:val="419"/>
        </w:trPr>
        <w:tc>
          <w:tcPr>
            <w:tcW w:w="2180" w:type="dxa"/>
            <w:vAlign w:val="bottom"/>
          </w:tcPr>
          <w:p>
            <w:pPr>
              <w:ind w:left="340"/>
              <w:spacing w:after="0"/>
              <w:rPr>
                <w:sz w:val="20"/>
                <w:szCs w:val="20"/>
                <w:color w:val="auto"/>
              </w:rPr>
            </w:pPr>
            <w:r>
              <w:rPr>
                <w:rFonts w:ascii="Arial" w:cs="Arial" w:eastAsia="Arial" w:hAnsi="Arial"/>
                <w:sz w:val="18"/>
                <w:szCs w:val="18"/>
                <w:b w:val="1"/>
                <w:bCs w:val="1"/>
                <w:color w:val="auto"/>
              </w:rPr>
              <w:t>Titleist</w:t>
            </w:r>
          </w:p>
        </w:tc>
        <w:tc>
          <w:tcPr>
            <w:tcW w:w="2980" w:type="dxa"/>
            <w:vAlign w:val="bottom"/>
          </w:tcPr>
          <w:p>
            <w:pPr>
              <w:spacing w:after="0"/>
              <w:rPr>
                <w:sz w:val="24"/>
                <w:szCs w:val="24"/>
                <w:color w:val="auto"/>
              </w:rPr>
            </w:pPr>
          </w:p>
        </w:tc>
        <w:tc>
          <w:tcPr>
            <w:tcW w:w="2600" w:type="dxa"/>
            <w:vAlign w:val="bottom"/>
          </w:tcPr>
          <w:p>
            <w:pPr>
              <w:spacing w:after="0"/>
              <w:rPr>
                <w:sz w:val="24"/>
                <w:szCs w:val="24"/>
                <w:color w:val="auto"/>
              </w:rPr>
            </w:pPr>
          </w:p>
        </w:tc>
      </w:tr>
    </w:tbl>
    <w:p>
      <w:pPr>
        <w:spacing w:after="0" w:line="202" w:lineRule="exact"/>
        <w:rPr>
          <w:sz w:val="20"/>
          <w:szCs w:val="20"/>
          <w:color w:val="auto"/>
        </w:rPr>
      </w:pPr>
    </w:p>
    <w:p>
      <w:pPr>
        <w:ind w:left="380" w:right="399" w:firstLine="648"/>
        <w:spacing w:after="0" w:line="259" w:lineRule="auto"/>
        <w:rPr>
          <w:sz w:val="20"/>
          <w:szCs w:val="20"/>
          <w:color w:val="auto"/>
        </w:rPr>
      </w:pPr>
      <w:r>
        <w:rPr>
          <w:rFonts w:ascii="Arial" w:cs="Arial" w:eastAsia="Arial" w:hAnsi="Arial"/>
          <w:sz w:val="18"/>
          <w:szCs w:val="18"/>
          <w:color w:val="auto"/>
        </w:rPr>
        <w:t>We design, manufacture and sell golf balls, golf clubs, wedges and putters and golf gear under the Titleist brand. Net sales of Titleist products for the years ended December 31, 2017, 2016 and 2015 were $1,122.8 million, $1,139.2 million, and $1,084.1 million, respectively, in each case approximately 72% of our total net sales.</w:t>
      </w:r>
    </w:p>
    <w:p>
      <w:pPr>
        <w:spacing w:after="0" w:line="187" w:lineRule="exact"/>
        <w:rPr>
          <w:sz w:val="20"/>
          <w:szCs w:val="20"/>
          <w:color w:val="auto"/>
        </w:rPr>
      </w:pPr>
    </w:p>
    <w:p>
      <w:pPr>
        <w:ind w:left="1040"/>
        <w:spacing w:after="0"/>
        <w:rPr>
          <w:sz w:val="20"/>
          <w:szCs w:val="20"/>
          <w:color w:val="auto"/>
        </w:rPr>
      </w:pPr>
      <w:r>
        <w:rPr>
          <w:rFonts w:ascii="Arial" w:cs="Arial" w:eastAsia="Arial" w:hAnsi="Arial"/>
          <w:sz w:val="18"/>
          <w:szCs w:val="18"/>
          <w:b w:val="1"/>
          <w:bCs w:val="1"/>
          <w:i w:val="1"/>
          <w:iCs w:val="1"/>
          <w:color w:val="auto"/>
        </w:rPr>
        <w:t>Titleist Golf Balls</w:t>
      </w:r>
    </w:p>
    <w:p>
      <w:pPr>
        <w:spacing w:after="0" w:line="225" w:lineRule="exact"/>
        <w:rPr>
          <w:sz w:val="20"/>
          <w:szCs w:val="20"/>
          <w:color w:val="auto"/>
        </w:rPr>
      </w:pPr>
    </w:p>
    <w:p>
      <w:pPr>
        <w:ind w:left="380" w:right="379" w:firstLine="648"/>
        <w:spacing w:after="0" w:line="218" w:lineRule="exact"/>
        <w:rPr>
          <w:sz w:val="20"/>
          <w:szCs w:val="20"/>
          <w:color w:val="auto"/>
        </w:rPr>
      </w:pPr>
      <w:r>
        <w:rPr>
          <w:rFonts w:ascii="Arial" w:cs="Arial" w:eastAsia="Arial" w:hAnsi="Arial"/>
          <w:sz w:val="17"/>
          <w:szCs w:val="17"/>
          <w:color w:val="auto"/>
        </w:rPr>
        <w:t>Titleist is the #1 ball in golf. The Titleist golf ball was founded with a purpose of designing and manufacturing a performance oriented, high quality golf ball that was superior to all other products available in the market. We believe the golf ball is the most important piece of equipment in the game, as it is the only piece of equipment used by every player for every shot. The golf ball is also the most important category for us as it generates the largest portion of our sales and profits. Since its introduction in 2000, the Titleist Pro V1 has been the best</w:t>
      </w:r>
      <w:r>
        <w:rPr>
          <w:rFonts w:ascii="MS PGothic" w:cs="MS PGothic" w:eastAsia="MS PGothic" w:hAnsi="MS PGothic"/>
          <w:sz w:val="17"/>
          <w:szCs w:val="17"/>
          <w:color w:val="auto"/>
        </w:rPr>
        <w:t>‑</w:t>
      </w:r>
      <w:r>
        <w:rPr>
          <w:rFonts w:ascii="Arial" w:cs="Arial" w:eastAsia="Arial" w:hAnsi="Arial"/>
          <w:sz w:val="17"/>
          <w:szCs w:val="17"/>
          <w:color w:val="auto"/>
        </w:rPr>
        <w:t>selling golf ball globally and continues to set the bar in terms of product design, quality and performance. We also design, manufacture and sell other golf balls under the Titleist brand, such as Tour Soft, Velocity and DT TruSoft, as well as under the Pinnacle brand. We have continually improved our golf balls through innovation in materials, construction and manufacturing processes, which has enabled us to build the #1 golf ball franchise in the world.</w:t>
      </w:r>
    </w:p>
    <w:p>
      <w:pPr>
        <w:spacing w:after="0" w:line="202" w:lineRule="exact"/>
        <w:rPr>
          <w:sz w:val="20"/>
          <w:szCs w:val="20"/>
          <w:color w:val="auto"/>
        </w:rPr>
      </w:pPr>
    </w:p>
    <w:p>
      <w:pPr>
        <w:jc w:val="both"/>
        <w:ind w:left="380" w:right="379" w:firstLine="648"/>
        <w:spacing w:after="0" w:line="264" w:lineRule="auto"/>
        <w:rPr>
          <w:sz w:val="20"/>
          <w:szCs w:val="20"/>
          <w:color w:val="auto"/>
        </w:rPr>
      </w:pPr>
      <w:r>
        <w:rPr>
          <w:rFonts w:ascii="Arial" w:cs="Arial" w:eastAsia="Arial" w:hAnsi="Arial"/>
          <w:sz w:val="18"/>
          <w:szCs w:val="18"/>
          <w:color w:val="auto"/>
        </w:rPr>
        <w:t>Pro V1 and Pro V1x are designed to be the highest performing and highest quality golf balls for golfers at every level of the game and best demonstrate Titleist’s design, innovation and technology leadership. The first Pro V1 golf ball</w:t>
      </w:r>
    </w:p>
    <w:p>
      <w:pPr>
        <w:spacing w:after="0" w:line="179"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9" w:name="page10"/>
    <w:bookmarkEnd w:id="9"/>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380" w:right="439"/>
        <w:spacing w:after="0" w:line="217" w:lineRule="exact"/>
        <w:rPr>
          <w:sz w:val="20"/>
          <w:szCs w:val="20"/>
          <w:color w:val="auto"/>
        </w:rPr>
      </w:pPr>
      <w:r>
        <w:rPr>
          <w:rFonts w:ascii="Arial" w:cs="Arial" w:eastAsia="Arial" w:hAnsi="Arial"/>
          <w:sz w:val="16"/>
          <w:szCs w:val="16"/>
          <w:color w:val="auto"/>
        </w:rPr>
        <w:t>was introduced on the PGA Tour in October 2000 and launched to the consumer market in December 2000. It represented the coalescence of three of Titleist’s industry leading technologies: large solid core; multi</w:t>
      </w:r>
      <w:r>
        <w:rPr>
          <w:rFonts w:ascii="MS PGothic" w:cs="MS PGothic" w:eastAsia="MS PGothic" w:hAnsi="MS PGothic"/>
          <w:sz w:val="16"/>
          <w:szCs w:val="16"/>
          <w:color w:val="auto"/>
        </w:rPr>
        <w:t>‑</w:t>
      </w:r>
      <w:r>
        <w:rPr>
          <w:rFonts w:ascii="Arial" w:cs="Arial" w:eastAsia="Arial" w:hAnsi="Arial"/>
          <w:sz w:val="16"/>
          <w:szCs w:val="16"/>
          <w:color w:val="auto"/>
        </w:rPr>
        <w:t>component construction; and high performance, thermoset cast urethane elastomer covers. In its first four months, the Pro V1 golf ball became the best</w:t>
      </w:r>
      <w:r>
        <w:rPr>
          <w:rFonts w:ascii="MS PGothic" w:cs="MS PGothic" w:eastAsia="MS PGothic" w:hAnsi="MS PGothic"/>
          <w:sz w:val="16"/>
          <w:szCs w:val="16"/>
          <w:color w:val="auto"/>
        </w:rPr>
        <w:t>‑</w:t>
      </w:r>
      <w:r>
        <w:rPr>
          <w:rFonts w:ascii="Arial" w:cs="Arial" w:eastAsia="Arial" w:hAnsi="Arial"/>
          <w:sz w:val="16"/>
          <w:szCs w:val="16"/>
          <w:color w:val="auto"/>
        </w:rPr>
        <w:t>selling golf ball and holds that position to this day. During this time, we also set out to create a ball that produced lower driver spin and higher launch characteristics than the Pro V1 while retaining its high performance scoring spin. With its four</w:t>
      </w:r>
      <w:r>
        <w:rPr>
          <w:rFonts w:ascii="MS PGothic" w:cs="MS PGothic" w:eastAsia="MS PGothic" w:hAnsi="MS PGothic"/>
          <w:sz w:val="16"/>
          <w:szCs w:val="16"/>
          <w:color w:val="auto"/>
        </w:rPr>
        <w:t>‑</w:t>
      </w:r>
      <w:r>
        <w:rPr>
          <w:rFonts w:ascii="Arial" w:cs="Arial" w:eastAsia="Arial" w:hAnsi="Arial"/>
          <w:sz w:val="16"/>
          <w:szCs w:val="16"/>
          <w:color w:val="auto"/>
        </w:rPr>
        <w:t>piece, dual core design, the first Pro V1x golf ball was introduced in 2003. In 2017, we launched new versions of the Pro V1 and Pro V1x. The New Pro V1 is designed to offer significantly longer distance from faster ball speed and lower long game spin. Advancements in aerodynamics for both Pro V1 and Pro V1x are designed to produce even more consistent flight. We believe these improvements, along with benefits such as our renowned Drop-and-Stop control, soft feel and long lasting durability, make Pro V1 and Pro V1x golf balls the best performance choice for all golfers. We also provide best</w:t>
      </w:r>
      <w:r>
        <w:rPr>
          <w:rFonts w:ascii="MS PGothic" w:cs="MS PGothic" w:eastAsia="MS PGothic" w:hAnsi="MS PGothic"/>
          <w:sz w:val="16"/>
          <w:szCs w:val="16"/>
          <w:color w:val="auto"/>
        </w:rPr>
        <w:t>‑</w:t>
      </w:r>
      <w:r>
        <w:rPr>
          <w:rFonts w:ascii="Arial" w:cs="Arial" w:eastAsia="Arial" w:hAnsi="Arial"/>
          <w:sz w:val="16"/>
          <w:szCs w:val="16"/>
          <w:color w:val="auto"/>
        </w:rPr>
        <w:t>in</w:t>
      </w:r>
      <w:r>
        <w:rPr>
          <w:rFonts w:ascii="MS PGothic" w:cs="MS PGothic" w:eastAsia="MS PGothic" w:hAnsi="MS PGothic"/>
          <w:sz w:val="16"/>
          <w:szCs w:val="16"/>
          <w:color w:val="auto"/>
        </w:rPr>
        <w:t>‑</w:t>
      </w:r>
      <w:r>
        <w:rPr>
          <w:rFonts w:ascii="Arial" w:cs="Arial" w:eastAsia="Arial" w:hAnsi="Arial"/>
          <w:sz w:val="16"/>
          <w:szCs w:val="16"/>
          <w:color w:val="auto"/>
        </w:rPr>
        <w:t>class performance with the Tour Soft, Velocity and DT TruSoft models.</w:t>
      </w:r>
    </w:p>
    <w:p>
      <w:pPr>
        <w:spacing w:after="0" w:line="206" w:lineRule="exact"/>
        <w:rPr>
          <w:sz w:val="20"/>
          <w:szCs w:val="20"/>
          <w:color w:val="auto"/>
        </w:rPr>
      </w:pPr>
    </w:p>
    <w:p>
      <w:pPr>
        <w:ind w:left="380" w:right="419" w:firstLine="648"/>
        <w:spacing w:after="0" w:line="255" w:lineRule="auto"/>
        <w:rPr>
          <w:sz w:val="20"/>
          <w:szCs w:val="20"/>
          <w:color w:val="auto"/>
        </w:rPr>
      </w:pPr>
      <w:r>
        <w:rPr>
          <w:rFonts w:ascii="Arial" w:cs="Arial" w:eastAsia="Arial" w:hAnsi="Arial"/>
          <w:sz w:val="18"/>
          <w:szCs w:val="18"/>
          <w:color w:val="auto"/>
        </w:rPr>
        <w:t>With two major models, Rush and Soft, Pinnacle golf balls are also available in different optic colors and play numbers. Our Pinnacle Brand competes in the price market segment, which allows the Titleist brand to focus on the premium performance and performance market segments and reduces the need to extend the Titleist brand to the price market segment. This also helps to support the thousands of golf shops that choose to exclusively stock Titleist and Pinnacle golf balls, allowing them to offer golf balls in each market segment which market segments we discussed and defined below.</w:t>
      </w:r>
    </w:p>
    <w:p>
      <w:pPr>
        <w:spacing w:after="0" w:line="193" w:lineRule="exact"/>
        <w:rPr>
          <w:sz w:val="20"/>
          <w:szCs w:val="20"/>
          <w:color w:val="auto"/>
        </w:rPr>
      </w:pPr>
    </w:p>
    <w:p>
      <w:pPr>
        <w:ind w:left="1040"/>
        <w:spacing w:after="0"/>
        <w:rPr>
          <w:sz w:val="20"/>
          <w:szCs w:val="20"/>
          <w:color w:val="auto"/>
        </w:rPr>
      </w:pPr>
      <w:r>
        <w:rPr>
          <w:rFonts w:ascii="Arial" w:cs="Arial" w:eastAsia="Arial" w:hAnsi="Arial"/>
          <w:sz w:val="17"/>
          <w:szCs w:val="17"/>
          <w:color w:val="auto"/>
        </w:rPr>
        <w:t>Titleist and Pinnacle golf balls accounted for $512.0 million, or 33%, $513.9 million, or 33%, and</w:t>
      </w:r>
    </w:p>
    <w:p>
      <w:pPr>
        <w:spacing w:after="0" w:line="35" w:lineRule="exact"/>
        <w:rPr>
          <w:sz w:val="20"/>
          <w:szCs w:val="20"/>
          <w:color w:val="auto"/>
        </w:rPr>
      </w:pPr>
    </w:p>
    <w:p>
      <w:pPr>
        <w:ind w:left="380"/>
        <w:spacing w:after="0"/>
        <w:rPr>
          <w:sz w:val="20"/>
          <w:szCs w:val="20"/>
          <w:color w:val="auto"/>
        </w:rPr>
      </w:pPr>
      <w:r>
        <w:rPr>
          <w:rFonts w:ascii="Arial" w:cs="Arial" w:eastAsia="Arial" w:hAnsi="Arial"/>
          <w:sz w:val="16"/>
          <w:szCs w:val="16"/>
          <w:color w:val="auto"/>
        </w:rPr>
        <w:t>$535.5 million, or 36%, of our total net sales for the years ended December 31, 2017, 2016 and 2015, respectively.</w:t>
      </w:r>
    </w:p>
    <w:p>
      <w:pPr>
        <w:spacing w:after="0" w:line="234" w:lineRule="exact"/>
        <w:rPr>
          <w:sz w:val="20"/>
          <w:szCs w:val="20"/>
          <w:color w:val="auto"/>
        </w:rPr>
      </w:pPr>
    </w:p>
    <w:p>
      <w:pPr>
        <w:ind w:left="380" w:right="439" w:firstLine="648"/>
        <w:spacing w:after="0" w:line="255" w:lineRule="auto"/>
        <w:rPr>
          <w:sz w:val="20"/>
          <w:szCs w:val="20"/>
          <w:color w:val="auto"/>
        </w:rPr>
      </w:pPr>
      <w:r>
        <w:rPr>
          <w:rFonts w:ascii="Arial" w:cs="Arial" w:eastAsia="Arial" w:hAnsi="Arial"/>
          <w:sz w:val="18"/>
          <w:szCs w:val="18"/>
          <w:color w:val="auto"/>
        </w:rPr>
        <w:t>We are also a leader in custom imprinted golf balls. This includes printing high quality reproductions of corporate logos, tournament logos, country club or resort logos, and personalization on Titleist and Pinnacle golf balls. Our service includes design capabilities, special packaging options and fast turnaround times. The majority of custom imprinting is done for corporate logos, as there has long been a strong connection between the business community and golf. Custom imprinted golf balls represented over 30% of our global net golf ball sales for the year ended December 31, 2017.</w:t>
      </w:r>
    </w:p>
    <w:p>
      <w:pPr>
        <w:spacing w:after="0" w:line="193" w:lineRule="exact"/>
        <w:rPr>
          <w:sz w:val="20"/>
          <w:szCs w:val="20"/>
          <w:color w:val="auto"/>
        </w:rPr>
      </w:pPr>
    </w:p>
    <w:p>
      <w:pPr>
        <w:ind w:left="1040"/>
        <w:spacing w:after="0"/>
        <w:rPr>
          <w:sz w:val="20"/>
          <w:szCs w:val="20"/>
          <w:color w:val="auto"/>
        </w:rPr>
      </w:pPr>
      <w:r>
        <w:rPr>
          <w:rFonts w:ascii="Arial" w:cs="Arial" w:eastAsia="Arial" w:hAnsi="Arial"/>
          <w:sz w:val="18"/>
          <w:szCs w:val="18"/>
          <w:b w:val="1"/>
          <w:bCs w:val="1"/>
          <w:i w:val="1"/>
          <w:iCs w:val="1"/>
          <w:color w:val="auto"/>
        </w:rPr>
        <w:t>Titleist Golf Clubs, Wedges and Putters</w:t>
      </w:r>
    </w:p>
    <w:p>
      <w:pPr>
        <w:spacing w:after="0" w:line="225" w:lineRule="exact"/>
        <w:rPr>
          <w:sz w:val="20"/>
          <w:szCs w:val="20"/>
          <w:color w:val="auto"/>
        </w:rPr>
      </w:pPr>
    </w:p>
    <w:p>
      <w:pPr>
        <w:ind w:left="380" w:right="459" w:firstLine="648"/>
        <w:spacing w:after="0" w:line="217" w:lineRule="exact"/>
        <w:rPr>
          <w:sz w:val="20"/>
          <w:szCs w:val="20"/>
          <w:color w:val="auto"/>
        </w:rPr>
      </w:pPr>
      <w:r>
        <w:rPr>
          <w:rFonts w:ascii="Arial" w:cs="Arial" w:eastAsia="Arial" w:hAnsi="Arial"/>
          <w:sz w:val="16"/>
          <w:szCs w:val="16"/>
          <w:color w:val="auto"/>
        </w:rPr>
        <w:t>We design, assemble and sell golf clubs (drivers, fairways, hybrids and irons) under the Titleist brand, wedges under the Vokey Design brand and putters under the Scotty Cameron brand. The mission of our golf club business is to design and develop the best performing golf clubs in the world for dedicated golfers. We believe dedicated golfers do not buy brands across categories but seek out best</w:t>
      </w:r>
      <w:r>
        <w:rPr>
          <w:rFonts w:ascii="MS PGothic" w:cs="MS PGothic" w:eastAsia="MS PGothic" w:hAnsi="MS PGothic"/>
          <w:sz w:val="16"/>
          <w:szCs w:val="16"/>
          <w:color w:val="auto"/>
        </w:rPr>
        <w:t>‑</w:t>
      </w:r>
      <w:r>
        <w:rPr>
          <w:rFonts w:ascii="Arial" w:cs="Arial" w:eastAsia="Arial" w:hAnsi="Arial"/>
          <w:sz w:val="16"/>
          <w:szCs w:val="16"/>
          <w:color w:val="auto"/>
        </w:rPr>
        <w:t>in</w:t>
      </w:r>
      <w:r>
        <w:rPr>
          <w:rFonts w:ascii="MS PGothic" w:cs="MS PGothic" w:eastAsia="MS PGothic" w:hAnsi="MS PGothic"/>
          <w:sz w:val="16"/>
          <w:szCs w:val="16"/>
          <w:color w:val="auto"/>
        </w:rPr>
        <w:t>‑</w:t>
      </w:r>
      <w:r>
        <w:rPr>
          <w:rFonts w:ascii="Arial" w:cs="Arial" w:eastAsia="Arial" w:hAnsi="Arial"/>
          <w:sz w:val="16"/>
          <w:szCs w:val="16"/>
          <w:color w:val="auto"/>
        </w:rPr>
        <w:t>class products in each category. This is the reason we have partnered with dedicated engineers and craftsmen such as Bob Vokey and Scotty Cameron, who understand the nuances, subtleties and impact mechanics of their respective golf club categories. Titleist golf clubs, Vokey Design wedges and Scotty Cameron putters are widely used by professional and competitive amateur players, which validates the products’ performance and quality excellence. We are also committed to a leading club fitting and trial platform to maximize dedicated golfers’ performance experience.</w:t>
      </w:r>
    </w:p>
    <w:p>
      <w:pPr>
        <w:spacing w:after="0" w:line="208" w:lineRule="exact"/>
        <w:rPr>
          <w:sz w:val="20"/>
          <w:szCs w:val="20"/>
          <w:color w:val="auto"/>
        </w:rPr>
      </w:pPr>
    </w:p>
    <w:p>
      <w:pPr>
        <w:ind w:left="380" w:right="439" w:firstLine="648"/>
        <w:spacing w:after="0" w:line="218" w:lineRule="exact"/>
        <w:rPr>
          <w:sz w:val="20"/>
          <w:szCs w:val="20"/>
          <w:color w:val="auto"/>
        </w:rPr>
      </w:pPr>
      <w:r>
        <w:rPr>
          <w:rFonts w:ascii="Arial" w:cs="Arial" w:eastAsia="Arial" w:hAnsi="Arial"/>
          <w:sz w:val="17"/>
          <w:szCs w:val="17"/>
          <w:color w:val="auto"/>
        </w:rPr>
        <w:t>We view and operate the Titleist golf club business in three distinct categories: clubs (which includes drivers, fairways, hybrids and irons), wedges and putters. Our products are generally priced at or above the premium price points in the marketplace, driven by higher</w:t>
      </w:r>
      <w:r>
        <w:rPr>
          <w:rFonts w:ascii="MS PGothic" w:cs="MS PGothic" w:eastAsia="MS PGothic" w:hAnsi="MS PGothic"/>
          <w:sz w:val="17"/>
          <w:szCs w:val="17"/>
          <w:color w:val="auto"/>
        </w:rPr>
        <w:t>‑</w:t>
      </w:r>
      <w:r>
        <w:rPr>
          <w:rFonts w:ascii="Arial" w:cs="Arial" w:eastAsia="Arial" w:hAnsi="Arial"/>
          <w:sz w:val="17"/>
          <w:szCs w:val="17"/>
          <w:color w:val="auto"/>
        </w:rPr>
        <w:t>end technologies (including design, materials and processes) we employ to generate superior quality and performance. We have different models within each category to address the distinct performance needs of our dedicated golfer target audience. Titleist golf clubs, wedges and putters accounted for $398.0 million, or 26%, $431.0 million, or 27%, and $388.3 million, or 26%, of our total net sales for the years ended December 31, 2017, 2016 and 2015, respectively.</w:t>
      </w:r>
    </w:p>
    <w:p>
      <w:pPr>
        <w:spacing w:after="0" w:line="206" w:lineRule="exact"/>
        <w:rPr>
          <w:sz w:val="20"/>
          <w:szCs w:val="20"/>
          <w:color w:val="auto"/>
        </w:rPr>
      </w:pPr>
    </w:p>
    <w:p>
      <w:pPr>
        <w:ind w:left="1040"/>
        <w:spacing w:after="0"/>
        <w:rPr>
          <w:sz w:val="20"/>
          <w:szCs w:val="20"/>
          <w:color w:val="auto"/>
        </w:rPr>
      </w:pPr>
      <w:r>
        <w:rPr>
          <w:rFonts w:ascii="Arial" w:cs="Arial" w:eastAsia="Arial" w:hAnsi="Arial"/>
          <w:sz w:val="18"/>
          <w:szCs w:val="18"/>
          <w:u w:val="single" w:color="auto"/>
          <w:color w:val="auto"/>
        </w:rPr>
        <w:t>Titleist Clubs</w:t>
      </w:r>
    </w:p>
    <w:p>
      <w:pPr>
        <w:spacing w:after="0" w:line="225" w:lineRule="exact"/>
        <w:rPr>
          <w:sz w:val="20"/>
          <w:szCs w:val="20"/>
          <w:color w:val="auto"/>
        </w:rPr>
      </w:pPr>
    </w:p>
    <w:p>
      <w:pPr>
        <w:ind w:left="380" w:right="439" w:firstLine="648"/>
        <w:spacing w:after="0" w:line="221" w:lineRule="exact"/>
        <w:rPr>
          <w:sz w:val="20"/>
          <w:szCs w:val="20"/>
          <w:color w:val="auto"/>
        </w:rPr>
      </w:pPr>
      <w:r>
        <w:rPr>
          <w:rFonts w:ascii="Arial" w:cs="Arial" w:eastAsia="Arial" w:hAnsi="Arial"/>
          <w:sz w:val="18"/>
          <w:szCs w:val="18"/>
          <w:color w:val="auto"/>
        </w:rPr>
        <w:t>Our current global club line consists of the 917 product line of drivers and fairways, the 818 product line of hybrids and the 718 product line of irons. Every product in our club line features premium, tour</w:t>
      </w:r>
      <w:r>
        <w:rPr>
          <w:rFonts w:ascii="MS PGothic" w:cs="MS PGothic" w:eastAsia="MS PGothic" w:hAnsi="MS PGothic"/>
          <w:sz w:val="18"/>
          <w:szCs w:val="18"/>
          <w:color w:val="auto"/>
        </w:rPr>
        <w:t>‑</w:t>
      </w:r>
      <w:r>
        <w:rPr>
          <w:rFonts w:ascii="Arial" w:cs="Arial" w:eastAsia="Arial" w:hAnsi="Arial"/>
          <w:sz w:val="18"/>
          <w:szCs w:val="18"/>
          <w:color w:val="auto"/>
        </w:rPr>
        <w:t>proven stock shafts and grips, complemented by a broad range of custom options.</w:t>
      </w:r>
    </w:p>
    <w:p>
      <w:pPr>
        <w:spacing w:after="0" w:line="199"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10" w:name="page11"/>
    <w:bookmarkEnd w:id="10"/>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380" w:right="379" w:firstLine="648"/>
        <w:spacing w:after="0" w:line="220" w:lineRule="exact"/>
        <w:rPr>
          <w:sz w:val="20"/>
          <w:szCs w:val="20"/>
          <w:color w:val="auto"/>
        </w:rPr>
      </w:pPr>
      <w:r>
        <w:rPr>
          <w:rFonts w:ascii="Arial" w:cs="Arial" w:eastAsia="Arial" w:hAnsi="Arial"/>
          <w:sz w:val="18"/>
          <w:szCs w:val="18"/>
          <w:color w:val="auto"/>
        </w:rPr>
        <w:t>Titleist 917 drivers and fairways are designed to deliver superior performance through tour</w:t>
      </w:r>
      <w:r>
        <w:rPr>
          <w:rFonts w:ascii="MS PGothic" w:cs="MS PGothic" w:eastAsia="MS PGothic" w:hAnsi="MS PGothic"/>
          <w:sz w:val="18"/>
          <w:szCs w:val="18"/>
          <w:color w:val="auto"/>
        </w:rPr>
        <w:t>‑</w:t>
      </w:r>
      <w:r>
        <w:rPr>
          <w:rFonts w:ascii="Arial" w:cs="Arial" w:eastAsia="Arial" w:hAnsi="Arial"/>
          <w:sz w:val="18"/>
          <w:szCs w:val="18"/>
          <w:color w:val="auto"/>
        </w:rPr>
        <w:t>proven technologies that increase ball speed, decrease spin, and optimize flight without sacrificing forgiveness. We design our drivers and fairways to deliver complete performance with tour</w:t>
      </w:r>
      <w:r>
        <w:rPr>
          <w:rFonts w:ascii="MS PGothic" w:cs="MS PGothic" w:eastAsia="MS PGothic" w:hAnsi="MS PGothic"/>
          <w:sz w:val="18"/>
          <w:szCs w:val="18"/>
          <w:color w:val="auto"/>
        </w:rPr>
        <w:t>‑</w:t>
      </w:r>
      <w:r>
        <w:rPr>
          <w:rFonts w:ascii="Arial" w:cs="Arial" w:eastAsia="Arial" w:hAnsi="Arial"/>
          <w:sz w:val="18"/>
          <w:szCs w:val="18"/>
          <w:color w:val="auto"/>
        </w:rPr>
        <w:t>preferred looks, sound and feel, and we offer the ability to precisely fit individual golfers’ needs.</w:t>
      </w:r>
    </w:p>
    <w:p>
      <w:pPr>
        <w:spacing w:after="0" w:line="204" w:lineRule="exact"/>
        <w:rPr>
          <w:sz w:val="20"/>
          <w:szCs w:val="20"/>
          <w:color w:val="auto"/>
        </w:rPr>
      </w:pPr>
    </w:p>
    <w:p>
      <w:pPr>
        <w:ind w:left="380" w:right="379" w:firstLine="648"/>
        <w:spacing w:after="0" w:line="264" w:lineRule="auto"/>
        <w:rPr>
          <w:sz w:val="20"/>
          <w:szCs w:val="20"/>
          <w:color w:val="auto"/>
        </w:rPr>
      </w:pPr>
      <w:r>
        <w:rPr>
          <w:rFonts w:ascii="Arial" w:cs="Arial" w:eastAsia="Arial" w:hAnsi="Arial"/>
          <w:sz w:val="18"/>
          <w:szCs w:val="18"/>
          <w:color w:val="auto"/>
        </w:rPr>
        <w:t>Titleist 818 hybrids generate long game performance through advanced technology. The advanced features of our hybrids aim to facilitate precision fitting and generate high ball speed, low spin and high launch for increased distance and forgiveness.</w:t>
      </w:r>
    </w:p>
    <w:p>
      <w:pPr>
        <w:spacing w:after="0" w:line="181" w:lineRule="exact"/>
        <w:rPr>
          <w:sz w:val="20"/>
          <w:szCs w:val="20"/>
          <w:color w:val="auto"/>
        </w:rPr>
      </w:pPr>
    </w:p>
    <w:p>
      <w:pPr>
        <w:ind w:left="380" w:right="639" w:firstLine="648"/>
        <w:spacing w:after="0" w:line="286" w:lineRule="auto"/>
        <w:rPr>
          <w:sz w:val="20"/>
          <w:szCs w:val="20"/>
          <w:color w:val="auto"/>
        </w:rPr>
      </w:pPr>
      <w:r>
        <w:rPr>
          <w:rFonts w:ascii="Arial" w:cs="Arial" w:eastAsia="Arial" w:hAnsi="Arial"/>
          <w:sz w:val="17"/>
          <w:szCs w:val="17"/>
          <w:color w:val="auto"/>
        </w:rPr>
        <w:t>Titleist 718 irons are innovative, technologically advanced products designed to deliver distance, forgiveness, proper shot control and feel. While we offer stock set configurations for our iron sets, a significant portion of our worldwide iron sales are custom fit to help deliver a better fit and performance.</w:t>
      </w:r>
    </w:p>
    <w:p>
      <w:pPr>
        <w:spacing w:after="0" w:line="166" w:lineRule="exact"/>
        <w:rPr>
          <w:sz w:val="20"/>
          <w:szCs w:val="20"/>
          <w:color w:val="auto"/>
        </w:rPr>
      </w:pPr>
    </w:p>
    <w:p>
      <w:pPr>
        <w:ind w:left="1040"/>
        <w:spacing w:after="0"/>
        <w:rPr>
          <w:sz w:val="20"/>
          <w:szCs w:val="20"/>
          <w:color w:val="auto"/>
        </w:rPr>
      </w:pPr>
      <w:r>
        <w:rPr>
          <w:rFonts w:ascii="Arial" w:cs="Arial" w:eastAsia="Arial" w:hAnsi="Arial"/>
          <w:sz w:val="18"/>
          <w:szCs w:val="18"/>
          <w:u w:val="single" w:color="auto"/>
          <w:color w:val="auto"/>
        </w:rPr>
        <w:t>Vokey Design Wedges</w:t>
      </w:r>
    </w:p>
    <w:p>
      <w:pPr>
        <w:spacing w:after="0" w:line="225" w:lineRule="exact"/>
        <w:rPr>
          <w:sz w:val="20"/>
          <w:szCs w:val="20"/>
          <w:color w:val="auto"/>
        </w:rPr>
      </w:pPr>
    </w:p>
    <w:p>
      <w:pPr>
        <w:ind w:left="380" w:right="419" w:firstLine="648"/>
        <w:spacing w:after="0" w:line="218" w:lineRule="exact"/>
        <w:rPr>
          <w:sz w:val="20"/>
          <w:szCs w:val="20"/>
          <w:color w:val="auto"/>
        </w:rPr>
      </w:pPr>
      <w:r>
        <w:rPr>
          <w:rFonts w:ascii="Arial" w:cs="Arial" w:eastAsia="Arial" w:hAnsi="Arial"/>
          <w:sz w:val="18"/>
          <w:szCs w:val="18"/>
          <w:color w:val="auto"/>
        </w:rPr>
        <w:t>Bob Vokey champions the Titleist wedge effort by creating high performance wedges to meet the demands of dedicated golfers and the best players in the world. The Vokey Design wedge product offering is a compilation of the most popular wedges resulting from Bob Vokey’s hands</w:t>
      </w:r>
      <w:r>
        <w:rPr>
          <w:rFonts w:ascii="MS PGothic" w:cs="MS PGothic" w:eastAsia="MS PGothic" w:hAnsi="MS PGothic"/>
          <w:sz w:val="18"/>
          <w:szCs w:val="18"/>
          <w:color w:val="auto"/>
        </w:rPr>
        <w:t>‑</w:t>
      </w:r>
      <w:r>
        <w:rPr>
          <w:rFonts w:ascii="Arial" w:cs="Arial" w:eastAsia="Arial" w:hAnsi="Arial"/>
          <w:sz w:val="18"/>
          <w:szCs w:val="18"/>
          <w:color w:val="auto"/>
        </w:rPr>
        <w:t>on work with golf’s best players to develop shapes and soles that address varying techniques and course conditions. In total, we offer 23 unique loft, sole grind and bounce combinations and three unique finishes to create golf’s most complete wedge product performance range. In addition, Vokey’s online Wedgeworks program promotes limited edition models and allows golfers to customize and personalize their wedges. Vokey Design wedges are the most played wedges by tour professionals.</w:t>
      </w:r>
    </w:p>
    <w:p>
      <w:pPr>
        <w:spacing w:after="0" w:line="206" w:lineRule="exact"/>
        <w:rPr>
          <w:sz w:val="20"/>
          <w:szCs w:val="20"/>
          <w:color w:val="auto"/>
        </w:rPr>
      </w:pPr>
    </w:p>
    <w:p>
      <w:pPr>
        <w:ind w:left="1040"/>
        <w:spacing w:after="0"/>
        <w:rPr>
          <w:sz w:val="20"/>
          <w:szCs w:val="20"/>
          <w:color w:val="auto"/>
        </w:rPr>
      </w:pPr>
      <w:r>
        <w:rPr>
          <w:rFonts w:ascii="Arial" w:cs="Arial" w:eastAsia="Arial" w:hAnsi="Arial"/>
          <w:sz w:val="18"/>
          <w:szCs w:val="18"/>
          <w:u w:val="single" w:color="auto"/>
          <w:color w:val="auto"/>
        </w:rPr>
        <w:t>Scotty Cameron Putters</w:t>
      </w:r>
    </w:p>
    <w:p>
      <w:pPr>
        <w:spacing w:after="0" w:line="225" w:lineRule="exact"/>
        <w:rPr>
          <w:sz w:val="20"/>
          <w:szCs w:val="20"/>
          <w:color w:val="auto"/>
        </w:rPr>
      </w:pPr>
    </w:p>
    <w:p>
      <w:pPr>
        <w:ind w:left="380" w:right="399" w:firstLine="648"/>
        <w:spacing w:after="0" w:line="273" w:lineRule="auto"/>
        <w:rPr>
          <w:sz w:val="20"/>
          <w:szCs w:val="20"/>
          <w:color w:val="auto"/>
        </w:rPr>
      </w:pPr>
      <w:r>
        <w:rPr>
          <w:rFonts w:ascii="Arial" w:cs="Arial" w:eastAsia="Arial" w:hAnsi="Arial"/>
          <w:sz w:val="17"/>
          <w:szCs w:val="17"/>
          <w:color w:val="auto"/>
        </w:rPr>
        <w:t>Scotty Cameron Fine Milled Putters are developed through a specialized and iterative process that blends art and science to create high performance putters. Scotty’s design inspiration begins with studying the best players in the world and working with them to identify the consistent strengths and attributes of their putting. Scotty Cameron encourages a selection process that identifies the putter length, toe flow and appearance to deliver proper balance, shaft flex and feel to golfers and to encourage proper technique. Scotty Cameron putters consist of a range of products for each of these key selection criteria.</w:t>
      </w:r>
    </w:p>
    <w:p>
      <w:pPr>
        <w:spacing w:after="0" w:line="178" w:lineRule="exact"/>
        <w:rPr>
          <w:sz w:val="20"/>
          <w:szCs w:val="20"/>
          <w:color w:val="auto"/>
        </w:rPr>
      </w:pPr>
    </w:p>
    <w:p>
      <w:pPr>
        <w:ind w:left="380" w:right="459" w:firstLine="648"/>
        <w:spacing w:after="0" w:line="291" w:lineRule="auto"/>
        <w:rPr>
          <w:sz w:val="20"/>
          <w:szCs w:val="20"/>
          <w:color w:val="auto"/>
        </w:rPr>
      </w:pPr>
      <w:r>
        <w:rPr>
          <w:rFonts w:ascii="Arial" w:cs="Arial" w:eastAsia="Arial" w:hAnsi="Arial"/>
          <w:sz w:val="16"/>
          <w:szCs w:val="16"/>
          <w:color w:val="auto"/>
        </w:rPr>
        <w:t>Using the scottycameron.com website as an information and services hub, we offer the opportunity to connect more closely with the Scotty Cameron brand. Golfers can customize and personalize their putter(s) in the online Scotty Cameron Custom Shop. Through the popular “Club Cameron” loyalty program and Scotty’s online “Studio Store,” brand fans can purchase unique Scotty Cameron accessories. In 2014, we also opened the Scotty Cameron Gallery in Encinitas, California, and in 2016, we entered into a license agreement whereby a third party opened and operates a similar facility in Tokyo, Japan. Each of these facilities is a premium retail boutique which offers consumers the ability to experience the tour fitting process as well as purchase unique accessory items.</w:t>
      </w:r>
    </w:p>
    <w:p>
      <w:pPr>
        <w:spacing w:after="0" w:line="167" w:lineRule="exact"/>
        <w:rPr>
          <w:sz w:val="20"/>
          <w:szCs w:val="20"/>
          <w:color w:val="auto"/>
        </w:rPr>
      </w:pPr>
    </w:p>
    <w:p>
      <w:pPr>
        <w:ind w:left="1040"/>
        <w:spacing w:after="0"/>
        <w:rPr>
          <w:sz w:val="20"/>
          <w:szCs w:val="20"/>
          <w:color w:val="auto"/>
        </w:rPr>
      </w:pPr>
      <w:r>
        <w:rPr>
          <w:rFonts w:ascii="Arial" w:cs="Arial" w:eastAsia="Arial" w:hAnsi="Arial"/>
          <w:sz w:val="18"/>
          <w:szCs w:val="18"/>
          <w:b w:val="1"/>
          <w:bCs w:val="1"/>
          <w:i w:val="1"/>
          <w:iCs w:val="1"/>
          <w:color w:val="auto"/>
        </w:rPr>
        <w:t>Titleist Golf Gear</w:t>
      </w:r>
    </w:p>
    <w:p>
      <w:pPr>
        <w:spacing w:after="0" w:line="225" w:lineRule="exact"/>
        <w:rPr>
          <w:sz w:val="20"/>
          <w:szCs w:val="20"/>
          <w:color w:val="auto"/>
        </w:rPr>
      </w:pPr>
    </w:p>
    <w:p>
      <w:pPr>
        <w:ind w:left="380" w:right="439" w:firstLine="648"/>
        <w:spacing w:after="0" w:line="221" w:lineRule="exact"/>
        <w:rPr>
          <w:sz w:val="20"/>
          <w:szCs w:val="20"/>
          <w:color w:val="auto"/>
        </w:rPr>
      </w:pPr>
      <w:r>
        <w:rPr>
          <w:rFonts w:ascii="Arial" w:cs="Arial" w:eastAsia="Arial" w:hAnsi="Arial"/>
          <w:sz w:val="16"/>
          <w:szCs w:val="16"/>
          <w:color w:val="auto"/>
        </w:rPr>
        <w:t>We offer a diversified portfolio of Titleist</w:t>
      </w:r>
      <w:r>
        <w:rPr>
          <w:rFonts w:ascii="MS PGothic" w:cs="MS PGothic" w:eastAsia="MS PGothic" w:hAnsi="MS PGothic"/>
          <w:sz w:val="16"/>
          <w:szCs w:val="16"/>
          <w:color w:val="auto"/>
        </w:rPr>
        <w:t>‑</w:t>
      </w:r>
      <w:r>
        <w:rPr>
          <w:rFonts w:ascii="Arial" w:cs="Arial" w:eastAsia="Arial" w:hAnsi="Arial"/>
          <w:sz w:val="16"/>
          <w:szCs w:val="16"/>
          <w:color w:val="auto"/>
        </w:rPr>
        <w:t>branded performance golf gear across the golf bags, headwear, gloves, travel gear, head covers and other golf gear categories. Our golf gear is focused on superior performance and quality excellence, which is the mission of any product bearing the Titleist brand name.</w:t>
      </w:r>
    </w:p>
    <w:p>
      <w:pPr>
        <w:spacing w:after="0" w:line="202" w:lineRule="exact"/>
        <w:rPr>
          <w:sz w:val="20"/>
          <w:szCs w:val="20"/>
          <w:color w:val="auto"/>
        </w:rPr>
      </w:pPr>
    </w:p>
    <w:p>
      <w:pPr>
        <w:ind w:left="380" w:right="439" w:firstLine="648"/>
        <w:spacing w:after="0" w:line="270" w:lineRule="auto"/>
        <w:rPr>
          <w:sz w:val="20"/>
          <w:szCs w:val="20"/>
          <w:color w:val="auto"/>
        </w:rPr>
      </w:pPr>
      <w:r>
        <w:rPr>
          <w:rFonts w:ascii="Arial" w:cs="Arial" w:eastAsia="Arial" w:hAnsi="Arial"/>
          <w:sz w:val="17"/>
          <w:szCs w:val="17"/>
          <w:color w:val="auto"/>
        </w:rPr>
        <w:t>Titleist golf gear products are designed and engineered using premium materials, paying particular attention to superior performance, function and style. We focus on the design and development of golf bags, headwear, gloves, travel gear, head covers and other golf gear. We provide personalization and customization within each category of Titleist golf gear, as well as certain licensed products, in order to meet the needs of the dedicated golfer and as part of our service to our accounts. We believe the golf gear business represents a sizable but highly fragmented opportunity with numerous competitors in each product category and geographical market. Titleist golf gear, which includes golf bags, headwear, golf gloves, travel gear, head covers and other golf gear, accounted for $142.9 million, or 9%, $136.2 million, or 9%, and $129.4 million, or 9%, of our net sales for the years ended December 31, 2017, 2016 and 2015, respectively.</w:t>
      </w:r>
    </w:p>
    <w:p>
      <w:pPr>
        <w:spacing w:after="0" w:line="179"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11" w:name="page12"/>
    <w:bookmarkEnd w:id="11"/>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1040"/>
        <w:spacing w:after="0"/>
        <w:rPr>
          <w:sz w:val="20"/>
          <w:szCs w:val="20"/>
          <w:color w:val="auto"/>
        </w:rPr>
      </w:pPr>
      <w:r>
        <w:rPr>
          <w:rFonts w:ascii="Arial" w:cs="Arial" w:eastAsia="Arial" w:hAnsi="Arial"/>
          <w:sz w:val="18"/>
          <w:szCs w:val="18"/>
          <w:b w:val="1"/>
          <w:bCs w:val="1"/>
          <w:i w:val="1"/>
          <w:iCs w:val="1"/>
          <w:color w:val="auto"/>
        </w:rPr>
        <w:t>FootJoy Golf Wear</w:t>
      </w:r>
    </w:p>
    <w:p>
      <w:pPr>
        <w:spacing w:after="0" w:line="225" w:lineRule="exact"/>
        <w:rPr>
          <w:sz w:val="20"/>
          <w:szCs w:val="20"/>
          <w:color w:val="auto"/>
        </w:rPr>
      </w:pPr>
    </w:p>
    <w:p>
      <w:pPr>
        <w:ind w:left="380" w:right="499" w:firstLine="648"/>
        <w:spacing w:after="0" w:line="259" w:lineRule="auto"/>
        <w:rPr>
          <w:sz w:val="20"/>
          <w:szCs w:val="20"/>
          <w:color w:val="auto"/>
        </w:rPr>
      </w:pPr>
      <w:r>
        <w:rPr>
          <w:rFonts w:ascii="Arial" w:cs="Arial" w:eastAsia="Arial" w:hAnsi="Arial"/>
          <w:sz w:val="18"/>
          <w:szCs w:val="18"/>
          <w:color w:val="auto"/>
        </w:rPr>
        <w:t>FootJoy is one of golf’s leading performance wear brands, which consists collectively of golf shoes, gloves and apparel. Net sales of FootJoy products for the years ended December 31, 2017, 2016 and 2015 were $437.5 million, $433.1 million, and $418.9 million, respectively, in each case approximately 28% of our total net sales.</w:t>
      </w:r>
    </w:p>
    <w:p>
      <w:pPr>
        <w:spacing w:after="0" w:line="187" w:lineRule="exact"/>
        <w:rPr>
          <w:sz w:val="20"/>
          <w:szCs w:val="20"/>
          <w:color w:val="auto"/>
        </w:rPr>
      </w:pPr>
    </w:p>
    <w:p>
      <w:pPr>
        <w:ind w:left="1040"/>
        <w:spacing w:after="0"/>
        <w:rPr>
          <w:sz w:val="20"/>
          <w:szCs w:val="20"/>
          <w:color w:val="auto"/>
        </w:rPr>
      </w:pPr>
      <w:r>
        <w:rPr>
          <w:rFonts w:ascii="Arial" w:cs="Arial" w:eastAsia="Arial" w:hAnsi="Arial"/>
          <w:sz w:val="18"/>
          <w:szCs w:val="18"/>
          <w:b w:val="1"/>
          <w:bCs w:val="1"/>
          <w:i w:val="1"/>
          <w:iCs w:val="1"/>
          <w:color w:val="auto"/>
        </w:rPr>
        <w:t>FootJoy Golf Shoes</w:t>
      </w:r>
    </w:p>
    <w:p>
      <w:pPr>
        <w:spacing w:after="0" w:line="225" w:lineRule="exact"/>
        <w:rPr>
          <w:sz w:val="20"/>
          <w:szCs w:val="20"/>
          <w:color w:val="auto"/>
        </w:rPr>
      </w:pPr>
    </w:p>
    <w:p>
      <w:pPr>
        <w:jc w:val="both"/>
        <w:ind w:left="380" w:right="579" w:firstLine="648"/>
        <w:spacing w:after="0" w:line="264" w:lineRule="auto"/>
        <w:rPr>
          <w:sz w:val="20"/>
          <w:szCs w:val="20"/>
          <w:color w:val="auto"/>
        </w:rPr>
      </w:pPr>
      <w:r>
        <w:rPr>
          <w:rFonts w:ascii="Arial" w:cs="Arial" w:eastAsia="Arial" w:hAnsi="Arial"/>
          <w:sz w:val="18"/>
          <w:szCs w:val="18"/>
          <w:color w:val="auto"/>
        </w:rPr>
        <w:t>FootJoy is the #1 shoe in golf and has been the #1 shoe on the PGA Tour for over six decades. With an exclusive focus on golf, FootJoy shoes are designed, developed and manufactured for all golfers in all golf shoe categories, including traditional, casual, athletic and spikeless.</w:t>
      </w:r>
    </w:p>
    <w:p>
      <w:pPr>
        <w:spacing w:after="0" w:line="181" w:lineRule="exact"/>
        <w:rPr>
          <w:sz w:val="20"/>
          <w:szCs w:val="20"/>
          <w:color w:val="auto"/>
        </w:rPr>
      </w:pPr>
    </w:p>
    <w:p>
      <w:pPr>
        <w:ind w:left="380" w:right="519" w:firstLine="648"/>
        <w:spacing w:after="0" w:line="273" w:lineRule="auto"/>
        <w:rPr>
          <w:sz w:val="20"/>
          <w:szCs w:val="20"/>
          <w:color w:val="auto"/>
        </w:rPr>
      </w:pPr>
      <w:r>
        <w:rPr>
          <w:rFonts w:ascii="Arial" w:cs="Arial" w:eastAsia="Arial" w:hAnsi="Arial"/>
          <w:sz w:val="17"/>
          <w:szCs w:val="17"/>
          <w:color w:val="auto"/>
        </w:rPr>
        <w:t>The golf shoe category is one of the most demanding of all wearables, as golf shoes must perform in all weather conditions, including extreme temperature and moisture exposure; be resistant to pesticides and fungicides; withstand frequent usage and extensive rounds of play; and provide consistent comfort, support and protection to the golfer in an average of over five miles in a walked round. Hence, golf shoes require extensive knowledge and expertise in foot morphology, walking and swing biomechanics, material science and application and sophisticated manufacturing and construction techniques.</w:t>
      </w:r>
    </w:p>
    <w:p>
      <w:pPr>
        <w:spacing w:after="0" w:line="178" w:lineRule="exact"/>
        <w:rPr>
          <w:sz w:val="20"/>
          <w:szCs w:val="20"/>
          <w:color w:val="auto"/>
        </w:rPr>
      </w:pPr>
    </w:p>
    <w:p>
      <w:pPr>
        <w:ind w:left="380" w:right="439" w:firstLine="648"/>
        <w:spacing w:after="0" w:line="302" w:lineRule="auto"/>
        <w:rPr>
          <w:sz w:val="20"/>
          <w:szCs w:val="20"/>
          <w:color w:val="auto"/>
        </w:rPr>
      </w:pPr>
      <w:r>
        <w:rPr>
          <w:rFonts w:ascii="Arial" w:cs="Arial" w:eastAsia="Arial" w:hAnsi="Arial"/>
          <w:sz w:val="16"/>
          <w:szCs w:val="16"/>
          <w:color w:val="auto"/>
        </w:rPr>
        <w:t>Golf shoes are also a style and fashion driven category. FootJoy offers a large assortment of styles to suit the needs and tastes of all golfers. The breadth and scope of the FootJoy product line is commensurate with its leading sales position. To maintain and grow this leadership position in the category, new product launches and new styles comprise over 50% of its offerings each year in all significant markets around the world.</w:t>
      </w:r>
    </w:p>
    <w:p>
      <w:pPr>
        <w:spacing w:after="0" w:line="154" w:lineRule="exact"/>
        <w:rPr>
          <w:sz w:val="20"/>
          <w:szCs w:val="20"/>
          <w:color w:val="auto"/>
        </w:rPr>
      </w:pPr>
    </w:p>
    <w:p>
      <w:pPr>
        <w:ind w:left="380" w:right="439" w:firstLine="648"/>
        <w:spacing w:after="0" w:line="257" w:lineRule="auto"/>
        <w:rPr>
          <w:sz w:val="20"/>
          <w:szCs w:val="20"/>
          <w:color w:val="auto"/>
        </w:rPr>
      </w:pPr>
      <w:r>
        <w:rPr>
          <w:rFonts w:ascii="Arial" w:cs="Arial" w:eastAsia="Arial" w:hAnsi="Arial"/>
          <w:sz w:val="18"/>
          <w:szCs w:val="18"/>
          <w:color w:val="auto"/>
        </w:rPr>
        <w:t>In addition to its stock offerings, FootJoy is a leader in the customization of golf shoe styles and designs. FootJoy’s MyJoys custom golf shoe portal provides individual choices for style, color, personal IDs and team logos that are produced to order for golfers around the world. We believe it is the largest choice offering in the golf shoe category and provides a service and personal expression capability that creates brand loyalty and repeat purchases.</w:t>
      </w:r>
    </w:p>
    <w:p>
      <w:pPr>
        <w:spacing w:after="0" w:line="188" w:lineRule="exact"/>
        <w:rPr>
          <w:sz w:val="20"/>
          <w:szCs w:val="20"/>
          <w:color w:val="auto"/>
        </w:rPr>
      </w:pPr>
    </w:p>
    <w:p>
      <w:pPr>
        <w:ind w:left="1040"/>
        <w:spacing w:after="0"/>
        <w:rPr>
          <w:sz w:val="20"/>
          <w:szCs w:val="20"/>
          <w:color w:val="auto"/>
        </w:rPr>
      </w:pPr>
      <w:r>
        <w:rPr>
          <w:rFonts w:ascii="Arial" w:cs="Arial" w:eastAsia="Arial" w:hAnsi="Arial"/>
          <w:sz w:val="18"/>
          <w:szCs w:val="18"/>
          <w:b w:val="1"/>
          <w:bCs w:val="1"/>
          <w:i w:val="1"/>
          <w:iCs w:val="1"/>
          <w:color w:val="auto"/>
        </w:rPr>
        <w:t>FootJoy Gloves</w:t>
      </w:r>
    </w:p>
    <w:p>
      <w:pPr>
        <w:spacing w:after="0" w:line="225" w:lineRule="exact"/>
        <w:rPr>
          <w:sz w:val="20"/>
          <w:szCs w:val="20"/>
          <w:color w:val="auto"/>
        </w:rPr>
      </w:pPr>
    </w:p>
    <w:p>
      <w:pPr>
        <w:ind w:left="380" w:right="419" w:firstLine="648"/>
        <w:spacing w:after="0" w:line="221" w:lineRule="exact"/>
        <w:rPr>
          <w:sz w:val="20"/>
          <w:szCs w:val="20"/>
          <w:color w:val="auto"/>
        </w:rPr>
      </w:pPr>
      <w:r>
        <w:rPr>
          <w:rFonts w:ascii="Arial" w:cs="Arial" w:eastAsia="Arial" w:hAnsi="Arial"/>
          <w:sz w:val="18"/>
          <w:szCs w:val="18"/>
          <w:color w:val="auto"/>
        </w:rPr>
        <w:t>FootJoy is the #1 glove in golf. FootJoy is the leader in sales for all sub</w:t>
      </w:r>
      <w:r>
        <w:rPr>
          <w:rFonts w:ascii="MS PGothic" w:cs="MS PGothic" w:eastAsia="MS PGothic" w:hAnsi="MS PGothic"/>
          <w:sz w:val="18"/>
          <w:szCs w:val="18"/>
          <w:color w:val="auto"/>
        </w:rPr>
        <w:t>‑</w:t>
      </w:r>
      <w:r>
        <w:rPr>
          <w:rFonts w:ascii="Arial" w:cs="Arial" w:eastAsia="Arial" w:hAnsi="Arial"/>
          <w:sz w:val="18"/>
          <w:szCs w:val="18"/>
          <w:color w:val="auto"/>
        </w:rPr>
        <w:t>categories of the glove business, including leather construction, synthetic, leather/synthetic combinations and all specialty gloves including rain and winter specific offerings.</w:t>
      </w:r>
    </w:p>
    <w:p>
      <w:pPr>
        <w:spacing w:after="0" w:line="202" w:lineRule="exact"/>
        <w:rPr>
          <w:sz w:val="20"/>
          <w:szCs w:val="20"/>
          <w:color w:val="auto"/>
        </w:rPr>
      </w:pPr>
    </w:p>
    <w:p>
      <w:pPr>
        <w:ind w:left="1040"/>
        <w:spacing w:after="0"/>
        <w:rPr>
          <w:sz w:val="20"/>
          <w:szCs w:val="20"/>
          <w:color w:val="auto"/>
        </w:rPr>
      </w:pPr>
      <w:r>
        <w:rPr>
          <w:rFonts w:ascii="Arial" w:cs="Arial" w:eastAsia="Arial" w:hAnsi="Arial"/>
          <w:sz w:val="18"/>
          <w:szCs w:val="18"/>
          <w:b w:val="1"/>
          <w:bCs w:val="1"/>
          <w:i w:val="1"/>
          <w:iCs w:val="1"/>
          <w:color w:val="auto"/>
        </w:rPr>
        <w:t>FootJoy Outerwear and Apparel</w:t>
      </w:r>
    </w:p>
    <w:p>
      <w:pPr>
        <w:spacing w:after="0" w:line="225" w:lineRule="exact"/>
        <w:rPr>
          <w:sz w:val="20"/>
          <w:szCs w:val="20"/>
          <w:color w:val="auto"/>
        </w:rPr>
      </w:pPr>
    </w:p>
    <w:p>
      <w:pPr>
        <w:ind w:left="380" w:right="619" w:firstLine="648"/>
        <w:spacing w:after="0" w:line="257" w:lineRule="auto"/>
        <w:rPr>
          <w:sz w:val="20"/>
          <w:szCs w:val="20"/>
          <w:color w:val="auto"/>
        </w:rPr>
      </w:pPr>
      <w:r>
        <w:rPr>
          <w:rFonts w:ascii="Arial" w:cs="Arial" w:eastAsia="Arial" w:hAnsi="Arial"/>
          <w:sz w:val="18"/>
          <w:szCs w:val="18"/>
          <w:color w:val="auto"/>
        </w:rPr>
        <w:t>FootJoy’s most recent brand extensions have been the entry into the golf outerwear and golf apparel markets. FootJoy’s goal for outerwear is to “make every day playable” and extend the golf season by providing products for rain, wind and cold conditions. FootJoy entered the outerwear category in 1996 with innovative designs and materials, became the leader in net sales in the United States by 2005 and still holds this position today.</w:t>
      </w:r>
    </w:p>
    <w:p>
      <w:pPr>
        <w:spacing w:after="0" w:line="188" w:lineRule="exact"/>
        <w:rPr>
          <w:sz w:val="20"/>
          <w:szCs w:val="20"/>
          <w:color w:val="auto"/>
        </w:rPr>
      </w:pPr>
    </w:p>
    <w:p>
      <w:pPr>
        <w:jc w:val="both"/>
        <w:ind w:left="380" w:right="479" w:firstLine="648"/>
        <w:spacing w:after="0" w:line="264" w:lineRule="auto"/>
        <w:rPr>
          <w:sz w:val="20"/>
          <w:szCs w:val="20"/>
          <w:color w:val="auto"/>
        </w:rPr>
      </w:pPr>
      <w:r>
        <w:rPr>
          <w:rFonts w:ascii="Arial" w:cs="Arial" w:eastAsia="Arial" w:hAnsi="Arial"/>
          <w:sz w:val="18"/>
          <w:szCs w:val="18"/>
          <w:color w:val="auto"/>
        </w:rPr>
        <w:t>FootJoy more broadly entered the U.S. women’s golf apparel market in early 2016 under the trademark Golfleisure. The styling is appropriate for golf and inspired by the current athleisure segment of women’s apparel in other categories and uses.</w:t>
      </w:r>
    </w:p>
    <w:p>
      <w:pPr>
        <w:spacing w:after="0" w:line="179"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12" w:name="page13"/>
    <w:bookmarkEnd w:id="12"/>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ind w:left="380"/>
        <w:spacing w:after="0"/>
        <w:rPr>
          <w:sz w:val="20"/>
          <w:szCs w:val="20"/>
          <w:color w:val="auto"/>
        </w:rPr>
      </w:pPr>
      <w:r>
        <w:rPr>
          <w:rFonts w:ascii="Arial" w:cs="Arial" w:eastAsia="Arial" w:hAnsi="Arial"/>
          <w:sz w:val="18"/>
          <w:szCs w:val="18"/>
          <w:b w:val="1"/>
          <w:bCs w:val="1"/>
          <w:color w:val="auto"/>
        </w:rPr>
        <w:t>Product Launch Cycles</w:t>
      </w:r>
    </w:p>
    <w:p>
      <w:pPr>
        <w:spacing w:after="0" w:line="229" w:lineRule="exact"/>
        <w:rPr>
          <w:sz w:val="20"/>
          <w:szCs w:val="20"/>
          <w:color w:val="auto"/>
        </w:rPr>
      </w:pPr>
    </w:p>
    <w:p>
      <w:pPr>
        <w:ind w:left="380" w:right="499" w:firstLine="648"/>
        <w:spacing w:after="0" w:line="219" w:lineRule="exact"/>
        <w:rPr>
          <w:sz w:val="20"/>
          <w:szCs w:val="20"/>
          <w:color w:val="auto"/>
        </w:rPr>
      </w:pPr>
      <w:r>
        <w:rPr>
          <w:rFonts w:ascii="Arial" w:cs="Arial" w:eastAsia="Arial" w:hAnsi="Arial"/>
          <w:sz w:val="17"/>
          <w:szCs w:val="17"/>
          <w:color w:val="auto"/>
        </w:rPr>
        <w:t>We maintain differentiated and disciplined product launch cycles across our portfolio, which we believe has contributed to stable and resilient growth over the long</w:t>
      </w:r>
      <w:r>
        <w:rPr>
          <w:rFonts w:ascii="MS PGothic" w:cs="MS PGothic" w:eastAsia="MS PGothic" w:hAnsi="MS PGothic"/>
          <w:sz w:val="17"/>
          <w:szCs w:val="17"/>
          <w:color w:val="auto"/>
        </w:rPr>
        <w:t>‑</w:t>
      </w:r>
      <w:r>
        <w:rPr>
          <w:rFonts w:ascii="Arial" w:cs="Arial" w:eastAsia="Arial" w:hAnsi="Arial"/>
          <w:sz w:val="17"/>
          <w:szCs w:val="17"/>
          <w:color w:val="auto"/>
        </w:rPr>
        <w:t>run. This approach gives our R&amp;D teams a period of time we believe is necessary to develop superior performing products versus the prior generation models. As a result, we are able to manage our product transitions and inventory from one generation to the next more efficiently and effectively, both internally and with our trade partners.</w:t>
      </w:r>
    </w:p>
    <w:p>
      <w:pPr>
        <w:spacing w:after="0" w:line="205" w:lineRule="exact"/>
        <w:rPr>
          <w:sz w:val="20"/>
          <w:szCs w:val="20"/>
          <w:color w:val="auto"/>
        </w:rPr>
      </w:pPr>
    </w:p>
    <w:p>
      <w:pPr>
        <w:ind w:left="380" w:right="399" w:firstLine="648"/>
        <w:spacing w:after="0" w:line="219" w:lineRule="exact"/>
        <w:rPr>
          <w:sz w:val="20"/>
          <w:szCs w:val="20"/>
          <w:color w:val="auto"/>
        </w:rPr>
      </w:pPr>
      <w:r>
        <w:rPr>
          <w:rFonts w:ascii="Arial" w:cs="Arial" w:eastAsia="Arial" w:hAnsi="Arial"/>
          <w:sz w:val="18"/>
          <w:szCs w:val="18"/>
          <w:color w:val="auto"/>
        </w:rPr>
        <w:t>Product introductions generally stimulate net sales as the golf retail channel takes on inventory of new products. Reorders of these new products then depend on the rate of sell</w:t>
      </w:r>
      <w:r>
        <w:rPr>
          <w:rFonts w:ascii="MS PGothic" w:cs="MS PGothic" w:eastAsia="MS PGothic" w:hAnsi="MS PGothic"/>
          <w:sz w:val="18"/>
          <w:szCs w:val="18"/>
          <w:color w:val="auto"/>
        </w:rPr>
        <w:t>‑</w:t>
      </w:r>
      <w:r>
        <w:rPr>
          <w:rFonts w:ascii="Arial" w:cs="Arial" w:eastAsia="Arial" w:hAnsi="Arial"/>
          <w:sz w:val="18"/>
          <w:szCs w:val="18"/>
          <w:color w:val="auto"/>
        </w:rPr>
        <w:t>through. Announcements of new products can often cause our customers to defer purchasing additional golf equipment until our new products are available. The varying product introduction cycles may cause our results of operations to fluctuate as each product line has different volumes, prices and margins.</w:t>
      </w:r>
    </w:p>
    <w:p>
      <w:pPr>
        <w:spacing w:after="0" w:line="206" w:lineRule="exact"/>
        <w:rPr>
          <w:sz w:val="20"/>
          <w:szCs w:val="20"/>
          <w:color w:val="auto"/>
        </w:rPr>
      </w:pPr>
    </w:p>
    <w:p>
      <w:pPr>
        <w:ind w:left="380" w:right="499" w:firstLine="648"/>
        <w:spacing w:after="0" w:line="264" w:lineRule="auto"/>
        <w:rPr>
          <w:sz w:val="20"/>
          <w:szCs w:val="20"/>
          <w:color w:val="auto"/>
        </w:rPr>
      </w:pPr>
      <w:r>
        <w:rPr>
          <w:rFonts w:ascii="Arial" w:cs="Arial" w:eastAsia="Arial" w:hAnsi="Arial"/>
          <w:sz w:val="18"/>
          <w:szCs w:val="18"/>
          <w:color w:val="auto"/>
        </w:rPr>
        <w:t>See “Management’s Discussion and Analysis of Financial Condition and Results of Operations - Key Factors Affecting our Results of Operations – Product Launch Cycles”, Item 7 of Part II to this report, for further information surrounding our product launch cycles.</w:t>
      </w:r>
    </w:p>
    <w:p>
      <w:pPr>
        <w:spacing w:after="0" w:line="177" w:lineRule="exact"/>
        <w:rPr>
          <w:sz w:val="20"/>
          <w:szCs w:val="20"/>
          <w:color w:val="auto"/>
        </w:rPr>
      </w:pPr>
    </w:p>
    <w:p>
      <w:pPr>
        <w:ind w:left="380"/>
        <w:spacing w:after="0"/>
        <w:rPr>
          <w:sz w:val="20"/>
          <w:szCs w:val="20"/>
          <w:color w:val="auto"/>
        </w:rPr>
      </w:pPr>
      <w:r>
        <w:rPr>
          <w:rFonts w:ascii="Arial" w:cs="Arial" w:eastAsia="Arial" w:hAnsi="Arial"/>
          <w:sz w:val="18"/>
          <w:szCs w:val="18"/>
          <w:b w:val="1"/>
          <w:bCs w:val="1"/>
          <w:color w:val="auto"/>
        </w:rPr>
        <w:t>Manufacturing</w:t>
      </w:r>
    </w:p>
    <w:p>
      <w:pPr>
        <w:spacing w:after="0" w:line="229" w:lineRule="exact"/>
        <w:rPr>
          <w:sz w:val="20"/>
          <w:szCs w:val="20"/>
          <w:color w:val="auto"/>
        </w:rPr>
      </w:pPr>
    </w:p>
    <w:p>
      <w:pPr>
        <w:ind w:left="380" w:right="479" w:firstLine="648"/>
        <w:spacing w:after="0" w:line="264" w:lineRule="auto"/>
        <w:rPr>
          <w:sz w:val="20"/>
          <w:szCs w:val="20"/>
          <w:color w:val="auto"/>
        </w:rPr>
      </w:pPr>
      <w:r>
        <w:rPr>
          <w:rFonts w:ascii="Arial" w:cs="Arial" w:eastAsia="Arial" w:hAnsi="Arial"/>
          <w:sz w:val="18"/>
          <w:szCs w:val="18"/>
          <w:color w:val="auto"/>
        </w:rPr>
        <w:t>Our manufacturing processes and management of supply chain operations ensure consistency of product performance and quality. We own or control the design, sourcing, manufacturing, packaging and distribution of our products.</w:t>
      </w:r>
    </w:p>
    <w:p>
      <w:pPr>
        <w:spacing w:after="0" w:line="181" w:lineRule="exact"/>
        <w:rPr>
          <w:sz w:val="20"/>
          <w:szCs w:val="20"/>
          <w:color w:val="auto"/>
        </w:rPr>
      </w:pPr>
    </w:p>
    <w:p>
      <w:pPr>
        <w:ind w:left="380" w:right="399" w:firstLine="648"/>
        <w:spacing w:after="0" w:line="264" w:lineRule="auto"/>
        <w:rPr>
          <w:sz w:val="20"/>
          <w:szCs w:val="20"/>
          <w:color w:val="auto"/>
        </w:rPr>
      </w:pPr>
      <w:r>
        <w:rPr>
          <w:rFonts w:ascii="Arial" w:cs="Arial" w:eastAsia="Arial" w:hAnsi="Arial"/>
          <w:sz w:val="18"/>
          <w:szCs w:val="18"/>
          <w:color w:val="auto"/>
        </w:rPr>
        <w:t>Our manufacturing network is comprised of our owned facilities and partners around the globe. Our scale and global reach are intended to enable us to maximize cost efficiency, reduce lead time, provide regional customization and gain insights into local markets.</w:t>
      </w:r>
    </w:p>
    <w:p>
      <w:pPr>
        <w:spacing w:after="0" w:line="181" w:lineRule="exact"/>
        <w:rPr>
          <w:sz w:val="20"/>
          <w:szCs w:val="20"/>
          <w:color w:val="auto"/>
        </w:rPr>
      </w:pPr>
    </w:p>
    <w:p>
      <w:pPr>
        <w:ind w:left="380" w:right="439" w:firstLine="648"/>
        <w:spacing w:after="0" w:line="219" w:lineRule="exact"/>
        <w:rPr>
          <w:sz w:val="20"/>
          <w:szCs w:val="20"/>
          <w:color w:val="auto"/>
        </w:rPr>
      </w:pPr>
      <w:r>
        <w:rPr>
          <w:rFonts w:ascii="Arial" w:cs="Arial" w:eastAsia="Arial" w:hAnsi="Arial"/>
          <w:sz w:val="17"/>
          <w:szCs w:val="17"/>
          <w:color w:val="auto"/>
        </w:rPr>
        <w:t>We have three company</w:t>
      </w:r>
      <w:r>
        <w:rPr>
          <w:rFonts w:ascii="MS PGothic" w:cs="MS PGothic" w:eastAsia="MS PGothic" w:hAnsi="MS PGothic"/>
          <w:sz w:val="17"/>
          <w:szCs w:val="17"/>
          <w:color w:val="auto"/>
        </w:rPr>
        <w:t>‑</w:t>
      </w:r>
      <w:r>
        <w:rPr>
          <w:rFonts w:ascii="Arial" w:cs="Arial" w:eastAsia="Arial" w:hAnsi="Arial"/>
          <w:sz w:val="17"/>
          <w:szCs w:val="17"/>
          <w:color w:val="auto"/>
        </w:rPr>
        <w:t>owned and operated golf ball manufacturing facilities, two located in the United States and one in Thailand, encompassing approximately 600,000 total square feet with sufficient production capacity to meet anticipated growth. We also have local custom golf ball imprinting operations in the United States, Japan, Canada, the United Kingdom (“U.K.”) (servicing the U.K., Ireland and continental Europe), Korea and China. We utilize local vendors for imprinting capabilities in other geographic markets.</w:t>
      </w:r>
    </w:p>
    <w:p>
      <w:pPr>
        <w:spacing w:after="0" w:line="205" w:lineRule="exact"/>
        <w:rPr>
          <w:sz w:val="20"/>
          <w:szCs w:val="20"/>
          <w:color w:val="auto"/>
        </w:rPr>
      </w:pPr>
    </w:p>
    <w:p>
      <w:pPr>
        <w:ind w:left="380" w:right="519" w:firstLine="648"/>
        <w:spacing w:after="0" w:line="276" w:lineRule="auto"/>
        <w:rPr>
          <w:sz w:val="20"/>
          <w:szCs w:val="20"/>
          <w:color w:val="auto"/>
        </w:rPr>
      </w:pPr>
      <w:r>
        <w:rPr>
          <w:rFonts w:ascii="Arial" w:cs="Arial" w:eastAsia="Arial" w:hAnsi="Arial"/>
          <w:sz w:val="17"/>
          <w:szCs w:val="17"/>
          <w:color w:val="auto"/>
        </w:rPr>
        <w:t>We assemble clubs at six global locations, allowing us to provide custom fitted golf clubs with regional customization with efficient turnaround times. Each of our six custom manufacturing locations is responsible for supply chain execution for golf clubs and wedges, from forecast generation to component procurement to club assembly and distribution, allowing each region to respond to market specific needs or trends. Scotty Cameron putters are assembled solely at our Carlsbad, California manufacturing facility.</w:t>
      </w:r>
    </w:p>
    <w:p>
      <w:pPr>
        <w:spacing w:after="0" w:line="173" w:lineRule="exact"/>
        <w:rPr>
          <w:sz w:val="20"/>
          <w:szCs w:val="20"/>
          <w:color w:val="auto"/>
        </w:rPr>
      </w:pPr>
    </w:p>
    <w:p>
      <w:pPr>
        <w:jc w:val="both"/>
        <w:ind w:left="380" w:right="539" w:firstLine="648"/>
        <w:spacing w:after="0" w:line="264" w:lineRule="auto"/>
        <w:rPr>
          <w:sz w:val="20"/>
          <w:szCs w:val="20"/>
          <w:color w:val="auto"/>
        </w:rPr>
      </w:pPr>
      <w:r>
        <w:rPr>
          <w:rFonts w:ascii="Arial" w:cs="Arial" w:eastAsia="Arial" w:hAnsi="Arial"/>
          <w:sz w:val="18"/>
          <w:szCs w:val="18"/>
          <w:color w:val="auto"/>
        </w:rPr>
        <w:t>We own and operate the largest golf glove manufacturing operation in the world in Chonburi, Thailand, where we manufacture both FootJoy and Titleist golf gloves. The factory produces over 10 million FootJoy and Titleist gloves annually.</w:t>
      </w:r>
    </w:p>
    <w:p>
      <w:pPr>
        <w:spacing w:after="0" w:line="181" w:lineRule="exact"/>
        <w:rPr>
          <w:sz w:val="20"/>
          <w:szCs w:val="20"/>
          <w:color w:val="auto"/>
        </w:rPr>
      </w:pPr>
    </w:p>
    <w:p>
      <w:pPr>
        <w:ind w:left="380" w:right="399" w:firstLine="648"/>
        <w:spacing w:after="0" w:line="218" w:lineRule="exact"/>
        <w:rPr>
          <w:sz w:val="20"/>
          <w:szCs w:val="20"/>
          <w:color w:val="auto"/>
        </w:rPr>
      </w:pPr>
      <w:r>
        <w:rPr>
          <w:rFonts w:ascii="Arial" w:cs="Arial" w:eastAsia="Arial" w:hAnsi="Arial"/>
          <w:sz w:val="16"/>
          <w:szCs w:val="16"/>
          <w:color w:val="auto"/>
        </w:rPr>
        <w:t>All of our FootJoy golf shoes are manufactured in a 525,000 square foot facility in Fuzhou, China, owned by a joint venture in which we have a 40% interest with the remaining 60% owned by our long</w:t>
      </w:r>
      <w:r>
        <w:rPr>
          <w:rFonts w:ascii="MS PGothic" w:cs="MS PGothic" w:eastAsia="MS PGothic" w:hAnsi="MS PGothic"/>
          <w:sz w:val="16"/>
          <w:szCs w:val="16"/>
          <w:color w:val="auto"/>
        </w:rPr>
        <w:t>‑</w:t>
      </w:r>
      <w:r>
        <w:rPr>
          <w:rFonts w:ascii="Arial" w:cs="Arial" w:eastAsia="Arial" w:hAnsi="Arial"/>
          <w:sz w:val="16"/>
          <w:szCs w:val="16"/>
          <w:color w:val="auto"/>
        </w:rPr>
        <w:t>standing Taiwan supply partners. In our consolidated financial statements, we consolidate the accounts of this joint venture, which is a variable interest entity, or VIE. The joint venture was established in 1995 and has been in its current facility since 2000. The sole purpose of the joint venture is to manufacture our golf shoes and as such we are deemed to be the primary beneficiary of the VIE as defined by ASC 810. The multi</w:t>
      </w:r>
      <w:r>
        <w:rPr>
          <w:rFonts w:ascii="MS PGothic" w:cs="MS PGothic" w:eastAsia="MS PGothic" w:hAnsi="MS PGothic"/>
          <w:sz w:val="16"/>
          <w:szCs w:val="16"/>
          <w:color w:val="auto"/>
        </w:rPr>
        <w:t>‑</w:t>
      </w:r>
      <w:r>
        <w:rPr>
          <w:rFonts w:ascii="Arial" w:cs="Arial" w:eastAsia="Arial" w:hAnsi="Arial"/>
          <w:sz w:val="16"/>
          <w:szCs w:val="16"/>
          <w:color w:val="auto"/>
        </w:rPr>
        <w:t>floor/multi</w:t>
      </w:r>
      <w:r>
        <w:rPr>
          <w:rFonts w:ascii="MS PGothic" w:cs="MS PGothic" w:eastAsia="MS PGothic" w:hAnsi="MS PGothic"/>
          <w:sz w:val="16"/>
          <w:szCs w:val="16"/>
          <w:color w:val="auto"/>
        </w:rPr>
        <w:t>‑</w:t>
      </w:r>
      <w:r>
        <w:rPr>
          <w:rFonts w:ascii="Arial" w:cs="Arial" w:eastAsia="Arial" w:hAnsi="Arial"/>
          <w:sz w:val="16"/>
          <w:szCs w:val="16"/>
          <w:color w:val="auto"/>
        </w:rPr>
        <w:t>building complex owned by the joint venture is devoted exclusively to FootJoy golf shoes, has production capacity of nearly</w:t>
      </w:r>
    </w:p>
    <w:p>
      <w:pPr>
        <w:spacing w:after="0" w:line="3" w:lineRule="exact"/>
        <w:rPr>
          <w:sz w:val="20"/>
          <w:szCs w:val="20"/>
          <w:color w:val="auto"/>
        </w:rPr>
      </w:pPr>
    </w:p>
    <w:p>
      <w:pPr>
        <w:ind w:left="380" w:right="479"/>
        <w:spacing w:after="0" w:line="254" w:lineRule="auto"/>
        <w:rPr>
          <w:sz w:val="20"/>
          <w:szCs w:val="20"/>
          <w:color w:val="auto"/>
        </w:rPr>
      </w:pPr>
      <w:r>
        <w:rPr>
          <w:rFonts w:ascii="Arial" w:cs="Arial" w:eastAsia="Arial" w:hAnsi="Arial"/>
          <w:sz w:val="18"/>
          <w:szCs w:val="18"/>
          <w:color w:val="auto"/>
        </w:rPr>
        <w:t>five million pairs per annum. See “Notes to Consolidated Financial Statements– Note 2– Summary of Significant Accounting Policies – Variable Interest Entities,” Item 8 of Part II included elsewhere in this report, for a discussion of our FootJoy golf shoe joint venture and the material terms of the agreement which governs such joint venture arrangement.</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13" w:name="page14"/>
    <w:bookmarkEnd w:id="13"/>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ind w:left="380"/>
        <w:spacing w:after="0"/>
        <w:rPr>
          <w:sz w:val="20"/>
          <w:szCs w:val="20"/>
          <w:color w:val="auto"/>
        </w:rPr>
      </w:pPr>
      <w:r>
        <w:rPr>
          <w:rFonts w:ascii="Arial" w:cs="Arial" w:eastAsia="Arial" w:hAnsi="Arial"/>
          <w:sz w:val="18"/>
          <w:szCs w:val="18"/>
          <w:b w:val="1"/>
          <w:bCs w:val="1"/>
          <w:color w:val="auto"/>
        </w:rPr>
        <w:t>Sales and Distribution</w:t>
      </w:r>
    </w:p>
    <w:p>
      <w:pPr>
        <w:spacing w:after="0" w:line="229" w:lineRule="exact"/>
        <w:rPr>
          <w:sz w:val="20"/>
          <w:szCs w:val="20"/>
          <w:color w:val="auto"/>
        </w:rPr>
      </w:pPr>
    </w:p>
    <w:p>
      <w:pPr>
        <w:ind w:left="380" w:right="479" w:firstLine="648"/>
        <w:spacing w:after="0" w:line="220" w:lineRule="exact"/>
        <w:rPr>
          <w:sz w:val="20"/>
          <w:szCs w:val="20"/>
          <w:color w:val="auto"/>
        </w:rPr>
      </w:pPr>
      <w:r>
        <w:rPr>
          <w:rFonts w:ascii="Arial" w:cs="Arial" w:eastAsia="Arial" w:hAnsi="Arial"/>
          <w:sz w:val="16"/>
          <w:szCs w:val="16"/>
          <w:color w:val="auto"/>
        </w:rPr>
        <w:t>Our accounts consist of premium golf shops, which include on</w:t>
      </w:r>
      <w:r>
        <w:rPr>
          <w:rFonts w:ascii="MS PGothic" w:cs="MS PGothic" w:eastAsia="MS PGothic" w:hAnsi="MS PGothic"/>
          <w:sz w:val="16"/>
          <w:szCs w:val="16"/>
          <w:color w:val="auto"/>
        </w:rPr>
        <w:t>‑</w:t>
      </w:r>
      <w:r>
        <w:rPr>
          <w:rFonts w:ascii="Arial" w:cs="Arial" w:eastAsia="Arial" w:hAnsi="Arial"/>
          <w:sz w:val="16"/>
          <w:szCs w:val="16"/>
          <w:color w:val="auto"/>
        </w:rPr>
        <w:t>course golf shops and golf specialty retailers, as well as other qualified retailers that sell golf products to consumers worldwide. We have a selective sales and distribution strategy, differentiated by product line and geography, which focuses on effectively serving those accounts that provide best access to our dedicated golfer target market in each geographic market.</w:t>
      </w:r>
    </w:p>
    <w:p>
      <w:pPr>
        <w:spacing w:after="0" w:line="203" w:lineRule="exact"/>
        <w:rPr>
          <w:sz w:val="20"/>
          <w:szCs w:val="20"/>
          <w:color w:val="auto"/>
        </w:rPr>
      </w:pPr>
    </w:p>
    <w:p>
      <w:pPr>
        <w:ind w:left="380" w:right="399" w:firstLine="648"/>
        <w:spacing w:after="0" w:line="219" w:lineRule="exact"/>
        <w:rPr>
          <w:sz w:val="20"/>
          <w:szCs w:val="20"/>
          <w:color w:val="auto"/>
        </w:rPr>
      </w:pPr>
      <w:r>
        <w:rPr>
          <w:rFonts w:ascii="Arial" w:cs="Arial" w:eastAsia="Arial" w:hAnsi="Arial"/>
          <w:sz w:val="18"/>
          <w:szCs w:val="18"/>
          <w:color w:val="auto"/>
        </w:rPr>
        <w:t>We operate, and have our own field sales representation, in those countries that represent the substantial majority of golf equipment and wearable sales, including the United States, Japan, Korea, the United Kingdom, Canada, Germany, Sweden, France, Greater China, Australia, New Zealand, Thailand, Singapore and Malaysia. In other countries in which we sell our products, we rely on select distributors in order to deepen our reach into those markets. Each country administers its own in</w:t>
      </w:r>
      <w:r>
        <w:rPr>
          <w:rFonts w:ascii="MS PGothic" w:cs="MS PGothic" w:eastAsia="MS PGothic" w:hAnsi="MS PGothic"/>
          <w:sz w:val="18"/>
          <w:szCs w:val="18"/>
          <w:color w:val="auto"/>
        </w:rPr>
        <w:t>‑</w:t>
      </w:r>
      <w:r>
        <w:rPr>
          <w:rFonts w:ascii="Arial" w:cs="Arial" w:eastAsia="Arial" w:hAnsi="Arial"/>
          <w:sz w:val="18"/>
          <w:szCs w:val="18"/>
          <w:color w:val="auto"/>
        </w:rPr>
        <w:t>country channel of distribution strategy given the unique characteristics of each market.</w:t>
      </w:r>
    </w:p>
    <w:p>
      <w:pPr>
        <w:spacing w:after="0" w:line="203" w:lineRule="exact"/>
        <w:rPr>
          <w:sz w:val="20"/>
          <w:szCs w:val="20"/>
          <w:color w:val="auto"/>
        </w:rPr>
      </w:pPr>
    </w:p>
    <w:p>
      <w:pPr>
        <w:ind w:left="380" w:right="399" w:firstLine="648"/>
        <w:spacing w:after="0" w:line="255" w:lineRule="auto"/>
        <w:rPr>
          <w:sz w:val="20"/>
          <w:szCs w:val="20"/>
          <w:color w:val="auto"/>
        </w:rPr>
      </w:pPr>
      <w:r>
        <w:rPr>
          <w:rFonts w:ascii="Arial" w:cs="Arial" w:eastAsia="Arial" w:hAnsi="Arial"/>
          <w:sz w:val="18"/>
          <w:szCs w:val="18"/>
          <w:color w:val="auto"/>
        </w:rPr>
        <w:t>Our sales and distribution takes a “category management” approach that encompasses all aspects of customer service and fulfillment, including product selection; space and display planning; sales staff training; and inventory control and replenishment. Each sales representative advises on topics such as shop layout, merchandise display techniques and effective use of signage and product information and methods of improving inventory turns and sales conversions through merchandising. Our sales force has been recognized worldwide for its professionalism and service excellence.</w:t>
      </w:r>
    </w:p>
    <w:p>
      <w:pPr>
        <w:spacing w:after="0" w:line="193" w:lineRule="exact"/>
        <w:rPr>
          <w:sz w:val="20"/>
          <w:szCs w:val="20"/>
          <w:color w:val="auto"/>
        </w:rPr>
      </w:pPr>
    </w:p>
    <w:p>
      <w:pPr>
        <w:ind w:left="380" w:right="439" w:firstLine="648"/>
        <w:spacing w:after="0" w:line="286" w:lineRule="auto"/>
        <w:rPr>
          <w:sz w:val="20"/>
          <w:szCs w:val="20"/>
          <w:color w:val="auto"/>
        </w:rPr>
      </w:pPr>
      <w:r>
        <w:rPr>
          <w:rFonts w:ascii="Arial" w:cs="Arial" w:eastAsia="Arial" w:hAnsi="Arial"/>
          <w:sz w:val="17"/>
          <w:szCs w:val="17"/>
          <w:color w:val="auto"/>
        </w:rPr>
        <w:t>We employ over 370 sales representatives worldwide, who are compensated through a combination of salary and a performance bonus. We currently service nearly 30,000 direct accounts worldwide. In both our direct sales and distributor markets, our trade partners are subject to our redistribution policy.</w:t>
      </w:r>
    </w:p>
    <w:p>
      <w:pPr>
        <w:spacing w:after="0" w:line="166" w:lineRule="exact"/>
        <w:rPr>
          <w:sz w:val="20"/>
          <w:szCs w:val="20"/>
          <w:color w:val="auto"/>
        </w:rPr>
      </w:pPr>
    </w:p>
    <w:p>
      <w:pPr>
        <w:ind w:left="380" w:right="799" w:firstLine="648"/>
        <w:spacing w:after="0" w:line="221" w:lineRule="exact"/>
        <w:rPr>
          <w:sz w:val="20"/>
          <w:szCs w:val="20"/>
          <w:color w:val="auto"/>
        </w:rPr>
      </w:pPr>
      <w:r>
        <w:rPr>
          <w:rFonts w:ascii="Arial" w:cs="Arial" w:eastAsia="Arial" w:hAnsi="Arial"/>
          <w:sz w:val="17"/>
          <w:szCs w:val="17"/>
          <w:color w:val="auto"/>
        </w:rPr>
        <w:t>Supplementing our core field sales partnerships are certain Internet</w:t>
      </w:r>
      <w:r>
        <w:rPr>
          <w:rFonts w:ascii="MS PGothic" w:cs="MS PGothic" w:eastAsia="MS PGothic" w:hAnsi="MS PGothic"/>
          <w:sz w:val="17"/>
          <w:szCs w:val="17"/>
          <w:color w:val="auto"/>
        </w:rPr>
        <w:t>‑</w:t>
      </w:r>
      <w:r>
        <w:rPr>
          <w:rFonts w:ascii="Arial" w:cs="Arial" w:eastAsia="Arial" w:hAnsi="Arial"/>
          <w:sz w:val="17"/>
          <w:szCs w:val="17"/>
          <w:color w:val="auto"/>
        </w:rPr>
        <w:t>based initiatives. In Canada and certain European markets in 2017, we launched eCommerce websites for FootJoy. In the U.S. in 2016, we launched eCommerce websites for FootJoy and the MyProV1.com online golf shop.</w:t>
      </w:r>
    </w:p>
    <w:p>
      <w:pPr>
        <w:spacing w:after="0" w:line="198" w:lineRule="exact"/>
        <w:rPr>
          <w:sz w:val="20"/>
          <w:szCs w:val="20"/>
          <w:color w:val="auto"/>
        </w:rPr>
      </w:pPr>
    </w:p>
    <w:p>
      <w:pPr>
        <w:ind w:left="380"/>
        <w:spacing w:after="0"/>
        <w:rPr>
          <w:sz w:val="20"/>
          <w:szCs w:val="20"/>
          <w:color w:val="auto"/>
        </w:rPr>
      </w:pPr>
      <w:r>
        <w:rPr>
          <w:rFonts w:ascii="Arial" w:cs="Arial" w:eastAsia="Arial" w:hAnsi="Arial"/>
          <w:sz w:val="18"/>
          <w:szCs w:val="18"/>
          <w:b w:val="1"/>
          <w:bCs w:val="1"/>
          <w:color w:val="auto"/>
        </w:rPr>
        <w:t>Marketing</w:t>
      </w:r>
    </w:p>
    <w:p>
      <w:pPr>
        <w:spacing w:after="0" w:line="229" w:lineRule="exact"/>
        <w:rPr>
          <w:sz w:val="20"/>
          <w:szCs w:val="20"/>
          <w:color w:val="auto"/>
        </w:rPr>
      </w:pPr>
    </w:p>
    <w:p>
      <w:pPr>
        <w:ind w:left="380" w:right="379" w:firstLine="648"/>
        <w:spacing w:after="0" w:line="219" w:lineRule="exact"/>
        <w:rPr>
          <w:sz w:val="20"/>
          <w:szCs w:val="20"/>
          <w:color w:val="auto"/>
        </w:rPr>
      </w:pPr>
      <w:r>
        <w:rPr>
          <w:rFonts w:ascii="Arial" w:cs="Arial" w:eastAsia="Arial" w:hAnsi="Arial"/>
          <w:sz w:val="18"/>
          <w:szCs w:val="18"/>
          <w:color w:val="auto"/>
        </w:rPr>
        <w:t>Throughout our history, we believe our commitment to marketing has helped further elevate our brands and strengthen our reputation for product performance and quality, with a particular focus on the perception of dedicated golfers. Our strategy is to deliver equipment that is superior in performance and quality, validated by the pyramid of influence. It is best</w:t>
      </w:r>
      <w:r>
        <w:rPr>
          <w:rFonts w:ascii="MS PGothic" w:cs="MS PGothic" w:eastAsia="MS PGothic" w:hAnsi="MS PGothic"/>
          <w:sz w:val="18"/>
          <w:szCs w:val="18"/>
          <w:color w:val="auto"/>
        </w:rPr>
        <w:t>‑</w:t>
      </w:r>
      <w:r>
        <w:rPr>
          <w:rFonts w:ascii="Arial" w:cs="Arial" w:eastAsia="Arial" w:hAnsi="Arial"/>
          <w:sz w:val="18"/>
          <w:szCs w:val="18"/>
          <w:color w:val="auto"/>
        </w:rPr>
        <w:t>in</w:t>
      </w:r>
      <w:r>
        <w:rPr>
          <w:rFonts w:ascii="MS PGothic" w:cs="MS PGothic" w:eastAsia="MS PGothic" w:hAnsi="MS PGothic"/>
          <w:sz w:val="18"/>
          <w:szCs w:val="18"/>
          <w:color w:val="auto"/>
        </w:rPr>
        <w:t>‑</w:t>
      </w:r>
      <w:r>
        <w:rPr>
          <w:rFonts w:ascii="Arial" w:cs="Arial" w:eastAsia="Arial" w:hAnsi="Arial"/>
          <w:sz w:val="18"/>
          <w:szCs w:val="18"/>
          <w:color w:val="auto"/>
        </w:rPr>
        <w:t>class performance and quality products that earn and maintain dedicated golfers’ loyalty and trust. Our marketing strategy, developed and refined over many years, is to reinforce this loyalty and trust, driving connectivity with our brands.</w:t>
      </w:r>
    </w:p>
    <w:p>
      <w:pPr>
        <w:spacing w:after="0" w:line="199" w:lineRule="exact"/>
        <w:rPr>
          <w:sz w:val="20"/>
          <w:szCs w:val="20"/>
          <w:color w:val="auto"/>
        </w:rPr>
      </w:pPr>
    </w:p>
    <w:p>
      <w:pPr>
        <w:ind w:left="380"/>
        <w:spacing w:after="0"/>
        <w:rPr>
          <w:sz w:val="20"/>
          <w:szCs w:val="20"/>
          <w:color w:val="auto"/>
        </w:rPr>
      </w:pPr>
      <w:r>
        <w:rPr>
          <w:rFonts w:ascii="Arial" w:cs="Arial" w:eastAsia="Arial" w:hAnsi="Arial"/>
          <w:sz w:val="18"/>
          <w:szCs w:val="18"/>
          <w:b w:val="1"/>
          <w:bCs w:val="1"/>
          <w:color w:val="auto"/>
        </w:rPr>
        <w:t>Seasonality</w:t>
      </w:r>
    </w:p>
    <w:p>
      <w:pPr>
        <w:spacing w:after="0" w:line="229" w:lineRule="exact"/>
        <w:rPr>
          <w:sz w:val="20"/>
          <w:szCs w:val="20"/>
          <w:color w:val="auto"/>
        </w:rPr>
      </w:pPr>
    </w:p>
    <w:p>
      <w:pPr>
        <w:ind w:left="1040"/>
        <w:spacing w:after="0"/>
        <w:rPr>
          <w:sz w:val="20"/>
          <w:szCs w:val="20"/>
          <w:color w:val="auto"/>
        </w:rPr>
      </w:pPr>
      <w:r>
        <w:rPr>
          <w:rFonts w:ascii="Arial" w:cs="Arial" w:eastAsia="Arial" w:hAnsi="Arial"/>
          <w:sz w:val="17"/>
          <w:szCs w:val="17"/>
          <w:color w:val="auto"/>
        </w:rPr>
        <w:t>Weather conditions in most parts of the world, including our primary geographic markets, generally</w:t>
      </w:r>
    </w:p>
    <w:p>
      <w:pPr>
        <w:spacing w:after="0" w:line="35" w:lineRule="exact"/>
        <w:rPr>
          <w:sz w:val="20"/>
          <w:szCs w:val="20"/>
          <w:color w:val="auto"/>
        </w:rPr>
      </w:pPr>
    </w:p>
    <w:p>
      <w:pPr>
        <w:ind w:left="380"/>
        <w:spacing w:after="0" w:line="207" w:lineRule="exact"/>
        <w:rPr>
          <w:sz w:val="20"/>
          <w:szCs w:val="20"/>
          <w:color w:val="auto"/>
        </w:rPr>
      </w:pPr>
      <w:r>
        <w:rPr>
          <w:rFonts w:ascii="Arial" w:cs="Arial" w:eastAsia="Arial" w:hAnsi="Arial"/>
          <w:sz w:val="18"/>
          <w:szCs w:val="18"/>
          <w:color w:val="auto"/>
        </w:rPr>
        <w:t>restrict golf from being played year</w:t>
      </w:r>
      <w:r>
        <w:rPr>
          <w:rFonts w:ascii="MS PGothic" w:cs="MS PGothic" w:eastAsia="MS PGothic" w:hAnsi="MS PGothic"/>
          <w:sz w:val="18"/>
          <w:szCs w:val="18"/>
          <w:color w:val="auto"/>
        </w:rPr>
        <w:t>‑</w:t>
      </w:r>
      <w:r>
        <w:rPr>
          <w:rFonts w:ascii="Arial" w:cs="Arial" w:eastAsia="Arial" w:hAnsi="Arial"/>
          <w:sz w:val="18"/>
          <w:szCs w:val="18"/>
          <w:color w:val="auto"/>
        </w:rPr>
        <w:t>round, with many of our on</w:t>
      </w:r>
      <w:r>
        <w:rPr>
          <w:rFonts w:ascii="MS PGothic" w:cs="MS PGothic" w:eastAsia="MS PGothic" w:hAnsi="MS PGothic"/>
          <w:sz w:val="18"/>
          <w:szCs w:val="18"/>
          <w:color w:val="auto"/>
        </w:rPr>
        <w:t>‑</w:t>
      </w:r>
      <w:r>
        <w:rPr>
          <w:rFonts w:ascii="Arial" w:cs="Arial" w:eastAsia="Arial" w:hAnsi="Arial"/>
          <w:sz w:val="18"/>
          <w:szCs w:val="18"/>
          <w:color w:val="auto"/>
        </w:rPr>
        <w:t>course customers closed during the cold</w:t>
      </w:r>
    </w:p>
    <w:p>
      <w:pPr>
        <w:spacing w:after="0" w:line="9" w:lineRule="exact"/>
        <w:rPr>
          <w:sz w:val="20"/>
          <w:szCs w:val="20"/>
          <w:color w:val="auto"/>
        </w:rPr>
      </w:pPr>
    </w:p>
    <w:p>
      <w:pPr>
        <w:ind w:left="380"/>
        <w:spacing w:after="0"/>
        <w:rPr>
          <w:sz w:val="20"/>
          <w:szCs w:val="20"/>
          <w:color w:val="auto"/>
        </w:rPr>
      </w:pPr>
      <w:r>
        <w:rPr>
          <w:rFonts w:ascii="Arial" w:cs="Arial" w:eastAsia="Arial" w:hAnsi="Arial"/>
          <w:sz w:val="16"/>
          <w:szCs w:val="16"/>
          <w:color w:val="auto"/>
        </w:rPr>
        <w:t>weather months. In general, during the first quarter, we begin selling our products into the golf retail channel for</w:t>
      </w:r>
    </w:p>
    <w:p>
      <w:pPr>
        <w:spacing w:after="0" w:line="32" w:lineRule="exact"/>
        <w:rPr>
          <w:sz w:val="20"/>
          <w:szCs w:val="20"/>
          <w:color w:val="auto"/>
        </w:rPr>
      </w:pPr>
    </w:p>
    <w:p>
      <w:pPr>
        <w:ind w:left="380"/>
        <w:spacing w:after="0" w:line="184" w:lineRule="exact"/>
        <w:rPr>
          <w:sz w:val="20"/>
          <w:szCs w:val="20"/>
          <w:color w:val="auto"/>
        </w:rPr>
      </w:pPr>
      <w:r>
        <w:rPr>
          <w:rFonts w:ascii="Arial" w:cs="Arial" w:eastAsia="Arial" w:hAnsi="Arial"/>
          <w:sz w:val="16"/>
          <w:szCs w:val="16"/>
          <w:color w:val="auto"/>
        </w:rPr>
        <w:t>the new golf season. This initial sell</w:t>
      </w:r>
      <w:r>
        <w:rPr>
          <w:rFonts w:ascii="MS PGothic" w:cs="MS PGothic" w:eastAsia="MS PGothic" w:hAnsi="MS PGothic"/>
          <w:sz w:val="16"/>
          <w:szCs w:val="16"/>
          <w:color w:val="auto"/>
        </w:rPr>
        <w:t>‑</w:t>
      </w:r>
      <w:r>
        <w:rPr>
          <w:rFonts w:ascii="Arial" w:cs="Arial" w:eastAsia="Arial" w:hAnsi="Arial"/>
          <w:sz w:val="16"/>
          <w:szCs w:val="16"/>
          <w:color w:val="auto"/>
        </w:rPr>
        <w:t>in generally continues into the second quarter. Our second</w:t>
      </w:r>
      <w:r>
        <w:rPr>
          <w:rFonts w:ascii="MS PGothic" w:cs="MS PGothic" w:eastAsia="MS PGothic" w:hAnsi="MS PGothic"/>
          <w:sz w:val="16"/>
          <w:szCs w:val="16"/>
          <w:color w:val="auto"/>
        </w:rPr>
        <w:t>‑</w:t>
      </w:r>
      <w:r>
        <w:rPr>
          <w:rFonts w:ascii="Arial" w:cs="Arial" w:eastAsia="Arial" w:hAnsi="Arial"/>
          <w:sz w:val="16"/>
          <w:szCs w:val="16"/>
          <w:color w:val="auto"/>
        </w:rPr>
        <w:t>quarter sales are</w:t>
      </w:r>
    </w:p>
    <w:p>
      <w:pPr>
        <w:spacing w:after="0" w:line="32" w:lineRule="exact"/>
        <w:rPr>
          <w:sz w:val="20"/>
          <w:szCs w:val="20"/>
          <w:color w:val="auto"/>
        </w:rPr>
      </w:pPr>
    </w:p>
    <w:p>
      <w:pPr>
        <w:ind w:left="380"/>
        <w:spacing w:after="0" w:line="196" w:lineRule="exact"/>
        <w:rPr>
          <w:sz w:val="20"/>
          <w:szCs w:val="20"/>
          <w:color w:val="auto"/>
        </w:rPr>
      </w:pPr>
      <w:r>
        <w:rPr>
          <w:rFonts w:ascii="Arial" w:cs="Arial" w:eastAsia="Arial" w:hAnsi="Arial"/>
          <w:sz w:val="17"/>
          <w:szCs w:val="17"/>
          <w:color w:val="auto"/>
        </w:rPr>
        <w:t>significantly affected by the amount of sell</w:t>
      </w:r>
      <w:r>
        <w:rPr>
          <w:rFonts w:ascii="MS PGothic" w:cs="MS PGothic" w:eastAsia="MS PGothic" w:hAnsi="MS PGothic"/>
          <w:sz w:val="17"/>
          <w:szCs w:val="17"/>
          <w:color w:val="auto"/>
        </w:rPr>
        <w:t>‑</w:t>
      </w:r>
      <w:r>
        <w:rPr>
          <w:rFonts w:ascii="Arial" w:cs="Arial" w:eastAsia="Arial" w:hAnsi="Arial"/>
          <w:sz w:val="17"/>
          <w:szCs w:val="17"/>
          <w:color w:val="auto"/>
        </w:rPr>
        <w:t>through, in particular the amount of higher value discretionary</w:t>
      </w:r>
    </w:p>
    <w:p>
      <w:pPr>
        <w:spacing w:after="0" w:line="21" w:lineRule="exact"/>
        <w:rPr>
          <w:sz w:val="20"/>
          <w:szCs w:val="20"/>
          <w:color w:val="auto"/>
        </w:rPr>
      </w:pPr>
    </w:p>
    <w:p>
      <w:pPr>
        <w:ind w:left="380"/>
        <w:spacing w:after="0"/>
        <w:rPr>
          <w:sz w:val="20"/>
          <w:szCs w:val="20"/>
          <w:color w:val="auto"/>
        </w:rPr>
      </w:pPr>
      <w:r>
        <w:rPr>
          <w:rFonts w:ascii="Arial" w:cs="Arial" w:eastAsia="Arial" w:hAnsi="Arial"/>
          <w:sz w:val="16"/>
          <w:szCs w:val="16"/>
          <w:color w:val="auto"/>
        </w:rPr>
        <w:t>purchases made by customers, which drives the level of reorders of the products sold during the first quarter. Our</w:t>
      </w:r>
    </w:p>
    <w:p>
      <w:pPr>
        <w:spacing w:after="0" w:line="32" w:lineRule="exact"/>
        <w:rPr>
          <w:sz w:val="20"/>
          <w:szCs w:val="20"/>
          <w:color w:val="auto"/>
        </w:rPr>
      </w:pPr>
    </w:p>
    <w:p>
      <w:pPr>
        <w:ind w:left="380"/>
        <w:spacing w:after="0" w:line="184" w:lineRule="exact"/>
        <w:rPr>
          <w:sz w:val="20"/>
          <w:szCs w:val="20"/>
          <w:color w:val="auto"/>
        </w:rPr>
      </w:pPr>
      <w:r>
        <w:rPr>
          <w:rFonts w:ascii="Arial" w:cs="Arial" w:eastAsia="Arial" w:hAnsi="Arial"/>
          <w:sz w:val="16"/>
          <w:szCs w:val="16"/>
          <w:color w:val="auto"/>
        </w:rPr>
        <w:t>third</w:t>
      </w:r>
      <w:r>
        <w:rPr>
          <w:rFonts w:ascii="MS PGothic" w:cs="MS PGothic" w:eastAsia="MS PGothic" w:hAnsi="MS PGothic"/>
          <w:sz w:val="16"/>
          <w:szCs w:val="16"/>
          <w:color w:val="auto"/>
        </w:rPr>
        <w:t>‑</w:t>
      </w:r>
      <w:r>
        <w:rPr>
          <w:rFonts w:ascii="Arial" w:cs="Arial" w:eastAsia="Arial" w:hAnsi="Arial"/>
          <w:sz w:val="16"/>
          <w:szCs w:val="16"/>
          <w:color w:val="auto"/>
        </w:rPr>
        <w:t>quarter sales are generally dependent on reorder business, and are generally lower than the second quarter, as</w:t>
      </w:r>
    </w:p>
    <w:p>
      <w:pPr>
        <w:spacing w:after="0" w:line="32" w:lineRule="exact"/>
        <w:rPr>
          <w:sz w:val="20"/>
          <w:szCs w:val="20"/>
          <w:color w:val="auto"/>
        </w:rPr>
      </w:pPr>
    </w:p>
    <w:p>
      <w:pPr>
        <w:ind w:left="380"/>
        <w:spacing w:after="0"/>
        <w:rPr>
          <w:sz w:val="20"/>
          <w:szCs w:val="20"/>
          <w:color w:val="auto"/>
        </w:rPr>
      </w:pPr>
      <w:r>
        <w:rPr>
          <w:rFonts w:ascii="Arial" w:cs="Arial" w:eastAsia="Arial" w:hAnsi="Arial"/>
          <w:sz w:val="18"/>
          <w:szCs w:val="18"/>
          <w:color w:val="auto"/>
        </w:rPr>
        <w:t>many retailers begin decreasing their inventory levels in anticipation of the end of the golf season. Our</w:t>
      </w:r>
    </w:p>
    <w:p>
      <w:pPr>
        <w:spacing w:after="0" w:line="9" w:lineRule="exact"/>
        <w:rPr>
          <w:sz w:val="20"/>
          <w:szCs w:val="20"/>
          <w:color w:val="auto"/>
        </w:rPr>
      </w:pPr>
    </w:p>
    <w:p>
      <w:pPr>
        <w:ind w:left="380"/>
        <w:spacing w:after="0" w:line="184" w:lineRule="exact"/>
        <w:rPr>
          <w:sz w:val="20"/>
          <w:szCs w:val="20"/>
          <w:color w:val="auto"/>
        </w:rPr>
      </w:pPr>
      <w:r>
        <w:rPr>
          <w:rFonts w:ascii="Arial" w:cs="Arial" w:eastAsia="Arial" w:hAnsi="Arial"/>
          <w:sz w:val="16"/>
          <w:szCs w:val="16"/>
          <w:color w:val="auto"/>
        </w:rPr>
        <w:t>fourth</w:t>
      </w:r>
      <w:r>
        <w:rPr>
          <w:rFonts w:ascii="MS PGothic" w:cs="MS PGothic" w:eastAsia="MS PGothic" w:hAnsi="MS PGothic"/>
          <w:sz w:val="16"/>
          <w:szCs w:val="16"/>
          <w:color w:val="auto"/>
        </w:rPr>
        <w:t>‑</w:t>
      </w:r>
      <w:r>
        <w:rPr>
          <w:rFonts w:ascii="Arial" w:cs="Arial" w:eastAsia="Arial" w:hAnsi="Arial"/>
          <w:sz w:val="16"/>
          <w:szCs w:val="16"/>
          <w:color w:val="auto"/>
        </w:rPr>
        <w:t>quarter sales are generally less than the other quarters due to the end of the golf season in many of our key</w:t>
      </w:r>
    </w:p>
    <w:p>
      <w:pPr>
        <w:spacing w:after="0" w:line="32" w:lineRule="exact"/>
        <w:rPr>
          <w:sz w:val="20"/>
          <w:szCs w:val="20"/>
          <w:color w:val="auto"/>
        </w:rPr>
      </w:pPr>
    </w:p>
    <w:p>
      <w:pPr>
        <w:ind w:left="380"/>
        <w:spacing w:after="0"/>
        <w:rPr>
          <w:sz w:val="20"/>
          <w:szCs w:val="20"/>
          <w:color w:val="auto"/>
        </w:rPr>
      </w:pPr>
      <w:r>
        <w:rPr>
          <w:rFonts w:ascii="Arial" w:cs="Arial" w:eastAsia="Arial" w:hAnsi="Arial"/>
          <w:sz w:val="16"/>
          <w:szCs w:val="16"/>
          <w:color w:val="auto"/>
        </w:rPr>
        <w:t>markets, but can also be affected by key product launches, particularly golf clubs. This seasonality, and therefore</w:t>
      </w:r>
    </w:p>
    <w:p>
      <w:pPr>
        <w:spacing w:after="0" w:line="32" w:lineRule="exact"/>
        <w:rPr>
          <w:sz w:val="20"/>
          <w:szCs w:val="20"/>
          <w:color w:val="auto"/>
        </w:rPr>
      </w:pPr>
    </w:p>
    <w:p>
      <w:pPr>
        <w:ind w:left="380"/>
        <w:spacing w:after="0"/>
        <w:rPr>
          <w:sz w:val="20"/>
          <w:szCs w:val="20"/>
          <w:color w:val="auto"/>
        </w:rPr>
      </w:pPr>
      <w:r>
        <w:rPr>
          <w:rFonts w:ascii="Arial" w:cs="Arial" w:eastAsia="Arial" w:hAnsi="Arial"/>
          <w:sz w:val="16"/>
          <w:szCs w:val="16"/>
          <w:color w:val="auto"/>
        </w:rPr>
        <w:t>quarter to quarter fluctuations, can be affected by many factors, including the timing of new product introductions</w:t>
      </w:r>
    </w:p>
    <w:p>
      <w:pPr>
        <w:spacing w:after="0" w:line="32" w:lineRule="exact"/>
        <w:rPr>
          <w:sz w:val="20"/>
          <w:szCs w:val="20"/>
          <w:color w:val="auto"/>
        </w:rPr>
      </w:pPr>
    </w:p>
    <w:p>
      <w:pPr>
        <w:ind w:left="380"/>
        <w:spacing w:after="0"/>
        <w:rPr>
          <w:sz w:val="20"/>
          <w:szCs w:val="20"/>
          <w:color w:val="auto"/>
        </w:rPr>
      </w:pPr>
      <w:r>
        <w:rPr>
          <w:rFonts w:ascii="Arial" w:cs="Arial" w:eastAsia="Arial" w:hAnsi="Arial"/>
          <w:sz w:val="16"/>
          <w:szCs w:val="16"/>
          <w:color w:val="auto"/>
        </w:rPr>
        <w:t>as discussed in “Management’s Discussion and Analysis of Financial Condition and Results of Operations - Key</w:t>
      </w:r>
    </w:p>
    <w:p>
      <w:pPr>
        <w:spacing w:after="0" w:line="32" w:lineRule="exact"/>
        <w:rPr>
          <w:sz w:val="20"/>
          <w:szCs w:val="20"/>
          <w:color w:val="auto"/>
        </w:rPr>
      </w:pPr>
    </w:p>
    <w:p>
      <w:pPr>
        <w:ind w:left="380"/>
        <w:spacing w:after="0"/>
        <w:rPr>
          <w:sz w:val="20"/>
          <w:szCs w:val="20"/>
          <w:color w:val="auto"/>
        </w:rPr>
      </w:pPr>
      <w:r>
        <w:rPr>
          <w:rFonts w:ascii="Arial" w:cs="Arial" w:eastAsia="Arial" w:hAnsi="Arial"/>
          <w:sz w:val="16"/>
          <w:szCs w:val="16"/>
          <w:color w:val="auto"/>
        </w:rPr>
        <w:t>Factors Affecting our Results of Operations – Product Launch Cycles”, Item 7 of Part II to this report, as well as</w:t>
      </w:r>
    </w:p>
    <w:p>
      <w:pPr>
        <w:spacing w:after="0" w:line="32" w:lineRule="exact"/>
        <w:rPr>
          <w:sz w:val="20"/>
          <w:szCs w:val="20"/>
          <w:color w:val="auto"/>
        </w:rPr>
      </w:pPr>
    </w:p>
    <w:p>
      <w:pPr>
        <w:ind w:left="380"/>
        <w:spacing w:after="0"/>
        <w:rPr>
          <w:sz w:val="20"/>
          <w:szCs w:val="20"/>
          <w:color w:val="auto"/>
        </w:rPr>
      </w:pPr>
      <w:r>
        <w:rPr>
          <w:rFonts w:ascii="Arial" w:cs="Arial" w:eastAsia="Arial" w:hAnsi="Arial"/>
          <w:sz w:val="17"/>
          <w:szCs w:val="17"/>
          <w:color w:val="auto"/>
        </w:rPr>
        <w:t>weather conditions. This seasonality affects sales in each of our reportable segments differently. In general,</w:t>
      </w:r>
    </w:p>
    <w:p>
      <w:pPr>
        <w:spacing w:after="0" w:line="21" w:lineRule="exact"/>
        <w:rPr>
          <w:sz w:val="20"/>
          <w:szCs w:val="20"/>
          <w:color w:val="auto"/>
        </w:rPr>
      </w:pPr>
    </w:p>
    <w:p>
      <w:pPr>
        <w:ind w:left="380"/>
        <w:spacing w:after="0"/>
        <w:rPr>
          <w:sz w:val="20"/>
          <w:szCs w:val="20"/>
          <w:color w:val="auto"/>
        </w:rPr>
      </w:pPr>
      <w:r>
        <w:rPr>
          <w:rFonts w:ascii="Arial" w:cs="Arial" w:eastAsia="Arial" w:hAnsi="Arial"/>
          <w:sz w:val="16"/>
          <w:szCs w:val="16"/>
          <w:color w:val="auto"/>
        </w:rPr>
        <w:t>however, because of this seasonality, a majority of our sales and most of our profitability generally occurs during</w:t>
      </w:r>
    </w:p>
    <w:p>
      <w:pPr>
        <w:spacing w:after="0" w:line="32" w:lineRule="exact"/>
        <w:rPr>
          <w:sz w:val="20"/>
          <w:szCs w:val="20"/>
          <w:color w:val="auto"/>
        </w:rPr>
      </w:pPr>
    </w:p>
    <w:p>
      <w:pPr>
        <w:ind w:left="380"/>
        <w:spacing w:after="0"/>
        <w:rPr>
          <w:sz w:val="20"/>
          <w:szCs w:val="20"/>
          <w:color w:val="auto"/>
        </w:rPr>
      </w:pPr>
      <w:r>
        <w:rPr>
          <w:rFonts w:ascii="Arial" w:cs="Arial" w:eastAsia="Arial" w:hAnsi="Arial"/>
          <w:sz w:val="18"/>
          <w:szCs w:val="18"/>
          <w:color w:val="auto"/>
        </w:rPr>
        <w:t>the first half of the year.</w:t>
      </w:r>
    </w:p>
    <w:p>
      <w:pPr>
        <w:spacing w:after="0" w:line="208"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14" w:name="page15"/>
    <w:bookmarkEnd w:id="14"/>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ind w:left="380"/>
        <w:spacing w:after="0"/>
        <w:rPr>
          <w:sz w:val="20"/>
          <w:szCs w:val="20"/>
          <w:color w:val="auto"/>
        </w:rPr>
      </w:pPr>
      <w:r>
        <w:rPr>
          <w:rFonts w:ascii="Arial" w:cs="Arial" w:eastAsia="Arial" w:hAnsi="Arial"/>
          <w:sz w:val="18"/>
          <w:szCs w:val="18"/>
          <w:b w:val="1"/>
          <w:bCs w:val="1"/>
          <w:color w:val="auto"/>
        </w:rPr>
        <w:t>Research and Product Development</w:t>
      </w:r>
    </w:p>
    <w:p>
      <w:pPr>
        <w:spacing w:after="0" w:line="229" w:lineRule="exact"/>
        <w:rPr>
          <w:sz w:val="20"/>
          <w:szCs w:val="20"/>
          <w:color w:val="auto"/>
        </w:rPr>
      </w:pPr>
    </w:p>
    <w:p>
      <w:pPr>
        <w:ind w:left="380" w:right="499" w:firstLine="648"/>
        <w:spacing w:after="0" w:line="255" w:lineRule="auto"/>
        <w:rPr>
          <w:sz w:val="20"/>
          <w:szCs w:val="20"/>
          <w:color w:val="auto"/>
        </w:rPr>
      </w:pPr>
      <w:r>
        <w:rPr>
          <w:rFonts w:ascii="Arial" w:cs="Arial" w:eastAsia="Arial" w:hAnsi="Arial"/>
          <w:sz w:val="18"/>
          <w:szCs w:val="18"/>
          <w:color w:val="auto"/>
        </w:rPr>
        <w:t>Innovating within a highly regulated environment presents unique challenges and opportunities that require a significant investment in people, facilities and financial resources, with separate dedicated R&amp;D teams for each product category. We have six R&amp;D facilities and/or test centers supported by approximately 180 scientists, chemists, engineers and technicians in aggregate. We are committed to continuous improvement and each R&amp;D team is tasked to develop technology that will deliver better quality and performance products in each generation.</w:t>
      </w:r>
    </w:p>
    <w:p>
      <w:pPr>
        <w:spacing w:after="0" w:line="193" w:lineRule="exact"/>
        <w:rPr>
          <w:sz w:val="20"/>
          <w:szCs w:val="20"/>
          <w:color w:val="auto"/>
        </w:rPr>
      </w:pPr>
    </w:p>
    <w:p>
      <w:pPr>
        <w:ind w:left="380" w:right="679" w:firstLine="648"/>
        <w:spacing w:after="0" w:line="277" w:lineRule="auto"/>
        <w:rPr>
          <w:sz w:val="20"/>
          <w:szCs w:val="20"/>
          <w:color w:val="auto"/>
        </w:rPr>
      </w:pPr>
      <w:r>
        <w:rPr>
          <w:rFonts w:ascii="Arial" w:cs="Arial" w:eastAsia="Arial" w:hAnsi="Arial"/>
          <w:sz w:val="18"/>
          <w:szCs w:val="18"/>
          <w:color w:val="auto"/>
        </w:rPr>
        <w:t>For the years ended December 31, 2017, 2016 and 2015 we invested $48.1 million, $48.8 million and $46.0 million, respectively, in R&amp;D.</w:t>
      </w:r>
    </w:p>
    <w:p>
      <w:pPr>
        <w:spacing w:after="0" w:line="383" w:lineRule="exact"/>
        <w:rPr>
          <w:sz w:val="20"/>
          <w:szCs w:val="20"/>
          <w:color w:val="auto"/>
        </w:rPr>
      </w:pPr>
    </w:p>
    <w:p>
      <w:pPr>
        <w:ind w:left="380"/>
        <w:spacing w:after="0"/>
        <w:rPr>
          <w:sz w:val="20"/>
          <w:szCs w:val="20"/>
          <w:color w:val="auto"/>
        </w:rPr>
      </w:pPr>
      <w:r>
        <w:rPr>
          <w:rFonts w:ascii="Arial" w:cs="Arial" w:eastAsia="Arial" w:hAnsi="Arial"/>
          <w:sz w:val="18"/>
          <w:szCs w:val="18"/>
          <w:b w:val="1"/>
          <w:bCs w:val="1"/>
          <w:color w:val="auto"/>
        </w:rPr>
        <w:t>Patents, Trademarks and Licenses</w:t>
      </w:r>
    </w:p>
    <w:p>
      <w:pPr>
        <w:spacing w:after="0" w:line="229" w:lineRule="exact"/>
        <w:rPr>
          <w:sz w:val="20"/>
          <w:szCs w:val="20"/>
          <w:color w:val="auto"/>
        </w:rPr>
      </w:pPr>
    </w:p>
    <w:p>
      <w:pPr>
        <w:ind w:left="380" w:right="859" w:firstLine="648"/>
        <w:spacing w:after="0" w:line="264" w:lineRule="auto"/>
        <w:rPr>
          <w:sz w:val="20"/>
          <w:szCs w:val="20"/>
          <w:color w:val="auto"/>
        </w:rPr>
      </w:pPr>
      <w:r>
        <w:rPr>
          <w:rFonts w:ascii="Arial" w:cs="Arial" w:eastAsia="Arial" w:hAnsi="Arial"/>
          <w:sz w:val="18"/>
          <w:szCs w:val="18"/>
          <w:color w:val="auto"/>
        </w:rPr>
        <w:t>We consider our patents and trademarks to be among our most valuable assets. We are dedicated to protecting the innovations created by our R&amp;D teams by developing broad and deep patent and trademark portfolios across all product categories.</w:t>
      </w:r>
    </w:p>
    <w:p>
      <w:pPr>
        <w:spacing w:after="0" w:line="181" w:lineRule="exact"/>
        <w:rPr>
          <w:sz w:val="20"/>
          <w:szCs w:val="20"/>
          <w:color w:val="auto"/>
        </w:rPr>
      </w:pPr>
    </w:p>
    <w:p>
      <w:pPr>
        <w:ind w:left="380" w:right="399" w:firstLine="648"/>
        <w:spacing w:after="0" w:line="297" w:lineRule="auto"/>
        <w:rPr>
          <w:sz w:val="20"/>
          <w:szCs w:val="20"/>
          <w:color w:val="auto"/>
        </w:rPr>
      </w:pPr>
      <w:r>
        <w:rPr>
          <w:rFonts w:ascii="Arial" w:cs="Arial" w:eastAsia="Arial" w:hAnsi="Arial"/>
          <w:sz w:val="16"/>
          <w:szCs w:val="16"/>
          <w:color w:val="auto"/>
        </w:rPr>
        <w:t>As a result, we have strong patent positions across our product categories and innovation spaces in which we operate, and have become the leader in obtaining golf ball and golf club patents worldwide. In addition, we believe we have more combined golf shoe and golf glove utility patents than all competitors combined. We have over 1,250 active U.S. utility patents in golf balls, nearly 350 active U.S. utility patents in golf clubs, wedges and putters and approximately 300 active patents (including ex-U.S. and design patents) in golf shoes and gloves.</w:t>
      </w:r>
    </w:p>
    <w:p>
      <w:pPr>
        <w:spacing w:after="0" w:line="158" w:lineRule="exact"/>
        <w:rPr>
          <w:sz w:val="20"/>
          <w:szCs w:val="20"/>
          <w:color w:val="auto"/>
        </w:rPr>
      </w:pPr>
    </w:p>
    <w:p>
      <w:pPr>
        <w:ind w:left="380" w:right="399" w:firstLine="648"/>
        <w:spacing w:after="0" w:line="277" w:lineRule="auto"/>
        <w:rPr>
          <w:sz w:val="20"/>
          <w:szCs w:val="20"/>
          <w:color w:val="auto"/>
        </w:rPr>
      </w:pPr>
      <w:r>
        <w:rPr>
          <w:rFonts w:ascii="Arial" w:cs="Arial" w:eastAsia="Arial" w:hAnsi="Arial"/>
          <w:sz w:val="18"/>
          <w:szCs w:val="18"/>
          <w:color w:val="auto"/>
        </w:rPr>
        <w:t>The following charts show our percentage of golf ball and golf club patents obtained in the last five years compared to our peers.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117475</wp:posOffset>
            </wp:positionV>
            <wp:extent cx="5394325" cy="25558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5394325" cy="255587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left="380" w:right="379" w:firstLine="648"/>
        <w:spacing w:after="0" w:line="259" w:lineRule="auto"/>
        <w:rPr>
          <w:sz w:val="20"/>
          <w:szCs w:val="20"/>
          <w:color w:val="auto"/>
        </w:rPr>
      </w:pPr>
      <w:r>
        <w:rPr>
          <w:rFonts w:ascii="Arial" w:cs="Arial" w:eastAsia="Arial" w:hAnsi="Arial"/>
          <w:sz w:val="18"/>
          <w:szCs w:val="18"/>
          <w:color w:val="auto"/>
        </w:rPr>
        <w:t>We own or license a large portfolio of trademarks, including for Titleist, Pro V1, Pro V1x, Pinnacle, AP1, AP2, Vokey Design, Scotty Cameron, FootJoy, FJ, DryJoys, StaSof and ProDry. We protect our trademarks by obtaining registrations where appropriate and opposing or cancelling material infringements. We also have rights in several common law marks.</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15" w:name="page16"/>
    <w:bookmarkEnd w:id="15"/>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ind w:left="380"/>
        <w:spacing w:after="0"/>
        <w:rPr>
          <w:sz w:val="20"/>
          <w:szCs w:val="20"/>
          <w:color w:val="auto"/>
        </w:rPr>
      </w:pPr>
      <w:r>
        <w:rPr>
          <w:rFonts w:ascii="Arial" w:cs="Arial" w:eastAsia="Arial" w:hAnsi="Arial"/>
          <w:sz w:val="18"/>
          <w:szCs w:val="18"/>
          <w:b w:val="1"/>
          <w:bCs w:val="1"/>
          <w:color w:val="auto"/>
        </w:rPr>
        <w:t>Competition</w:t>
      </w:r>
    </w:p>
    <w:p>
      <w:pPr>
        <w:spacing w:after="0" w:line="229" w:lineRule="exact"/>
        <w:rPr>
          <w:sz w:val="20"/>
          <w:szCs w:val="20"/>
          <w:color w:val="auto"/>
        </w:rPr>
      </w:pPr>
    </w:p>
    <w:p>
      <w:pPr>
        <w:ind w:left="1040"/>
        <w:spacing w:after="0"/>
        <w:rPr>
          <w:sz w:val="20"/>
          <w:szCs w:val="20"/>
          <w:color w:val="auto"/>
        </w:rPr>
      </w:pPr>
      <w:r>
        <w:rPr>
          <w:rFonts w:ascii="Arial" w:cs="Arial" w:eastAsia="Arial" w:hAnsi="Arial"/>
          <w:sz w:val="18"/>
          <w:szCs w:val="18"/>
          <w:color w:val="auto"/>
        </w:rPr>
        <w:t>There are unique aspects to the competitive dynamic in each of our product categories.</w:t>
      </w:r>
    </w:p>
    <w:p>
      <w:pPr>
        <w:spacing w:after="0" w:line="225" w:lineRule="exact"/>
        <w:rPr>
          <w:sz w:val="20"/>
          <w:szCs w:val="20"/>
          <w:color w:val="auto"/>
        </w:rPr>
      </w:pPr>
    </w:p>
    <w:p>
      <w:pPr>
        <w:jc w:val="both"/>
        <w:ind w:left="380" w:right="559" w:firstLine="648"/>
        <w:spacing w:after="0" w:line="221" w:lineRule="exact"/>
        <w:rPr>
          <w:sz w:val="20"/>
          <w:szCs w:val="20"/>
          <w:color w:val="auto"/>
        </w:rPr>
      </w:pPr>
      <w:r>
        <w:rPr>
          <w:rFonts w:ascii="Arial" w:cs="Arial" w:eastAsia="Arial" w:hAnsi="Arial"/>
          <w:sz w:val="18"/>
          <w:szCs w:val="18"/>
          <w:color w:val="auto"/>
        </w:rPr>
        <w:t>The golf ball business is highly competitive. There are a number of well</w:t>
      </w:r>
      <w:r>
        <w:rPr>
          <w:rFonts w:ascii="MS PGothic" w:cs="MS PGothic" w:eastAsia="MS PGothic" w:hAnsi="MS PGothic"/>
          <w:sz w:val="18"/>
          <w:szCs w:val="18"/>
          <w:color w:val="auto"/>
        </w:rPr>
        <w:t>‑</w:t>
      </w:r>
      <w:r>
        <w:rPr>
          <w:rFonts w:ascii="Arial" w:cs="Arial" w:eastAsia="Arial" w:hAnsi="Arial"/>
          <w:sz w:val="18"/>
          <w:szCs w:val="18"/>
          <w:color w:val="auto"/>
        </w:rPr>
        <w:t>established and well</w:t>
      </w:r>
      <w:r>
        <w:rPr>
          <w:rFonts w:ascii="MS PGothic" w:cs="MS PGothic" w:eastAsia="MS PGothic" w:hAnsi="MS PGothic"/>
          <w:sz w:val="18"/>
          <w:szCs w:val="18"/>
          <w:color w:val="auto"/>
        </w:rPr>
        <w:t>‑</w:t>
      </w:r>
      <w:r>
        <w:rPr>
          <w:rFonts w:ascii="Arial" w:cs="Arial" w:eastAsia="Arial" w:hAnsi="Arial"/>
          <w:sz w:val="18"/>
          <w:szCs w:val="18"/>
          <w:color w:val="auto"/>
        </w:rPr>
        <w:t>financed competitors, including Callaway, SRI Sports Limited (Dunlop and Srixon brands) and Bridgestone (Bridgestone and Precept brands).</w:t>
      </w:r>
    </w:p>
    <w:p>
      <w:pPr>
        <w:spacing w:after="0" w:line="202" w:lineRule="exact"/>
        <w:rPr>
          <w:sz w:val="20"/>
          <w:szCs w:val="20"/>
          <w:color w:val="auto"/>
        </w:rPr>
      </w:pPr>
    </w:p>
    <w:p>
      <w:pPr>
        <w:ind w:left="380" w:right="739" w:firstLine="648"/>
        <w:spacing w:after="0" w:line="221" w:lineRule="exact"/>
        <w:rPr>
          <w:sz w:val="20"/>
          <w:szCs w:val="20"/>
          <w:color w:val="auto"/>
        </w:rPr>
      </w:pPr>
      <w:r>
        <w:rPr>
          <w:rFonts w:ascii="Arial" w:cs="Arial" w:eastAsia="Arial" w:hAnsi="Arial"/>
          <w:sz w:val="18"/>
          <w:szCs w:val="18"/>
          <w:color w:val="auto"/>
        </w:rPr>
        <w:t>The golf club, wedge and putters markets in which we compete are also highly competitive and are served by a number of well</w:t>
      </w:r>
      <w:r>
        <w:rPr>
          <w:rFonts w:ascii="MS PGothic" w:cs="MS PGothic" w:eastAsia="MS PGothic" w:hAnsi="MS PGothic"/>
          <w:sz w:val="18"/>
          <w:szCs w:val="18"/>
          <w:color w:val="auto"/>
        </w:rPr>
        <w:t>‑</w:t>
      </w:r>
      <w:r>
        <w:rPr>
          <w:rFonts w:ascii="Arial" w:cs="Arial" w:eastAsia="Arial" w:hAnsi="Arial"/>
          <w:sz w:val="18"/>
          <w:szCs w:val="18"/>
          <w:color w:val="auto"/>
        </w:rPr>
        <w:t>established and well</w:t>
      </w:r>
      <w:r>
        <w:rPr>
          <w:rFonts w:ascii="MS PGothic" w:cs="MS PGothic" w:eastAsia="MS PGothic" w:hAnsi="MS PGothic"/>
          <w:sz w:val="18"/>
          <w:szCs w:val="18"/>
          <w:color w:val="auto"/>
        </w:rPr>
        <w:t>‑</w:t>
      </w:r>
      <w:r>
        <w:rPr>
          <w:rFonts w:ascii="Arial" w:cs="Arial" w:eastAsia="Arial" w:hAnsi="Arial"/>
          <w:sz w:val="18"/>
          <w:szCs w:val="18"/>
          <w:color w:val="auto"/>
        </w:rPr>
        <w:t>financed companies with recognized brand names, including Callaway, TaylorMade and Ping.</w:t>
      </w:r>
    </w:p>
    <w:p>
      <w:pPr>
        <w:spacing w:after="0" w:line="202" w:lineRule="exact"/>
        <w:rPr>
          <w:sz w:val="20"/>
          <w:szCs w:val="20"/>
          <w:color w:val="auto"/>
        </w:rPr>
      </w:pPr>
    </w:p>
    <w:p>
      <w:pPr>
        <w:ind w:left="380" w:right="839" w:firstLine="648"/>
        <w:spacing w:after="0" w:line="277" w:lineRule="auto"/>
        <w:rPr>
          <w:sz w:val="20"/>
          <w:szCs w:val="20"/>
          <w:color w:val="auto"/>
        </w:rPr>
      </w:pPr>
      <w:r>
        <w:rPr>
          <w:rFonts w:ascii="Arial" w:cs="Arial" w:eastAsia="Arial" w:hAnsi="Arial"/>
          <w:sz w:val="18"/>
          <w:szCs w:val="18"/>
          <w:color w:val="auto"/>
        </w:rPr>
        <w:t>For golf balls and golf clubs, wedges and putters, we generally compete on the basis of technology, quality, performance and customer service.</w:t>
      </w:r>
    </w:p>
    <w:p>
      <w:pPr>
        <w:spacing w:after="0" w:line="170" w:lineRule="exact"/>
        <w:rPr>
          <w:sz w:val="20"/>
          <w:szCs w:val="20"/>
          <w:color w:val="auto"/>
        </w:rPr>
      </w:pPr>
    </w:p>
    <w:p>
      <w:pPr>
        <w:ind w:left="380" w:right="599" w:firstLine="648"/>
        <w:spacing w:after="0" w:line="342" w:lineRule="auto"/>
        <w:rPr>
          <w:sz w:val="20"/>
          <w:szCs w:val="20"/>
          <w:color w:val="auto"/>
        </w:rPr>
      </w:pPr>
      <w:r>
        <w:rPr>
          <w:rFonts w:ascii="Arial" w:cs="Arial" w:eastAsia="Arial" w:hAnsi="Arial"/>
          <w:sz w:val="16"/>
          <w:szCs w:val="16"/>
          <w:color w:val="auto"/>
        </w:rPr>
        <w:t>In the golf gear market, there are numerous competitors in each product category and geographical market. Titleist golf gear generally competes on the basis of quality, performance, styling and customer service.</w:t>
      </w:r>
    </w:p>
    <w:p>
      <w:pPr>
        <w:spacing w:after="0" w:line="124" w:lineRule="exact"/>
        <w:rPr>
          <w:sz w:val="20"/>
          <w:szCs w:val="20"/>
          <w:color w:val="auto"/>
        </w:rPr>
      </w:pPr>
    </w:p>
    <w:p>
      <w:pPr>
        <w:ind w:left="380" w:right="539" w:firstLine="648"/>
        <w:spacing w:after="0" w:line="297" w:lineRule="auto"/>
        <w:rPr>
          <w:sz w:val="20"/>
          <w:szCs w:val="20"/>
          <w:color w:val="auto"/>
        </w:rPr>
      </w:pPr>
      <w:r>
        <w:rPr>
          <w:rFonts w:ascii="Arial" w:cs="Arial" w:eastAsia="Arial" w:hAnsi="Arial"/>
          <w:sz w:val="16"/>
          <w:szCs w:val="16"/>
          <w:color w:val="auto"/>
        </w:rPr>
        <w:t>FootJoy’s significant worldwide competitors in golf shoes include Nike, Adidas and Ecco. FootJoy’s primary worldwide competitors in golf gloves include Callaway, Nike, TaylorMade and Adidas and a significant number of smaller companies with regional offerings and specialized golf glove products. In the golf apparel category, FootJoy has numerous competitors in each geographical market, including Nike, Adidas and Under Armour. FootJoy products generally compete on the basis of quality, performance, styling and price.</w:t>
      </w:r>
    </w:p>
    <w:p>
      <w:pPr>
        <w:spacing w:after="0" w:line="154" w:lineRule="exact"/>
        <w:rPr>
          <w:sz w:val="20"/>
          <w:szCs w:val="20"/>
          <w:color w:val="auto"/>
        </w:rPr>
      </w:pPr>
    </w:p>
    <w:p>
      <w:pPr>
        <w:ind w:left="380"/>
        <w:spacing w:after="0"/>
        <w:rPr>
          <w:sz w:val="20"/>
          <w:szCs w:val="20"/>
          <w:color w:val="auto"/>
        </w:rPr>
      </w:pPr>
      <w:r>
        <w:rPr>
          <w:rFonts w:ascii="Arial" w:cs="Arial" w:eastAsia="Arial" w:hAnsi="Arial"/>
          <w:sz w:val="18"/>
          <w:szCs w:val="18"/>
          <w:b w:val="1"/>
          <w:bCs w:val="1"/>
          <w:color w:val="auto"/>
        </w:rPr>
        <w:t>Environmental Matters</w:t>
      </w:r>
    </w:p>
    <w:p>
      <w:pPr>
        <w:spacing w:after="0" w:line="229" w:lineRule="exact"/>
        <w:rPr>
          <w:sz w:val="20"/>
          <w:szCs w:val="20"/>
          <w:color w:val="auto"/>
        </w:rPr>
      </w:pPr>
    </w:p>
    <w:p>
      <w:pPr>
        <w:ind w:left="380" w:right="399" w:firstLine="648"/>
        <w:spacing w:after="0" w:line="218" w:lineRule="exact"/>
        <w:rPr>
          <w:sz w:val="20"/>
          <w:szCs w:val="20"/>
          <w:color w:val="auto"/>
        </w:rPr>
      </w:pPr>
      <w:r>
        <w:rPr>
          <w:rFonts w:ascii="Arial" w:cs="Arial" w:eastAsia="Arial" w:hAnsi="Arial"/>
          <w:sz w:val="16"/>
          <w:szCs w:val="16"/>
          <w:color w:val="auto"/>
        </w:rPr>
        <w:t>Our operations are subject to federal, state and local environmental laws and regulations that impose limitations on the discharge of pollutants into the environment and establish standards for the handling, generation, emission, release, discharge, treatment, storage and disposal of certain materials, substances and wastes and the remediation of environmental contaminants. In the ordinary course of our manufacturing processes, we use paints, chemical solvents and other materials, and generate waste by</w:t>
      </w:r>
      <w:r>
        <w:rPr>
          <w:rFonts w:ascii="MS PGothic" w:cs="MS PGothic" w:eastAsia="MS PGothic" w:hAnsi="MS PGothic"/>
          <w:sz w:val="16"/>
          <w:szCs w:val="16"/>
          <w:color w:val="auto"/>
        </w:rPr>
        <w:t>‑</w:t>
      </w:r>
      <w:r>
        <w:rPr>
          <w:rFonts w:ascii="Arial" w:cs="Arial" w:eastAsia="Arial" w:hAnsi="Arial"/>
          <w:sz w:val="16"/>
          <w:szCs w:val="16"/>
          <w:color w:val="auto"/>
        </w:rPr>
        <w:t>products that are subject to these environmental laws. We have incurred expenses in connection with environmental compliance.</w:t>
      </w:r>
    </w:p>
    <w:p>
      <w:pPr>
        <w:spacing w:after="0" w:line="206" w:lineRule="exact"/>
        <w:rPr>
          <w:sz w:val="20"/>
          <w:szCs w:val="20"/>
          <w:color w:val="auto"/>
        </w:rPr>
      </w:pPr>
    </w:p>
    <w:p>
      <w:pPr>
        <w:jc w:val="both"/>
        <w:ind w:left="380" w:right="499" w:firstLine="648"/>
        <w:spacing w:after="0" w:line="264" w:lineRule="auto"/>
        <w:rPr>
          <w:sz w:val="20"/>
          <w:szCs w:val="20"/>
          <w:color w:val="auto"/>
        </w:rPr>
      </w:pPr>
      <w:r>
        <w:rPr>
          <w:rFonts w:ascii="Arial" w:cs="Arial" w:eastAsia="Arial" w:hAnsi="Arial"/>
          <w:sz w:val="18"/>
          <w:szCs w:val="18"/>
          <w:color w:val="auto"/>
        </w:rPr>
        <w:t>We are also involved in ongoing investigations with federal and state environmental protection agencies and expect to incur future costs for past and current environmental issues relating to ongoing closure activities at certain sites.</w:t>
      </w:r>
    </w:p>
    <w:p>
      <w:pPr>
        <w:spacing w:after="0" w:line="177" w:lineRule="exact"/>
        <w:rPr>
          <w:sz w:val="20"/>
          <w:szCs w:val="20"/>
          <w:color w:val="auto"/>
        </w:rPr>
      </w:pPr>
    </w:p>
    <w:p>
      <w:pPr>
        <w:ind w:left="380"/>
        <w:spacing w:after="0"/>
        <w:rPr>
          <w:sz w:val="20"/>
          <w:szCs w:val="20"/>
          <w:color w:val="auto"/>
        </w:rPr>
      </w:pPr>
      <w:r>
        <w:rPr>
          <w:rFonts w:ascii="Arial" w:cs="Arial" w:eastAsia="Arial" w:hAnsi="Arial"/>
          <w:sz w:val="18"/>
          <w:szCs w:val="18"/>
          <w:b w:val="1"/>
          <w:bCs w:val="1"/>
          <w:color w:val="auto"/>
        </w:rPr>
        <w:t>Regulation</w:t>
      </w:r>
    </w:p>
    <w:p>
      <w:pPr>
        <w:spacing w:after="0" w:line="229" w:lineRule="exact"/>
        <w:rPr>
          <w:sz w:val="20"/>
          <w:szCs w:val="20"/>
          <w:color w:val="auto"/>
        </w:rPr>
      </w:pPr>
    </w:p>
    <w:p>
      <w:pPr>
        <w:ind w:left="1040"/>
        <w:spacing w:after="0"/>
        <w:rPr>
          <w:sz w:val="20"/>
          <w:szCs w:val="20"/>
          <w:color w:val="auto"/>
        </w:rPr>
      </w:pPr>
      <w:r>
        <w:rPr>
          <w:rFonts w:ascii="Arial" w:cs="Arial" w:eastAsia="Arial" w:hAnsi="Arial"/>
          <w:sz w:val="18"/>
          <w:szCs w:val="18"/>
          <w:b w:val="1"/>
          <w:bCs w:val="1"/>
          <w:i w:val="1"/>
          <w:iCs w:val="1"/>
          <w:color w:val="auto"/>
        </w:rPr>
        <w:t>The Rules of Golf</w:t>
      </w:r>
    </w:p>
    <w:p>
      <w:pPr>
        <w:spacing w:after="0" w:line="225" w:lineRule="exact"/>
        <w:rPr>
          <w:sz w:val="20"/>
          <w:szCs w:val="20"/>
          <w:color w:val="auto"/>
        </w:rPr>
      </w:pPr>
    </w:p>
    <w:p>
      <w:pPr>
        <w:ind w:left="380" w:right="579" w:firstLine="648"/>
        <w:spacing w:after="0" w:line="220" w:lineRule="exact"/>
        <w:rPr>
          <w:sz w:val="20"/>
          <w:szCs w:val="20"/>
          <w:color w:val="auto"/>
        </w:rPr>
      </w:pPr>
      <w:r>
        <w:rPr>
          <w:rFonts w:ascii="Arial" w:cs="Arial" w:eastAsia="Arial" w:hAnsi="Arial"/>
          <w:sz w:val="17"/>
          <w:szCs w:val="17"/>
          <w:color w:val="auto"/>
        </w:rPr>
        <w:t>The Rules of Golf set forth the rules of play and the rules for equipment used in the game of golf. The first documented rules of golf date to 1744 and the modern Rules of Golf have been in place for over 100 years. Dedicated golfers respect the traditions of the game and play by the Rules of Golf. As a result, premium</w:t>
      </w:r>
      <w:r>
        <w:rPr>
          <w:rFonts w:ascii="MS PGothic" w:cs="MS PGothic" w:eastAsia="MS PGothic" w:hAnsi="MS PGothic"/>
          <w:sz w:val="17"/>
          <w:szCs w:val="17"/>
          <w:color w:val="auto"/>
        </w:rPr>
        <w:t>‑</w:t>
      </w:r>
      <w:r>
        <w:rPr>
          <w:rFonts w:ascii="Arial" w:cs="Arial" w:eastAsia="Arial" w:hAnsi="Arial"/>
          <w:sz w:val="17"/>
          <w:szCs w:val="17"/>
          <w:color w:val="auto"/>
        </w:rPr>
        <w:t>positioned products are designed and manufactured to conform to the Rules of Golf.</w:t>
      </w:r>
    </w:p>
    <w:p>
      <w:pPr>
        <w:spacing w:after="0" w:line="204" w:lineRule="exact"/>
        <w:rPr>
          <w:sz w:val="20"/>
          <w:szCs w:val="20"/>
          <w:color w:val="auto"/>
        </w:rPr>
      </w:pPr>
    </w:p>
    <w:p>
      <w:pPr>
        <w:ind w:left="380" w:right="379" w:firstLine="648"/>
        <w:spacing w:after="0" w:line="302" w:lineRule="auto"/>
        <w:rPr>
          <w:sz w:val="20"/>
          <w:szCs w:val="20"/>
          <w:color w:val="auto"/>
        </w:rPr>
      </w:pPr>
      <w:r>
        <w:rPr>
          <w:rFonts w:ascii="Arial" w:cs="Arial" w:eastAsia="Arial" w:hAnsi="Arial"/>
          <w:sz w:val="16"/>
          <w:szCs w:val="16"/>
          <w:color w:val="auto"/>
        </w:rPr>
        <w:t>The United States Golf Association, or the USGA, is the governing body for golf in the United States and Mexico. The USGA, in conjunction with the Royal and Ancient, or R&amp;A, in St. Andrews, Scotland, writes, interprets and maintains the Rules of Golf. The R&amp;A is the governing body for golf in all jurisdictions outside of the United States and Mexico. The R&amp;A jointly writes, interprets and maintains the Rules of Golf with the USGA.</w:t>
      </w:r>
    </w:p>
    <w:p>
      <w:pPr>
        <w:spacing w:after="0" w:line="154" w:lineRule="exact"/>
        <w:rPr>
          <w:sz w:val="20"/>
          <w:szCs w:val="20"/>
          <w:color w:val="auto"/>
        </w:rPr>
      </w:pPr>
    </w:p>
    <w:p>
      <w:pPr>
        <w:ind w:left="380" w:right="619" w:firstLine="648"/>
        <w:spacing w:after="0" w:line="308" w:lineRule="auto"/>
        <w:rPr>
          <w:sz w:val="20"/>
          <w:szCs w:val="20"/>
          <w:color w:val="auto"/>
        </w:rPr>
      </w:pPr>
      <w:r>
        <w:rPr>
          <w:rFonts w:ascii="Arial" w:cs="Arial" w:eastAsia="Arial" w:hAnsi="Arial"/>
          <w:sz w:val="17"/>
          <w:szCs w:val="17"/>
          <w:color w:val="auto"/>
        </w:rPr>
        <w:t>In addition to their role as rule makers, both the USGA and R&amp;A conduct national championships and are involved in other efforts to maintain the history of golf and promote the health of the game.</w:t>
      </w:r>
    </w:p>
    <w:p>
      <w:pPr>
        <w:spacing w:after="0" w:line="147" w:lineRule="exact"/>
        <w:rPr>
          <w:sz w:val="20"/>
          <w:szCs w:val="20"/>
          <w:color w:val="auto"/>
        </w:rPr>
      </w:pPr>
    </w:p>
    <w:p>
      <w:pPr>
        <w:ind w:left="380" w:right="559" w:firstLine="648"/>
        <w:spacing w:after="0" w:line="312" w:lineRule="auto"/>
        <w:rPr>
          <w:sz w:val="20"/>
          <w:szCs w:val="20"/>
          <w:color w:val="auto"/>
        </w:rPr>
      </w:pPr>
      <w:r>
        <w:rPr>
          <w:rFonts w:ascii="Arial" w:cs="Arial" w:eastAsia="Arial" w:hAnsi="Arial"/>
          <w:sz w:val="16"/>
          <w:szCs w:val="16"/>
          <w:color w:val="auto"/>
        </w:rPr>
        <w:t>The Rules of Golf set the standards and establish limitations for the design and performance of all balls and clubs. Many new regulations on golf balls and golf clubs have been introduced in the past 10 to 15 years, which we believe was one of the most active periods for golf equipment regulation in the history of golf.</w:t>
      </w:r>
    </w:p>
    <w:p>
      <w:pPr>
        <w:spacing w:after="0" w:line="144"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16" w:name="page17"/>
    <w:bookmarkEnd w:id="16"/>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1040"/>
        <w:spacing w:after="0"/>
        <w:rPr>
          <w:sz w:val="20"/>
          <w:szCs w:val="20"/>
          <w:color w:val="auto"/>
        </w:rPr>
      </w:pPr>
      <w:r>
        <w:rPr>
          <w:rFonts w:ascii="Arial" w:cs="Arial" w:eastAsia="Arial" w:hAnsi="Arial"/>
          <w:sz w:val="18"/>
          <w:szCs w:val="18"/>
          <w:b w:val="1"/>
          <w:bCs w:val="1"/>
          <w:i w:val="1"/>
          <w:iCs w:val="1"/>
          <w:color w:val="auto"/>
        </w:rPr>
        <w:t>Golf Balls</w:t>
      </w:r>
    </w:p>
    <w:p>
      <w:pPr>
        <w:spacing w:after="0" w:line="225" w:lineRule="exact"/>
        <w:rPr>
          <w:sz w:val="20"/>
          <w:szCs w:val="20"/>
          <w:color w:val="auto"/>
        </w:rPr>
      </w:pPr>
    </w:p>
    <w:p>
      <w:pPr>
        <w:ind w:left="380" w:right="659" w:firstLine="648"/>
        <w:spacing w:after="0" w:line="342" w:lineRule="auto"/>
        <w:rPr>
          <w:sz w:val="20"/>
          <w:szCs w:val="20"/>
          <w:color w:val="auto"/>
        </w:rPr>
      </w:pPr>
      <w:r>
        <w:rPr>
          <w:rFonts w:ascii="Arial" w:cs="Arial" w:eastAsia="Arial" w:hAnsi="Arial"/>
          <w:sz w:val="16"/>
          <w:szCs w:val="16"/>
          <w:color w:val="auto"/>
        </w:rPr>
        <w:t>Historically, the USGA and R&amp;A have regulated the size, weight, spherical symmetry, initial velocity and overall distance performance of golf balls. The overall distance standard was last revised in 2004.</w:t>
      </w:r>
    </w:p>
    <w:p>
      <w:pPr>
        <w:spacing w:after="0" w:line="124" w:lineRule="exact"/>
        <w:rPr>
          <w:sz w:val="20"/>
          <w:szCs w:val="20"/>
          <w:color w:val="auto"/>
        </w:rPr>
      </w:pPr>
    </w:p>
    <w:p>
      <w:pPr>
        <w:ind w:left="1040"/>
        <w:spacing w:after="0"/>
        <w:rPr>
          <w:sz w:val="20"/>
          <w:szCs w:val="20"/>
          <w:color w:val="auto"/>
        </w:rPr>
      </w:pPr>
      <w:r>
        <w:rPr>
          <w:rFonts w:ascii="Arial" w:cs="Arial" w:eastAsia="Arial" w:hAnsi="Arial"/>
          <w:sz w:val="18"/>
          <w:szCs w:val="18"/>
          <w:b w:val="1"/>
          <w:bCs w:val="1"/>
          <w:i w:val="1"/>
          <w:iCs w:val="1"/>
          <w:color w:val="auto"/>
        </w:rPr>
        <w:t>Golf Clubs</w:t>
      </w:r>
    </w:p>
    <w:p>
      <w:pPr>
        <w:spacing w:after="0" w:line="225" w:lineRule="exact"/>
        <w:rPr>
          <w:sz w:val="20"/>
          <w:szCs w:val="20"/>
          <w:color w:val="auto"/>
        </w:rPr>
      </w:pPr>
    </w:p>
    <w:p>
      <w:pPr>
        <w:ind w:left="380" w:right="379" w:firstLine="648"/>
        <w:spacing w:after="0" w:line="218" w:lineRule="exact"/>
        <w:rPr>
          <w:sz w:val="20"/>
          <w:szCs w:val="20"/>
          <w:color w:val="auto"/>
        </w:rPr>
      </w:pPr>
      <w:r>
        <w:rPr>
          <w:rFonts w:ascii="Arial" w:cs="Arial" w:eastAsia="Arial" w:hAnsi="Arial"/>
          <w:sz w:val="16"/>
          <w:szCs w:val="16"/>
          <w:color w:val="auto"/>
        </w:rPr>
        <w:t>The USGA and R&amp;A have also focused on golf club regulations. In 1998, a limitation was placed on the spring</w:t>
      </w:r>
      <w:r>
        <w:rPr>
          <w:rFonts w:ascii="MS PGothic" w:cs="MS PGothic" w:eastAsia="MS PGothic" w:hAnsi="MS PGothic"/>
          <w:sz w:val="16"/>
          <w:szCs w:val="16"/>
          <w:color w:val="auto"/>
        </w:rPr>
        <w:t>‑</w:t>
      </w:r>
      <w:r>
        <w:rPr>
          <w:rFonts w:ascii="Arial" w:cs="Arial" w:eastAsia="Arial" w:hAnsi="Arial"/>
          <w:sz w:val="16"/>
          <w:szCs w:val="16"/>
          <w:color w:val="auto"/>
        </w:rPr>
        <w:t>like effect of driver faces. In 2003, limits were placed on club head dimensions and volume, as well as shaft length. In 2007, club head moment of inertia was limited. A rule change to allow greater adjustability in golf clubs went into effect on January 1, 2008. In August 2008, the USGA and R&amp;A adopted a rule change further restricting golf club grooves by reducing the groove volume and limiting the groove edge angle allowable on irons and wedges. This rule change will not apply to most golfers until January 1, 2024. It was implemented on professional tours beginning in 2010 and was implemented in elite amateur competitions beginning in 2014. All products manufactured after December 31, 2010 must comply with the new groove specifications.</w:t>
      </w:r>
    </w:p>
    <w:p>
      <w:pPr>
        <w:spacing w:after="0" w:line="203" w:lineRule="exact"/>
        <w:rPr>
          <w:sz w:val="20"/>
          <w:szCs w:val="20"/>
          <w:color w:val="auto"/>
        </w:rPr>
      </w:pPr>
    </w:p>
    <w:p>
      <w:pPr>
        <w:ind w:left="1040"/>
        <w:spacing w:after="0"/>
        <w:rPr>
          <w:sz w:val="20"/>
          <w:szCs w:val="20"/>
          <w:color w:val="auto"/>
        </w:rPr>
      </w:pPr>
      <w:r>
        <w:rPr>
          <w:rFonts w:ascii="Arial" w:cs="Arial" w:eastAsia="Arial" w:hAnsi="Arial"/>
          <w:sz w:val="18"/>
          <w:szCs w:val="18"/>
          <w:b w:val="1"/>
          <w:bCs w:val="1"/>
          <w:i w:val="1"/>
          <w:iCs w:val="1"/>
          <w:color w:val="auto"/>
        </w:rPr>
        <w:t>Our Position</w:t>
      </w:r>
    </w:p>
    <w:p>
      <w:pPr>
        <w:spacing w:after="0" w:line="225" w:lineRule="exact"/>
        <w:rPr>
          <w:sz w:val="20"/>
          <w:szCs w:val="20"/>
          <w:color w:val="auto"/>
        </w:rPr>
      </w:pPr>
    </w:p>
    <w:p>
      <w:pPr>
        <w:ind w:left="380" w:right="479" w:firstLine="648"/>
        <w:spacing w:after="0" w:line="218" w:lineRule="exact"/>
        <w:rPr>
          <w:sz w:val="20"/>
          <w:szCs w:val="20"/>
          <w:color w:val="auto"/>
        </w:rPr>
      </w:pPr>
      <w:r>
        <w:rPr>
          <w:rFonts w:ascii="Arial" w:cs="Arial" w:eastAsia="Arial" w:hAnsi="Arial"/>
          <w:sz w:val="16"/>
          <w:szCs w:val="16"/>
          <w:color w:val="auto"/>
        </w:rPr>
        <w:t>In response to this regulatory dynamic, our senior management and R&amp;D teams spend significant time and effort in developing and maintaining relationships with the USGA and R&amp;A. We are an active participant in discussions with the ruling bodies regarding potential new rules and the rule making process. More importantly, our R&amp;D teams are driven to innovate and continuously improve product technology and performance within the Rules of Golf. The development and protection of these innovations through aggressive patenting are essential to competing in the current market. As a long</w:t>
      </w:r>
      <w:r>
        <w:rPr>
          <w:rFonts w:ascii="MS PGothic" w:cs="MS PGothic" w:eastAsia="MS PGothic" w:hAnsi="MS PGothic"/>
          <w:sz w:val="16"/>
          <w:szCs w:val="16"/>
          <w:color w:val="auto"/>
        </w:rPr>
        <w:t>‑</w:t>
      </w:r>
      <w:r>
        <w:rPr>
          <w:rFonts w:ascii="Arial" w:cs="Arial" w:eastAsia="Arial" w:hAnsi="Arial"/>
          <w:sz w:val="16"/>
          <w:szCs w:val="16"/>
          <w:color w:val="auto"/>
        </w:rPr>
        <w:t>time industry participant and market leader, we are well</w:t>
      </w:r>
      <w:r>
        <w:rPr>
          <w:rFonts w:ascii="MS PGothic" w:cs="MS PGothic" w:eastAsia="MS PGothic" w:hAnsi="MS PGothic"/>
          <w:sz w:val="16"/>
          <w:szCs w:val="16"/>
          <w:color w:val="auto"/>
        </w:rPr>
        <w:t>‑</w:t>
      </w:r>
      <w:r>
        <w:rPr>
          <w:rFonts w:ascii="Arial" w:cs="Arial" w:eastAsia="Arial" w:hAnsi="Arial"/>
          <w:sz w:val="16"/>
          <w:szCs w:val="16"/>
          <w:color w:val="auto"/>
        </w:rPr>
        <w:t>positioned to continue to outperform the market in a rules constrained environment.</w:t>
      </w:r>
    </w:p>
    <w:p>
      <w:pPr>
        <w:spacing w:after="0" w:line="201" w:lineRule="exact"/>
        <w:rPr>
          <w:sz w:val="20"/>
          <w:szCs w:val="20"/>
          <w:color w:val="auto"/>
        </w:rPr>
      </w:pPr>
    </w:p>
    <w:p>
      <w:pPr>
        <w:ind w:left="380"/>
        <w:spacing w:after="0"/>
        <w:rPr>
          <w:sz w:val="20"/>
          <w:szCs w:val="20"/>
          <w:color w:val="auto"/>
        </w:rPr>
      </w:pPr>
      <w:r>
        <w:rPr>
          <w:rFonts w:ascii="Arial" w:cs="Arial" w:eastAsia="Arial" w:hAnsi="Arial"/>
          <w:sz w:val="18"/>
          <w:szCs w:val="18"/>
          <w:b w:val="1"/>
          <w:bCs w:val="1"/>
          <w:color w:val="auto"/>
        </w:rPr>
        <w:t>Employees</w:t>
      </w:r>
    </w:p>
    <w:p>
      <w:pPr>
        <w:spacing w:after="0" w:line="229" w:lineRule="exact"/>
        <w:rPr>
          <w:sz w:val="20"/>
          <w:szCs w:val="20"/>
          <w:color w:val="auto"/>
        </w:rPr>
      </w:pPr>
    </w:p>
    <w:p>
      <w:pPr>
        <w:jc w:val="both"/>
        <w:ind w:left="380" w:right="559" w:firstLine="648"/>
        <w:spacing w:after="0" w:line="312" w:lineRule="auto"/>
        <w:rPr>
          <w:sz w:val="20"/>
          <w:szCs w:val="20"/>
          <w:color w:val="auto"/>
        </w:rPr>
      </w:pPr>
      <w:r>
        <w:rPr>
          <w:rFonts w:ascii="Arial" w:cs="Arial" w:eastAsia="Arial" w:hAnsi="Arial"/>
          <w:sz w:val="16"/>
          <w:szCs w:val="16"/>
          <w:color w:val="auto"/>
        </w:rPr>
        <w:t>As of December 31, 2017, we employed 5,230 associates worldwide. The geographic concentration of associates is as follows: 2,368 in the Americas, 459 in EMEA, and 2,403 employed in Asia Pacific. None of our associates are represented by a union. We believe that relations with our associates are positive.</w:t>
      </w:r>
    </w:p>
    <w:p>
      <w:pPr>
        <w:spacing w:after="0" w:line="143" w:lineRule="exact"/>
        <w:rPr>
          <w:sz w:val="20"/>
          <w:szCs w:val="20"/>
          <w:color w:val="auto"/>
        </w:rPr>
      </w:pPr>
    </w:p>
    <w:p>
      <w:pPr>
        <w:ind w:left="380"/>
        <w:spacing w:after="0"/>
        <w:tabs>
          <w:tab w:leader="none" w:pos="1640" w:val="left"/>
        </w:tabs>
        <w:rPr>
          <w:sz w:val="20"/>
          <w:szCs w:val="20"/>
          <w:color w:val="auto"/>
        </w:rPr>
      </w:pPr>
      <w:r>
        <w:rPr>
          <w:rFonts w:ascii="Arial" w:cs="Arial" w:eastAsia="Arial" w:hAnsi="Arial"/>
          <w:sz w:val="18"/>
          <w:szCs w:val="18"/>
          <w:b w:val="1"/>
          <w:bCs w:val="1"/>
          <w:color w:val="auto"/>
        </w:rPr>
        <w:t>ITEM 1A.</w:t>
      </w:r>
      <w:r>
        <w:rPr>
          <w:sz w:val="20"/>
          <w:szCs w:val="20"/>
          <w:color w:val="auto"/>
        </w:rPr>
        <w:tab/>
      </w:r>
      <w:r>
        <w:rPr>
          <w:rFonts w:ascii="Arial" w:cs="Arial" w:eastAsia="Arial" w:hAnsi="Arial"/>
          <w:sz w:val="17"/>
          <w:szCs w:val="17"/>
          <w:b w:val="1"/>
          <w:bCs w:val="1"/>
          <w:color w:val="auto"/>
        </w:rPr>
        <w:t>RISK FACTORS</w:t>
      </w:r>
    </w:p>
    <w:p>
      <w:pPr>
        <w:spacing w:after="0" w:line="229" w:lineRule="exact"/>
        <w:rPr>
          <w:sz w:val="20"/>
          <w:szCs w:val="20"/>
          <w:color w:val="auto"/>
        </w:rPr>
      </w:pPr>
    </w:p>
    <w:p>
      <w:pPr>
        <w:ind w:left="380" w:right="479" w:firstLine="648"/>
        <w:spacing w:after="0" w:line="271" w:lineRule="auto"/>
        <w:rPr>
          <w:sz w:val="20"/>
          <w:szCs w:val="20"/>
          <w:color w:val="auto"/>
        </w:rPr>
      </w:pPr>
      <w:r>
        <w:rPr>
          <w:rFonts w:ascii="Arial" w:cs="Arial" w:eastAsia="Arial" w:hAnsi="Arial"/>
          <w:sz w:val="17"/>
          <w:szCs w:val="17"/>
          <w:color w:val="auto"/>
        </w:rPr>
        <w:t>You should carefully consider each of the following risk factors, as well as the other information in this report, including our consolidated financial statements and the related notes and “Item 7. – Management’s Discussion and Analysis of Financial Condition and Results of Operations.” If any of the following risks actually occurs, our business, financial condition and results of operations could be materially adversely affected. In that event, the market price of our common stock could decline significantly and you could lose all or part of your investment. The risks described below are not the only risks we face. Additional risks we are not presently aware of or that we currently believe are immaterial could also materially adversely affect our business, financial condition and results of operations.</w:t>
      </w:r>
    </w:p>
    <w:p>
      <w:pPr>
        <w:spacing w:after="0" w:line="175" w:lineRule="exact"/>
        <w:rPr>
          <w:sz w:val="20"/>
          <w:szCs w:val="20"/>
          <w:color w:val="auto"/>
        </w:rPr>
      </w:pPr>
    </w:p>
    <w:p>
      <w:pPr>
        <w:ind w:left="380"/>
        <w:spacing w:after="0"/>
        <w:rPr>
          <w:sz w:val="20"/>
          <w:szCs w:val="20"/>
          <w:color w:val="auto"/>
        </w:rPr>
      </w:pPr>
      <w:r>
        <w:rPr>
          <w:rFonts w:ascii="Arial" w:cs="Arial" w:eastAsia="Arial" w:hAnsi="Arial"/>
          <w:sz w:val="18"/>
          <w:szCs w:val="18"/>
          <w:b w:val="1"/>
          <w:bCs w:val="1"/>
          <w:color w:val="auto"/>
        </w:rPr>
        <w:t>Risks Related to Our Business and Industry</w:t>
      </w:r>
    </w:p>
    <w:p>
      <w:pPr>
        <w:spacing w:after="0" w:line="229" w:lineRule="exact"/>
        <w:rPr>
          <w:sz w:val="20"/>
          <w:szCs w:val="20"/>
          <w:color w:val="auto"/>
        </w:rPr>
      </w:pPr>
    </w:p>
    <w:p>
      <w:pPr>
        <w:ind w:left="380" w:right="839"/>
        <w:spacing w:after="0" w:line="308" w:lineRule="auto"/>
        <w:rPr>
          <w:sz w:val="20"/>
          <w:szCs w:val="20"/>
          <w:color w:val="auto"/>
        </w:rPr>
      </w:pPr>
      <w:r>
        <w:rPr>
          <w:rFonts w:ascii="Arial" w:cs="Arial" w:eastAsia="Arial" w:hAnsi="Arial"/>
          <w:sz w:val="17"/>
          <w:szCs w:val="17"/>
          <w:b w:val="1"/>
          <w:bCs w:val="1"/>
          <w:i w:val="1"/>
          <w:iCs w:val="1"/>
          <w:color w:val="auto"/>
        </w:rPr>
        <w:t>A reduction in the number of rounds of golf played or in the number of golf participants could materially adversely affect our business, financial condition and results of operations.</w:t>
      </w:r>
    </w:p>
    <w:p>
      <w:pPr>
        <w:spacing w:after="0" w:line="147" w:lineRule="exact"/>
        <w:rPr>
          <w:sz w:val="20"/>
          <w:szCs w:val="20"/>
          <w:color w:val="auto"/>
        </w:rPr>
      </w:pPr>
    </w:p>
    <w:p>
      <w:pPr>
        <w:ind w:left="380" w:right="379" w:firstLine="648"/>
        <w:spacing w:after="0" w:line="218" w:lineRule="exact"/>
        <w:rPr>
          <w:sz w:val="20"/>
          <w:szCs w:val="20"/>
          <w:color w:val="auto"/>
        </w:rPr>
      </w:pPr>
      <w:r>
        <w:rPr>
          <w:rFonts w:ascii="Arial" w:cs="Arial" w:eastAsia="Arial" w:hAnsi="Arial"/>
          <w:sz w:val="18"/>
          <w:szCs w:val="18"/>
          <w:color w:val="auto"/>
        </w:rPr>
        <w:t>We generate substantially all of our sales from the sale of golf</w:t>
      </w:r>
      <w:r>
        <w:rPr>
          <w:rFonts w:ascii="MS PGothic" w:cs="MS PGothic" w:eastAsia="MS PGothic" w:hAnsi="MS PGothic"/>
          <w:sz w:val="18"/>
          <w:szCs w:val="18"/>
          <w:color w:val="auto"/>
        </w:rPr>
        <w:t>‑</w:t>
      </w:r>
      <w:r>
        <w:rPr>
          <w:rFonts w:ascii="Arial" w:cs="Arial" w:eastAsia="Arial" w:hAnsi="Arial"/>
          <w:sz w:val="18"/>
          <w:szCs w:val="18"/>
          <w:color w:val="auto"/>
        </w:rPr>
        <w:t>related products, including golf balls, golf clubs, golf shoes, golf gloves, golf gear and golf apparel. The demand for golf</w:t>
      </w:r>
      <w:r>
        <w:rPr>
          <w:rFonts w:ascii="MS PGothic" w:cs="MS PGothic" w:eastAsia="MS PGothic" w:hAnsi="MS PGothic"/>
          <w:sz w:val="18"/>
          <w:szCs w:val="18"/>
          <w:color w:val="auto"/>
        </w:rPr>
        <w:t>‑</w:t>
      </w:r>
      <w:r>
        <w:rPr>
          <w:rFonts w:ascii="Arial" w:cs="Arial" w:eastAsia="Arial" w:hAnsi="Arial"/>
          <w:sz w:val="18"/>
          <w:szCs w:val="18"/>
          <w:color w:val="auto"/>
        </w:rPr>
        <w:t>related products in general, and golf balls in particular, is directly related to the number of golf participants and the number of rounds of golf being played by these participants. The number of rounds of golf played in the United States declined from 2006 to 2014 and have been largely flat since then. If golf participation or the number of rounds of golf played declines, sales of our products may be adversely impacted, which could materially adversely affect our business, financial condition and results of operations.</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17" w:name="page18"/>
    <w:bookmarkEnd w:id="17"/>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380"/>
        <w:spacing w:after="0"/>
        <w:rPr>
          <w:sz w:val="20"/>
          <w:szCs w:val="20"/>
          <w:color w:val="auto"/>
        </w:rPr>
      </w:pPr>
      <w:r>
        <w:rPr>
          <w:rFonts w:ascii="Arial" w:cs="Arial" w:eastAsia="Arial" w:hAnsi="Arial"/>
          <w:sz w:val="16"/>
          <w:szCs w:val="16"/>
          <w:b w:val="1"/>
          <w:bCs w:val="1"/>
          <w:i w:val="1"/>
          <w:iCs w:val="1"/>
          <w:color w:val="auto"/>
        </w:rPr>
        <w:t>Unfavorable weather conditions may impact the number of playable days and rounds played in a given year.</w:t>
      </w:r>
    </w:p>
    <w:p>
      <w:pPr>
        <w:spacing w:after="0" w:line="248" w:lineRule="exact"/>
        <w:rPr>
          <w:sz w:val="20"/>
          <w:szCs w:val="20"/>
          <w:color w:val="auto"/>
        </w:rPr>
      </w:pPr>
    </w:p>
    <w:p>
      <w:pPr>
        <w:ind w:left="380" w:right="499" w:firstLine="648"/>
        <w:spacing w:after="0" w:line="218" w:lineRule="exact"/>
        <w:rPr>
          <w:sz w:val="20"/>
          <w:szCs w:val="20"/>
          <w:color w:val="auto"/>
        </w:rPr>
      </w:pPr>
      <w:r>
        <w:rPr>
          <w:rFonts w:ascii="Arial" w:cs="Arial" w:eastAsia="Arial" w:hAnsi="Arial"/>
          <w:sz w:val="16"/>
          <w:szCs w:val="16"/>
          <w:color w:val="auto"/>
        </w:rPr>
        <w:t>Weather conditions in most parts of the world, including our primary geographic markets, generally restrict golf from being played year</w:t>
      </w:r>
      <w:r>
        <w:rPr>
          <w:rFonts w:ascii="MS PGothic" w:cs="MS PGothic" w:eastAsia="MS PGothic" w:hAnsi="MS PGothic"/>
          <w:sz w:val="16"/>
          <w:szCs w:val="16"/>
          <w:color w:val="auto"/>
        </w:rPr>
        <w:t>‑</w:t>
      </w:r>
      <w:r>
        <w:rPr>
          <w:rFonts w:ascii="Arial" w:cs="Arial" w:eastAsia="Arial" w:hAnsi="Arial"/>
          <w:sz w:val="16"/>
          <w:szCs w:val="16"/>
          <w:color w:val="auto"/>
        </w:rPr>
        <w:t>round, with many of our on</w:t>
      </w:r>
      <w:r>
        <w:rPr>
          <w:rFonts w:ascii="MS PGothic" w:cs="MS PGothic" w:eastAsia="MS PGothic" w:hAnsi="MS PGothic"/>
          <w:sz w:val="16"/>
          <w:szCs w:val="16"/>
          <w:color w:val="auto"/>
        </w:rPr>
        <w:t>‑</w:t>
      </w:r>
      <w:r>
        <w:rPr>
          <w:rFonts w:ascii="Arial" w:cs="Arial" w:eastAsia="Arial" w:hAnsi="Arial"/>
          <w:sz w:val="16"/>
          <w:szCs w:val="16"/>
          <w:color w:val="auto"/>
        </w:rPr>
        <w:t>course customers closed during the cold weather months and, to a lesser extent, during the hot weather months. Unfavorable weather conditions in our major markets, such as a particularly long winter, a cold and wet spring, or an extremely hot summer, would impact the number of playable days and rounds played in a given year, which would result in a decrease in the amount spent by golfers and golf retailers on our products, particularly with respect to consumable products such as golf balls and golf gloves. In addition, unfavorable weather conditions and natural disasters can adversely affect the number of custom club fitting and trial events that we can perform during the key selling</w:t>
      </w:r>
    </w:p>
    <w:p>
      <w:pPr>
        <w:spacing w:after="0" w:line="1" w:lineRule="exact"/>
        <w:rPr>
          <w:sz w:val="20"/>
          <w:szCs w:val="20"/>
          <w:color w:val="auto"/>
        </w:rPr>
      </w:pPr>
    </w:p>
    <w:p>
      <w:pPr>
        <w:ind w:left="380" w:right="399"/>
        <w:spacing w:after="0" w:line="268" w:lineRule="auto"/>
        <w:rPr>
          <w:sz w:val="20"/>
          <w:szCs w:val="20"/>
          <w:color w:val="auto"/>
        </w:rPr>
      </w:pPr>
      <w:r>
        <w:rPr>
          <w:rFonts w:ascii="Arial" w:cs="Arial" w:eastAsia="Arial" w:hAnsi="Arial"/>
          <w:sz w:val="17"/>
          <w:szCs w:val="17"/>
          <w:color w:val="auto"/>
        </w:rPr>
        <w:t>period. Unusual or severe weather conditions throughout the year, such as storms or droughts or other water shortages, can negatively affect golf rounds played both during the events and afterward, as weather damaged golf courses are repaired and golfers focus on repairing the damage to their homes, businesses and communities. Consequently, sustained adverse weather conditions, especially during the warm weather months, could impact our sales, which could materially adversely affect our business, financial condition and results of operations. Adverse weather conditions may have a greater impact on us than other golf equipment companies as we have a large percentage of consumable products in our product portfolio, and the purchase of consumable products is generally more dependent on the number of rounds played in a given year.</w:t>
      </w:r>
    </w:p>
    <w:p>
      <w:pPr>
        <w:spacing w:after="0" w:line="184" w:lineRule="exact"/>
        <w:rPr>
          <w:sz w:val="20"/>
          <w:szCs w:val="20"/>
          <w:color w:val="auto"/>
        </w:rPr>
      </w:pPr>
    </w:p>
    <w:p>
      <w:pPr>
        <w:ind w:left="380" w:right="699"/>
        <w:spacing w:after="0" w:line="277" w:lineRule="auto"/>
        <w:rPr>
          <w:sz w:val="20"/>
          <w:szCs w:val="20"/>
          <w:color w:val="auto"/>
        </w:rPr>
      </w:pPr>
      <w:r>
        <w:rPr>
          <w:rFonts w:ascii="Arial" w:cs="Arial" w:eastAsia="Arial" w:hAnsi="Arial"/>
          <w:sz w:val="18"/>
          <w:szCs w:val="18"/>
          <w:b w:val="1"/>
          <w:bCs w:val="1"/>
          <w:i w:val="1"/>
          <w:iCs w:val="1"/>
          <w:color w:val="auto"/>
        </w:rPr>
        <w:t>Consumer spending habits and macroeconomic factors may affect the number of rounds of golf played and related spending on golf products.</w:t>
      </w:r>
    </w:p>
    <w:p>
      <w:pPr>
        <w:spacing w:after="0" w:line="170" w:lineRule="exact"/>
        <w:rPr>
          <w:sz w:val="20"/>
          <w:szCs w:val="20"/>
          <w:color w:val="auto"/>
        </w:rPr>
      </w:pPr>
    </w:p>
    <w:p>
      <w:pPr>
        <w:ind w:left="380" w:right="419" w:firstLine="648"/>
        <w:spacing w:after="0" w:line="268" w:lineRule="auto"/>
        <w:rPr>
          <w:sz w:val="20"/>
          <w:szCs w:val="20"/>
          <w:color w:val="auto"/>
        </w:rPr>
      </w:pPr>
      <w:r>
        <w:rPr>
          <w:rFonts w:ascii="Arial" w:cs="Arial" w:eastAsia="Arial" w:hAnsi="Arial"/>
          <w:sz w:val="17"/>
          <w:szCs w:val="17"/>
          <w:color w:val="auto"/>
        </w:rPr>
        <w:t>Our products are recreational in nature and are therefore discretionary purchases for consumers. Consumers are generally more willing to spend their time and money to play golf and make discretionary purchases of golf products when economic conditions are favorable and when consumers feel confident and prosperous. Discretionary spending on golf and the golf products we sell is affected by consumer spending habits as well as by many macroeconomic factors, including general business conditions, stock market prices and volatility, corporate spending, housing prices, interest rates, the availability of consumer credit, taxes and consumer confidence in future economic conditions. Consumers may reduce or postpone purchases of our products as a result of shifts in consumer spending habits as well as during periods when economic uncertainty increases, disposable income is lower, or during periods of actual or perceived unfavorable economic conditions. A future significant or prolonged decline in general economic conditions or uncertainties regarding future economic prospects that adversely affects consumer discretionary spending, whether in the United States or in our international markets, could result in reduced sales of our products, which could materially adversely affect our business, financial condition and results of operations.</w:t>
      </w:r>
    </w:p>
    <w:p>
      <w:pPr>
        <w:spacing w:after="0" w:line="188" w:lineRule="exact"/>
        <w:rPr>
          <w:sz w:val="20"/>
          <w:szCs w:val="20"/>
          <w:color w:val="auto"/>
        </w:rPr>
      </w:pPr>
    </w:p>
    <w:p>
      <w:pPr>
        <w:ind w:left="380"/>
        <w:spacing w:after="0"/>
        <w:rPr>
          <w:sz w:val="20"/>
          <w:szCs w:val="20"/>
          <w:color w:val="auto"/>
        </w:rPr>
      </w:pPr>
      <w:r>
        <w:rPr>
          <w:rFonts w:ascii="Arial" w:cs="Arial" w:eastAsia="Arial" w:hAnsi="Arial"/>
          <w:sz w:val="16"/>
          <w:szCs w:val="16"/>
          <w:b w:val="1"/>
          <w:bCs w:val="1"/>
          <w:i w:val="1"/>
          <w:iCs w:val="1"/>
          <w:color w:val="auto"/>
        </w:rPr>
        <w:t>Demographic factors may affect the number of golf participants and related spending on our products.</w:t>
      </w:r>
    </w:p>
    <w:p>
      <w:pPr>
        <w:spacing w:after="0" w:line="248" w:lineRule="exact"/>
        <w:rPr>
          <w:sz w:val="20"/>
          <w:szCs w:val="20"/>
          <w:color w:val="auto"/>
        </w:rPr>
      </w:pPr>
    </w:p>
    <w:p>
      <w:pPr>
        <w:ind w:left="380" w:right="459" w:firstLine="648"/>
        <w:spacing w:after="0" w:line="218" w:lineRule="exact"/>
        <w:rPr>
          <w:sz w:val="20"/>
          <w:szCs w:val="20"/>
          <w:color w:val="auto"/>
        </w:rPr>
      </w:pPr>
      <w:r>
        <w:rPr>
          <w:rFonts w:ascii="Arial" w:cs="Arial" w:eastAsia="Arial" w:hAnsi="Arial"/>
          <w:sz w:val="17"/>
          <w:szCs w:val="17"/>
          <w:color w:val="auto"/>
        </w:rPr>
        <w:t>Golf is a recreational activity that requires time and money and different generations and socioeconomic and ethnic groups use their leisure time and discretionary funds in different ways. Golf participation among younger generations and certain socioeconomic and ethnic groups may not prove to be as popular as it is among the current “gen</w:t>
      </w:r>
      <w:r>
        <w:rPr>
          <w:rFonts w:ascii="MS PGothic" w:cs="MS PGothic" w:eastAsia="MS PGothic" w:hAnsi="MS PGothic"/>
          <w:sz w:val="17"/>
          <w:szCs w:val="17"/>
          <w:color w:val="auto"/>
        </w:rPr>
        <w:t>‑</w:t>
      </w:r>
      <w:r>
        <w:rPr>
          <w:rFonts w:ascii="Arial" w:cs="Arial" w:eastAsia="Arial" w:hAnsi="Arial"/>
          <w:sz w:val="17"/>
          <w:szCs w:val="17"/>
          <w:color w:val="auto"/>
        </w:rPr>
        <w:t>x” (age 30 – 49) and “baby boomer” (age 50 – 69) generations. If golf participation or the number of rounds of golf played declines, due to factors such as demographic changes in the United States and our international markets or lack of interest in the sport among young people or certain socioeconomic and ethnic groups, sales of our products could be negatively impacted, which could materially adversely affect our business, financial condition and results of operations.</w:t>
      </w:r>
    </w:p>
    <w:p>
      <w:pPr>
        <w:spacing w:after="0" w:line="203"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18" w:name="page19"/>
    <w:bookmarkEnd w:id="18"/>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380" w:right="919"/>
        <w:spacing w:after="0" w:line="342" w:lineRule="auto"/>
        <w:rPr>
          <w:sz w:val="20"/>
          <w:szCs w:val="20"/>
          <w:color w:val="auto"/>
        </w:rPr>
      </w:pPr>
      <w:r>
        <w:rPr>
          <w:rFonts w:ascii="Arial" w:cs="Arial" w:eastAsia="Arial" w:hAnsi="Arial"/>
          <w:sz w:val="16"/>
          <w:szCs w:val="16"/>
          <w:b w:val="1"/>
          <w:bCs w:val="1"/>
          <w:i w:val="1"/>
          <w:iCs w:val="1"/>
          <w:color w:val="auto"/>
        </w:rPr>
        <w:t>A significant disruption in the operations of our manufacturing, assembly or distribution facilities could materially adversely affect our business, financial condition and results of operations.</w:t>
      </w:r>
    </w:p>
    <w:p>
      <w:pPr>
        <w:spacing w:after="0" w:line="124" w:lineRule="exact"/>
        <w:rPr>
          <w:sz w:val="20"/>
          <w:szCs w:val="20"/>
          <w:color w:val="auto"/>
        </w:rPr>
      </w:pPr>
    </w:p>
    <w:p>
      <w:pPr>
        <w:ind w:left="380" w:right="419" w:firstLine="648"/>
        <w:spacing w:after="0" w:line="273" w:lineRule="auto"/>
        <w:rPr>
          <w:sz w:val="20"/>
          <w:szCs w:val="20"/>
          <w:color w:val="auto"/>
        </w:rPr>
      </w:pPr>
      <w:r>
        <w:rPr>
          <w:rFonts w:ascii="Arial" w:cs="Arial" w:eastAsia="Arial" w:hAnsi="Arial"/>
          <w:sz w:val="17"/>
          <w:szCs w:val="17"/>
          <w:color w:val="auto"/>
        </w:rPr>
        <w:t>We rely on our manufacturing facilities in the United States, Thailand and China and assembly and distribution facilities in many of our major markets, certain of which constitute our sole manufacturing facility for a particular product category, including our joint venture facility in China where substantially all of our golf shoes are manufactured and our facility in Thailand where we manufacture the majority of our golf gloves. Because substantially all of our products are manufactured and assembled in and distributed from a few locations, our operations could be interrupted by events beyond our control, including:</w:t>
      </w:r>
    </w:p>
    <w:p>
      <w:pPr>
        <w:spacing w:after="0" w:line="178" w:lineRule="exact"/>
        <w:rPr>
          <w:sz w:val="20"/>
          <w:szCs w:val="20"/>
          <w:color w:val="auto"/>
        </w:rPr>
      </w:pPr>
    </w:p>
    <w:p>
      <w:pPr>
        <w:ind w:left="1360" w:hanging="329"/>
        <w:spacing w:after="0"/>
        <w:tabs>
          <w:tab w:leader="none" w:pos="1360" w:val="left"/>
        </w:tabs>
        <w:numPr>
          <w:ilvl w:val="0"/>
          <w:numId w:val="5"/>
        </w:numPr>
        <w:rPr>
          <w:rFonts w:ascii="Arial" w:cs="Arial" w:eastAsia="Arial" w:hAnsi="Arial"/>
          <w:sz w:val="18"/>
          <w:szCs w:val="18"/>
          <w:color w:val="auto"/>
        </w:rPr>
      </w:pPr>
      <w:r>
        <w:rPr>
          <w:rFonts w:ascii="Arial" w:cs="Arial" w:eastAsia="Arial" w:hAnsi="Arial"/>
          <w:sz w:val="18"/>
          <w:szCs w:val="18"/>
          <w:color w:val="auto"/>
        </w:rPr>
        <w:t>power loss or network connectivity or telecommunications failure or downtime;</w:t>
      </w:r>
    </w:p>
    <w:p>
      <w:pPr>
        <w:spacing w:after="0" w:line="225" w:lineRule="exact"/>
        <w:rPr>
          <w:rFonts w:ascii="Arial" w:cs="Arial" w:eastAsia="Arial" w:hAnsi="Arial"/>
          <w:sz w:val="18"/>
          <w:szCs w:val="18"/>
          <w:color w:val="auto"/>
        </w:rPr>
      </w:pPr>
    </w:p>
    <w:p>
      <w:pPr>
        <w:ind w:left="1360" w:hanging="329"/>
        <w:spacing w:after="0"/>
        <w:tabs>
          <w:tab w:leader="none" w:pos="1360" w:val="left"/>
        </w:tabs>
        <w:numPr>
          <w:ilvl w:val="0"/>
          <w:numId w:val="5"/>
        </w:numPr>
        <w:rPr>
          <w:rFonts w:ascii="Arial" w:cs="Arial" w:eastAsia="Arial" w:hAnsi="Arial"/>
          <w:sz w:val="18"/>
          <w:szCs w:val="18"/>
          <w:color w:val="auto"/>
        </w:rPr>
      </w:pPr>
      <w:r>
        <w:rPr>
          <w:rFonts w:ascii="Arial" w:cs="Arial" w:eastAsia="Arial" w:hAnsi="Arial"/>
          <w:sz w:val="18"/>
          <w:szCs w:val="18"/>
          <w:color w:val="auto"/>
        </w:rPr>
        <w:t>equipment failure;</w:t>
      </w:r>
    </w:p>
    <w:p>
      <w:pPr>
        <w:spacing w:after="0" w:line="225" w:lineRule="exact"/>
        <w:rPr>
          <w:rFonts w:ascii="Arial" w:cs="Arial" w:eastAsia="Arial" w:hAnsi="Arial"/>
          <w:sz w:val="18"/>
          <w:szCs w:val="18"/>
          <w:color w:val="auto"/>
        </w:rPr>
      </w:pPr>
    </w:p>
    <w:p>
      <w:pPr>
        <w:ind w:left="1360" w:hanging="329"/>
        <w:spacing w:after="0"/>
        <w:tabs>
          <w:tab w:leader="none" w:pos="1360" w:val="left"/>
        </w:tabs>
        <w:numPr>
          <w:ilvl w:val="0"/>
          <w:numId w:val="5"/>
        </w:numPr>
        <w:rPr>
          <w:rFonts w:ascii="Arial" w:cs="Arial" w:eastAsia="Arial" w:hAnsi="Arial"/>
          <w:sz w:val="18"/>
          <w:szCs w:val="18"/>
          <w:color w:val="auto"/>
        </w:rPr>
      </w:pPr>
      <w:r>
        <w:rPr>
          <w:rFonts w:ascii="Arial" w:cs="Arial" w:eastAsia="Arial" w:hAnsi="Arial"/>
          <w:sz w:val="18"/>
          <w:szCs w:val="18"/>
          <w:color w:val="auto"/>
        </w:rPr>
        <w:t>human error or accidents;</w:t>
      </w:r>
    </w:p>
    <w:p>
      <w:pPr>
        <w:spacing w:after="0" w:line="225" w:lineRule="exact"/>
        <w:rPr>
          <w:rFonts w:ascii="Arial" w:cs="Arial" w:eastAsia="Arial" w:hAnsi="Arial"/>
          <w:sz w:val="18"/>
          <w:szCs w:val="18"/>
          <w:color w:val="auto"/>
        </w:rPr>
      </w:pPr>
    </w:p>
    <w:p>
      <w:pPr>
        <w:ind w:left="1360" w:hanging="329"/>
        <w:spacing w:after="0"/>
        <w:tabs>
          <w:tab w:leader="none" w:pos="1360" w:val="left"/>
        </w:tabs>
        <w:numPr>
          <w:ilvl w:val="0"/>
          <w:numId w:val="5"/>
        </w:numPr>
        <w:rPr>
          <w:rFonts w:ascii="Arial" w:cs="Arial" w:eastAsia="Arial" w:hAnsi="Arial"/>
          <w:sz w:val="18"/>
          <w:szCs w:val="18"/>
          <w:color w:val="auto"/>
        </w:rPr>
      </w:pPr>
      <w:r>
        <w:rPr>
          <w:rFonts w:ascii="Arial" w:cs="Arial" w:eastAsia="Arial" w:hAnsi="Arial"/>
          <w:sz w:val="18"/>
          <w:szCs w:val="18"/>
          <w:color w:val="auto"/>
        </w:rPr>
        <w:t>sabotage or vandalism;</w:t>
      </w:r>
    </w:p>
    <w:p>
      <w:pPr>
        <w:spacing w:after="0" w:line="225" w:lineRule="exact"/>
        <w:rPr>
          <w:rFonts w:ascii="Arial" w:cs="Arial" w:eastAsia="Arial" w:hAnsi="Arial"/>
          <w:sz w:val="18"/>
          <w:szCs w:val="18"/>
          <w:color w:val="auto"/>
        </w:rPr>
      </w:pPr>
    </w:p>
    <w:p>
      <w:pPr>
        <w:ind w:left="1360" w:hanging="329"/>
        <w:spacing w:after="0"/>
        <w:tabs>
          <w:tab w:leader="none" w:pos="1360" w:val="left"/>
        </w:tabs>
        <w:numPr>
          <w:ilvl w:val="0"/>
          <w:numId w:val="5"/>
        </w:numPr>
        <w:rPr>
          <w:rFonts w:ascii="Arial" w:cs="Arial" w:eastAsia="Arial" w:hAnsi="Arial"/>
          <w:sz w:val="18"/>
          <w:szCs w:val="18"/>
          <w:color w:val="auto"/>
        </w:rPr>
      </w:pPr>
      <w:r>
        <w:rPr>
          <w:rFonts w:ascii="Arial" w:cs="Arial" w:eastAsia="Arial" w:hAnsi="Arial"/>
          <w:sz w:val="18"/>
          <w:szCs w:val="18"/>
          <w:color w:val="auto"/>
        </w:rPr>
        <w:t>physical or electronic security breaches;</w:t>
      </w:r>
    </w:p>
    <w:p>
      <w:pPr>
        <w:spacing w:after="0" w:line="225" w:lineRule="exact"/>
        <w:rPr>
          <w:rFonts w:ascii="Arial" w:cs="Arial" w:eastAsia="Arial" w:hAnsi="Arial"/>
          <w:sz w:val="18"/>
          <w:szCs w:val="18"/>
          <w:color w:val="auto"/>
        </w:rPr>
      </w:pPr>
    </w:p>
    <w:p>
      <w:pPr>
        <w:ind w:left="1360" w:hanging="329"/>
        <w:spacing w:after="0"/>
        <w:tabs>
          <w:tab w:leader="none" w:pos="1360" w:val="left"/>
        </w:tabs>
        <w:numPr>
          <w:ilvl w:val="0"/>
          <w:numId w:val="5"/>
        </w:numPr>
        <w:rPr>
          <w:rFonts w:ascii="Arial" w:cs="Arial" w:eastAsia="Arial" w:hAnsi="Arial"/>
          <w:sz w:val="18"/>
          <w:szCs w:val="18"/>
          <w:color w:val="auto"/>
        </w:rPr>
      </w:pPr>
      <w:r>
        <w:rPr>
          <w:rFonts w:ascii="Arial" w:cs="Arial" w:eastAsia="Arial" w:hAnsi="Arial"/>
          <w:sz w:val="18"/>
          <w:szCs w:val="18"/>
          <w:color w:val="auto"/>
        </w:rPr>
        <w:t>floods, fires, earthquakes, hurricanes, tornadoes, tsunamis or other natural disasters;</w:t>
      </w:r>
    </w:p>
    <w:p>
      <w:pPr>
        <w:spacing w:after="0" w:line="225" w:lineRule="exact"/>
        <w:rPr>
          <w:rFonts w:ascii="Arial" w:cs="Arial" w:eastAsia="Arial" w:hAnsi="Arial"/>
          <w:sz w:val="18"/>
          <w:szCs w:val="18"/>
          <w:color w:val="auto"/>
        </w:rPr>
      </w:pPr>
    </w:p>
    <w:p>
      <w:pPr>
        <w:ind w:left="1360" w:hanging="329"/>
        <w:spacing w:after="0"/>
        <w:tabs>
          <w:tab w:leader="none" w:pos="1360" w:val="left"/>
        </w:tabs>
        <w:numPr>
          <w:ilvl w:val="0"/>
          <w:numId w:val="5"/>
        </w:numPr>
        <w:rPr>
          <w:rFonts w:ascii="Arial" w:cs="Arial" w:eastAsia="Arial" w:hAnsi="Arial"/>
          <w:sz w:val="18"/>
          <w:szCs w:val="18"/>
          <w:color w:val="auto"/>
        </w:rPr>
      </w:pPr>
      <w:r>
        <w:rPr>
          <w:rFonts w:ascii="Arial" w:cs="Arial" w:eastAsia="Arial" w:hAnsi="Arial"/>
          <w:sz w:val="18"/>
          <w:szCs w:val="18"/>
          <w:color w:val="auto"/>
        </w:rPr>
        <w:t>political unrest;</w:t>
      </w:r>
    </w:p>
    <w:p>
      <w:pPr>
        <w:spacing w:after="0" w:line="225" w:lineRule="exact"/>
        <w:rPr>
          <w:rFonts w:ascii="Arial" w:cs="Arial" w:eastAsia="Arial" w:hAnsi="Arial"/>
          <w:sz w:val="18"/>
          <w:szCs w:val="18"/>
          <w:color w:val="auto"/>
        </w:rPr>
      </w:pPr>
    </w:p>
    <w:p>
      <w:pPr>
        <w:ind w:left="1360" w:hanging="329"/>
        <w:spacing w:after="0"/>
        <w:tabs>
          <w:tab w:leader="none" w:pos="1360" w:val="left"/>
        </w:tabs>
        <w:numPr>
          <w:ilvl w:val="0"/>
          <w:numId w:val="5"/>
        </w:numPr>
        <w:rPr>
          <w:rFonts w:ascii="Arial" w:cs="Arial" w:eastAsia="Arial" w:hAnsi="Arial"/>
          <w:sz w:val="18"/>
          <w:szCs w:val="18"/>
          <w:color w:val="auto"/>
        </w:rPr>
      </w:pPr>
      <w:r>
        <w:rPr>
          <w:rFonts w:ascii="Arial" w:cs="Arial" w:eastAsia="Arial" w:hAnsi="Arial"/>
          <w:sz w:val="18"/>
          <w:szCs w:val="18"/>
          <w:color w:val="auto"/>
        </w:rPr>
        <w:t>labor difficulties, including work stoppages or slowdowns;</w:t>
      </w:r>
    </w:p>
    <w:p>
      <w:pPr>
        <w:spacing w:after="0" w:line="225" w:lineRule="exact"/>
        <w:rPr>
          <w:rFonts w:ascii="Arial" w:cs="Arial" w:eastAsia="Arial" w:hAnsi="Arial"/>
          <w:sz w:val="18"/>
          <w:szCs w:val="18"/>
          <w:color w:val="auto"/>
        </w:rPr>
      </w:pPr>
    </w:p>
    <w:p>
      <w:pPr>
        <w:ind w:left="1360" w:hanging="329"/>
        <w:spacing w:after="0"/>
        <w:tabs>
          <w:tab w:leader="none" w:pos="1360" w:val="left"/>
        </w:tabs>
        <w:numPr>
          <w:ilvl w:val="0"/>
          <w:numId w:val="5"/>
        </w:numPr>
        <w:rPr>
          <w:rFonts w:ascii="Arial" w:cs="Arial" w:eastAsia="Arial" w:hAnsi="Arial"/>
          <w:sz w:val="18"/>
          <w:szCs w:val="18"/>
          <w:color w:val="auto"/>
        </w:rPr>
      </w:pPr>
      <w:r>
        <w:rPr>
          <w:rFonts w:ascii="Arial" w:cs="Arial" w:eastAsia="Arial" w:hAnsi="Arial"/>
          <w:sz w:val="18"/>
          <w:szCs w:val="18"/>
          <w:color w:val="auto"/>
        </w:rPr>
        <w:t>water damage or water shortage;</w:t>
      </w:r>
    </w:p>
    <w:p>
      <w:pPr>
        <w:spacing w:after="0" w:line="225" w:lineRule="exact"/>
        <w:rPr>
          <w:rFonts w:ascii="Arial" w:cs="Arial" w:eastAsia="Arial" w:hAnsi="Arial"/>
          <w:sz w:val="18"/>
          <w:szCs w:val="18"/>
          <w:color w:val="auto"/>
        </w:rPr>
      </w:pPr>
    </w:p>
    <w:p>
      <w:pPr>
        <w:ind w:left="1360" w:hanging="329"/>
        <w:spacing w:after="0"/>
        <w:tabs>
          <w:tab w:leader="none" w:pos="1360" w:val="left"/>
        </w:tabs>
        <w:numPr>
          <w:ilvl w:val="0"/>
          <w:numId w:val="5"/>
        </w:numPr>
        <w:rPr>
          <w:rFonts w:ascii="Arial" w:cs="Arial" w:eastAsia="Arial" w:hAnsi="Arial"/>
          <w:sz w:val="18"/>
          <w:szCs w:val="18"/>
          <w:color w:val="auto"/>
        </w:rPr>
      </w:pPr>
      <w:r>
        <w:rPr>
          <w:rFonts w:ascii="Arial" w:cs="Arial" w:eastAsia="Arial" w:hAnsi="Arial"/>
          <w:sz w:val="18"/>
          <w:szCs w:val="18"/>
          <w:color w:val="auto"/>
        </w:rPr>
        <w:t>government orders and regulations;</w:t>
      </w:r>
    </w:p>
    <w:p>
      <w:pPr>
        <w:spacing w:after="0" w:line="225" w:lineRule="exact"/>
        <w:rPr>
          <w:rFonts w:ascii="Arial" w:cs="Arial" w:eastAsia="Arial" w:hAnsi="Arial"/>
          <w:sz w:val="18"/>
          <w:szCs w:val="18"/>
          <w:color w:val="auto"/>
        </w:rPr>
      </w:pPr>
    </w:p>
    <w:p>
      <w:pPr>
        <w:ind w:left="1360" w:hanging="329"/>
        <w:spacing w:after="0"/>
        <w:tabs>
          <w:tab w:leader="none" w:pos="1360" w:val="left"/>
        </w:tabs>
        <w:numPr>
          <w:ilvl w:val="0"/>
          <w:numId w:val="5"/>
        </w:numPr>
        <w:rPr>
          <w:rFonts w:ascii="Arial" w:cs="Arial" w:eastAsia="Arial" w:hAnsi="Arial"/>
          <w:sz w:val="18"/>
          <w:szCs w:val="18"/>
          <w:color w:val="auto"/>
        </w:rPr>
      </w:pPr>
      <w:r>
        <w:rPr>
          <w:rFonts w:ascii="Arial" w:cs="Arial" w:eastAsia="Arial" w:hAnsi="Arial"/>
          <w:sz w:val="18"/>
          <w:szCs w:val="18"/>
          <w:color w:val="auto"/>
        </w:rPr>
        <w:t>pandemics and other health and safety issues; and</w:t>
      </w:r>
    </w:p>
    <w:p>
      <w:pPr>
        <w:spacing w:after="0" w:line="225" w:lineRule="exact"/>
        <w:rPr>
          <w:rFonts w:ascii="Arial" w:cs="Arial" w:eastAsia="Arial" w:hAnsi="Arial"/>
          <w:sz w:val="18"/>
          <w:szCs w:val="18"/>
          <w:color w:val="auto"/>
        </w:rPr>
      </w:pPr>
    </w:p>
    <w:p>
      <w:pPr>
        <w:ind w:left="1360" w:hanging="329"/>
        <w:spacing w:after="0"/>
        <w:tabs>
          <w:tab w:leader="none" w:pos="1360" w:val="left"/>
        </w:tabs>
        <w:numPr>
          <w:ilvl w:val="0"/>
          <w:numId w:val="5"/>
        </w:numPr>
        <w:rPr>
          <w:rFonts w:ascii="Arial" w:cs="Arial" w:eastAsia="Arial" w:hAnsi="Arial"/>
          <w:sz w:val="18"/>
          <w:szCs w:val="18"/>
          <w:color w:val="auto"/>
        </w:rPr>
      </w:pPr>
      <w:r>
        <w:rPr>
          <w:rFonts w:ascii="Arial" w:cs="Arial" w:eastAsia="Arial" w:hAnsi="Arial"/>
          <w:sz w:val="18"/>
          <w:szCs w:val="18"/>
          <w:color w:val="auto"/>
        </w:rPr>
        <w:t>terrorism.</w:t>
      </w:r>
    </w:p>
    <w:p>
      <w:pPr>
        <w:spacing w:after="0" w:line="225" w:lineRule="exact"/>
        <w:rPr>
          <w:sz w:val="20"/>
          <w:szCs w:val="20"/>
          <w:color w:val="auto"/>
        </w:rPr>
      </w:pPr>
    </w:p>
    <w:p>
      <w:pPr>
        <w:ind w:left="380" w:right="479" w:firstLine="648"/>
        <w:spacing w:after="0" w:line="218" w:lineRule="exact"/>
        <w:rPr>
          <w:sz w:val="20"/>
          <w:szCs w:val="20"/>
          <w:color w:val="auto"/>
        </w:rPr>
      </w:pPr>
      <w:r>
        <w:rPr>
          <w:rFonts w:ascii="Arial" w:cs="Arial" w:eastAsia="Arial" w:hAnsi="Arial"/>
          <w:sz w:val="18"/>
          <w:szCs w:val="18"/>
          <w:color w:val="auto"/>
        </w:rPr>
        <w:t>Our manufacturing, assembly and distribution capacity is also dependent on the performance of services by third parties, including vendors, landlords and transportation providers. If we encounter problems with our manufacturing, assembly and distribution facilities, our ability to meet customer expectations, manage inventory, complete sales and achieve objectives for operating efficiencies could be harmed, which could materially adversely affect our business, financial condition and results of operations. We maintain business interruption insurance, but it may not adequately protect us from the adverse effects that could result from significant disruptions to our manufacturing, assembly and distribution facilities, such as the long</w:t>
      </w:r>
      <w:r>
        <w:rPr>
          <w:rFonts w:ascii="MS PGothic" w:cs="MS PGothic" w:eastAsia="MS PGothic" w:hAnsi="MS PGothic"/>
          <w:sz w:val="18"/>
          <w:szCs w:val="18"/>
          <w:color w:val="auto"/>
        </w:rPr>
        <w:t>‑</w:t>
      </w:r>
      <w:r>
        <w:rPr>
          <w:rFonts w:ascii="Arial" w:cs="Arial" w:eastAsia="Arial" w:hAnsi="Arial"/>
          <w:sz w:val="18"/>
          <w:szCs w:val="18"/>
          <w:color w:val="auto"/>
        </w:rPr>
        <w:t>term loss of customers or an erosion of our brand image.</w:t>
      </w:r>
    </w:p>
    <w:p>
      <w:pPr>
        <w:spacing w:after="0" w:line="206" w:lineRule="exact"/>
        <w:rPr>
          <w:sz w:val="20"/>
          <w:szCs w:val="20"/>
          <w:color w:val="auto"/>
        </w:rPr>
      </w:pPr>
    </w:p>
    <w:p>
      <w:pPr>
        <w:ind w:left="380" w:right="519" w:firstLine="648"/>
        <w:spacing w:after="0" w:line="286" w:lineRule="auto"/>
        <w:rPr>
          <w:sz w:val="20"/>
          <w:szCs w:val="20"/>
          <w:color w:val="auto"/>
        </w:rPr>
      </w:pPr>
      <w:r>
        <w:rPr>
          <w:rFonts w:ascii="Arial" w:cs="Arial" w:eastAsia="Arial" w:hAnsi="Arial"/>
          <w:sz w:val="17"/>
          <w:szCs w:val="17"/>
          <w:color w:val="auto"/>
        </w:rPr>
        <w:t>Our manufacturing, assembly and distribution networks include computer processes, software and automated equipment that may be subject to a number of risks related to security or computer viruses, the proper operation of software and hardware, electronic or power interruptions or other system failures.</w:t>
      </w:r>
    </w:p>
    <w:p>
      <w:pPr>
        <w:spacing w:after="0" w:line="166" w:lineRule="exact"/>
        <w:rPr>
          <w:sz w:val="20"/>
          <w:szCs w:val="20"/>
          <w:color w:val="auto"/>
        </w:rPr>
      </w:pPr>
    </w:p>
    <w:p>
      <w:pPr>
        <w:ind w:left="380" w:right="1079"/>
        <w:spacing w:after="0" w:line="223" w:lineRule="exact"/>
        <w:rPr>
          <w:sz w:val="20"/>
          <w:szCs w:val="20"/>
          <w:color w:val="auto"/>
        </w:rPr>
      </w:pPr>
      <w:r>
        <w:rPr>
          <w:rFonts w:ascii="Arial" w:cs="Arial" w:eastAsia="Arial" w:hAnsi="Arial"/>
          <w:sz w:val="18"/>
          <w:szCs w:val="18"/>
          <w:b w:val="1"/>
          <w:bCs w:val="1"/>
          <w:i w:val="1"/>
          <w:iCs w:val="1"/>
          <w:color w:val="auto"/>
        </w:rPr>
        <w:t>Many of our raw materials or components of our products are provided by a sole or limited number of third</w:t>
      </w:r>
      <w:r>
        <w:rPr>
          <w:rFonts w:ascii="MS PGothic" w:cs="MS PGothic" w:eastAsia="MS PGothic" w:hAnsi="MS PGothic"/>
          <w:sz w:val="18"/>
          <w:szCs w:val="18"/>
          <w:b w:val="1"/>
          <w:bCs w:val="1"/>
          <w:i w:val="1"/>
          <w:iCs w:val="1"/>
          <w:color w:val="auto"/>
        </w:rPr>
        <w:t>‑</w:t>
      </w:r>
      <w:r>
        <w:rPr>
          <w:rFonts w:ascii="Arial" w:cs="Arial" w:eastAsia="Arial" w:hAnsi="Arial"/>
          <w:sz w:val="18"/>
          <w:szCs w:val="18"/>
          <w:b w:val="1"/>
          <w:bCs w:val="1"/>
          <w:i w:val="1"/>
          <w:iCs w:val="1"/>
          <w:color w:val="auto"/>
        </w:rPr>
        <w:t>party suppliers and manufacturers.</w:t>
      </w:r>
    </w:p>
    <w:p>
      <w:pPr>
        <w:spacing w:after="0" w:line="203" w:lineRule="exact"/>
        <w:rPr>
          <w:sz w:val="20"/>
          <w:szCs w:val="20"/>
          <w:color w:val="auto"/>
        </w:rPr>
      </w:pPr>
    </w:p>
    <w:p>
      <w:pPr>
        <w:ind w:left="380" w:right="419" w:firstLine="648"/>
        <w:spacing w:after="0" w:line="218" w:lineRule="exact"/>
        <w:rPr>
          <w:sz w:val="20"/>
          <w:szCs w:val="20"/>
          <w:color w:val="auto"/>
        </w:rPr>
      </w:pPr>
      <w:r>
        <w:rPr>
          <w:rFonts w:ascii="Arial" w:cs="Arial" w:eastAsia="Arial" w:hAnsi="Arial"/>
          <w:sz w:val="17"/>
          <w:szCs w:val="17"/>
          <w:color w:val="auto"/>
        </w:rPr>
        <w:t>We rely on a sole or limited number of third</w:t>
      </w:r>
      <w:r>
        <w:rPr>
          <w:rFonts w:ascii="MS PGothic" w:cs="MS PGothic" w:eastAsia="MS PGothic" w:hAnsi="MS PGothic"/>
          <w:sz w:val="17"/>
          <w:szCs w:val="17"/>
          <w:color w:val="auto"/>
        </w:rPr>
        <w:t>‑</w:t>
      </w:r>
      <w:r>
        <w:rPr>
          <w:rFonts w:ascii="Arial" w:cs="Arial" w:eastAsia="Arial" w:hAnsi="Arial"/>
          <w:sz w:val="17"/>
          <w:szCs w:val="17"/>
          <w:color w:val="auto"/>
        </w:rPr>
        <w:t>party suppliers and manufacturers for many of our raw materials and the components in our golf balls, golf clubs, golf gloves and certain of our other products. We also use specialized sources for certain of the raw materials used to make our golf gloves and other products, and these sources are limited to certain geographical locations. Furthermore, many of these materials are customized for us and some of our products require specially developed manufacturing techniques and processes which make it difficult to identify and utilize alternative suppliers quickly. If we were to experience any delay or interruption in such supplies, we may not be able to</w:t>
      </w:r>
    </w:p>
    <w:p>
      <w:pPr>
        <w:spacing w:after="0" w:line="204"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19" w:name="page20"/>
    <w:bookmarkEnd w:id="19"/>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380" w:right="679"/>
        <w:spacing w:after="0" w:line="308" w:lineRule="auto"/>
        <w:rPr>
          <w:sz w:val="20"/>
          <w:szCs w:val="20"/>
          <w:color w:val="auto"/>
        </w:rPr>
      </w:pPr>
      <w:r>
        <w:rPr>
          <w:rFonts w:ascii="Arial" w:cs="Arial" w:eastAsia="Arial" w:hAnsi="Arial"/>
          <w:sz w:val="17"/>
          <w:szCs w:val="17"/>
          <w:color w:val="auto"/>
        </w:rPr>
        <w:t>find adequate alternative suppliers at a reasonable cost or without significant disruption to our business, which could materially adversely affect our business, financial condition and results of operations.</w:t>
      </w:r>
    </w:p>
    <w:p>
      <w:pPr>
        <w:spacing w:after="0" w:line="147" w:lineRule="exact"/>
        <w:rPr>
          <w:sz w:val="20"/>
          <w:szCs w:val="20"/>
          <w:color w:val="auto"/>
        </w:rPr>
      </w:pPr>
    </w:p>
    <w:p>
      <w:pPr>
        <w:ind w:left="380" w:right="1019"/>
        <w:spacing w:after="0" w:line="277" w:lineRule="auto"/>
        <w:rPr>
          <w:sz w:val="20"/>
          <w:szCs w:val="20"/>
          <w:color w:val="auto"/>
        </w:rPr>
      </w:pPr>
      <w:r>
        <w:rPr>
          <w:rFonts w:ascii="Arial" w:cs="Arial" w:eastAsia="Arial" w:hAnsi="Arial"/>
          <w:sz w:val="18"/>
          <w:szCs w:val="18"/>
          <w:b w:val="1"/>
          <w:bCs w:val="1"/>
          <w:i w:val="1"/>
          <w:iCs w:val="1"/>
          <w:color w:val="auto"/>
        </w:rPr>
        <w:t>A disruption in the operations of our suppliers could materially adversely affect our business, financial condition and results of operations.</w:t>
      </w:r>
    </w:p>
    <w:p>
      <w:pPr>
        <w:spacing w:after="0" w:line="170" w:lineRule="exact"/>
        <w:rPr>
          <w:sz w:val="20"/>
          <w:szCs w:val="20"/>
          <w:color w:val="auto"/>
        </w:rPr>
      </w:pPr>
    </w:p>
    <w:p>
      <w:pPr>
        <w:ind w:left="380" w:right="479" w:firstLine="648"/>
        <w:spacing w:after="0" w:line="217" w:lineRule="exact"/>
        <w:rPr>
          <w:sz w:val="20"/>
          <w:szCs w:val="20"/>
          <w:color w:val="auto"/>
        </w:rPr>
      </w:pPr>
      <w:r>
        <w:rPr>
          <w:rFonts w:ascii="Arial" w:cs="Arial" w:eastAsia="Arial" w:hAnsi="Arial"/>
          <w:sz w:val="16"/>
          <w:szCs w:val="16"/>
          <w:color w:val="auto"/>
        </w:rPr>
        <w:t>Our ability to continue to select reliable suppliers who provide timely deliveries of quality materials and components will impact our success in meeting customer demand for timely delivery of quality products. If we experience significantly increased demand, or if, for any reason, we need to replace an existing manufacturer or supplier, there can be no assurance that additional supplies of raw materials or additional manufacturing capacity will be available when required on terms that are acceptable to us, or at all, or that any new supplier or manufacturer would allocate sufficient capacity to us in order to meet our requirements. In addition, should we decide to transition existing manufacturing between third</w:t>
      </w:r>
      <w:r>
        <w:rPr>
          <w:rFonts w:ascii="MS PGothic" w:cs="MS PGothic" w:eastAsia="MS PGothic" w:hAnsi="MS PGothic"/>
          <w:sz w:val="16"/>
          <w:szCs w:val="16"/>
          <w:color w:val="auto"/>
        </w:rPr>
        <w:t>‑</w:t>
      </w:r>
      <w:r>
        <w:rPr>
          <w:rFonts w:ascii="Arial" w:cs="Arial" w:eastAsia="Arial" w:hAnsi="Arial"/>
          <w:sz w:val="16"/>
          <w:szCs w:val="16"/>
          <w:color w:val="auto"/>
        </w:rPr>
        <w:t>party manufacturers or should we decide to transition existing in</w:t>
      </w:r>
      <w:r>
        <w:rPr>
          <w:rFonts w:ascii="MS PGothic" w:cs="MS PGothic" w:eastAsia="MS PGothic" w:hAnsi="MS PGothic"/>
          <w:sz w:val="16"/>
          <w:szCs w:val="16"/>
          <w:color w:val="auto"/>
        </w:rPr>
        <w:t>‑</w:t>
      </w:r>
      <w:r>
        <w:rPr>
          <w:rFonts w:ascii="Arial" w:cs="Arial" w:eastAsia="Arial" w:hAnsi="Arial"/>
          <w:sz w:val="16"/>
          <w:szCs w:val="16"/>
          <w:color w:val="auto"/>
        </w:rPr>
        <w:t>house manufacturing to third</w:t>
      </w:r>
      <w:r>
        <w:rPr>
          <w:rFonts w:ascii="MS PGothic" w:cs="MS PGothic" w:eastAsia="MS PGothic" w:hAnsi="MS PGothic"/>
          <w:sz w:val="16"/>
          <w:szCs w:val="16"/>
          <w:color w:val="auto"/>
        </w:rPr>
        <w:t>‑</w:t>
      </w:r>
      <w:r>
        <w:rPr>
          <w:rFonts w:ascii="Arial" w:cs="Arial" w:eastAsia="Arial" w:hAnsi="Arial"/>
          <w:sz w:val="16"/>
          <w:szCs w:val="16"/>
          <w:color w:val="auto"/>
        </w:rPr>
        <w:t>party manufacturers, the risk of such a problem could increase. Even if we are able to expand existing or find new manufacturing sources, we may encounter delays in production and added costs as a result of the time it takes to train our suppliers and manufacturers in our methods, products and quality control standards. Any material delays, interruption or increased costs in the supply of raw materials or components of our products could impact our ability to meet customer demand for our products, which could materially adversely affect our business, financial condition and results of operations.</w:t>
      </w:r>
    </w:p>
    <w:p>
      <w:pPr>
        <w:spacing w:after="0" w:line="205" w:lineRule="exact"/>
        <w:rPr>
          <w:sz w:val="20"/>
          <w:szCs w:val="20"/>
          <w:color w:val="auto"/>
        </w:rPr>
      </w:pPr>
    </w:p>
    <w:p>
      <w:pPr>
        <w:ind w:left="380" w:right="519" w:firstLine="648"/>
        <w:spacing w:after="0" w:line="271" w:lineRule="auto"/>
        <w:rPr>
          <w:sz w:val="20"/>
          <w:szCs w:val="20"/>
          <w:color w:val="auto"/>
        </w:rPr>
      </w:pPr>
      <w:r>
        <w:rPr>
          <w:rFonts w:ascii="Arial" w:cs="Arial" w:eastAsia="Arial" w:hAnsi="Arial"/>
          <w:sz w:val="17"/>
          <w:szCs w:val="17"/>
          <w:color w:val="auto"/>
        </w:rPr>
        <w:t>In addition, there can be no assurance that our suppliers and manufacturers will continue to provide raw materials and components that are consistent with our standards and that comply with all applicable laws and regulations. We have occasionally received, and may in the future receive, shipments of supplies or components that fail to conform to our quality control standards. In that event, unless we are able to obtain replacement supplies or components in a timely manner, we risk the loss of sales resulting from the inability to manufacture our products and could incur related increased administrative and shipping costs, and there also could be a negative impact to our brands, any of which could materially adversely affect our business, financial condition and results of operations.</w:t>
      </w:r>
    </w:p>
    <w:p>
      <w:pPr>
        <w:spacing w:after="0" w:line="179" w:lineRule="exact"/>
        <w:rPr>
          <w:sz w:val="20"/>
          <w:szCs w:val="20"/>
          <w:color w:val="auto"/>
        </w:rPr>
      </w:pPr>
    </w:p>
    <w:p>
      <w:pPr>
        <w:ind w:left="380" w:right="499" w:firstLine="648"/>
        <w:spacing w:after="0" w:line="218" w:lineRule="exact"/>
        <w:rPr>
          <w:sz w:val="20"/>
          <w:szCs w:val="20"/>
          <w:color w:val="auto"/>
        </w:rPr>
      </w:pPr>
      <w:r>
        <w:rPr>
          <w:rFonts w:ascii="Arial" w:cs="Arial" w:eastAsia="Arial" w:hAnsi="Arial"/>
          <w:sz w:val="18"/>
          <w:szCs w:val="18"/>
          <w:color w:val="auto"/>
        </w:rPr>
        <w:t>While we do not control our suppliers or their labor practices, negative publicity regarding the management of facilities, production methods of or materials used by any of our suppliers could adversely affect our reputation, which could materially adversely affect our business, financial condition and results of operations and may force us to locate alternative suppliers. In addition, our suppliers may not be well capitalized and they may not be able to fulfill their obligations to us or go out of business. Furthermore, the ability of third</w:t>
      </w:r>
      <w:r>
        <w:rPr>
          <w:rFonts w:ascii="MS PGothic" w:cs="MS PGothic" w:eastAsia="MS PGothic" w:hAnsi="MS PGothic"/>
          <w:sz w:val="18"/>
          <w:szCs w:val="18"/>
          <w:color w:val="auto"/>
        </w:rPr>
        <w:t>‑</w:t>
      </w:r>
      <w:r>
        <w:rPr>
          <w:rFonts w:ascii="Arial" w:cs="Arial" w:eastAsia="Arial" w:hAnsi="Arial"/>
          <w:sz w:val="18"/>
          <w:szCs w:val="18"/>
          <w:color w:val="auto"/>
        </w:rPr>
        <w:t>party suppliers to timely deliver raw materials or components may be affected by events beyond their control, such as work stoppages or slowdowns, transportation issues, changes in trade or tariff laws, or significant weather and health conditions.</w:t>
      </w:r>
    </w:p>
    <w:p>
      <w:pPr>
        <w:spacing w:after="0" w:line="206" w:lineRule="exact"/>
        <w:rPr>
          <w:sz w:val="20"/>
          <w:szCs w:val="20"/>
          <w:color w:val="auto"/>
        </w:rPr>
      </w:pPr>
    </w:p>
    <w:p>
      <w:pPr>
        <w:ind w:left="380"/>
        <w:spacing w:after="0"/>
        <w:rPr>
          <w:sz w:val="20"/>
          <w:szCs w:val="20"/>
          <w:color w:val="auto"/>
        </w:rPr>
      </w:pPr>
      <w:r>
        <w:rPr>
          <w:rFonts w:ascii="Arial" w:cs="Arial" w:eastAsia="Arial" w:hAnsi="Arial"/>
          <w:sz w:val="18"/>
          <w:szCs w:val="18"/>
          <w:b w:val="1"/>
          <w:bCs w:val="1"/>
          <w:i w:val="1"/>
          <w:iCs w:val="1"/>
          <w:color w:val="auto"/>
        </w:rPr>
        <w:t>The cost of raw materials and components could affect our operating results.</w:t>
      </w:r>
    </w:p>
    <w:p>
      <w:pPr>
        <w:spacing w:after="0" w:line="225" w:lineRule="exact"/>
        <w:rPr>
          <w:sz w:val="20"/>
          <w:szCs w:val="20"/>
          <w:color w:val="auto"/>
        </w:rPr>
      </w:pPr>
    </w:p>
    <w:p>
      <w:pPr>
        <w:ind w:left="380" w:right="379" w:firstLine="648"/>
        <w:spacing w:after="0" w:line="218" w:lineRule="exact"/>
        <w:rPr>
          <w:sz w:val="20"/>
          <w:szCs w:val="20"/>
          <w:color w:val="auto"/>
        </w:rPr>
      </w:pPr>
      <w:r>
        <w:rPr>
          <w:rFonts w:ascii="Arial" w:cs="Arial" w:eastAsia="Arial" w:hAnsi="Arial"/>
          <w:sz w:val="17"/>
          <w:szCs w:val="17"/>
          <w:color w:val="auto"/>
        </w:rPr>
        <w:t>The materials and components used by us, our suppliers and our manufacturers involve raw materials, including polybutadiene, urethane and Surlyn for the manufacturing of our golf balls, titanium and steel for the assembly of our golf clubs, leather and synthetic fabrics for the manufacturing of our golf shoes, golf gloves, golf gear and golf apparel, and resin and other petroleum</w:t>
      </w:r>
      <w:r>
        <w:rPr>
          <w:rFonts w:ascii="MS PGothic" w:cs="MS PGothic" w:eastAsia="MS PGothic" w:hAnsi="MS PGothic"/>
          <w:sz w:val="17"/>
          <w:szCs w:val="17"/>
          <w:color w:val="auto"/>
        </w:rPr>
        <w:t>‑</w:t>
      </w:r>
      <w:r>
        <w:rPr>
          <w:rFonts w:ascii="Arial" w:cs="Arial" w:eastAsia="Arial" w:hAnsi="Arial"/>
          <w:sz w:val="17"/>
          <w:szCs w:val="17"/>
          <w:color w:val="auto"/>
        </w:rPr>
        <w:t>based materials for a number of our products. Significant price fluctuations or shortages in such raw materials or components, including the costs to transport such materials or components of our products, the uncertainty of currency fluctuations against the U.S. dollar, increases in labor rates, trade duties or tariffs, and/or the introduction of new and expensive raw materials, could materially adversely affect our business, financial condition and results of operations.</w:t>
      </w:r>
    </w:p>
    <w:p>
      <w:pPr>
        <w:spacing w:after="0" w:line="205" w:lineRule="exact"/>
        <w:rPr>
          <w:sz w:val="20"/>
          <w:szCs w:val="20"/>
          <w:color w:val="auto"/>
        </w:rPr>
      </w:pPr>
    </w:p>
    <w:p>
      <w:pPr>
        <w:ind w:left="380" w:right="479"/>
        <w:spacing w:after="0" w:line="264" w:lineRule="auto"/>
        <w:rPr>
          <w:sz w:val="20"/>
          <w:szCs w:val="20"/>
          <w:color w:val="auto"/>
        </w:rPr>
      </w:pPr>
      <w:r>
        <w:rPr>
          <w:rFonts w:ascii="Arial" w:cs="Arial" w:eastAsia="Arial" w:hAnsi="Arial"/>
          <w:sz w:val="18"/>
          <w:szCs w:val="18"/>
          <w:b w:val="1"/>
          <w:bCs w:val="1"/>
          <w:i w:val="1"/>
          <w:iCs w:val="1"/>
          <w:color w:val="auto"/>
        </w:rPr>
        <w:t>Our operations are conducted worldwide and our results of operations are subject to currency transaction risk and currency translation risk that could materially adversely affect our business, financial condition and results of operations.</w:t>
      </w:r>
    </w:p>
    <w:p>
      <w:pPr>
        <w:spacing w:after="0" w:line="181" w:lineRule="exact"/>
        <w:rPr>
          <w:sz w:val="20"/>
          <w:szCs w:val="20"/>
          <w:color w:val="auto"/>
        </w:rPr>
      </w:pPr>
    </w:p>
    <w:p>
      <w:pPr>
        <w:ind w:left="380" w:right="599" w:firstLine="648"/>
        <w:spacing w:after="0" w:line="218" w:lineRule="exact"/>
        <w:rPr>
          <w:sz w:val="20"/>
          <w:szCs w:val="20"/>
          <w:color w:val="auto"/>
        </w:rPr>
      </w:pPr>
      <w:r>
        <w:rPr>
          <w:rFonts w:ascii="Arial" w:cs="Arial" w:eastAsia="Arial" w:hAnsi="Arial"/>
          <w:sz w:val="17"/>
          <w:szCs w:val="17"/>
          <w:color w:val="auto"/>
        </w:rPr>
        <w:t>For the year ended December 31, 2017, $770.4 million of our net sales were generated outside of the United States by our non</w:t>
      </w:r>
      <w:r>
        <w:rPr>
          <w:rFonts w:ascii="MS PGothic" w:cs="MS PGothic" w:eastAsia="MS PGothic" w:hAnsi="MS PGothic"/>
          <w:sz w:val="17"/>
          <w:szCs w:val="17"/>
          <w:color w:val="auto"/>
        </w:rPr>
        <w:t>‑</w:t>
      </w:r>
      <w:r>
        <w:rPr>
          <w:rFonts w:ascii="Arial" w:cs="Arial" w:eastAsia="Arial" w:hAnsi="Arial"/>
          <w:sz w:val="17"/>
          <w:szCs w:val="17"/>
          <w:color w:val="auto"/>
        </w:rPr>
        <w:t>U.S. subsidiaries. Sales by geographic area are included in “Item 7. – Management’s Discussion and Analysis of Financial Condition and Results of Operations” and in “Notes to Consolidated Financial Statements –Note 20 – Segment Information.” Substantially all of these net sales generated outside of the United States were generated in the applicable local currency, which include, but are not limited to, the Japanese yen, the Korean won, the British pound sterling, the euro and the Canadian dollar. In contrast, substantially all of the purchases of inventory, raw</w:t>
      </w:r>
    </w:p>
    <w:p>
      <w:pPr>
        <w:spacing w:after="0" w:line="204"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20" w:name="page21"/>
    <w:bookmarkEnd w:id="20"/>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380"/>
        <w:spacing w:after="0" w:line="184" w:lineRule="exact"/>
        <w:rPr>
          <w:sz w:val="20"/>
          <w:szCs w:val="20"/>
          <w:color w:val="auto"/>
        </w:rPr>
      </w:pPr>
      <w:r>
        <w:rPr>
          <w:rFonts w:ascii="Arial" w:cs="Arial" w:eastAsia="Arial" w:hAnsi="Arial"/>
          <w:sz w:val="16"/>
          <w:szCs w:val="16"/>
          <w:color w:val="auto"/>
        </w:rPr>
        <w:t>materials or components by our non</w:t>
      </w:r>
      <w:r>
        <w:rPr>
          <w:rFonts w:ascii="MS PGothic" w:cs="MS PGothic" w:eastAsia="MS PGothic" w:hAnsi="MS PGothic"/>
          <w:sz w:val="16"/>
          <w:szCs w:val="16"/>
          <w:color w:val="auto"/>
        </w:rPr>
        <w:t>‑</w:t>
      </w:r>
      <w:r>
        <w:rPr>
          <w:rFonts w:ascii="Arial" w:cs="Arial" w:eastAsia="Arial" w:hAnsi="Arial"/>
          <w:sz w:val="16"/>
          <w:szCs w:val="16"/>
          <w:color w:val="auto"/>
        </w:rPr>
        <w:t>U.S. subsidiaries are made in U.S. dollars. For the year ended December 31,</w:t>
      </w:r>
    </w:p>
    <w:p>
      <w:pPr>
        <w:spacing w:after="0" w:line="46" w:lineRule="exact"/>
        <w:rPr>
          <w:sz w:val="20"/>
          <w:szCs w:val="20"/>
          <w:color w:val="auto"/>
        </w:rPr>
      </w:pPr>
    </w:p>
    <w:p>
      <w:pPr>
        <w:ind w:left="380"/>
        <w:spacing w:after="0" w:line="184" w:lineRule="exact"/>
        <w:rPr>
          <w:sz w:val="20"/>
          <w:szCs w:val="20"/>
          <w:color w:val="auto"/>
        </w:rPr>
      </w:pPr>
      <w:r>
        <w:rPr>
          <w:rFonts w:ascii="Arial" w:cs="Arial" w:eastAsia="Arial" w:hAnsi="Arial"/>
          <w:sz w:val="16"/>
          <w:szCs w:val="16"/>
          <w:color w:val="auto"/>
        </w:rPr>
        <w:t>2017, approximately 88% of our cost of goods sold incurred by our non</w:t>
      </w:r>
      <w:r>
        <w:rPr>
          <w:rFonts w:ascii="MS PGothic" w:cs="MS PGothic" w:eastAsia="MS PGothic" w:hAnsi="MS PGothic"/>
          <w:sz w:val="16"/>
          <w:szCs w:val="16"/>
          <w:color w:val="auto"/>
        </w:rPr>
        <w:t>‑</w:t>
      </w:r>
      <w:r>
        <w:rPr>
          <w:rFonts w:ascii="Arial" w:cs="Arial" w:eastAsia="Arial" w:hAnsi="Arial"/>
          <w:sz w:val="16"/>
          <w:szCs w:val="16"/>
          <w:color w:val="auto"/>
        </w:rPr>
        <w:t>U.S. subsidiaries were denominated in</w:t>
      </w:r>
    </w:p>
    <w:p>
      <w:pPr>
        <w:spacing w:after="0" w:line="32" w:lineRule="exact"/>
        <w:rPr>
          <w:sz w:val="20"/>
          <w:szCs w:val="20"/>
          <w:color w:val="auto"/>
        </w:rPr>
      </w:pPr>
    </w:p>
    <w:p>
      <w:pPr>
        <w:ind w:left="380"/>
        <w:spacing w:after="0" w:line="184" w:lineRule="exact"/>
        <w:rPr>
          <w:sz w:val="20"/>
          <w:szCs w:val="20"/>
          <w:color w:val="auto"/>
        </w:rPr>
      </w:pPr>
      <w:r>
        <w:rPr>
          <w:rFonts w:ascii="Arial" w:cs="Arial" w:eastAsia="Arial" w:hAnsi="Arial"/>
          <w:sz w:val="16"/>
          <w:szCs w:val="16"/>
          <w:color w:val="auto"/>
        </w:rPr>
        <w:t>U.S. dollars. Because our non</w:t>
      </w:r>
      <w:r>
        <w:rPr>
          <w:rFonts w:ascii="MS PGothic" w:cs="MS PGothic" w:eastAsia="MS PGothic" w:hAnsi="MS PGothic"/>
          <w:sz w:val="16"/>
          <w:szCs w:val="16"/>
          <w:color w:val="auto"/>
        </w:rPr>
        <w:t>‑</w:t>
      </w:r>
      <w:r>
        <w:rPr>
          <w:rFonts w:ascii="Arial" w:cs="Arial" w:eastAsia="Arial" w:hAnsi="Arial"/>
          <w:sz w:val="16"/>
          <w:szCs w:val="16"/>
          <w:color w:val="auto"/>
        </w:rPr>
        <w:t>U.S. subsidiaries incur substantially all of their cost of goods sold in currencies that</w:t>
      </w:r>
    </w:p>
    <w:p>
      <w:pPr>
        <w:spacing w:after="0" w:line="32" w:lineRule="exact"/>
        <w:rPr>
          <w:sz w:val="20"/>
          <w:szCs w:val="20"/>
          <w:color w:val="auto"/>
        </w:rPr>
      </w:pPr>
    </w:p>
    <w:p>
      <w:pPr>
        <w:ind w:left="380"/>
        <w:spacing w:after="0"/>
        <w:rPr>
          <w:sz w:val="20"/>
          <w:szCs w:val="20"/>
          <w:color w:val="auto"/>
        </w:rPr>
      </w:pPr>
      <w:r>
        <w:rPr>
          <w:rFonts w:ascii="Arial" w:cs="Arial" w:eastAsia="Arial" w:hAnsi="Arial"/>
          <w:sz w:val="17"/>
          <w:szCs w:val="17"/>
          <w:color w:val="auto"/>
        </w:rPr>
        <w:t>are different from the currencies in which they generate substantially all of their sales, we are exposed to</w:t>
      </w:r>
    </w:p>
    <w:p>
      <w:pPr>
        <w:spacing w:after="0" w:line="21" w:lineRule="exact"/>
        <w:rPr>
          <w:sz w:val="20"/>
          <w:szCs w:val="20"/>
          <w:color w:val="auto"/>
        </w:rPr>
      </w:pPr>
    </w:p>
    <w:p>
      <w:pPr>
        <w:ind w:left="380"/>
        <w:spacing w:after="0"/>
        <w:rPr>
          <w:sz w:val="20"/>
          <w:szCs w:val="20"/>
          <w:color w:val="auto"/>
        </w:rPr>
      </w:pPr>
      <w:r>
        <w:rPr>
          <w:rFonts w:ascii="Arial" w:cs="Arial" w:eastAsia="Arial" w:hAnsi="Arial"/>
          <w:sz w:val="17"/>
          <w:szCs w:val="17"/>
          <w:color w:val="auto"/>
        </w:rPr>
        <w:t>transaction risk attributable to fluctuations in such exchange rates, which can impact the gross profit of our</w:t>
      </w:r>
    </w:p>
    <w:p>
      <w:pPr>
        <w:spacing w:after="0" w:line="21" w:lineRule="exact"/>
        <w:rPr>
          <w:sz w:val="20"/>
          <w:szCs w:val="20"/>
          <w:color w:val="auto"/>
        </w:rPr>
      </w:pPr>
    </w:p>
    <w:p>
      <w:pPr>
        <w:ind w:left="380"/>
        <w:spacing w:after="0" w:line="184" w:lineRule="exact"/>
        <w:rPr>
          <w:sz w:val="20"/>
          <w:szCs w:val="20"/>
          <w:color w:val="auto"/>
        </w:rPr>
      </w:pPr>
      <w:r>
        <w:rPr>
          <w:rFonts w:ascii="Arial" w:cs="Arial" w:eastAsia="Arial" w:hAnsi="Arial"/>
          <w:sz w:val="16"/>
          <w:szCs w:val="16"/>
          <w:color w:val="auto"/>
        </w:rPr>
        <w:t>non</w:t>
      </w:r>
      <w:r>
        <w:rPr>
          <w:rFonts w:ascii="MS PGothic" w:cs="MS PGothic" w:eastAsia="MS PGothic" w:hAnsi="MS PGothic"/>
          <w:sz w:val="16"/>
          <w:szCs w:val="16"/>
          <w:color w:val="auto"/>
        </w:rPr>
        <w:t>‑</w:t>
      </w:r>
      <w:r>
        <w:rPr>
          <w:rFonts w:ascii="Arial" w:cs="Arial" w:eastAsia="Arial" w:hAnsi="Arial"/>
          <w:sz w:val="16"/>
          <w:szCs w:val="16"/>
          <w:color w:val="auto"/>
        </w:rPr>
        <w:t>U.S. subsidiaries. If the U.S. dollar strengthens against the applicable local currency, more local currency will</w:t>
      </w:r>
    </w:p>
    <w:p>
      <w:pPr>
        <w:spacing w:after="0" w:line="32" w:lineRule="exact"/>
        <w:rPr>
          <w:sz w:val="20"/>
          <w:szCs w:val="20"/>
          <w:color w:val="auto"/>
        </w:rPr>
      </w:pPr>
    </w:p>
    <w:p>
      <w:pPr>
        <w:ind w:left="380"/>
        <w:spacing w:after="0"/>
        <w:rPr>
          <w:sz w:val="20"/>
          <w:szCs w:val="20"/>
          <w:color w:val="auto"/>
        </w:rPr>
      </w:pPr>
      <w:r>
        <w:rPr>
          <w:rFonts w:ascii="Arial" w:cs="Arial" w:eastAsia="Arial" w:hAnsi="Arial"/>
          <w:sz w:val="16"/>
          <w:szCs w:val="16"/>
          <w:color w:val="auto"/>
        </w:rPr>
        <w:t>be needed to purchase the same amount of cost of goods sold denominated in U.S. dollars, which could materially</w:t>
      </w:r>
    </w:p>
    <w:p>
      <w:pPr>
        <w:spacing w:after="0" w:line="32" w:lineRule="exact"/>
        <w:rPr>
          <w:sz w:val="20"/>
          <w:szCs w:val="20"/>
          <w:color w:val="auto"/>
        </w:rPr>
      </w:pPr>
    </w:p>
    <w:p>
      <w:pPr>
        <w:ind w:left="380"/>
        <w:spacing w:after="0"/>
        <w:rPr>
          <w:sz w:val="20"/>
          <w:szCs w:val="20"/>
          <w:color w:val="auto"/>
        </w:rPr>
      </w:pPr>
      <w:r>
        <w:rPr>
          <w:rFonts w:ascii="Arial" w:cs="Arial" w:eastAsia="Arial" w:hAnsi="Arial"/>
          <w:sz w:val="18"/>
          <w:szCs w:val="18"/>
          <w:color w:val="auto"/>
        </w:rPr>
        <w:t>adversely affect our business, financial condition and results of operations.</w:t>
      </w:r>
    </w:p>
    <w:p>
      <w:pPr>
        <w:spacing w:after="0" w:line="211" w:lineRule="exact"/>
        <w:rPr>
          <w:sz w:val="20"/>
          <w:szCs w:val="20"/>
          <w:color w:val="auto"/>
        </w:rPr>
      </w:pPr>
    </w:p>
    <w:p>
      <w:pPr>
        <w:ind w:left="380" w:right="379" w:firstLine="648"/>
        <w:spacing w:after="0" w:line="268" w:lineRule="auto"/>
        <w:rPr>
          <w:sz w:val="20"/>
          <w:szCs w:val="20"/>
          <w:color w:val="auto"/>
        </w:rPr>
      </w:pPr>
      <w:r>
        <w:rPr>
          <w:rFonts w:ascii="Arial" w:cs="Arial" w:eastAsia="Arial" w:hAnsi="Arial"/>
          <w:sz w:val="17"/>
          <w:szCs w:val="17"/>
          <w:color w:val="auto"/>
        </w:rPr>
        <w:t>We have entered and expect to continue to enter into various foreign currency exchange contracts in an effort to protect against adverse changes in foreign exchange rates and attempt to minimize foreign currency transaction risk. Our hedging activities can reduce, but will not eliminate, the effects of foreign currency transaction risk on our financial results. The extent to which our hedging activities mitigate foreign currency transaction risks varies based upon many factors, including the amount of transactions being hedged. Other factors that could affect the effectiveness of our hedging activities include accuracy of sales forecasts, volatility of currency markets, the availability of hedging instruments and limitations on the duration of such hedging instruments. Since the hedging activities are designed to reduce volatility, they not only reduce the negative impact of a stronger U.S. dollar but could also reduce the positive impact of a weaker U.S. dollar. We are also exposed to credit risk from the counterparties to our hedging activities and market conditions could cause such counterparties to experience financial difficulties. As a result, our efforts to hedge these exposures could prove unsuccessful and, furthermore, our ability to engage in additional hedging activities may decrease or become more costly.</w:t>
      </w:r>
    </w:p>
    <w:p>
      <w:pPr>
        <w:spacing w:after="0" w:line="188" w:lineRule="exact"/>
        <w:rPr>
          <w:sz w:val="20"/>
          <w:szCs w:val="20"/>
          <w:color w:val="auto"/>
        </w:rPr>
      </w:pPr>
    </w:p>
    <w:p>
      <w:pPr>
        <w:ind w:left="380" w:right="419" w:firstLine="648"/>
        <w:spacing w:after="0" w:line="218" w:lineRule="exact"/>
        <w:rPr>
          <w:sz w:val="20"/>
          <w:szCs w:val="20"/>
          <w:color w:val="auto"/>
        </w:rPr>
      </w:pPr>
      <w:r>
        <w:rPr>
          <w:rFonts w:ascii="Arial" w:cs="Arial" w:eastAsia="Arial" w:hAnsi="Arial"/>
          <w:sz w:val="17"/>
          <w:szCs w:val="17"/>
          <w:color w:val="auto"/>
        </w:rPr>
        <w:t>Because our consolidated accounts are reported in U.S. dollars, we are also exposed to currency translation risk when we translate the financial results of our consolidated non</w:t>
      </w:r>
      <w:r>
        <w:rPr>
          <w:rFonts w:ascii="MS PGothic" w:cs="MS PGothic" w:eastAsia="MS PGothic" w:hAnsi="MS PGothic"/>
          <w:sz w:val="17"/>
          <w:szCs w:val="17"/>
          <w:color w:val="auto"/>
        </w:rPr>
        <w:t>‑</w:t>
      </w:r>
      <w:r>
        <w:rPr>
          <w:rFonts w:ascii="Arial" w:cs="Arial" w:eastAsia="Arial" w:hAnsi="Arial"/>
          <w:sz w:val="17"/>
          <w:szCs w:val="17"/>
          <w:color w:val="auto"/>
        </w:rPr>
        <w:t>U.S. subsidiaries from their local currency into U.S. dollars. For the year ended December 31, 2017, 49% of our sales were denominated in foreign currencies. In addition, for the year ended December 31, 2017, 31% of our operating expenses were denominated in foreign currencies (which amounts represent substantially all of the operating expenses incurred by our non</w:t>
      </w:r>
      <w:r>
        <w:rPr>
          <w:rFonts w:ascii="MS PGothic" w:cs="MS PGothic" w:eastAsia="MS PGothic" w:hAnsi="MS PGothic"/>
          <w:sz w:val="17"/>
          <w:szCs w:val="17"/>
          <w:color w:val="auto"/>
        </w:rPr>
        <w:t>‑</w:t>
      </w:r>
      <w:r>
        <w:rPr>
          <w:rFonts w:ascii="Arial" w:cs="Arial" w:eastAsia="Arial" w:hAnsi="Arial"/>
          <w:sz w:val="17"/>
          <w:szCs w:val="17"/>
          <w:color w:val="auto"/>
        </w:rPr>
        <w:t>U.S. subsidiaries). Fluctuations in foreign currency exchange rates may positively or negatively affect our reported financial results and can significantly affect period</w:t>
      </w:r>
      <w:r>
        <w:rPr>
          <w:rFonts w:ascii="MS PGothic" w:cs="MS PGothic" w:eastAsia="MS PGothic" w:hAnsi="MS PGothic"/>
          <w:sz w:val="17"/>
          <w:szCs w:val="17"/>
          <w:color w:val="auto"/>
        </w:rPr>
        <w:t>‑</w:t>
      </w:r>
      <w:r>
        <w:rPr>
          <w:rFonts w:ascii="Arial" w:cs="Arial" w:eastAsia="Arial" w:hAnsi="Arial"/>
          <w:sz w:val="17"/>
          <w:szCs w:val="17"/>
          <w:color w:val="auto"/>
        </w:rPr>
        <w:t>over</w:t>
      </w:r>
      <w:r>
        <w:rPr>
          <w:rFonts w:ascii="MS PGothic" w:cs="MS PGothic" w:eastAsia="MS PGothic" w:hAnsi="MS PGothic"/>
          <w:sz w:val="17"/>
          <w:szCs w:val="17"/>
          <w:color w:val="auto"/>
        </w:rPr>
        <w:t>‑</w:t>
      </w:r>
      <w:r>
        <w:rPr>
          <w:rFonts w:ascii="Arial" w:cs="Arial" w:eastAsia="Arial" w:hAnsi="Arial"/>
          <w:sz w:val="17"/>
          <w:szCs w:val="17"/>
          <w:color w:val="auto"/>
        </w:rPr>
        <w:t>period comparisons. A strengthening of the U.S. dollar relative to our foreign currencies could materially adversely affect our business, financial condition and results of operations. For example, our reported net sales for the 2015 fiscal year were negatively affected by a strengthening U.S. dollar in 2015.</w:t>
      </w:r>
    </w:p>
    <w:p>
      <w:pPr>
        <w:spacing w:after="0" w:line="202" w:lineRule="exact"/>
        <w:rPr>
          <w:sz w:val="20"/>
          <w:szCs w:val="20"/>
          <w:color w:val="auto"/>
        </w:rPr>
      </w:pPr>
    </w:p>
    <w:p>
      <w:pPr>
        <w:ind w:left="380" w:right="699"/>
        <w:spacing w:after="0" w:line="277" w:lineRule="auto"/>
        <w:rPr>
          <w:sz w:val="20"/>
          <w:szCs w:val="20"/>
          <w:color w:val="auto"/>
        </w:rPr>
      </w:pPr>
      <w:r>
        <w:rPr>
          <w:rFonts w:ascii="Arial" w:cs="Arial" w:eastAsia="Arial" w:hAnsi="Arial"/>
          <w:sz w:val="18"/>
          <w:szCs w:val="18"/>
          <w:b w:val="1"/>
          <w:bCs w:val="1"/>
          <w:i w:val="1"/>
          <w:iCs w:val="1"/>
          <w:color w:val="auto"/>
        </w:rPr>
        <w:t>We may not successfully manage the frequent introduction of new products that satisfy changing consumer preferences, quality and regulatory standards.</w:t>
      </w:r>
    </w:p>
    <w:p>
      <w:pPr>
        <w:spacing w:after="0" w:line="170" w:lineRule="exact"/>
        <w:rPr>
          <w:sz w:val="20"/>
          <w:szCs w:val="20"/>
          <w:color w:val="auto"/>
        </w:rPr>
      </w:pPr>
    </w:p>
    <w:p>
      <w:pPr>
        <w:ind w:left="380" w:right="419" w:firstLine="648"/>
        <w:spacing w:after="0" w:line="272" w:lineRule="auto"/>
        <w:rPr>
          <w:sz w:val="20"/>
          <w:szCs w:val="20"/>
          <w:color w:val="auto"/>
        </w:rPr>
      </w:pPr>
      <w:r>
        <w:rPr>
          <w:rFonts w:ascii="Arial" w:cs="Arial" w:eastAsia="Arial" w:hAnsi="Arial"/>
          <w:sz w:val="17"/>
          <w:szCs w:val="17"/>
          <w:color w:val="auto"/>
        </w:rPr>
        <w:t>The golf equipment and golf wear industries are subject to constantly and rapidly changing consumer demands based, in large part, on performance benefits. Our golf ball and golf club products generally have launch cycles of two years, and our sales in a particular year are affected by when we launch such products. We generally introduce new product offerings and styles in our golf wear and gear businesses each year and at different times during the year. Factors driving these short product launch cycles include the rapid introduction of competitive products and consumer demands for the latest technology, style or fashion. In this marketplace, a substantial portion of our annual sales are generated each year by new products.</w:t>
      </w:r>
    </w:p>
    <w:p>
      <w:pPr>
        <w:spacing w:after="0" w:line="178" w:lineRule="exact"/>
        <w:rPr>
          <w:sz w:val="20"/>
          <w:szCs w:val="20"/>
          <w:color w:val="auto"/>
        </w:rPr>
      </w:pPr>
    </w:p>
    <w:p>
      <w:pPr>
        <w:ind w:left="380" w:right="399" w:firstLine="648"/>
        <w:spacing w:after="0" w:line="286" w:lineRule="auto"/>
        <w:rPr>
          <w:sz w:val="20"/>
          <w:szCs w:val="20"/>
          <w:color w:val="auto"/>
        </w:rPr>
      </w:pPr>
      <w:r>
        <w:rPr>
          <w:rFonts w:ascii="Arial" w:cs="Arial" w:eastAsia="Arial" w:hAnsi="Arial"/>
          <w:sz w:val="16"/>
          <w:szCs w:val="16"/>
          <w:color w:val="auto"/>
        </w:rPr>
        <w:t>These marketplace conditions raise a number of issues that we must successfully manage. For example, we must properly anticipate consumer preferences and design products that meet those preferences, while also complying with significant restrictions imposed by the Rules of Golf (see further discussion of the Rules of Golf below under “– Changes to the Rules of Golf with respect to equipment could materially adversely affect our business, financial condition and results of operations”), or our new products will not achieve sufficient market success to compensate for the usual decline in sales experienced by products already in the market. Second, our R&amp;D and supply chain groups face constant pressures to design, develop, source and supply new products—many of which incorporate new or otherwise untested technology, suppliers or inputs—that perform better than their predecessors while maintaining quality control and the authenticity of our brands. Third, for new products to generate equivalent or greater sales than their predecessors, they must either maintain the same or higher sales levels with the same or higher pricing, or exceed the performance of their predecessors in one or both of those areas. Fourth, the relatively short window of opportunity for launching and selling new products requires great precision in forecasting demand and assuring that supplies are ready and delivered during the critical selling periods. Finally, the rapid changeover in products creates a need to monitor and manage the closeout of older products both at retail and in our own inventory. If we do not successfully manage the frequent</w:t>
      </w:r>
    </w:p>
    <w:p>
      <w:pPr>
        <w:spacing w:after="0" w:line="166"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21" w:name="page22"/>
    <w:bookmarkEnd w:id="21"/>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380" w:right="879"/>
        <w:spacing w:after="0" w:line="277" w:lineRule="auto"/>
        <w:rPr>
          <w:sz w:val="20"/>
          <w:szCs w:val="20"/>
          <w:color w:val="auto"/>
        </w:rPr>
      </w:pPr>
      <w:r>
        <w:rPr>
          <w:rFonts w:ascii="Arial" w:cs="Arial" w:eastAsia="Arial" w:hAnsi="Arial"/>
          <w:sz w:val="18"/>
          <w:szCs w:val="18"/>
          <w:color w:val="auto"/>
        </w:rPr>
        <w:t>introduction of new products that satisfy consumer demand, it could adversely affect our business, financial condition and results of operations.</w:t>
      </w:r>
    </w:p>
    <w:p>
      <w:pPr>
        <w:spacing w:after="0" w:line="170" w:lineRule="exact"/>
        <w:rPr>
          <w:sz w:val="20"/>
          <w:szCs w:val="20"/>
          <w:color w:val="auto"/>
        </w:rPr>
      </w:pPr>
    </w:p>
    <w:p>
      <w:pPr>
        <w:ind w:left="380"/>
        <w:spacing w:after="0" w:line="196" w:lineRule="exact"/>
        <w:rPr>
          <w:sz w:val="20"/>
          <w:szCs w:val="20"/>
          <w:color w:val="auto"/>
        </w:rPr>
      </w:pPr>
      <w:r>
        <w:rPr>
          <w:rFonts w:ascii="Arial" w:cs="Arial" w:eastAsia="Arial" w:hAnsi="Arial"/>
          <w:sz w:val="17"/>
          <w:szCs w:val="17"/>
          <w:b w:val="1"/>
          <w:bCs w:val="1"/>
          <w:i w:val="1"/>
          <w:iCs w:val="1"/>
          <w:color w:val="auto"/>
        </w:rPr>
        <w:t>We rely on technical innovation and high</w:t>
      </w:r>
      <w:r>
        <w:rPr>
          <w:rFonts w:ascii="MS PGothic" w:cs="MS PGothic" w:eastAsia="MS PGothic" w:hAnsi="MS PGothic"/>
          <w:sz w:val="17"/>
          <w:szCs w:val="17"/>
          <w:b w:val="1"/>
          <w:bCs w:val="1"/>
          <w:i w:val="1"/>
          <w:iCs w:val="1"/>
          <w:color w:val="auto"/>
        </w:rPr>
        <w:t>‑</w:t>
      </w:r>
      <w:r>
        <w:rPr>
          <w:rFonts w:ascii="Arial" w:cs="Arial" w:eastAsia="Arial" w:hAnsi="Arial"/>
          <w:sz w:val="17"/>
          <w:szCs w:val="17"/>
          <w:b w:val="1"/>
          <w:bCs w:val="1"/>
          <w:i w:val="1"/>
          <w:iCs w:val="1"/>
          <w:color w:val="auto"/>
        </w:rPr>
        <w:t>quality products to compete in the market for our products.</w:t>
      </w:r>
    </w:p>
    <w:p>
      <w:pPr>
        <w:spacing w:after="0" w:line="237" w:lineRule="exact"/>
        <w:rPr>
          <w:sz w:val="20"/>
          <w:szCs w:val="20"/>
          <w:color w:val="auto"/>
        </w:rPr>
      </w:pPr>
    </w:p>
    <w:p>
      <w:pPr>
        <w:ind w:left="380" w:right="439" w:firstLine="648"/>
        <w:spacing w:after="0" w:line="272" w:lineRule="auto"/>
        <w:rPr>
          <w:sz w:val="20"/>
          <w:szCs w:val="20"/>
          <w:color w:val="auto"/>
        </w:rPr>
      </w:pPr>
      <w:r>
        <w:rPr>
          <w:rFonts w:ascii="Arial" w:cs="Arial" w:eastAsia="Arial" w:hAnsi="Arial"/>
          <w:sz w:val="17"/>
          <w:szCs w:val="17"/>
          <w:color w:val="auto"/>
        </w:rPr>
        <w:t>Technical innovation and quality control in the design and manufacturing process of our products is essential to our commercial success. R&amp;D plays a key role in technical innovation. We rely upon experts in various fields to develop and test cutting edge performance products. While we strive to produce products that help to enhance performance and maximize comfort, if we fail to introduce technical innovation in our products, consumer demand for our products could decline, and if we experience problems with the quality of our products, we may incur substantial expense to remedy the problems, any of which could materially adversely affect our business, financial condition and results of operations.</w:t>
      </w:r>
    </w:p>
    <w:p>
      <w:pPr>
        <w:spacing w:after="0" w:line="178" w:lineRule="exact"/>
        <w:rPr>
          <w:sz w:val="20"/>
          <w:szCs w:val="20"/>
          <w:color w:val="auto"/>
        </w:rPr>
      </w:pPr>
    </w:p>
    <w:p>
      <w:pPr>
        <w:ind w:left="380" w:right="1079"/>
        <w:spacing w:after="0" w:line="277" w:lineRule="auto"/>
        <w:rPr>
          <w:sz w:val="20"/>
          <w:szCs w:val="20"/>
          <w:color w:val="auto"/>
        </w:rPr>
      </w:pPr>
      <w:r>
        <w:rPr>
          <w:rFonts w:ascii="Arial" w:cs="Arial" w:eastAsia="Arial" w:hAnsi="Arial"/>
          <w:sz w:val="18"/>
          <w:szCs w:val="18"/>
          <w:b w:val="1"/>
          <w:bCs w:val="1"/>
          <w:i w:val="1"/>
          <w:iCs w:val="1"/>
          <w:color w:val="auto"/>
        </w:rPr>
        <w:t>Changes to the Rules of Golf with respect to equipment could materially adversely affect our business, financial condition and results of operations.</w:t>
      </w:r>
    </w:p>
    <w:p>
      <w:pPr>
        <w:spacing w:after="0" w:line="170" w:lineRule="exact"/>
        <w:rPr>
          <w:sz w:val="20"/>
          <w:szCs w:val="20"/>
          <w:color w:val="auto"/>
        </w:rPr>
      </w:pPr>
    </w:p>
    <w:p>
      <w:pPr>
        <w:ind w:left="380" w:right="419" w:firstLine="648"/>
        <w:spacing w:after="0" w:line="253" w:lineRule="auto"/>
        <w:rPr>
          <w:sz w:val="20"/>
          <w:szCs w:val="20"/>
          <w:color w:val="auto"/>
        </w:rPr>
      </w:pPr>
      <w:r>
        <w:rPr>
          <w:rFonts w:ascii="Arial" w:cs="Arial" w:eastAsia="Arial" w:hAnsi="Arial"/>
          <w:sz w:val="18"/>
          <w:szCs w:val="18"/>
          <w:color w:val="auto"/>
        </w:rPr>
        <w:t>Golf’s most regulated categories are golf balls and golf clubs. We seek to have our new golf ball and golf club products conform with the Rules of Golf published by the United States Golf Association, or the USGA, and The Royal and Ancient Golf Club of St. Andrews, or The R&amp;A, because these rules are generally followed by golfers, both professional and amateur, within their respective jurisdictions. The USGA publishes rules that are generally followed in the United States and Mexico, and The R&amp;A publishes rules that are generally followed in most other countries throughout the world. However, the Rules of Golf as published by The R&amp;A and the USGA are virtually the same and are intended to be so pursuant to a Joint Statement of Principles issued in 2001. The Rules of Golf set the guidelines and establish limitations for the design and performance of all golf balls and golf clubs.</w:t>
      </w:r>
    </w:p>
    <w:p>
      <w:pPr>
        <w:spacing w:after="0" w:line="197" w:lineRule="exact"/>
        <w:rPr>
          <w:sz w:val="20"/>
          <w:szCs w:val="20"/>
          <w:color w:val="auto"/>
        </w:rPr>
      </w:pPr>
    </w:p>
    <w:p>
      <w:pPr>
        <w:ind w:left="380" w:right="419" w:firstLine="648"/>
        <w:spacing w:after="0" w:line="217" w:lineRule="exact"/>
        <w:rPr>
          <w:sz w:val="20"/>
          <w:szCs w:val="20"/>
          <w:color w:val="auto"/>
        </w:rPr>
      </w:pPr>
      <w:r>
        <w:rPr>
          <w:rFonts w:ascii="Arial" w:cs="Arial" w:eastAsia="Arial" w:hAnsi="Arial"/>
          <w:sz w:val="17"/>
          <w:szCs w:val="17"/>
          <w:color w:val="auto"/>
        </w:rPr>
        <w:t>Many new regulations on golf balls and golf clubs have been introduced in the past 10 to 15 years, which we believe was one of the most active periods for golf equipment regulation in the history of golf. The USGA and R&amp;A have historically regulated the size, weight and initial velocity of golf balls. More recently, the USGA and R&amp;A have specifically focused on regulating the overall distance of a golf ball. The USGA and R&amp;A have also focused on golf club regulations, including limiting the size and spring</w:t>
      </w:r>
      <w:r>
        <w:rPr>
          <w:rFonts w:ascii="MS PGothic" w:cs="MS PGothic" w:eastAsia="MS PGothic" w:hAnsi="MS PGothic"/>
          <w:sz w:val="17"/>
          <w:szCs w:val="17"/>
          <w:color w:val="auto"/>
        </w:rPr>
        <w:t>‑</w:t>
      </w:r>
      <w:r>
        <w:rPr>
          <w:rFonts w:ascii="Arial" w:cs="Arial" w:eastAsia="Arial" w:hAnsi="Arial"/>
          <w:sz w:val="17"/>
          <w:szCs w:val="17"/>
          <w:color w:val="auto"/>
        </w:rPr>
        <w:t>like effect of driver faces and club head moment of inertia. In the future, existing USGA and/or R&amp;A rules may be altered in ways that adversely affect the sales of our current or future products. If a change in rules was adopted and caused one or more of our current or future products to be nonconforming, sales of such products would be impacted and we may not be able to adapt our products promptly to such rule change, which could materially adversely affect our business, financial condition and results of operations. In addition, changes in the Rules of Golf may result in an increase in the costs of materials that would need to be used to develop new products as well as an increase in the costs to design new products that conform to such rules.</w:t>
      </w:r>
    </w:p>
    <w:p>
      <w:pPr>
        <w:spacing w:after="0" w:line="209" w:lineRule="exact"/>
        <w:rPr>
          <w:sz w:val="20"/>
          <w:szCs w:val="20"/>
          <w:color w:val="auto"/>
        </w:rPr>
      </w:pPr>
    </w:p>
    <w:p>
      <w:pPr>
        <w:ind w:left="380" w:right="499"/>
        <w:spacing w:after="0" w:line="277" w:lineRule="auto"/>
        <w:rPr>
          <w:sz w:val="20"/>
          <w:szCs w:val="20"/>
          <w:color w:val="auto"/>
        </w:rPr>
      </w:pPr>
      <w:r>
        <w:rPr>
          <w:rFonts w:ascii="Arial" w:cs="Arial" w:eastAsia="Arial" w:hAnsi="Arial"/>
          <w:sz w:val="18"/>
          <w:szCs w:val="18"/>
          <w:b w:val="1"/>
          <w:bCs w:val="1"/>
          <w:i w:val="1"/>
          <w:iCs w:val="1"/>
          <w:color w:val="auto"/>
        </w:rPr>
        <w:t>Failure to adequately enforce and protect our intellectual property rights could materially adversely affect our business, financial condition and results of operations.</w:t>
      </w:r>
    </w:p>
    <w:p>
      <w:pPr>
        <w:spacing w:after="0" w:line="170" w:lineRule="exact"/>
        <w:rPr>
          <w:sz w:val="20"/>
          <w:szCs w:val="20"/>
          <w:color w:val="auto"/>
        </w:rPr>
      </w:pPr>
    </w:p>
    <w:p>
      <w:pPr>
        <w:ind w:left="380" w:right="419" w:firstLine="648"/>
        <w:spacing w:after="0" w:line="218" w:lineRule="exact"/>
        <w:rPr>
          <w:sz w:val="20"/>
          <w:szCs w:val="20"/>
          <w:color w:val="auto"/>
        </w:rPr>
      </w:pPr>
      <w:r>
        <w:rPr>
          <w:rFonts w:ascii="Arial" w:cs="Arial" w:eastAsia="Arial" w:hAnsi="Arial"/>
          <w:sz w:val="18"/>
          <w:szCs w:val="18"/>
          <w:color w:val="auto"/>
        </w:rPr>
        <w:t>We own numerous patents, trademarks, trade secrets, copyrights and other intellectual property and hold licenses to intellectual property owned by others, which in the aggregate are important to our business. We rely on a combination of patent, trademark, copyright and trade secret laws in our core geographic markets and other jurisdictions, to protect the innovations, brands, proprietary trade secrets and know</w:t>
      </w:r>
      <w:r>
        <w:rPr>
          <w:rFonts w:ascii="MS PGothic" w:cs="MS PGothic" w:eastAsia="MS PGothic" w:hAnsi="MS PGothic"/>
          <w:sz w:val="18"/>
          <w:szCs w:val="18"/>
          <w:color w:val="auto"/>
        </w:rPr>
        <w:t>‑</w:t>
      </w:r>
      <w:r>
        <w:rPr>
          <w:rFonts w:ascii="Arial" w:cs="Arial" w:eastAsia="Arial" w:hAnsi="Arial"/>
          <w:sz w:val="18"/>
          <w:szCs w:val="18"/>
          <w:color w:val="auto"/>
        </w:rPr>
        <w:t>how related to certain aspects of our business. Certain of our intellectual property rights, such as patents, are time</w:t>
      </w:r>
      <w:r>
        <w:rPr>
          <w:rFonts w:ascii="MS PGothic" w:cs="MS PGothic" w:eastAsia="MS PGothic" w:hAnsi="MS PGothic"/>
          <w:sz w:val="18"/>
          <w:szCs w:val="18"/>
          <w:color w:val="auto"/>
        </w:rPr>
        <w:t>‑</w:t>
      </w:r>
      <w:r>
        <w:rPr>
          <w:rFonts w:ascii="Arial" w:cs="Arial" w:eastAsia="Arial" w:hAnsi="Arial"/>
          <w:sz w:val="18"/>
          <w:szCs w:val="18"/>
          <w:color w:val="auto"/>
        </w:rPr>
        <w:t>limited, and the technology underlying our patents can be used by any third party, including competitors, once the applicable patent terms expire.</w:t>
      </w:r>
    </w:p>
    <w:p>
      <w:pPr>
        <w:spacing w:after="0" w:line="207" w:lineRule="exact"/>
        <w:rPr>
          <w:sz w:val="20"/>
          <w:szCs w:val="20"/>
          <w:color w:val="auto"/>
        </w:rPr>
      </w:pPr>
    </w:p>
    <w:p>
      <w:pPr>
        <w:ind w:left="380" w:right="399" w:firstLine="648"/>
        <w:spacing w:after="0" w:line="217" w:lineRule="exact"/>
        <w:rPr>
          <w:sz w:val="20"/>
          <w:szCs w:val="20"/>
          <w:color w:val="auto"/>
        </w:rPr>
      </w:pPr>
      <w:r>
        <w:rPr>
          <w:rFonts w:ascii="Arial" w:cs="Arial" w:eastAsia="Arial" w:hAnsi="Arial"/>
          <w:sz w:val="17"/>
          <w:szCs w:val="17"/>
          <w:color w:val="auto"/>
        </w:rPr>
        <w:t>We seek to protect our confidential proprietary information, in part, by entering into confidentiality and invention assignment agreements with our employees, consultants, contractors, suppliers and others. While these agreements are designed to protect our proprietary information, we cannot be certain that such agreements have been entered into with all relevant parties, and we cannot be certain that our trade secrets and other confidential proprietary information will not be disclosed or that competitors will not otherwise gain access to our trade secrets or independently develop substantially equivalent information and techniques. We also seek to preserve the integrity and confidentiality of our proprietary information by maintaining physical security of our premises and physical and electronic security of our information technology systems, but it is possible that these security measures could be breached. If we are unable to prevent disclosure to third parties of our material proprietary and confidential know</w:t>
      </w:r>
      <w:r>
        <w:rPr>
          <w:rFonts w:ascii="MS PGothic" w:cs="MS PGothic" w:eastAsia="MS PGothic" w:hAnsi="MS PGothic"/>
          <w:sz w:val="17"/>
          <w:szCs w:val="17"/>
          <w:color w:val="auto"/>
        </w:rPr>
        <w:t>‑</w:t>
      </w:r>
      <w:r>
        <w:rPr>
          <w:rFonts w:ascii="Arial" w:cs="Arial" w:eastAsia="Arial" w:hAnsi="Arial"/>
          <w:sz w:val="17"/>
          <w:szCs w:val="17"/>
          <w:color w:val="auto"/>
        </w:rPr>
        <w:t>how and trade secrets, our ability to establish or maintain a competitive advantage in our markets may be adversely affected.</w:t>
      </w:r>
    </w:p>
    <w:p>
      <w:pPr>
        <w:spacing w:after="0" w:line="207"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22" w:name="page23"/>
    <w:bookmarkEnd w:id="22"/>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380" w:right="399" w:firstLine="648"/>
        <w:spacing w:after="0" w:line="217" w:lineRule="exact"/>
        <w:rPr>
          <w:sz w:val="20"/>
          <w:szCs w:val="20"/>
          <w:color w:val="auto"/>
        </w:rPr>
      </w:pPr>
      <w:r>
        <w:rPr>
          <w:rFonts w:ascii="Arial" w:cs="Arial" w:eastAsia="Arial" w:hAnsi="Arial"/>
          <w:sz w:val="17"/>
          <w:szCs w:val="17"/>
          <w:color w:val="auto"/>
        </w:rPr>
        <w:t>We selectively and strategically pursue patent and trademark protection in our core geographic markets, but our strategy has been to not perfect certain patent and trademark rights in some countries. For example, we focus primarily on securing patent protection in those countries where the majority of our golf ball and golf club industry production takes place. Accordingly, we may not be able to prevent others, including competitors, from practicing our patented inventions, including by manufacturing and selling competing products, in those countries where we have not obtained patent protection. Further, the laws of some foreign countries do not protect proprietary rights to the same extent or in the same manner as the laws of the United States. As a result, we may encounter significant problems in protecting, enforcing and defending our intellectual property outside of the United States. In some foreign countries, where intellectual property laws or law enforcement practices do not protect our intellectual property rights as fully as in the United States, third</w:t>
      </w:r>
      <w:r>
        <w:rPr>
          <w:rFonts w:ascii="MS PGothic" w:cs="MS PGothic" w:eastAsia="MS PGothic" w:hAnsi="MS PGothic"/>
          <w:sz w:val="17"/>
          <w:szCs w:val="17"/>
          <w:color w:val="auto"/>
        </w:rPr>
        <w:t>‑</w:t>
      </w:r>
      <w:r>
        <w:rPr>
          <w:rFonts w:ascii="Arial" w:cs="Arial" w:eastAsia="Arial" w:hAnsi="Arial"/>
          <w:sz w:val="17"/>
          <w:szCs w:val="17"/>
          <w:color w:val="auto"/>
        </w:rPr>
        <w:t>party manufacturers may be able to manufacture and sell imitation products and diminish the value of our brands as well as infringe our rights, despite our efforts to prevent such activity.</w:t>
      </w:r>
    </w:p>
    <w:p>
      <w:pPr>
        <w:spacing w:after="0" w:line="209" w:lineRule="exact"/>
        <w:rPr>
          <w:sz w:val="20"/>
          <w:szCs w:val="20"/>
          <w:color w:val="auto"/>
        </w:rPr>
      </w:pPr>
    </w:p>
    <w:p>
      <w:pPr>
        <w:ind w:left="380" w:right="379" w:firstLine="648"/>
        <w:spacing w:after="0" w:line="218" w:lineRule="exact"/>
        <w:rPr>
          <w:sz w:val="20"/>
          <w:szCs w:val="20"/>
          <w:color w:val="auto"/>
        </w:rPr>
      </w:pPr>
      <w:r>
        <w:rPr>
          <w:rFonts w:ascii="Arial" w:cs="Arial" w:eastAsia="Arial" w:hAnsi="Arial"/>
          <w:sz w:val="17"/>
          <w:szCs w:val="17"/>
          <w:color w:val="auto"/>
        </w:rPr>
        <w:t>The golf ball and golf club industries, in particular, have been characterized by widespread imitation of popular ball and club designs. We have an active program of monitoring, investigating and enforcing our proprietary rights against companies and individuals who market or manufacture counterfeits and “knockoff” products. We assert our rights against infringers of our patents, trademarks, trade dress and copyrights. However, these efforts may be expensive, time</w:t>
      </w:r>
      <w:r>
        <w:rPr>
          <w:rFonts w:ascii="MS PGothic" w:cs="MS PGothic" w:eastAsia="MS PGothic" w:hAnsi="MS PGothic"/>
          <w:sz w:val="17"/>
          <w:szCs w:val="17"/>
          <w:color w:val="auto"/>
        </w:rPr>
        <w:t>‑</w:t>
      </w:r>
      <w:r>
        <w:rPr>
          <w:rFonts w:ascii="Arial" w:cs="Arial" w:eastAsia="Arial" w:hAnsi="Arial"/>
          <w:sz w:val="17"/>
          <w:szCs w:val="17"/>
          <w:color w:val="auto"/>
        </w:rPr>
        <w:t>consuming, divert management’s attention, and ultimately may not be successful in reducing sales of golf products by these infringers. The failure to prevent or limit such infringers or imitators could adversely affect our reputation and sales. Additionally, other golf ball and golf club manufacturers may be able to produce successful golf balls or golf clubs which imitate our designs without infringing any of our patents, trademarks, trade dress or copyrights, which could limit our ability to maintain a competitive advantage in our marketplace.</w:t>
      </w:r>
    </w:p>
    <w:p>
      <w:pPr>
        <w:spacing w:after="0" w:line="202" w:lineRule="exact"/>
        <w:rPr>
          <w:sz w:val="20"/>
          <w:szCs w:val="20"/>
          <w:color w:val="auto"/>
        </w:rPr>
      </w:pPr>
    </w:p>
    <w:p>
      <w:pPr>
        <w:ind w:left="380" w:right="399" w:firstLine="648"/>
        <w:spacing w:after="0" w:line="217" w:lineRule="exact"/>
        <w:rPr>
          <w:sz w:val="20"/>
          <w:szCs w:val="20"/>
          <w:color w:val="auto"/>
        </w:rPr>
      </w:pPr>
      <w:r>
        <w:rPr>
          <w:rFonts w:ascii="Arial" w:cs="Arial" w:eastAsia="Arial" w:hAnsi="Arial"/>
          <w:sz w:val="17"/>
          <w:szCs w:val="17"/>
          <w:color w:val="auto"/>
        </w:rPr>
        <w:t>If we fail to obtain enforceable patents, trademarks and trade secrets, fail to maintain our existing patent, trademark and trade secret rights, or fail to prevent substantial unauthorized use of our patents, trademarks and trade secrets, we risk the loss of our intellectual property rights and competitive advantages we have developed, which may result in lost sales. Accordingly, we devote substantial resources to the establishment and protection of our trademarks, patents and trade secrets or know</w:t>
      </w:r>
      <w:r>
        <w:rPr>
          <w:rFonts w:ascii="MS PGothic" w:cs="MS PGothic" w:eastAsia="MS PGothic" w:hAnsi="MS PGothic"/>
          <w:sz w:val="17"/>
          <w:szCs w:val="17"/>
          <w:color w:val="auto"/>
        </w:rPr>
        <w:t>‑</w:t>
      </w:r>
      <w:r>
        <w:rPr>
          <w:rFonts w:ascii="Arial" w:cs="Arial" w:eastAsia="Arial" w:hAnsi="Arial"/>
          <w:sz w:val="17"/>
          <w:szCs w:val="17"/>
          <w:color w:val="auto"/>
        </w:rPr>
        <w:t>how, and we continuously evaluate the utility of our existing intellectual property and the new registration of additional trademarks and patents, as appropriate. However, we cannot guarantee that we will have adequate resources to continue to effectively establish, maintain and enforce our intellectual property rights. We also cannot guarantee that any of our pending applications will be approved by the applicable governmental authorities. Moreover, even if the applications will be registered during the registration process, third parties may seek to oppose, limit, or otherwise challenge these applications or registrations.</w:t>
      </w:r>
    </w:p>
    <w:p>
      <w:pPr>
        <w:spacing w:after="0" w:line="210" w:lineRule="exact"/>
        <w:rPr>
          <w:sz w:val="20"/>
          <w:szCs w:val="20"/>
          <w:color w:val="auto"/>
        </w:rPr>
      </w:pPr>
    </w:p>
    <w:p>
      <w:pPr>
        <w:ind w:left="380" w:right="659"/>
        <w:spacing w:after="0" w:line="277" w:lineRule="auto"/>
        <w:rPr>
          <w:sz w:val="20"/>
          <w:szCs w:val="20"/>
          <w:color w:val="auto"/>
        </w:rPr>
      </w:pPr>
      <w:r>
        <w:rPr>
          <w:rFonts w:ascii="Arial" w:cs="Arial" w:eastAsia="Arial" w:hAnsi="Arial"/>
          <w:sz w:val="18"/>
          <w:szCs w:val="18"/>
          <w:b w:val="1"/>
          <w:bCs w:val="1"/>
          <w:i w:val="1"/>
          <w:iCs w:val="1"/>
          <w:color w:val="auto"/>
        </w:rPr>
        <w:t>We may be involved in lawsuits to protect, defend or enforce our intellectual property rights, which could be expensive, time consuming and unsuccessful.</w:t>
      </w:r>
    </w:p>
    <w:p>
      <w:pPr>
        <w:spacing w:after="0" w:line="170" w:lineRule="exact"/>
        <w:rPr>
          <w:sz w:val="20"/>
          <w:szCs w:val="20"/>
          <w:color w:val="auto"/>
        </w:rPr>
      </w:pPr>
    </w:p>
    <w:p>
      <w:pPr>
        <w:ind w:left="380" w:right="379" w:firstLine="648"/>
        <w:spacing w:after="0" w:line="217" w:lineRule="exact"/>
        <w:rPr>
          <w:sz w:val="20"/>
          <w:szCs w:val="20"/>
          <w:color w:val="auto"/>
        </w:rPr>
      </w:pPr>
      <w:r>
        <w:rPr>
          <w:rFonts w:ascii="Arial" w:cs="Arial" w:eastAsia="Arial" w:hAnsi="Arial"/>
          <w:sz w:val="16"/>
          <w:szCs w:val="16"/>
          <w:color w:val="auto"/>
        </w:rPr>
        <w:t>Our success depends in part on our ability to protect our trademarks, patents and trade secrets from unauthorized use by others. To counter infringement or unauthorized use, we may be required to file infringement or misappropriation claims, which can be expensive and time</w:t>
      </w:r>
      <w:r>
        <w:rPr>
          <w:rFonts w:ascii="MS PGothic" w:cs="MS PGothic" w:eastAsia="MS PGothic" w:hAnsi="MS PGothic"/>
          <w:sz w:val="16"/>
          <w:szCs w:val="16"/>
          <w:color w:val="auto"/>
        </w:rPr>
        <w:t>‑</w:t>
      </w:r>
      <w:r>
        <w:rPr>
          <w:rFonts w:ascii="Arial" w:cs="Arial" w:eastAsia="Arial" w:hAnsi="Arial"/>
          <w:sz w:val="16"/>
          <w:szCs w:val="16"/>
          <w:color w:val="auto"/>
        </w:rPr>
        <w:t>consuming and could materially adversely affect our business, financial condition and results of operations, even if successful. Any claims that we assert against perceived infringers could also provoke these parties to assert counterclaims against us alleging that we infringe or misappropriate their intellectual property rights or that we have engaged in anti</w:t>
      </w:r>
      <w:r>
        <w:rPr>
          <w:rFonts w:ascii="MS PGothic" w:cs="MS PGothic" w:eastAsia="MS PGothic" w:hAnsi="MS PGothic"/>
          <w:sz w:val="16"/>
          <w:szCs w:val="16"/>
          <w:color w:val="auto"/>
        </w:rPr>
        <w:t>‑</w:t>
      </w:r>
      <w:r>
        <w:rPr>
          <w:rFonts w:ascii="Arial" w:cs="Arial" w:eastAsia="Arial" w:hAnsi="Arial"/>
          <w:sz w:val="16"/>
          <w:szCs w:val="16"/>
          <w:color w:val="auto"/>
        </w:rPr>
        <w:t>competitive conduct. Moreover, our involvement in litigation against third parties asserting infringement of our intellectual property rights presents some risk that our intellectual property rights could be challenged and invalidated. In addition, in an infringement proceeding, whether initiated by us or another party, a court may refuse to stop the other party in such infringement proceeding from using the technology or mark at issue on the grounds that our patents do not cover the technology in question or misuse our trade secrets or know</w:t>
      </w:r>
      <w:r>
        <w:rPr>
          <w:rFonts w:ascii="MS PGothic" w:cs="MS PGothic" w:eastAsia="MS PGothic" w:hAnsi="MS PGothic"/>
          <w:sz w:val="16"/>
          <w:szCs w:val="16"/>
          <w:color w:val="auto"/>
        </w:rPr>
        <w:t>‑</w:t>
      </w:r>
      <w:r>
        <w:rPr>
          <w:rFonts w:ascii="Arial" w:cs="Arial" w:eastAsia="Arial" w:hAnsi="Arial"/>
          <w:sz w:val="16"/>
          <w:szCs w:val="16"/>
          <w:color w:val="auto"/>
        </w:rPr>
        <w:t>how. An adverse result in any litigation or defense proceedings, including proceedings at the patent and trademark offices, could put one or more of our patents or trademarks at risk of being invalidated, held unenforceable or interpreted narrowly, and could put any of our patent or trademark applications at risk of not being issued as a registered patent or trademark, any of which could materially adversely affect our business, financial condition and results of operations.</w:t>
      </w:r>
    </w:p>
    <w:p>
      <w:pPr>
        <w:spacing w:after="0" w:line="203" w:lineRule="exact"/>
        <w:rPr>
          <w:sz w:val="20"/>
          <w:szCs w:val="20"/>
          <w:color w:val="auto"/>
        </w:rPr>
      </w:pPr>
    </w:p>
    <w:p>
      <w:pPr>
        <w:ind w:left="380" w:right="499" w:firstLine="648"/>
        <w:spacing w:after="0" w:line="297" w:lineRule="auto"/>
        <w:rPr>
          <w:sz w:val="20"/>
          <w:szCs w:val="20"/>
          <w:color w:val="auto"/>
        </w:rPr>
      </w:pPr>
      <w:r>
        <w:rPr>
          <w:rFonts w:ascii="Arial" w:cs="Arial" w:eastAsia="Arial" w:hAnsi="Arial"/>
          <w:sz w:val="16"/>
          <w:szCs w:val="16"/>
          <w:color w:val="auto"/>
        </w:rPr>
        <w:t>Furthermore, because of the substantial amount of discovery required in connection with intellectual property litigation, there is a risk that some of our confidential proprietary information could be compromised by disclosure during this type of litigation. In addition, there could be public announcements of the results of hearings, motions or other interim proceedings or developments. If securities analysts or investors perceive these results to be negative, it could materially adversely affect the price of our common stock.</w:t>
      </w:r>
    </w:p>
    <w:p>
      <w:pPr>
        <w:spacing w:after="0" w:line="15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23" w:name="page24"/>
    <w:bookmarkEnd w:id="23"/>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380" w:right="579"/>
        <w:spacing w:after="0" w:line="277" w:lineRule="auto"/>
        <w:rPr>
          <w:sz w:val="20"/>
          <w:szCs w:val="20"/>
          <w:color w:val="auto"/>
        </w:rPr>
      </w:pPr>
      <w:r>
        <w:rPr>
          <w:rFonts w:ascii="Arial" w:cs="Arial" w:eastAsia="Arial" w:hAnsi="Arial"/>
          <w:sz w:val="18"/>
          <w:szCs w:val="18"/>
          <w:b w:val="1"/>
          <w:bCs w:val="1"/>
          <w:i w:val="1"/>
          <w:iCs w:val="1"/>
          <w:color w:val="auto"/>
        </w:rPr>
        <w:t>Our products may infringe the intellectual property rights of others, which may cause us to incur unexpected costs or prevent us from selling our products.</w:t>
      </w:r>
    </w:p>
    <w:p>
      <w:pPr>
        <w:spacing w:after="0" w:line="170" w:lineRule="exact"/>
        <w:rPr>
          <w:sz w:val="20"/>
          <w:szCs w:val="20"/>
          <w:color w:val="auto"/>
        </w:rPr>
      </w:pPr>
    </w:p>
    <w:p>
      <w:pPr>
        <w:ind w:left="380" w:right="439" w:firstLine="648"/>
        <w:spacing w:after="0" w:line="272" w:lineRule="auto"/>
        <w:rPr>
          <w:sz w:val="20"/>
          <w:szCs w:val="20"/>
          <w:color w:val="auto"/>
        </w:rPr>
      </w:pPr>
      <w:r>
        <w:rPr>
          <w:rFonts w:ascii="Arial" w:cs="Arial" w:eastAsia="Arial" w:hAnsi="Arial"/>
          <w:sz w:val="17"/>
          <w:szCs w:val="17"/>
          <w:color w:val="auto"/>
        </w:rPr>
        <w:t>From time to time, third parties have challenged our patents, trademark rights and branding practices, or asserted intellectual property rights that relate to our products and product features. We cannot assure you that our actions taken to establish and protect our technology and brands will be adequate to prevent others from seeking to block sales of our products or to obtain monetary damages, based on alleged violation of their patents, trademarks or other proprietary rights. We may be required to defend such claims in the future, which, whether or not meritorious, could result in substantial costs and diversion of resources and could materially adversely affect our business, financial condition and results of operations.</w:t>
      </w:r>
    </w:p>
    <w:p>
      <w:pPr>
        <w:spacing w:after="0" w:line="178" w:lineRule="exact"/>
        <w:rPr>
          <w:sz w:val="20"/>
          <w:szCs w:val="20"/>
          <w:color w:val="auto"/>
        </w:rPr>
      </w:pPr>
    </w:p>
    <w:p>
      <w:pPr>
        <w:ind w:left="380" w:right="399" w:firstLine="648"/>
        <w:spacing w:after="0" w:line="217" w:lineRule="exact"/>
        <w:rPr>
          <w:sz w:val="20"/>
          <w:szCs w:val="20"/>
          <w:color w:val="auto"/>
        </w:rPr>
      </w:pPr>
      <w:r>
        <w:rPr>
          <w:rFonts w:ascii="Arial" w:cs="Arial" w:eastAsia="Arial" w:hAnsi="Arial"/>
          <w:sz w:val="17"/>
          <w:szCs w:val="17"/>
          <w:color w:val="auto"/>
        </w:rPr>
        <w:t>If we are found to infringe a third party’s intellectual property rights, we could be forced, including by court order, to cease developing, manufacturing or commercializing the infringing product. Alternatively, we may be required to obtain a license from such a third party in order to use the infringing technology and continue developing, manufacturing or marketing such technology. In such a case, license agreements may require us to pay royalties and other fees that could be significant, or we may not be able to obtain any required license on commercially reasonable terms or at all. Even if we were able to obtain a license, it could be non</w:t>
      </w:r>
      <w:r>
        <w:rPr>
          <w:rFonts w:ascii="MS PGothic" w:cs="MS PGothic" w:eastAsia="MS PGothic" w:hAnsi="MS PGothic"/>
          <w:sz w:val="17"/>
          <w:szCs w:val="17"/>
          <w:color w:val="auto"/>
        </w:rPr>
        <w:t>‑</w:t>
      </w:r>
      <w:r>
        <w:rPr>
          <w:rFonts w:ascii="Arial" w:cs="Arial" w:eastAsia="Arial" w:hAnsi="Arial"/>
          <w:sz w:val="17"/>
          <w:szCs w:val="17"/>
          <w:color w:val="auto"/>
        </w:rPr>
        <w:t>exclusive, thereby giving our competitors access to the same technologies licensed to us. A finding of infringement could prevent us from commercializing our products or force us to cease some of our business operations, or to redesign or rename some of our products to avoid future infringement liability. In addition, we could be found liable for monetary damages, including treble damages and attorneys’ fees if we are found to have willfully infringed a patent. Claims that we have misappropriated the confidential information or trade secrets of third parties could also materially adversely affect our business, financial condition and results of operations. See also “—We may be involved in lawsuits to protect, defend or enforce our intellectual property rights, which could be expensive, time consuming and unsuccessful.” Any of the foregoing could cause us to incur significant costs and prevent us from manufacturing or selling certain of our products.</w:t>
      </w:r>
    </w:p>
    <w:p>
      <w:pPr>
        <w:spacing w:after="0" w:line="208" w:lineRule="exact"/>
        <w:rPr>
          <w:sz w:val="20"/>
          <w:szCs w:val="20"/>
          <w:color w:val="auto"/>
        </w:rPr>
      </w:pPr>
    </w:p>
    <w:p>
      <w:pPr>
        <w:ind w:left="380" w:right="419"/>
        <w:spacing w:after="0" w:line="277" w:lineRule="auto"/>
        <w:rPr>
          <w:sz w:val="20"/>
          <w:szCs w:val="20"/>
          <w:color w:val="auto"/>
        </w:rPr>
      </w:pPr>
      <w:r>
        <w:rPr>
          <w:rFonts w:ascii="Arial" w:cs="Arial" w:eastAsia="Arial" w:hAnsi="Arial"/>
          <w:sz w:val="18"/>
          <w:szCs w:val="18"/>
          <w:b w:val="1"/>
          <w:bCs w:val="1"/>
          <w:i w:val="1"/>
          <w:iCs w:val="1"/>
          <w:color w:val="auto"/>
        </w:rPr>
        <w:t>Recent changes to U.S. patent laws and proposed changes to the rules of the U.S. Patent and Trademark Office could adversely affect our ability to protect our intellectual property.</w:t>
      </w:r>
    </w:p>
    <w:p>
      <w:pPr>
        <w:spacing w:after="0" w:line="170" w:lineRule="exact"/>
        <w:rPr>
          <w:sz w:val="20"/>
          <w:szCs w:val="20"/>
          <w:color w:val="auto"/>
        </w:rPr>
      </w:pPr>
    </w:p>
    <w:p>
      <w:pPr>
        <w:ind w:left="380" w:right="379" w:firstLine="648"/>
        <w:spacing w:after="0" w:line="217" w:lineRule="exact"/>
        <w:rPr>
          <w:sz w:val="20"/>
          <w:szCs w:val="20"/>
          <w:color w:val="auto"/>
        </w:rPr>
      </w:pPr>
      <w:r>
        <w:rPr>
          <w:rFonts w:ascii="Arial" w:cs="Arial" w:eastAsia="Arial" w:hAnsi="Arial"/>
          <w:sz w:val="17"/>
          <w:szCs w:val="17"/>
          <w:color w:val="auto"/>
        </w:rPr>
        <w:t>The Leahy</w:t>
      </w:r>
      <w:r>
        <w:rPr>
          <w:rFonts w:ascii="MS PGothic" w:cs="MS PGothic" w:eastAsia="MS PGothic" w:hAnsi="MS PGothic"/>
          <w:sz w:val="17"/>
          <w:szCs w:val="17"/>
          <w:color w:val="auto"/>
        </w:rPr>
        <w:t>‑</w:t>
      </w:r>
      <w:r>
        <w:rPr>
          <w:rFonts w:ascii="Arial" w:cs="Arial" w:eastAsia="Arial" w:hAnsi="Arial"/>
          <w:sz w:val="17"/>
          <w:szCs w:val="17"/>
          <w:color w:val="auto"/>
        </w:rPr>
        <w:t>Smith America Invents Act, or the Leahy</w:t>
      </w:r>
      <w:r>
        <w:rPr>
          <w:rFonts w:ascii="MS PGothic" w:cs="MS PGothic" w:eastAsia="MS PGothic" w:hAnsi="MS PGothic"/>
          <w:sz w:val="17"/>
          <w:szCs w:val="17"/>
          <w:color w:val="auto"/>
        </w:rPr>
        <w:t>‑</w:t>
      </w:r>
      <w:r>
        <w:rPr>
          <w:rFonts w:ascii="Arial" w:cs="Arial" w:eastAsia="Arial" w:hAnsi="Arial"/>
          <w:sz w:val="17"/>
          <w:szCs w:val="17"/>
          <w:color w:val="auto"/>
        </w:rPr>
        <w:t>Smith Act, which was adopted in September 2011, includes a number of significant changes to the U.S. patent laws, such as, among other things, changing from a “first to invent” to a “first inventor to file” system, establishing new procedures for challenging patents and establishing different methods for invalidating patents. The U.S. Patent and Trademark Office has recently implemented regulations relating to these changes, and the courts have yet to address many of the new provisions of the Leahy</w:t>
      </w:r>
      <w:r>
        <w:rPr>
          <w:rFonts w:ascii="MS PGothic" w:cs="MS PGothic" w:eastAsia="MS PGothic" w:hAnsi="MS PGothic"/>
          <w:sz w:val="17"/>
          <w:szCs w:val="17"/>
          <w:color w:val="auto"/>
        </w:rPr>
        <w:t>‑</w:t>
      </w:r>
      <w:r>
        <w:rPr>
          <w:rFonts w:ascii="Arial" w:cs="Arial" w:eastAsia="Arial" w:hAnsi="Arial"/>
          <w:sz w:val="17"/>
          <w:szCs w:val="17"/>
          <w:color w:val="auto"/>
        </w:rPr>
        <w:t>Smith Act. Some of these changes or potential changes may not be advantageous to us, and it may become more difficult to obtain adequate patent protection or to enforce our patents against third parties. While we cannot predict the impact of the Leahy</w:t>
      </w:r>
      <w:r>
        <w:rPr>
          <w:rFonts w:ascii="MS PGothic" w:cs="MS PGothic" w:eastAsia="MS PGothic" w:hAnsi="MS PGothic"/>
          <w:sz w:val="17"/>
          <w:szCs w:val="17"/>
          <w:color w:val="auto"/>
        </w:rPr>
        <w:t>‑</w:t>
      </w:r>
      <w:r>
        <w:rPr>
          <w:rFonts w:ascii="Arial" w:cs="Arial" w:eastAsia="Arial" w:hAnsi="Arial"/>
          <w:sz w:val="17"/>
          <w:szCs w:val="17"/>
          <w:color w:val="auto"/>
        </w:rPr>
        <w:t>Smith Act at this time, these changes or potential changes could increase the costs and uncertainties surrounding the prosecution of our patent applications and adversely affect our ability to protect our intellectual property which could materially adversely affect our business, financial condition and results of operations.</w:t>
      </w:r>
    </w:p>
    <w:p>
      <w:pPr>
        <w:spacing w:after="0" w:line="210" w:lineRule="exact"/>
        <w:rPr>
          <w:sz w:val="20"/>
          <w:szCs w:val="20"/>
          <w:color w:val="auto"/>
        </w:rPr>
      </w:pPr>
    </w:p>
    <w:p>
      <w:pPr>
        <w:ind w:left="380" w:right="499"/>
        <w:spacing w:after="0" w:line="277" w:lineRule="auto"/>
        <w:rPr>
          <w:sz w:val="20"/>
          <w:szCs w:val="20"/>
          <w:color w:val="auto"/>
        </w:rPr>
      </w:pPr>
      <w:r>
        <w:rPr>
          <w:rFonts w:ascii="Arial" w:cs="Arial" w:eastAsia="Arial" w:hAnsi="Arial"/>
          <w:sz w:val="18"/>
          <w:szCs w:val="18"/>
          <w:b w:val="1"/>
          <w:bCs w:val="1"/>
          <w:i w:val="1"/>
          <w:iCs w:val="1"/>
          <w:color w:val="auto"/>
        </w:rPr>
        <w:t>We face intense competition in each of our markets and if we are unable to maintain a competitive advantage, loss of market share, sales or profitability may result.</w:t>
      </w:r>
    </w:p>
    <w:p>
      <w:pPr>
        <w:spacing w:after="0" w:line="170" w:lineRule="exact"/>
        <w:rPr>
          <w:sz w:val="20"/>
          <w:szCs w:val="20"/>
          <w:color w:val="auto"/>
        </w:rPr>
      </w:pPr>
    </w:p>
    <w:p>
      <w:pPr>
        <w:ind w:left="380" w:right="499" w:firstLine="648"/>
        <w:spacing w:after="0" w:line="259" w:lineRule="auto"/>
        <w:rPr>
          <w:sz w:val="20"/>
          <w:szCs w:val="20"/>
          <w:color w:val="auto"/>
        </w:rPr>
      </w:pPr>
      <w:r>
        <w:rPr>
          <w:rFonts w:ascii="Arial" w:cs="Arial" w:eastAsia="Arial" w:hAnsi="Arial"/>
          <w:sz w:val="18"/>
          <w:szCs w:val="18"/>
          <w:color w:val="auto"/>
        </w:rPr>
        <w:t>The markets for golf balls, clubs, gear and wear are highly competitive and there may be low barriers to entry in many of our markets. Pricing pressures, reduced profit margins or loss of market share or failure to grow in any of our markets, due to competition or otherwise, could materially adversely affect our business, financial condition and results of operations.</w:t>
      </w:r>
    </w:p>
    <w:p>
      <w:pPr>
        <w:spacing w:after="0" w:line="187" w:lineRule="exact"/>
        <w:rPr>
          <w:sz w:val="20"/>
          <w:szCs w:val="20"/>
          <w:color w:val="auto"/>
        </w:rPr>
      </w:pPr>
    </w:p>
    <w:p>
      <w:pPr>
        <w:ind w:left="380" w:right="479" w:firstLine="648"/>
        <w:spacing w:after="0" w:line="218" w:lineRule="exact"/>
        <w:rPr>
          <w:sz w:val="20"/>
          <w:szCs w:val="20"/>
          <w:color w:val="auto"/>
        </w:rPr>
      </w:pPr>
      <w:r>
        <w:rPr>
          <w:rFonts w:ascii="Arial" w:cs="Arial" w:eastAsia="Arial" w:hAnsi="Arial"/>
          <w:sz w:val="17"/>
          <w:szCs w:val="17"/>
          <w:color w:val="auto"/>
        </w:rPr>
        <w:t>We compete against large</w:t>
      </w:r>
      <w:r>
        <w:rPr>
          <w:rFonts w:ascii="MS PGothic" w:cs="MS PGothic" w:eastAsia="MS PGothic" w:hAnsi="MS PGothic"/>
          <w:sz w:val="17"/>
          <w:szCs w:val="17"/>
          <w:color w:val="auto"/>
        </w:rPr>
        <w:t>‑</w:t>
      </w:r>
      <w:r>
        <w:rPr>
          <w:rFonts w:ascii="Arial" w:cs="Arial" w:eastAsia="Arial" w:hAnsi="Arial"/>
          <w:sz w:val="17"/>
          <w:szCs w:val="17"/>
          <w:color w:val="auto"/>
        </w:rPr>
        <w:t>scale global sports equipment and apparel players, Japanese industrials, and more specialized golf equipment and golf wear players, including Callaway, TaylorMade, Ping, Bridgestone, Nike, Adidas and Under Armour. Many of our competitors have significant competitive strengths, including long operating histories, a large and broad consumer base, established relationships with a broad set of suppliers and customers, an established regional or local presence, strong brand recognition and greater financial, R&amp;D, marketing, distribution and other resources than we do. There are unique aspects to the competitive dynamic in each of our product categories and markets. We are not the market leader with respect to certain categories or in certain markets.</w:t>
      </w:r>
    </w:p>
    <w:p>
      <w:pPr>
        <w:spacing w:after="0" w:line="203"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24" w:name="page25"/>
    <w:bookmarkEnd w:id="24"/>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380" w:right="799" w:firstLine="648"/>
        <w:spacing w:after="0" w:line="221" w:lineRule="exact"/>
        <w:rPr>
          <w:sz w:val="20"/>
          <w:szCs w:val="20"/>
          <w:color w:val="auto"/>
        </w:rPr>
      </w:pPr>
      <w:r>
        <w:rPr>
          <w:rFonts w:ascii="Arial" w:cs="Arial" w:eastAsia="Arial" w:hAnsi="Arial"/>
          <w:sz w:val="17"/>
          <w:szCs w:val="17"/>
          <w:i w:val="1"/>
          <w:iCs w:val="1"/>
          <w:color w:val="auto"/>
        </w:rPr>
        <w:t xml:space="preserve">Golf Balls. </w:t>
      </w:r>
      <w:r>
        <w:rPr>
          <w:rFonts w:ascii="Arial" w:cs="Arial" w:eastAsia="Arial" w:hAnsi="Arial"/>
          <w:sz w:val="17"/>
          <w:szCs w:val="17"/>
          <w:color w:val="auto"/>
        </w:rPr>
        <w:t>The golf ball business is highly competitive. There are a number of well</w:t>
      </w:r>
      <w:r>
        <w:rPr>
          <w:rFonts w:ascii="MS PGothic" w:cs="MS PGothic" w:eastAsia="MS PGothic" w:hAnsi="MS PGothic"/>
          <w:sz w:val="17"/>
          <w:szCs w:val="17"/>
          <w:color w:val="auto"/>
        </w:rPr>
        <w:t>‑</w:t>
      </w:r>
      <w:r>
        <w:rPr>
          <w:rFonts w:ascii="Arial" w:cs="Arial" w:eastAsia="Arial" w:hAnsi="Arial"/>
          <w:sz w:val="17"/>
          <w:szCs w:val="17"/>
          <w:color w:val="auto"/>
        </w:rPr>
        <w:t>established and</w:t>
      </w:r>
      <w:r>
        <w:rPr>
          <w:rFonts w:ascii="Arial" w:cs="Arial" w:eastAsia="Arial" w:hAnsi="Arial"/>
          <w:sz w:val="17"/>
          <w:szCs w:val="17"/>
          <w:i w:val="1"/>
          <w:iCs w:val="1"/>
          <w:color w:val="auto"/>
        </w:rPr>
        <w:t xml:space="preserve"> </w:t>
      </w:r>
      <w:r>
        <w:rPr>
          <w:rFonts w:ascii="Arial" w:cs="Arial" w:eastAsia="Arial" w:hAnsi="Arial"/>
          <w:sz w:val="17"/>
          <w:szCs w:val="17"/>
          <w:color w:val="auto"/>
        </w:rPr>
        <w:t>well</w:t>
      </w:r>
      <w:r>
        <w:rPr>
          <w:rFonts w:ascii="MS PGothic" w:cs="MS PGothic" w:eastAsia="MS PGothic" w:hAnsi="MS PGothic"/>
          <w:sz w:val="17"/>
          <w:szCs w:val="17"/>
          <w:color w:val="auto"/>
        </w:rPr>
        <w:t>‑</w:t>
      </w:r>
      <w:r>
        <w:rPr>
          <w:rFonts w:ascii="Arial" w:cs="Arial" w:eastAsia="Arial" w:hAnsi="Arial"/>
          <w:sz w:val="17"/>
          <w:szCs w:val="17"/>
          <w:color w:val="auto"/>
        </w:rPr>
        <w:t>financed competitors. We and our competitors continue to incur significant costs in the areas of R&amp;D, advertising, marketing, tour and other promotional support to be competitive.</w:t>
      </w:r>
    </w:p>
    <w:p>
      <w:pPr>
        <w:spacing w:after="0" w:line="202" w:lineRule="exact"/>
        <w:rPr>
          <w:sz w:val="20"/>
          <w:szCs w:val="20"/>
          <w:color w:val="auto"/>
        </w:rPr>
      </w:pPr>
    </w:p>
    <w:p>
      <w:pPr>
        <w:ind w:left="380" w:right="399" w:firstLine="648"/>
        <w:spacing w:after="0" w:line="218" w:lineRule="exact"/>
        <w:rPr>
          <w:sz w:val="20"/>
          <w:szCs w:val="20"/>
          <w:color w:val="auto"/>
        </w:rPr>
      </w:pPr>
      <w:r>
        <w:rPr>
          <w:rFonts w:ascii="Arial" w:cs="Arial" w:eastAsia="Arial" w:hAnsi="Arial"/>
          <w:sz w:val="17"/>
          <w:szCs w:val="17"/>
          <w:i w:val="1"/>
          <w:iCs w:val="1"/>
          <w:color w:val="auto"/>
        </w:rPr>
        <w:t xml:space="preserve">Golf Clubs. </w:t>
      </w:r>
      <w:r>
        <w:rPr>
          <w:rFonts w:ascii="Arial" w:cs="Arial" w:eastAsia="Arial" w:hAnsi="Arial"/>
          <w:sz w:val="17"/>
          <w:szCs w:val="17"/>
          <w:color w:val="auto"/>
        </w:rPr>
        <w:t>The golf club markets in which we compete are also highly competitive and are served by a</w:t>
      </w:r>
      <w:r>
        <w:rPr>
          <w:rFonts w:ascii="Arial" w:cs="Arial" w:eastAsia="Arial" w:hAnsi="Arial"/>
          <w:sz w:val="17"/>
          <w:szCs w:val="17"/>
          <w:i w:val="1"/>
          <w:iCs w:val="1"/>
          <w:color w:val="auto"/>
        </w:rPr>
        <w:t xml:space="preserve"> </w:t>
      </w:r>
      <w:r>
        <w:rPr>
          <w:rFonts w:ascii="Arial" w:cs="Arial" w:eastAsia="Arial" w:hAnsi="Arial"/>
          <w:sz w:val="17"/>
          <w:szCs w:val="17"/>
          <w:color w:val="auto"/>
        </w:rPr>
        <w:t>number of well</w:t>
      </w:r>
      <w:r>
        <w:rPr>
          <w:rFonts w:ascii="MS PGothic" w:cs="MS PGothic" w:eastAsia="MS PGothic" w:hAnsi="MS PGothic"/>
          <w:sz w:val="17"/>
          <w:szCs w:val="17"/>
          <w:color w:val="auto"/>
        </w:rPr>
        <w:t>‑</w:t>
      </w:r>
      <w:r>
        <w:rPr>
          <w:rFonts w:ascii="Arial" w:cs="Arial" w:eastAsia="Arial" w:hAnsi="Arial"/>
          <w:sz w:val="17"/>
          <w:szCs w:val="17"/>
          <w:color w:val="auto"/>
        </w:rPr>
        <w:t>established and well</w:t>
      </w:r>
      <w:r>
        <w:rPr>
          <w:rFonts w:ascii="MS PGothic" w:cs="MS PGothic" w:eastAsia="MS PGothic" w:hAnsi="MS PGothic"/>
          <w:sz w:val="17"/>
          <w:szCs w:val="17"/>
          <w:color w:val="auto"/>
        </w:rPr>
        <w:t>‑</w:t>
      </w:r>
      <w:r>
        <w:rPr>
          <w:rFonts w:ascii="Arial" w:cs="Arial" w:eastAsia="Arial" w:hAnsi="Arial"/>
          <w:sz w:val="17"/>
          <w:szCs w:val="17"/>
          <w:color w:val="auto"/>
        </w:rPr>
        <w:t>financed companies with recognized brand names. New product introductions, price reductions, consignment sales, extended payment terms, “closeouts,” including closeouts of products that were recently commercially successful, and significant tour and advertising spending by competitors continue to generate intense market competition and create market disruptions. Our competitors in the golf club market have in the past and may continue to introduce their products on an accelerated cycle which could lead to market disruption and impact sales of our products.</w:t>
      </w:r>
    </w:p>
    <w:p>
      <w:pPr>
        <w:spacing w:after="0" w:line="206" w:lineRule="exact"/>
        <w:rPr>
          <w:sz w:val="20"/>
          <w:szCs w:val="20"/>
          <w:color w:val="auto"/>
        </w:rPr>
      </w:pPr>
    </w:p>
    <w:p>
      <w:pPr>
        <w:ind w:left="1040"/>
        <w:spacing w:after="0" w:line="207" w:lineRule="exact"/>
        <w:rPr>
          <w:sz w:val="20"/>
          <w:szCs w:val="20"/>
          <w:color w:val="auto"/>
        </w:rPr>
      </w:pPr>
      <w:r>
        <w:rPr>
          <w:rFonts w:ascii="Arial" w:cs="Arial" w:eastAsia="Arial" w:hAnsi="Arial"/>
          <w:sz w:val="18"/>
          <w:szCs w:val="18"/>
          <w:i w:val="1"/>
          <w:iCs w:val="1"/>
          <w:color w:val="auto"/>
        </w:rPr>
        <w:t xml:space="preserve">Golf Gear. </w:t>
      </w:r>
      <w:r>
        <w:rPr>
          <w:rFonts w:ascii="Arial" w:cs="Arial" w:eastAsia="Arial" w:hAnsi="Arial"/>
          <w:sz w:val="18"/>
          <w:szCs w:val="18"/>
          <w:color w:val="auto"/>
        </w:rPr>
        <w:t>The golf gear market is fragmented and served by a number of well</w:t>
      </w:r>
      <w:r>
        <w:rPr>
          <w:rFonts w:ascii="MS PGothic" w:cs="MS PGothic" w:eastAsia="MS PGothic" w:hAnsi="MS PGothic"/>
          <w:sz w:val="18"/>
          <w:szCs w:val="18"/>
          <w:color w:val="auto"/>
        </w:rPr>
        <w:t>‑</w:t>
      </w:r>
      <w:r>
        <w:rPr>
          <w:rFonts w:ascii="Arial" w:cs="Arial" w:eastAsia="Arial" w:hAnsi="Arial"/>
          <w:sz w:val="18"/>
          <w:szCs w:val="18"/>
          <w:color w:val="auto"/>
        </w:rPr>
        <w:t>established and</w:t>
      </w:r>
    </w:p>
    <w:p>
      <w:pPr>
        <w:spacing w:after="0" w:line="23" w:lineRule="exact"/>
        <w:rPr>
          <w:sz w:val="20"/>
          <w:szCs w:val="20"/>
          <w:color w:val="auto"/>
        </w:rPr>
      </w:pPr>
    </w:p>
    <w:p>
      <w:pPr>
        <w:ind w:left="380"/>
        <w:spacing w:after="0" w:line="184" w:lineRule="exact"/>
        <w:rPr>
          <w:sz w:val="20"/>
          <w:szCs w:val="20"/>
          <w:color w:val="auto"/>
        </w:rPr>
      </w:pPr>
      <w:r>
        <w:rPr>
          <w:rFonts w:ascii="Arial" w:cs="Arial" w:eastAsia="Arial" w:hAnsi="Arial"/>
          <w:sz w:val="16"/>
          <w:szCs w:val="16"/>
          <w:color w:val="auto"/>
        </w:rPr>
        <w:t>well</w:t>
      </w:r>
      <w:r>
        <w:rPr>
          <w:rFonts w:ascii="MS PGothic" w:cs="MS PGothic" w:eastAsia="MS PGothic" w:hAnsi="MS PGothic"/>
          <w:sz w:val="16"/>
          <w:szCs w:val="16"/>
          <w:color w:val="auto"/>
        </w:rPr>
        <w:t>‑</w:t>
      </w:r>
      <w:r>
        <w:rPr>
          <w:rFonts w:ascii="Arial" w:cs="Arial" w:eastAsia="Arial" w:hAnsi="Arial"/>
          <w:sz w:val="16"/>
          <w:szCs w:val="16"/>
          <w:color w:val="auto"/>
        </w:rPr>
        <w:t>financed competitors as well as a number of smaller competitors. We face significant competition in every</w:t>
      </w:r>
    </w:p>
    <w:p>
      <w:pPr>
        <w:spacing w:after="0" w:line="32" w:lineRule="exact"/>
        <w:rPr>
          <w:sz w:val="20"/>
          <w:szCs w:val="20"/>
          <w:color w:val="auto"/>
        </w:rPr>
      </w:pPr>
    </w:p>
    <w:p>
      <w:pPr>
        <w:ind w:left="380"/>
        <w:spacing w:after="0"/>
        <w:rPr>
          <w:sz w:val="20"/>
          <w:szCs w:val="20"/>
          <w:color w:val="auto"/>
        </w:rPr>
      </w:pPr>
      <w:r>
        <w:rPr>
          <w:rFonts w:ascii="Arial" w:cs="Arial" w:eastAsia="Arial" w:hAnsi="Arial"/>
          <w:sz w:val="18"/>
          <w:szCs w:val="18"/>
          <w:color w:val="auto"/>
        </w:rPr>
        <w:t>region with respect to each of our golf gear product categories.</w:t>
      </w:r>
    </w:p>
    <w:p>
      <w:pPr>
        <w:spacing w:after="0" w:line="211" w:lineRule="exact"/>
        <w:rPr>
          <w:sz w:val="20"/>
          <w:szCs w:val="20"/>
          <w:color w:val="auto"/>
        </w:rPr>
      </w:pPr>
    </w:p>
    <w:p>
      <w:pPr>
        <w:ind w:left="380" w:right="639" w:firstLine="648"/>
        <w:spacing w:after="0" w:line="220" w:lineRule="exact"/>
        <w:rPr>
          <w:sz w:val="20"/>
          <w:szCs w:val="20"/>
          <w:color w:val="auto"/>
        </w:rPr>
      </w:pPr>
      <w:r>
        <w:rPr>
          <w:rFonts w:ascii="Arial" w:cs="Arial" w:eastAsia="Arial" w:hAnsi="Arial"/>
          <w:sz w:val="16"/>
          <w:szCs w:val="16"/>
          <w:i w:val="1"/>
          <w:iCs w:val="1"/>
          <w:color w:val="auto"/>
        </w:rPr>
        <w:t xml:space="preserve">Golf Wear. </w:t>
      </w:r>
      <w:r>
        <w:rPr>
          <w:rFonts w:ascii="Arial" w:cs="Arial" w:eastAsia="Arial" w:hAnsi="Arial"/>
          <w:sz w:val="16"/>
          <w:szCs w:val="16"/>
          <w:color w:val="auto"/>
        </w:rPr>
        <w:t>In the golf wear markets, we compete with a number of well</w:t>
      </w:r>
      <w:r>
        <w:rPr>
          <w:rFonts w:ascii="MS PGothic" w:cs="MS PGothic" w:eastAsia="MS PGothic" w:hAnsi="MS PGothic"/>
          <w:sz w:val="16"/>
          <w:szCs w:val="16"/>
          <w:color w:val="auto"/>
        </w:rPr>
        <w:t>‑</w:t>
      </w:r>
      <w:r>
        <w:rPr>
          <w:rFonts w:ascii="Arial" w:cs="Arial" w:eastAsia="Arial" w:hAnsi="Arial"/>
          <w:sz w:val="16"/>
          <w:szCs w:val="16"/>
          <w:color w:val="auto"/>
        </w:rPr>
        <w:t>established and well</w:t>
      </w:r>
      <w:r>
        <w:rPr>
          <w:rFonts w:ascii="MS PGothic" w:cs="MS PGothic" w:eastAsia="MS PGothic" w:hAnsi="MS PGothic"/>
          <w:sz w:val="16"/>
          <w:szCs w:val="16"/>
          <w:color w:val="auto"/>
        </w:rPr>
        <w:t>‑</w:t>
      </w:r>
      <w:r>
        <w:rPr>
          <w:rFonts w:ascii="Arial" w:cs="Arial" w:eastAsia="Arial" w:hAnsi="Arial"/>
          <w:sz w:val="16"/>
          <w:szCs w:val="16"/>
          <w:color w:val="auto"/>
        </w:rPr>
        <w:t>financed</w:t>
      </w:r>
      <w:r>
        <w:rPr>
          <w:rFonts w:ascii="Arial" w:cs="Arial" w:eastAsia="Arial" w:hAnsi="Arial"/>
          <w:sz w:val="16"/>
          <w:szCs w:val="16"/>
          <w:i w:val="1"/>
          <w:iCs w:val="1"/>
          <w:color w:val="auto"/>
        </w:rPr>
        <w:t xml:space="preserve"> </w:t>
      </w:r>
      <w:r>
        <w:rPr>
          <w:rFonts w:ascii="Arial" w:cs="Arial" w:eastAsia="Arial" w:hAnsi="Arial"/>
          <w:sz w:val="16"/>
          <w:szCs w:val="16"/>
          <w:color w:val="auto"/>
        </w:rPr>
        <w:t>companies with recognized brand names. These competitors may have a large and broad consumer base, established relationships with a broad set of suppliers and customers, strong brand recognition and significant financial, R&amp;D, marketing, distribution and other resources which may exceed our own.</w:t>
      </w:r>
    </w:p>
    <w:p>
      <w:pPr>
        <w:spacing w:after="0" w:line="203" w:lineRule="exact"/>
        <w:rPr>
          <w:sz w:val="20"/>
          <w:szCs w:val="20"/>
          <w:color w:val="auto"/>
        </w:rPr>
      </w:pPr>
    </w:p>
    <w:p>
      <w:pPr>
        <w:ind w:left="380" w:right="419" w:firstLine="648"/>
        <w:spacing w:after="0" w:line="255" w:lineRule="auto"/>
        <w:rPr>
          <w:sz w:val="20"/>
          <w:szCs w:val="20"/>
          <w:color w:val="auto"/>
        </w:rPr>
      </w:pPr>
      <w:r>
        <w:rPr>
          <w:rFonts w:ascii="Arial" w:cs="Arial" w:eastAsia="Arial" w:hAnsi="Arial"/>
          <w:sz w:val="18"/>
          <w:szCs w:val="18"/>
          <w:color w:val="auto"/>
        </w:rPr>
        <w:t>Our competitors may be able to create and maintain brand awareness and market share more quickly and effectively than we can. Our competitors may also be able to increase sales in new and existing markets faster than we do by emphasizing different distribution channels or through other methods, and many of our competitors have substantial resources to devote towards increasing sales. If we are unable to grow or maintain our competitive position in any of our product categories, it could materially adversely affect our business, financial condition and results of operations.</w:t>
      </w:r>
    </w:p>
    <w:p>
      <w:pPr>
        <w:spacing w:after="0" w:line="193" w:lineRule="exact"/>
        <w:rPr>
          <w:sz w:val="20"/>
          <w:szCs w:val="20"/>
          <w:color w:val="auto"/>
        </w:rPr>
      </w:pPr>
    </w:p>
    <w:p>
      <w:pPr>
        <w:ind w:left="380"/>
        <w:spacing w:after="0"/>
        <w:rPr>
          <w:sz w:val="20"/>
          <w:szCs w:val="20"/>
          <w:color w:val="auto"/>
        </w:rPr>
      </w:pPr>
      <w:r>
        <w:rPr>
          <w:rFonts w:ascii="Arial" w:cs="Arial" w:eastAsia="Arial" w:hAnsi="Arial"/>
          <w:sz w:val="17"/>
          <w:szCs w:val="17"/>
          <w:b w:val="1"/>
          <w:bCs w:val="1"/>
          <w:i w:val="1"/>
          <w:iCs w:val="1"/>
          <w:color w:val="auto"/>
        </w:rPr>
        <w:t>We may have limited opportunities for future growth in sales of golf balls, golf shoes and golf gloves.</w:t>
      </w:r>
    </w:p>
    <w:p>
      <w:pPr>
        <w:spacing w:after="0" w:line="237" w:lineRule="exact"/>
        <w:rPr>
          <w:sz w:val="20"/>
          <w:szCs w:val="20"/>
          <w:color w:val="auto"/>
        </w:rPr>
      </w:pPr>
    </w:p>
    <w:p>
      <w:pPr>
        <w:ind w:left="380" w:right="379" w:firstLine="648"/>
        <w:spacing w:after="0" w:line="276" w:lineRule="auto"/>
        <w:rPr>
          <w:sz w:val="20"/>
          <w:szCs w:val="20"/>
          <w:color w:val="auto"/>
        </w:rPr>
      </w:pPr>
      <w:r>
        <w:rPr>
          <w:rFonts w:ascii="Arial" w:cs="Arial" w:eastAsia="Arial" w:hAnsi="Arial"/>
          <w:sz w:val="17"/>
          <w:szCs w:val="17"/>
          <w:color w:val="auto"/>
        </w:rPr>
        <w:t>We already have a significant share of worldwide sales of golf balls, golf shoes and golf gloves and the golf industry is very competitive. As such, gaining incremental market share quickly or at all may be limited given the competitive nature of the golf industry and other challenges to the golf industry. In the future, the overall dollar volume of worldwide sales of golf equipment, wear and gear may not grow or may decline which could materially adversely affect our business, financial condition and results of operations.</w:t>
      </w:r>
    </w:p>
    <w:p>
      <w:pPr>
        <w:spacing w:after="0" w:line="173" w:lineRule="exact"/>
        <w:rPr>
          <w:sz w:val="20"/>
          <w:szCs w:val="20"/>
          <w:color w:val="auto"/>
        </w:rPr>
      </w:pPr>
    </w:p>
    <w:p>
      <w:pPr>
        <w:ind w:left="380" w:right="779"/>
        <w:spacing w:after="0" w:line="277" w:lineRule="auto"/>
        <w:rPr>
          <w:sz w:val="20"/>
          <w:szCs w:val="20"/>
          <w:color w:val="auto"/>
        </w:rPr>
      </w:pPr>
      <w:r>
        <w:rPr>
          <w:rFonts w:ascii="Arial" w:cs="Arial" w:eastAsia="Arial" w:hAnsi="Arial"/>
          <w:sz w:val="18"/>
          <w:szCs w:val="18"/>
          <w:b w:val="1"/>
          <w:bCs w:val="1"/>
          <w:i w:val="1"/>
          <w:iCs w:val="1"/>
          <w:color w:val="auto"/>
        </w:rPr>
        <w:t>A severe or prolonged economic downturn could adversely affect our customers’ financial condition, their levels of business activity and their ability to pay trade obligations.</w:t>
      </w:r>
    </w:p>
    <w:p>
      <w:pPr>
        <w:spacing w:after="0" w:line="170" w:lineRule="exact"/>
        <w:rPr>
          <w:sz w:val="20"/>
          <w:szCs w:val="20"/>
          <w:color w:val="auto"/>
        </w:rPr>
      </w:pPr>
    </w:p>
    <w:p>
      <w:pPr>
        <w:ind w:left="380" w:right="399" w:firstLine="648"/>
        <w:spacing w:after="0" w:line="218" w:lineRule="exact"/>
        <w:rPr>
          <w:sz w:val="20"/>
          <w:szCs w:val="20"/>
          <w:color w:val="auto"/>
        </w:rPr>
      </w:pPr>
      <w:r>
        <w:rPr>
          <w:rFonts w:ascii="Arial" w:cs="Arial" w:eastAsia="Arial" w:hAnsi="Arial"/>
          <w:sz w:val="17"/>
          <w:szCs w:val="17"/>
          <w:color w:val="auto"/>
        </w:rPr>
        <w:t>We primarily sell our products to golf equipment retailers, such as on</w:t>
      </w:r>
      <w:r>
        <w:rPr>
          <w:rFonts w:ascii="MS PGothic" w:cs="MS PGothic" w:eastAsia="MS PGothic" w:hAnsi="MS PGothic"/>
          <w:sz w:val="17"/>
          <w:szCs w:val="17"/>
          <w:color w:val="auto"/>
        </w:rPr>
        <w:t>‑</w:t>
      </w:r>
      <w:r>
        <w:rPr>
          <w:rFonts w:ascii="Arial" w:cs="Arial" w:eastAsia="Arial" w:hAnsi="Arial"/>
          <w:sz w:val="17"/>
          <w:szCs w:val="17"/>
          <w:color w:val="auto"/>
        </w:rPr>
        <w:t>course golf shops, golf specialty stores and other qualified retailers, directly and to foreign distributors. We perform ongoing credit evaluations of our customers’ financial condition and generally require no collateral from these customers. However, a severe or prolonged downturn in the general economy could adversely affect the retail golf equipment market, which in turn would negatively impact the liquidity and cash flows of our customers, including the ability of such customers to obtain credit to finance purchases of our products and to pay their trade obligations. This could result in increased delinquent or uncollectible accounts for our customers as well as a decrease in orders for our products by such customers. A failure by our customers to pay a significant portion of outstanding accounts receivable balances on a timely basis or a decrease in orders from such customers could materially adversely affect our business, financial condition and results of operations.</w:t>
      </w:r>
    </w:p>
    <w:p>
      <w:pPr>
        <w:spacing w:after="0" w:line="202" w:lineRule="exact"/>
        <w:rPr>
          <w:sz w:val="20"/>
          <w:szCs w:val="20"/>
          <w:color w:val="auto"/>
        </w:rPr>
      </w:pPr>
    </w:p>
    <w:p>
      <w:pPr>
        <w:ind w:left="380" w:right="479"/>
        <w:spacing w:after="0" w:line="277" w:lineRule="auto"/>
        <w:rPr>
          <w:sz w:val="20"/>
          <w:szCs w:val="20"/>
          <w:color w:val="auto"/>
        </w:rPr>
      </w:pPr>
      <w:r>
        <w:rPr>
          <w:rFonts w:ascii="Arial" w:cs="Arial" w:eastAsia="Arial" w:hAnsi="Arial"/>
          <w:sz w:val="18"/>
          <w:szCs w:val="18"/>
          <w:b w:val="1"/>
          <w:bCs w:val="1"/>
          <w:i w:val="1"/>
          <w:iCs w:val="1"/>
          <w:color w:val="auto"/>
        </w:rPr>
        <w:t>A decrease in corporate spending on our custom logo golf balls could materially adversely affect our business, financial condition and results of operations.</w:t>
      </w:r>
    </w:p>
    <w:p>
      <w:pPr>
        <w:spacing w:after="0" w:line="170" w:lineRule="exact"/>
        <w:rPr>
          <w:sz w:val="20"/>
          <w:szCs w:val="20"/>
          <w:color w:val="auto"/>
        </w:rPr>
      </w:pPr>
    </w:p>
    <w:p>
      <w:pPr>
        <w:ind w:left="380" w:right="379" w:firstLine="648"/>
        <w:spacing w:after="0" w:line="257" w:lineRule="auto"/>
        <w:rPr>
          <w:sz w:val="20"/>
          <w:szCs w:val="20"/>
          <w:color w:val="auto"/>
        </w:rPr>
      </w:pPr>
      <w:r>
        <w:rPr>
          <w:rFonts w:ascii="Arial" w:cs="Arial" w:eastAsia="Arial" w:hAnsi="Arial"/>
          <w:sz w:val="18"/>
          <w:szCs w:val="18"/>
          <w:color w:val="auto"/>
        </w:rPr>
        <w:t>Custom imprinted golf balls, a majority of which are purchased by corporate customers, represented over 30% of our global net golf ball sales for the year ended December 31, 2017. There has long been a strong connection between the business community and golf but corporate spending on custom logoed balls has remained at lower levels since the 2008 financial crisis. If such corporate spending decreases further, it could impact the sales of our custom imprinted golf balls.</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25" w:name="page26"/>
    <w:bookmarkEnd w:id="25"/>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380" w:right="819"/>
        <w:spacing w:after="0" w:line="264" w:lineRule="auto"/>
        <w:rPr>
          <w:sz w:val="20"/>
          <w:szCs w:val="20"/>
          <w:color w:val="auto"/>
        </w:rPr>
      </w:pPr>
      <w:r>
        <w:rPr>
          <w:rFonts w:ascii="Arial" w:cs="Arial" w:eastAsia="Arial" w:hAnsi="Arial"/>
          <w:sz w:val="18"/>
          <w:szCs w:val="18"/>
          <w:b w:val="1"/>
          <w:bCs w:val="1"/>
          <w:i w:val="1"/>
          <w:iCs w:val="1"/>
          <w:color w:val="auto"/>
        </w:rPr>
        <w:t>We depend on retailers and distributors to market and sell our products, and our failure to maintain and further develop our sales channels could materially adversely affect our business, financial condition and results of operations.</w:t>
      </w:r>
    </w:p>
    <w:p>
      <w:pPr>
        <w:spacing w:after="0" w:line="181" w:lineRule="exact"/>
        <w:rPr>
          <w:sz w:val="20"/>
          <w:szCs w:val="20"/>
          <w:color w:val="auto"/>
        </w:rPr>
      </w:pPr>
    </w:p>
    <w:p>
      <w:pPr>
        <w:ind w:left="380" w:right="499" w:firstLine="648"/>
        <w:spacing w:after="0" w:line="288" w:lineRule="auto"/>
        <w:rPr>
          <w:sz w:val="20"/>
          <w:szCs w:val="20"/>
          <w:color w:val="auto"/>
        </w:rPr>
      </w:pPr>
      <w:r>
        <w:rPr>
          <w:rFonts w:ascii="Arial" w:cs="Arial" w:eastAsia="Arial" w:hAnsi="Arial"/>
          <w:sz w:val="16"/>
          <w:szCs w:val="16"/>
          <w:color w:val="auto"/>
        </w:rPr>
        <w:t>We primarily sell our products through retailers and distributors and depend on these third parties to market and sell our products to consumers. Any changes to our current mix of retailers and distributors could adversely affect our sales and could negatively affect both our brand image and our reputation. Our sales depend, in part, on retailers adequately displaying our products, including providing attractive space and merchandise displays in their stores, and training their sales personnel to sell our products. If our retailers and distributors are not successful in selling our products, our sales would decrease. Our retailers frequently offer products and services of our competitors in their stores. In addition, our success in growing our presence in existing and expanding into new international markets will depend on our ability to establish relationships with new retailers and distributors. If we do not maintain our relationship with existing retailers and distributors or develop relationships with new retailers and distributors our ability to sell our products would be negatively impacted.</w:t>
      </w:r>
    </w:p>
    <w:p>
      <w:pPr>
        <w:spacing w:after="0" w:line="169" w:lineRule="exact"/>
        <w:rPr>
          <w:sz w:val="20"/>
          <w:szCs w:val="20"/>
          <w:color w:val="auto"/>
        </w:rPr>
      </w:pPr>
    </w:p>
    <w:p>
      <w:pPr>
        <w:ind w:left="380" w:right="519" w:firstLine="648"/>
        <w:spacing w:after="0" w:line="273" w:lineRule="auto"/>
        <w:rPr>
          <w:sz w:val="20"/>
          <w:szCs w:val="20"/>
          <w:color w:val="auto"/>
        </w:rPr>
      </w:pPr>
      <w:r>
        <w:rPr>
          <w:rFonts w:ascii="Arial" w:cs="Arial" w:eastAsia="Arial" w:hAnsi="Arial"/>
          <w:sz w:val="17"/>
          <w:szCs w:val="17"/>
          <w:color w:val="auto"/>
        </w:rPr>
        <w:t>On a consolidated basis, no one customer that sells or distributes our products accounted for more than 10% of our consolidated net sales in the year ended December 31, 2017. However, our top ten customers accounted for 20% of our consolidated net sales in the year ended December 31, 2017. Accordingly, the loss of a small number of our large customers, or the reduction in business with one or more of these customers, could materially adversely affect our business, financial condition and results of operations. We do not currently have minimum purchase agreements with these large customers.</w:t>
      </w:r>
    </w:p>
    <w:p>
      <w:pPr>
        <w:spacing w:after="0" w:line="178" w:lineRule="exact"/>
        <w:rPr>
          <w:sz w:val="20"/>
          <w:szCs w:val="20"/>
          <w:color w:val="auto"/>
        </w:rPr>
      </w:pPr>
    </w:p>
    <w:p>
      <w:pPr>
        <w:ind w:left="380" w:right="439" w:firstLine="648"/>
        <w:spacing w:after="0" w:line="259" w:lineRule="auto"/>
        <w:rPr>
          <w:sz w:val="20"/>
          <w:szCs w:val="20"/>
          <w:color w:val="auto"/>
        </w:rPr>
      </w:pPr>
      <w:r>
        <w:rPr>
          <w:rFonts w:ascii="Arial" w:cs="Arial" w:eastAsia="Arial" w:hAnsi="Arial"/>
          <w:sz w:val="18"/>
          <w:szCs w:val="18"/>
          <w:color w:val="auto"/>
        </w:rPr>
        <w:t>In September 2016, Golfsmith International Holdings LP, a specialty golf retailer and one of our largest customers in recent years, announced bankruptcy proceedings. The Golfsmith bankruptcy resulted in a significant disruption to our business in the second half of 2016, as well as the full year of 2017, with the reorganization activities and store closures resulting in less product sell-in to retail.</w:t>
      </w:r>
    </w:p>
    <w:p>
      <w:pPr>
        <w:spacing w:after="0" w:line="187" w:lineRule="exact"/>
        <w:rPr>
          <w:sz w:val="20"/>
          <w:szCs w:val="20"/>
          <w:color w:val="auto"/>
        </w:rPr>
      </w:pPr>
    </w:p>
    <w:p>
      <w:pPr>
        <w:ind w:left="380" w:right="459" w:firstLine="648"/>
        <w:spacing w:after="0" w:line="308" w:lineRule="auto"/>
        <w:rPr>
          <w:sz w:val="20"/>
          <w:szCs w:val="20"/>
          <w:color w:val="auto"/>
        </w:rPr>
      </w:pPr>
      <w:r>
        <w:rPr>
          <w:rFonts w:ascii="Arial" w:cs="Arial" w:eastAsia="Arial" w:hAnsi="Arial"/>
          <w:sz w:val="17"/>
          <w:szCs w:val="17"/>
          <w:color w:val="auto"/>
        </w:rPr>
        <w:t>We cannot predict the impact that the foregoing will have on us or the golf industry in general, and these matters may materially adversely affect our business, financial condition and results of operations.</w:t>
      </w:r>
    </w:p>
    <w:p>
      <w:pPr>
        <w:spacing w:after="0" w:line="147" w:lineRule="exact"/>
        <w:rPr>
          <w:sz w:val="20"/>
          <w:szCs w:val="20"/>
          <w:color w:val="auto"/>
        </w:rPr>
      </w:pPr>
    </w:p>
    <w:p>
      <w:pPr>
        <w:ind w:left="380" w:right="819"/>
        <w:spacing w:after="0" w:line="342" w:lineRule="auto"/>
        <w:rPr>
          <w:sz w:val="20"/>
          <w:szCs w:val="20"/>
          <w:color w:val="auto"/>
        </w:rPr>
      </w:pPr>
      <w:r>
        <w:rPr>
          <w:rFonts w:ascii="Arial" w:cs="Arial" w:eastAsia="Arial" w:hAnsi="Arial"/>
          <w:sz w:val="16"/>
          <w:szCs w:val="16"/>
          <w:b w:val="1"/>
          <w:bCs w:val="1"/>
          <w:i w:val="1"/>
          <w:iCs w:val="1"/>
          <w:color w:val="auto"/>
        </w:rPr>
        <w:t>Consolidation of retailers or concentration of retail market share among a few retailers may increase and concentrate our credit risk, put pressure on our margins and impair our ability to sell products.</w:t>
      </w:r>
    </w:p>
    <w:p>
      <w:pPr>
        <w:spacing w:after="0" w:line="124" w:lineRule="exact"/>
        <w:rPr>
          <w:sz w:val="20"/>
          <w:szCs w:val="20"/>
          <w:color w:val="auto"/>
        </w:rPr>
      </w:pPr>
    </w:p>
    <w:p>
      <w:pPr>
        <w:ind w:left="380" w:right="399" w:firstLine="648"/>
        <w:spacing w:after="0" w:line="217" w:lineRule="exact"/>
        <w:rPr>
          <w:sz w:val="20"/>
          <w:szCs w:val="20"/>
          <w:color w:val="auto"/>
        </w:rPr>
      </w:pPr>
      <w:r>
        <w:rPr>
          <w:rFonts w:ascii="Arial" w:cs="Arial" w:eastAsia="Arial" w:hAnsi="Arial"/>
          <w:sz w:val="17"/>
          <w:szCs w:val="17"/>
          <w:color w:val="auto"/>
        </w:rPr>
        <w:t>The sporting goods and off</w:t>
      </w:r>
      <w:r>
        <w:rPr>
          <w:rFonts w:ascii="MS PGothic" w:cs="MS PGothic" w:eastAsia="MS PGothic" w:hAnsi="MS PGothic"/>
          <w:sz w:val="17"/>
          <w:szCs w:val="17"/>
          <w:color w:val="auto"/>
        </w:rPr>
        <w:t>‑</w:t>
      </w:r>
      <w:r>
        <w:rPr>
          <w:rFonts w:ascii="Arial" w:cs="Arial" w:eastAsia="Arial" w:hAnsi="Arial"/>
          <w:sz w:val="17"/>
          <w:szCs w:val="17"/>
          <w:color w:val="auto"/>
        </w:rPr>
        <w:t>course golf equipment retail markets in some countries, including the United States, are dominated by a few large retailers. Certain of these retailers have in the past increased their market share and may continue to do so in the future by expanding through acquisitions and construction of additional stores. Industry consolidation and correction has occurred in recent years and additional consolidation and correction is possible. These situations may result in a concentration of our credit risk with respect to our sales to such retailers, and, if any of these retailers were to experience a shortage of liquidity or other financial difficulties, or file for bankruptcy or receivership protection, it would increase the risk that their outstanding payables to us may not be paid. This consolidation may also result in larger retailers gaining increased leverage which may impact our margins. In addition, increasing market share concentration among one or a few retailers in a particular country or region increases the risk that if any one of them substantially reduces their purchases of our products, we may be unable to find a sufficient number of other retail outlets for our products to sustain the same level of sales. Any reduction in sales by our retailers could materially adversely affect our business, financial condition and results of operations.</w:t>
      </w:r>
    </w:p>
    <w:p>
      <w:pPr>
        <w:spacing w:after="0" w:line="209" w:lineRule="exact"/>
        <w:rPr>
          <w:sz w:val="20"/>
          <w:szCs w:val="20"/>
          <w:color w:val="auto"/>
        </w:rPr>
      </w:pPr>
    </w:p>
    <w:p>
      <w:pPr>
        <w:ind w:left="380" w:right="439"/>
        <w:spacing w:after="0" w:line="277" w:lineRule="auto"/>
        <w:rPr>
          <w:sz w:val="20"/>
          <w:szCs w:val="20"/>
          <w:color w:val="auto"/>
        </w:rPr>
      </w:pPr>
      <w:r>
        <w:rPr>
          <w:rFonts w:ascii="Arial" w:cs="Arial" w:eastAsia="Arial" w:hAnsi="Arial"/>
          <w:sz w:val="18"/>
          <w:szCs w:val="18"/>
          <w:b w:val="1"/>
          <w:bCs w:val="1"/>
          <w:i w:val="1"/>
          <w:iCs w:val="1"/>
          <w:color w:val="auto"/>
        </w:rPr>
        <w:t>Our business depends on strong brands, and if we are not able to maintain and enhance our brands we may be unable to sell our products.</w:t>
      </w:r>
    </w:p>
    <w:p>
      <w:pPr>
        <w:spacing w:after="0" w:line="170" w:lineRule="exact"/>
        <w:rPr>
          <w:sz w:val="20"/>
          <w:szCs w:val="20"/>
          <w:color w:val="auto"/>
        </w:rPr>
      </w:pPr>
    </w:p>
    <w:p>
      <w:pPr>
        <w:ind w:left="380" w:right="419" w:firstLine="648"/>
        <w:spacing w:after="0" w:line="270" w:lineRule="auto"/>
        <w:rPr>
          <w:sz w:val="20"/>
          <w:szCs w:val="20"/>
          <w:color w:val="auto"/>
        </w:rPr>
      </w:pPr>
      <w:r>
        <w:rPr>
          <w:rFonts w:ascii="Arial" w:cs="Arial" w:eastAsia="Arial" w:hAnsi="Arial"/>
          <w:sz w:val="17"/>
          <w:szCs w:val="17"/>
          <w:color w:val="auto"/>
        </w:rPr>
        <w:t>Our brands have worldwide recognition and our success depends on our ability to maintain and enhance our brand image and reputation. In particular, we believe that maintaining and enhancing the Titleist and FootJoy brands is critical to maintaining and expanding our customer base. Maintaining, promoting and enhancing our brands may require us to make substantial investments in areas such as product innovation, product quality, intellectual property protection, marketing and employee training, and these investments may not have the desired impact on our brand image and reputation. Our business could be adversely impacted if we fail to achieve any of these objectives or if the reputation or image of any of our brands is tarnished or receives negative publicity. In addition, adverse publicity about regulatory or legal action against us could damage our reputation and brand image, undermine consumer confidence in us and reduce</w:t>
      </w:r>
    </w:p>
    <w:p>
      <w:pPr>
        <w:spacing w:after="0" w:line="179"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26" w:name="page27"/>
    <w:bookmarkEnd w:id="26"/>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380" w:right="399"/>
        <w:spacing w:after="0" w:line="218" w:lineRule="exact"/>
        <w:rPr>
          <w:sz w:val="20"/>
          <w:szCs w:val="20"/>
          <w:color w:val="auto"/>
        </w:rPr>
      </w:pPr>
      <w:r>
        <w:rPr>
          <w:rFonts w:ascii="Arial" w:cs="Arial" w:eastAsia="Arial" w:hAnsi="Arial"/>
          <w:sz w:val="17"/>
          <w:szCs w:val="17"/>
          <w:color w:val="auto"/>
        </w:rPr>
        <w:t>long</w:t>
      </w:r>
      <w:r>
        <w:rPr>
          <w:rFonts w:ascii="MS PGothic" w:cs="MS PGothic" w:eastAsia="MS PGothic" w:hAnsi="MS PGothic"/>
          <w:sz w:val="17"/>
          <w:szCs w:val="17"/>
          <w:color w:val="auto"/>
        </w:rPr>
        <w:t>‑</w:t>
      </w:r>
      <w:r>
        <w:rPr>
          <w:rFonts w:ascii="Arial" w:cs="Arial" w:eastAsia="Arial" w:hAnsi="Arial"/>
          <w:sz w:val="17"/>
          <w:szCs w:val="17"/>
          <w:color w:val="auto"/>
        </w:rPr>
        <w:t>term demand for our products, even if the regulatory or legal action is unfounded or not material to our operations. Also, as we seek to grow our presence in existing and expand into new geographic or product markets, consumers in these markets may not accept our brand image and may not be willing to pay a premium to purchase our products as compared to other brands. We anticipate that as our business continues to grow our presence in existing and expand into new markets, maintaining and enhancing our brands may become increasingly difficult and expensive. If we are unable to maintain or enhance the image of our brands, it could materially adversely affect our business, financial condition and results of operations.</w:t>
      </w:r>
    </w:p>
    <w:p>
      <w:pPr>
        <w:spacing w:after="0" w:line="206" w:lineRule="exact"/>
        <w:rPr>
          <w:sz w:val="20"/>
          <w:szCs w:val="20"/>
          <w:color w:val="auto"/>
        </w:rPr>
      </w:pPr>
    </w:p>
    <w:p>
      <w:pPr>
        <w:ind w:left="380" w:right="1099"/>
        <w:spacing w:after="0" w:line="277" w:lineRule="auto"/>
        <w:rPr>
          <w:sz w:val="20"/>
          <w:szCs w:val="20"/>
          <w:color w:val="auto"/>
        </w:rPr>
      </w:pPr>
      <w:r>
        <w:rPr>
          <w:rFonts w:ascii="Arial" w:cs="Arial" w:eastAsia="Arial" w:hAnsi="Arial"/>
          <w:sz w:val="18"/>
          <w:szCs w:val="18"/>
          <w:b w:val="1"/>
          <w:bCs w:val="1"/>
          <w:i w:val="1"/>
          <w:iCs w:val="1"/>
          <w:color w:val="auto"/>
        </w:rPr>
        <w:t>Our business operations are subject to seasonal fluctuations, which could result in fluctuations in our operating results and stock price.</w:t>
      </w:r>
    </w:p>
    <w:p>
      <w:pPr>
        <w:spacing w:after="0" w:line="170" w:lineRule="exact"/>
        <w:rPr>
          <w:sz w:val="20"/>
          <w:szCs w:val="20"/>
          <w:color w:val="auto"/>
        </w:rPr>
      </w:pPr>
    </w:p>
    <w:p>
      <w:pPr>
        <w:ind w:left="380" w:right="419" w:firstLine="648"/>
        <w:spacing w:after="0" w:line="217" w:lineRule="exact"/>
        <w:rPr>
          <w:sz w:val="20"/>
          <w:szCs w:val="20"/>
          <w:color w:val="auto"/>
        </w:rPr>
      </w:pPr>
      <w:r>
        <w:rPr>
          <w:rFonts w:ascii="Arial" w:cs="Arial" w:eastAsia="Arial" w:hAnsi="Arial"/>
          <w:sz w:val="16"/>
          <w:szCs w:val="16"/>
          <w:color w:val="auto"/>
        </w:rPr>
        <w:t>Our business is subject to seasonal fluctuations because golf is played primarily on a seasonal basis in most of the regions where we do business. In general, during the first quarter, we begin selling our products into the golf retail channel for the new golf season. This initial sell</w:t>
      </w:r>
      <w:r>
        <w:rPr>
          <w:rFonts w:ascii="MS PGothic" w:cs="MS PGothic" w:eastAsia="MS PGothic" w:hAnsi="MS PGothic"/>
          <w:sz w:val="16"/>
          <w:szCs w:val="16"/>
          <w:color w:val="auto"/>
        </w:rPr>
        <w:t>‑</w:t>
      </w:r>
      <w:r>
        <w:rPr>
          <w:rFonts w:ascii="Arial" w:cs="Arial" w:eastAsia="Arial" w:hAnsi="Arial"/>
          <w:sz w:val="16"/>
          <w:szCs w:val="16"/>
          <w:color w:val="auto"/>
        </w:rPr>
        <w:t>in generally continues into the second quarter. Our second</w:t>
      </w:r>
      <w:r>
        <w:rPr>
          <w:rFonts w:ascii="MS PGothic" w:cs="MS PGothic" w:eastAsia="MS PGothic" w:hAnsi="MS PGothic"/>
          <w:sz w:val="16"/>
          <w:szCs w:val="16"/>
          <w:color w:val="auto"/>
        </w:rPr>
        <w:t>‑</w:t>
      </w:r>
      <w:r>
        <w:rPr>
          <w:rFonts w:ascii="Arial" w:cs="Arial" w:eastAsia="Arial" w:hAnsi="Arial"/>
          <w:sz w:val="16"/>
          <w:szCs w:val="16"/>
          <w:color w:val="auto"/>
        </w:rPr>
        <w:t>quarter sales are significantly affected by the amount of sell</w:t>
      </w:r>
      <w:r>
        <w:rPr>
          <w:rFonts w:ascii="MS PGothic" w:cs="MS PGothic" w:eastAsia="MS PGothic" w:hAnsi="MS PGothic"/>
          <w:sz w:val="16"/>
          <w:szCs w:val="16"/>
          <w:color w:val="auto"/>
        </w:rPr>
        <w:t>‑</w:t>
      </w:r>
      <w:r>
        <w:rPr>
          <w:rFonts w:ascii="Arial" w:cs="Arial" w:eastAsia="Arial" w:hAnsi="Arial"/>
          <w:sz w:val="16"/>
          <w:szCs w:val="16"/>
          <w:color w:val="auto"/>
        </w:rPr>
        <w:t>through, in particular the amount of higher value discretionary purchases made by customers, which drives the level of reorders of our products sold</w:t>
      </w:r>
      <w:r>
        <w:rPr>
          <w:rFonts w:ascii="MS PGothic" w:cs="MS PGothic" w:eastAsia="MS PGothic" w:hAnsi="MS PGothic"/>
          <w:sz w:val="16"/>
          <w:szCs w:val="16"/>
          <w:color w:val="auto"/>
        </w:rPr>
        <w:t>‑</w:t>
      </w:r>
      <w:r>
        <w:rPr>
          <w:rFonts w:ascii="Arial" w:cs="Arial" w:eastAsia="Arial" w:hAnsi="Arial"/>
          <w:sz w:val="16"/>
          <w:szCs w:val="16"/>
          <w:color w:val="auto"/>
        </w:rPr>
        <w:t>in during the first quarter. Our third</w:t>
      </w:r>
      <w:r>
        <w:rPr>
          <w:rFonts w:ascii="MS PGothic" w:cs="MS PGothic" w:eastAsia="MS PGothic" w:hAnsi="MS PGothic"/>
          <w:sz w:val="16"/>
          <w:szCs w:val="16"/>
          <w:color w:val="auto"/>
        </w:rPr>
        <w:t>‑</w:t>
      </w:r>
      <w:r>
        <w:rPr>
          <w:rFonts w:ascii="Arial" w:cs="Arial" w:eastAsia="Arial" w:hAnsi="Arial"/>
          <w:sz w:val="16"/>
          <w:szCs w:val="16"/>
          <w:color w:val="auto"/>
        </w:rPr>
        <w:t>quarter sales are generally dependent on reorder business, and are generally less than the second quarter as many retailers begin decreasing their inventory levels in anticipation of the end of the golf season. Our fourth</w:t>
      </w:r>
      <w:r>
        <w:rPr>
          <w:rFonts w:ascii="MS PGothic" w:cs="MS PGothic" w:eastAsia="MS PGothic" w:hAnsi="MS PGothic"/>
          <w:sz w:val="16"/>
          <w:szCs w:val="16"/>
          <w:color w:val="auto"/>
        </w:rPr>
        <w:t>‑</w:t>
      </w:r>
      <w:r>
        <w:rPr>
          <w:rFonts w:ascii="Arial" w:cs="Arial" w:eastAsia="Arial" w:hAnsi="Arial"/>
          <w:sz w:val="16"/>
          <w:szCs w:val="16"/>
          <w:color w:val="auto"/>
        </w:rPr>
        <w:t>quarter sales are generally less than the other quarters due to the end of the golf season in many of our key markets, but can also be affected by key product launches, particularly golf clubs. Accordingly, our results of operations are likely to fluctuate significantly from period to period. This seasonality affects sales in each of our reportable segments differently. In general, however, because of this seasonality, a majority of our sales and most of our profitability generally occurs during the first half of the year. Results of operations in any period should not be considered indicative of the results to be expected for any future period. The seasonality of our business could be exacerbated by the adverse effects of unusual or severe weather conditions as well as by severe weather conditions caused or exacerbated by climate change.</w:t>
      </w:r>
    </w:p>
    <w:p>
      <w:pPr>
        <w:spacing w:after="0" w:line="203" w:lineRule="exact"/>
        <w:rPr>
          <w:sz w:val="20"/>
          <w:szCs w:val="20"/>
          <w:color w:val="auto"/>
        </w:rPr>
      </w:pPr>
    </w:p>
    <w:p>
      <w:pPr>
        <w:ind w:left="380" w:right="819"/>
        <w:spacing w:after="0" w:line="277" w:lineRule="auto"/>
        <w:rPr>
          <w:sz w:val="20"/>
          <w:szCs w:val="20"/>
          <w:color w:val="auto"/>
        </w:rPr>
      </w:pPr>
      <w:r>
        <w:rPr>
          <w:rFonts w:ascii="Arial" w:cs="Arial" w:eastAsia="Arial" w:hAnsi="Arial"/>
          <w:sz w:val="18"/>
          <w:szCs w:val="18"/>
          <w:b w:val="1"/>
          <w:bCs w:val="1"/>
          <w:i w:val="1"/>
          <w:iCs w:val="1"/>
          <w:color w:val="auto"/>
        </w:rPr>
        <w:t>Our business and results of operations are also subject to fluctuations based on the timing of new product introductions.</w:t>
      </w:r>
    </w:p>
    <w:p>
      <w:pPr>
        <w:spacing w:after="0" w:line="170" w:lineRule="exact"/>
        <w:rPr>
          <w:sz w:val="20"/>
          <w:szCs w:val="20"/>
          <w:color w:val="auto"/>
        </w:rPr>
      </w:pPr>
    </w:p>
    <w:p>
      <w:pPr>
        <w:ind w:left="380" w:right="479" w:firstLine="648"/>
        <w:spacing w:after="0" w:line="218" w:lineRule="exact"/>
        <w:rPr>
          <w:sz w:val="20"/>
          <w:szCs w:val="20"/>
          <w:color w:val="auto"/>
        </w:rPr>
      </w:pPr>
      <w:r>
        <w:rPr>
          <w:rFonts w:ascii="Arial" w:cs="Arial" w:eastAsia="Arial" w:hAnsi="Arial"/>
          <w:sz w:val="16"/>
          <w:szCs w:val="16"/>
          <w:color w:val="auto"/>
        </w:rPr>
        <w:t>Our sales can also be affected by the launch timing of new products. Product introductions generally stimulate sales as the golf retail channel takes on inventory of new products. Reorders of these new products then depend on the rate of sell</w:t>
      </w:r>
      <w:r>
        <w:rPr>
          <w:rFonts w:ascii="MS PGothic" w:cs="MS PGothic" w:eastAsia="MS PGothic" w:hAnsi="MS PGothic"/>
          <w:sz w:val="16"/>
          <w:szCs w:val="16"/>
          <w:color w:val="auto"/>
        </w:rPr>
        <w:t>‑</w:t>
      </w:r>
      <w:r>
        <w:rPr>
          <w:rFonts w:ascii="Arial" w:cs="Arial" w:eastAsia="Arial" w:hAnsi="Arial"/>
          <w:sz w:val="16"/>
          <w:szCs w:val="16"/>
          <w:color w:val="auto"/>
        </w:rPr>
        <w:t>through. Announcements of new products can often cause our customers to defer purchasing additional golf equipment until our new products are available. Our varying product introduction cycles, which are described under “Item 7. – Management’s Discussion and Analysis of Financial Condition and Results of Operations—Key Factors Affecting Our Results of Operations – Cyclicality”, may cause our results of operations to fluctuate as each product line has different volumes, prices and margins.</w:t>
      </w:r>
    </w:p>
    <w:p>
      <w:pPr>
        <w:spacing w:after="0" w:line="202"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27" w:name="page28"/>
    <w:bookmarkEnd w:id="27"/>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380"/>
        <w:spacing w:after="0"/>
        <w:rPr>
          <w:sz w:val="20"/>
          <w:szCs w:val="20"/>
          <w:color w:val="auto"/>
        </w:rPr>
      </w:pPr>
      <w:r>
        <w:rPr>
          <w:rFonts w:ascii="Arial" w:cs="Arial" w:eastAsia="Arial" w:hAnsi="Arial"/>
          <w:sz w:val="15"/>
          <w:szCs w:val="15"/>
          <w:b w:val="1"/>
          <w:bCs w:val="1"/>
          <w:i w:val="1"/>
          <w:iCs w:val="1"/>
          <w:color w:val="auto"/>
        </w:rPr>
        <w:t>We have significant international operations and are exposed to risks associated with doing business globally.</w:t>
      </w:r>
    </w:p>
    <w:p>
      <w:pPr>
        <w:spacing w:after="0" w:line="260" w:lineRule="exact"/>
        <w:rPr>
          <w:sz w:val="20"/>
          <w:szCs w:val="20"/>
          <w:color w:val="auto"/>
        </w:rPr>
      </w:pPr>
    </w:p>
    <w:p>
      <w:pPr>
        <w:ind w:left="380" w:right="439" w:firstLine="648"/>
        <w:spacing w:after="0" w:line="270" w:lineRule="auto"/>
        <w:rPr>
          <w:sz w:val="20"/>
          <w:szCs w:val="20"/>
          <w:color w:val="auto"/>
        </w:rPr>
      </w:pPr>
      <w:r>
        <w:rPr>
          <w:rFonts w:ascii="Arial" w:cs="Arial" w:eastAsia="Arial" w:hAnsi="Arial"/>
          <w:sz w:val="17"/>
          <w:szCs w:val="17"/>
          <w:color w:val="auto"/>
        </w:rPr>
        <w:t>We sell and distribute our products directly in many key international markets in Europe, Asia, North America and elsewhere around the world. These activities have resulted and will continue to result in investments in inventory, accounts receivable, employees, corporate infrastructure and facilities. In addition, in the United States there are a limited number of suppliers of certain raw materials and components for our products as well as finished goods that we sell, and we have increasingly become more reliant on suppliers and vendors located outside of the United States. The operation of foreign distribution in our international markets, as well as the management of relationships with international suppliers and vendors, will continue to require the dedication of management and other resources. We also manufacture certain of our products outside of the United States, including some of our golf balls and substantially all of our golf gloves in Thailand and substantially all of our golf shoes through our joint venture in China.</w:t>
      </w:r>
    </w:p>
    <w:p>
      <w:pPr>
        <w:spacing w:after="0" w:line="178" w:lineRule="exact"/>
        <w:rPr>
          <w:sz w:val="20"/>
          <w:szCs w:val="20"/>
          <w:color w:val="auto"/>
        </w:rPr>
      </w:pPr>
    </w:p>
    <w:p>
      <w:pPr>
        <w:ind w:left="380" w:right="499" w:firstLine="648"/>
        <w:spacing w:after="0" w:line="272" w:lineRule="auto"/>
        <w:rPr>
          <w:sz w:val="20"/>
          <w:szCs w:val="20"/>
          <w:color w:val="auto"/>
        </w:rPr>
      </w:pPr>
      <w:r>
        <w:rPr>
          <w:rFonts w:ascii="Arial" w:cs="Arial" w:eastAsia="Arial" w:hAnsi="Arial"/>
          <w:sz w:val="17"/>
          <w:szCs w:val="17"/>
          <w:color w:val="auto"/>
        </w:rPr>
        <w:t>The current U.S. administration has publicly supported certain potential tax and trade proposals, modifications to international trade policy and other changes which may affect U.S. trade relations with other countries. In addition, economic and political uncertainty arose out of the June 23, 2016 vote in the United Kingdom that resulted in the decision to leave the European Union. It is possible that these or other changes, if enacted, may impact or require us to modify our current business practices. At the present time, it is unclear as to the ultimate impact of these changes, policies or proposals and, as such, we are unable to determine the effect, if any, that such changes, policies or proposals would have on our business.</w:t>
      </w:r>
    </w:p>
    <w:p>
      <w:pPr>
        <w:spacing w:after="0" w:line="178" w:lineRule="exact"/>
        <w:rPr>
          <w:sz w:val="20"/>
          <w:szCs w:val="20"/>
          <w:color w:val="auto"/>
        </w:rPr>
      </w:pPr>
    </w:p>
    <w:p>
      <w:pPr>
        <w:ind w:left="380" w:right="379" w:firstLine="648"/>
        <w:spacing w:after="0" w:line="276" w:lineRule="auto"/>
        <w:rPr>
          <w:sz w:val="20"/>
          <w:szCs w:val="20"/>
          <w:color w:val="auto"/>
        </w:rPr>
      </w:pPr>
      <w:r>
        <w:rPr>
          <w:rFonts w:ascii="Arial" w:cs="Arial" w:eastAsia="Arial" w:hAnsi="Arial"/>
          <w:sz w:val="17"/>
          <w:szCs w:val="17"/>
          <w:color w:val="auto"/>
        </w:rPr>
        <w:t>As a result of the aforementioned international business, we are exposed to increased risks inherent in conducting business outside of the United States. In addition to the uncertainty and the foreign currency risks discussed above under “—Our operations are conducted worldwide and our results of operations are subject to currency transaction risk and currency translation risk that could materially adversely affect our business, financial condition and results of operations,” these risks include:</w:t>
      </w:r>
    </w:p>
    <w:p>
      <w:pPr>
        <w:spacing w:after="0" w:line="173" w:lineRule="exact"/>
        <w:rPr>
          <w:sz w:val="20"/>
          <w:szCs w:val="20"/>
          <w:color w:val="auto"/>
        </w:rPr>
      </w:pPr>
    </w:p>
    <w:p>
      <w:pPr>
        <w:ind w:left="1360" w:hanging="329"/>
        <w:spacing w:after="0"/>
        <w:tabs>
          <w:tab w:leader="none" w:pos="1360" w:val="left"/>
        </w:tabs>
        <w:numPr>
          <w:ilvl w:val="0"/>
          <w:numId w:val="6"/>
        </w:numPr>
        <w:rPr>
          <w:rFonts w:ascii="Arial" w:cs="Arial" w:eastAsia="Arial" w:hAnsi="Arial"/>
          <w:sz w:val="18"/>
          <w:szCs w:val="18"/>
          <w:color w:val="auto"/>
        </w:rPr>
      </w:pPr>
      <w:r>
        <w:rPr>
          <w:rFonts w:ascii="Arial" w:cs="Arial" w:eastAsia="Arial" w:hAnsi="Arial"/>
          <w:sz w:val="18"/>
          <w:szCs w:val="18"/>
          <w:color w:val="auto"/>
        </w:rPr>
        <w:t>increased difficulty in protecting our intellectual property rights and trade secrets;</w:t>
      </w:r>
    </w:p>
    <w:p>
      <w:pPr>
        <w:spacing w:after="0" w:line="225" w:lineRule="exact"/>
        <w:rPr>
          <w:rFonts w:ascii="Arial" w:cs="Arial" w:eastAsia="Arial" w:hAnsi="Arial"/>
          <w:sz w:val="18"/>
          <w:szCs w:val="18"/>
          <w:color w:val="auto"/>
        </w:rPr>
      </w:pPr>
    </w:p>
    <w:p>
      <w:pPr>
        <w:ind w:left="1360" w:hanging="329"/>
        <w:spacing w:after="0"/>
        <w:tabs>
          <w:tab w:leader="none" w:pos="1360" w:val="left"/>
        </w:tabs>
        <w:numPr>
          <w:ilvl w:val="0"/>
          <w:numId w:val="6"/>
        </w:numPr>
        <w:rPr>
          <w:rFonts w:ascii="Arial" w:cs="Arial" w:eastAsia="Arial" w:hAnsi="Arial"/>
          <w:sz w:val="18"/>
          <w:szCs w:val="18"/>
          <w:color w:val="auto"/>
        </w:rPr>
      </w:pPr>
      <w:r>
        <w:rPr>
          <w:rFonts w:ascii="Arial" w:cs="Arial" w:eastAsia="Arial" w:hAnsi="Arial"/>
          <w:sz w:val="18"/>
          <w:szCs w:val="18"/>
          <w:color w:val="auto"/>
        </w:rPr>
        <w:t>unexpected government action or changes in legal, trade, tax or regulatory requirements;</w:t>
      </w:r>
    </w:p>
    <w:p>
      <w:pPr>
        <w:spacing w:after="0" w:line="225" w:lineRule="exact"/>
        <w:rPr>
          <w:rFonts w:ascii="Arial" w:cs="Arial" w:eastAsia="Arial" w:hAnsi="Arial"/>
          <w:sz w:val="18"/>
          <w:szCs w:val="18"/>
          <w:color w:val="auto"/>
        </w:rPr>
      </w:pPr>
    </w:p>
    <w:p>
      <w:pPr>
        <w:ind w:left="1360" w:hanging="329"/>
        <w:spacing w:after="0"/>
        <w:tabs>
          <w:tab w:leader="none" w:pos="1360" w:val="left"/>
        </w:tabs>
        <w:numPr>
          <w:ilvl w:val="0"/>
          <w:numId w:val="6"/>
        </w:numPr>
        <w:rPr>
          <w:rFonts w:ascii="Arial" w:cs="Arial" w:eastAsia="Arial" w:hAnsi="Arial"/>
          <w:sz w:val="18"/>
          <w:szCs w:val="18"/>
          <w:color w:val="auto"/>
        </w:rPr>
      </w:pPr>
      <w:r>
        <w:rPr>
          <w:rFonts w:ascii="Arial" w:cs="Arial" w:eastAsia="Arial" w:hAnsi="Arial"/>
          <w:sz w:val="18"/>
          <w:szCs w:val="18"/>
          <w:color w:val="auto"/>
        </w:rPr>
        <w:t>social, economic or political instability;</w:t>
      </w:r>
    </w:p>
    <w:p>
      <w:pPr>
        <w:spacing w:after="0" w:line="225" w:lineRule="exact"/>
        <w:rPr>
          <w:rFonts w:ascii="Arial" w:cs="Arial" w:eastAsia="Arial" w:hAnsi="Arial"/>
          <w:sz w:val="18"/>
          <w:szCs w:val="18"/>
          <w:color w:val="auto"/>
        </w:rPr>
      </w:pPr>
    </w:p>
    <w:p>
      <w:pPr>
        <w:ind w:left="1360" w:hanging="329"/>
        <w:spacing w:after="0" w:line="207" w:lineRule="exact"/>
        <w:tabs>
          <w:tab w:leader="none" w:pos="136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effects of any anti</w:t>
      </w:r>
      <w:r>
        <w:rPr>
          <w:rFonts w:ascii="MS PGothic" w:cs="MS PGothic" w:eastAsia="MS PGothic" w:hAnsi="MS PGothic"/>
          <w:sz w:val="18"/>
          <w:szCs w:val="18"/>
          <w:color w:val="auto"/>
        </w:rPr>
        <w:t>‑</w:t>
      </w:r>
      <w:r>
        <w:rPr>
          <w:rFonts w:ascii="Arial" w:cs="Arial" w:eastAsia="Arial" w:hAnsi="Arial"/>
          <w:sz w:val="18"/>
          <w:szCs w:val="18"/>
          <w:color w:val="auto"/>
        </w:rPr>
        <w:t>American sentiments on our brands or sales of our products;</w:t>
      </w:r>
    </w:p>
    <w:p>
      <w:pPr>
        <w:spacing w:after="0" w:line="225" w:lineRule="exact"/>
        <w:rPr>
          <w:rFonts w:ascii="Arial" w:cs="Arial" w:eastAsia="Arial" w:hAnsi="Arial"/>
          <w:sz w:val="18"/>
          <w:szCs w:val="18"/>
          <w:color w:val="auto"/>
        </w:rPr>
      </w:pPr>
    </w:p>
    <w:p>
      <w:pPr>
        <w:ind w:left="1360" w:right="419" w:hanging="329"/>
        <w:spacing w:after="0" w:line="219" w:lineRule="exact"/>
        <w:tabs>
          <w:tab w:leader="none" w:pos="1360" w:val="left"/>
        </w:tabs>
        <w:numPr>
          <w:ilvl w:val="0"/>
          <w:numId w:val="6"/>
        </w:numPr>
        <w:rPr>
          <w:rFonts w:ascii="Arial" w:cs="Arial" w:eastAsia="Arial" w:hAnsi="Arial"/>
          <w:sz w:val="18"/>
          <w:szCs w:val="18"/>
          <w:color w:val="auto"/>
        </w:rPr>
      </w:pPr>
      <w:r>
        <w:rPr>
          <w:rFonts w:ascii="Arial" w:cs="Arial" w:eastAsia="Arial" w:hAnsi="Arial"/>
          <w:sz w:val="18"/>
          <w:szCs w:val="18"/>
          <w:color w:val="auto"/>
        </w:rPr>
        <w:t>increased difficulty in ensuring compliance by employees, agents and contractors with our policies as well as with the laws of multiple jurisdictions, including but not limited to the U.S. Foreign Corrupt Practices Act, or the FCPA, and similar anti</w:t>
      </w:r>
      <w:r>
        <w:rPr>
          <w:rFonts w:ascii="MS PGothic" w:cs="MS PGothic" w:eastAsia="MS PGothic" w:hAnsi="MS PGothic"/>
          <w:sz w:val="18"/>
          <w:szCs w:val="18"/>
          <w:color w:val="auto"/>
        </w:rPr>
        <w:t>‑</w:t>
      </w:r>
      <w:r>
        <w:rPr>
          <w:rFonts w:ascii="Arial" w:cs="Arial" w:eastAsia="Arial" w:hAnsi="Arial"/>
          <w:sz w:val="18"/>
          <w:szCs w:val="18"/>
          <w:color w:val="auto"/>
        </w:rPr>
        <w:t>bribery and anti</w:t>
      </w:r>
      <w:r>
        <w:rPr>
          <w:rFonts w:ascii="MS PGothic" w:cs="MS PGothic" w:eastAsia="MS PGothic" w:hAnsi="MS PGothic"/>
          <w:sz w:val="18"/>
          <w:szCs w:val="18"/>
          <w:color w:val="auto"/>
        </w:rPr>
        <w:t>‑</w:t>
      </w:r>
      <w:r>
        <w:rPr>
          <w:rFonts w:ascii="Arial" w:cs="Arial" w:eastAsia="Arial" w:hAnsi="Arial"/>
          <w:sz w:val="18"/>
          <w:szCs w:val="18"/>
          <w:color w:val="auto"/>
        </w:rPr>
        <w:t>corruption laws, local and international environmental, health and safety laws, and increasingly complex regulations relating to the conduct of international commerce;</w:t>
      </w:r>
    </w:p>
    <w:p>
      <w:pPr>
        <w:spacing w:after="0" w:line="205" w:lineRule="exact"/>
        <w:rPr>
          <w:rFonts w:ascii="Arial" w:cs="Arial" w:eastAsia="Arial" w:hAnsi="Arial"/>
          <w:sz w:val="18"/>
          <w:szCs w:val="18"/>
          <w:color w:val="auto"/>
        </w:rPr>
      </w:pPr>
    </w:p>
    <w:p>
      <w:pPr>
        <w:jc w:val="both"/>
        <w:ind w:left="1360" w:right="1019" w:hanging="329"/>
        <w:spacing w:after="0" w:line="264" w:lineRule="auto"/>
        <w:tabs>
          <w:tab w:leader="none" w:pos="1360" w:val="left"/>
        </w:tabs>
        <w:numPr>
          <w:ilvl w:val="0"/>
          <w:numId w:val="6"/>
        </w:numPr>
        <w:rPr>
          <w:rFonts w:ascii="Arial" w:cs="Arial" w:eastAsia="Arial" w:hAnsi="Arial"/>
          <w:sz w:val="18"/>
          <w:szCs w:val="18"/>
          <w:color w:val="auto"/>
        </w:rPr>
      </w:pPr>
      <w:r>
        <w:rPr>
          <w:rFonts w:ascii="Arial" w:cs="Arial" w:eastAsia="Arial" w:hAnsi="Arial"/>
          <w:sz w:val="18"/>
          <w:szCs w:val="18"/>
          <w:color w:val="auto"/>
        </w:rPr>
        <w:t>increased difficulty in controlling and monitoring foreign operations from the United States, including increased difficulty in identifying and recruiting qualified personnel for its foreign operations; and</w:t>
      </w:r>
    </w:p>
    <w:p>
      <w:pPr>
        <w:spacing w:after="0" w:line="181" w:lineRule="exact"/>
        <w:rPr>
          <w:rFonts w:ascii="Arial" w:cs="Arial" w:eastAsia="Arial" w:hAnsi="Arial"/>
          <w:sz w:val="18"/>
          <w:szCs w:val="18"/>
          <w:color w:val="auto"/>
        </w:rPr>
      </w:pPr>
    </w:p>
    <w:p>
      <w:pPr>
        <w:ind w:left="1360" w:hanging="329"/>
        <w:spacing w:after="0"/>
        <w:tabs>
          <w:tab w:leader="none" w:pos="1360" w:val="left"/>
        </w:tabs>
        <w:numPr>
          <w:ilvl w:val="0"/>
          <w:numId w:val="6"/>
        </w:numPr>
        <w:rPr>
          <w:rFonts w:ascii="Arial" w:cs="Arial" w:eastAsia="Arial" w:hAnsi="Arial"/>
          <w:sz w:val="18"/>
          <w:szCs w:val="18"/>
          <w:color w:val="auto"/>
        </w:rPr>
      </w:pPr>
      <w:r>
        <w:rPr>
          <w:rFonts w:ascii="Arial" w:cs="Arial" w:eastAsia="Arial" w:hAnsi="Arial"/>
          <w:sz w:val="18"/>
          <w:szCs w:val="18"/>
          <w:color w:val="auto"/>
        </w:rPr>
        <w:t>increased exposure to interruptions in air carrier or ship services.</w:t>
      </w:r>
    </w:p>
    <w:p>
      <w:pPr>
        <w:spacing w:after="0" w:line="225" w:lineRule="exact"/>
        <w:rPr>
          <w:sz w:val="20"/>
          <w:szCs w:val="20"/>
          <w:color w:val="auto"/>
        </w:rPr>
      </w:pPr>
    </w:p>
    <w:p>
      <w:pPr>
        <w:ind w:left="380" w:right="459" w:firstLine="648"/>
        <w:spacing w:after="0" w:line="293" w:lineRule="auto"/>
        <w:rPr>
          <w:sz w:val="20"/>
          <w:szCs w:val="20"/>
          <w:color w:val="auto"/>
        </w:rPr>
      </w:pPr>
      <w:r>
        <w:rPr>
          <w:rFonts w:ascii="Arial" w:cs="Arial" w:eastAsia="Arial" w:hAnsi="Arial"/>
          <w:sz w:val="16"/>
          <w:szCs w:val="16"/>
          <w:color w:val="auto"/>
        </w:rPr>
        <w:t>Any violation of our policies or any applicable laws and regulations by our suppliers or manufacturers could interrupt or otherwise disrupt our sourcing, adversely affect our reputation or damage our brand image. While we do not control these suppliers or manufacturers or their labor practices, negative publicity regarding the management of facilities by, production methods of or materials used by any of our suppliers or manufacturers could adversely affect our reputation and sales and force us to locate alternative suppliers or manufacturing sources, which could materially adversely affect our business, financial condition and results of operations.</w:t>
      </w:r>
    </w:p>
    <w:p>
      <w:pPr>
        <w:spacing w:after="0" w:line="162"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28" w:name="page29"/>
    <w:bookmarkEnd w:id="28"/>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ind w:left="380" w:right="499"/>
        <w:spacing w:after="0" w:line="221" w:lineRule="exact"/>
        <w:rPr>
          <w:sz w:val="20"/>
          <w:szCs w:val="20"/>
          <w:color w:val="auto"/>
        </w:rPr>
      </w:pPr>
      <w:r>
        <w:rPr>
          <w:rFonts w:ascii="Arial" w:cs="Arial" w:eastAsia="Arial" w:hAnsi="Arial"/>
          <w:sz w:val="18"/>
          <w:szCs w:val="18"/>
          <w:b w:val="1"/>
          <w:bCs w:val="1"/>
          <w:i w:val="1"/>
          <w:iCs w:val="1"/>
          <w:color w:val="auto"/>
        </w:rPr>
        <w:t>Failure to comply with laws, regulations and policies, including the FCPA or other applicable anti</w:t>
      </w:r>
      <w:r>
        <w:rPr>
          <w:rFonts w:ascii="MS PGothic" w:cs="MS PGothic" w:eastAsia="MS PGothic" w:hAnsi="MS PGothic"/>
          <w:sz w:val="18"/>
          <w:szCs w:val="18"/>
          <w:b w:val="1"/>
          <w:bCs w:val="1"/>
          <w:i w:val="1"/>
          <w:iCs w:val="1"/>
          <w:color w:val="auto"/>
        </w:rPr>
        <w:t>‑</w:t>
      </w:r>
      <w:r>
        <w:rPr>
          <w:rFonts w:ascii="Arial" w:cs="Arial" w:eastAsia="Arial" w:hAnsi="Arial"/>
          <w:sz w:val="18"/>
          <w:szCs w:val="18"/>
          <w:b w:val="1"/>
          <w:bCs w:val="1"/>
          <w:i w:val="1"/>
          <w:iCs w:val="1"/>
          <w:color w:val="auto"/>
        </w:rPr>
        <w:t>corruption legislation, could result in fines and criminal penalties and materially adversely affect our business, financial condition and results of operations.</w:t>
      </w:r>
    </w:p>
    <w:p>
      <w:pPr>
        <w:spacing w:after="0" w:line="202" w:lineRule="exact"/>
        <w:rPr>
          <w:sz w:val="20"/>
          <w:szCs w:val="20"/>
          <w:color w:val="auto"/>
        </w:rPr>
      </w:pPr>
    </w:p>
    <w:p>
      <w:pPr>
        <w:ind w:left="380" w:right="399" w:firstLine="648"/>
        <w:spacing w:after="0" w:line="217" w:lineRule="exact"/>
        <w:rPr>
          <w:sz w:val="20"/>
          <w:szCs w:val="20"/>
          <w:color w:val="auto"/>
        </w:rPr>
      </w:pPr>
      <w:r>
        <w:rPr>
          <w:rFonts w:ascii="Arial" w:cs="Arial" w:eastAsia="Arial" w:hAnsi="Arial"/>
          <w:sz w:val="16"/>
          <w:szCs w:val="16"/>
          <w:color w:val="auto"/>
        </w:rPr>
        <w:t>A significant risk resulting from our global operations is compliance with a wide variety of U.S. federal and state and non</w:t>
      </w:r>
      <w:r>
        <w:rPr>
          <w:rFonts w:ascii="MS PGothic" w:cs="MS PGothic" w:eastAsia="MS PGothic" w:hAnsi="MS PGothic"/>
          <w:sz w:val="16"/>
          <w:szCs w:val="16"/>
          <w:color w:val="auto"/>
        </w:rPr>
        <w:t>‑</w:t>
      </w:r>
      <w:r>
        <w:rPr>
          <w:rFonts w:ascii="Arial" w:cs="Arial" w:eastAsia="Arial" w:hAnsi="Arial"/>
          <w:sz w:val="16"/>
          <w:szCs w:val="16"/>
          <w:color w:val="auto"/>
        </w:rPr>
        <w:t>U.S. laws, regulations and policies, including laws related to anti</w:t>
      </w:r>
      <w:r>
        <w:rPr>
          <w:rFonts w:ascii="MS PGothic" w:cs="MS PGothic" w:eastAsia="MS PGothic" w:hAnsi="MS PGothic"/>
          <w:sz w:val="16"/>
          <w:szCs w:val="16"/>
          <w:color w:val="auto"/>
        </w:rPr>
        <w:t>‑</w:t>
      </w:r>
      <w:r>
        <w:rPr>
          <w:rFonts w:ascii="Arial" w:cs="Arial" w:eastAsia="Arial" w:hAnsi="Arial"/>
          <w:sz w:val="16"/>
          <w:szCs w:val="16"/>
          <w:color w:val="auto"/>
        </w:rPr>
        <w:t>corruption, export and import compliance, anti</w:t>
      </w:r>
      <w:r>
        <w:rPr>
          <w:rFonts w:ascii="MS PGothic" w:cs="MS PGothic" w:eastAsia="MS PGothic" w:hAnsi="MS PGothic"/>
          <w:sz w:val="16"/>
          <w:szCs w:val="16"/>
          <w:color w:val="auto"/>
        </w:rPr>
        <w:t>‑</w:t>
      </w:r>
      <w:r>
        <w:rPr>
          <w:rFonts w:ascii="Arial" w:cs="Arial" w:eastAsia="Arial" w:hAnsi="Arial"/>
          <w:sz w:val="16"/>
          <w:szCs w:val="16"/>
          <w:color w:val="auto"/>
        </w:rPr>
        <w:t>trust and money laundering. The FCPA, the U.K. Bribery Act of 2010 and similar anti</w:t>
      </w:r>
      <w:r>
        <w:rPr>
          <w:rFonts w:ascii="MS PGothic" w:cs="MS PGothic" w:eastAsia="MS PGothic" w:hAnsi="MS PGothic"/>
          <w:sz w:val="16"/>
          <w:szCs w:val="16"/>
          <w:color w:val="auto"/>
        </w:rPr>
        <w:t>‑</w:t>
      </w:r>
      <w:r>
        <w:rPr>
          <w:rFonts w:ascii="Arial" w:cs="Arial" w:eastAsia="Arial" w:hAnsi="Arial"/>
          <w:sz w:val="16"/>
          <w:szCs w:val="16"/>
          <w:color w:val="auto"/>
        </w:rPr>
        <w:t>bribery laws in other jurisdictions generally prohibit companies and their intermediaries from making improper payments to government officials or other persons. There has been an increase in anti</w:t>
      </w:r>
      <w:r>
        <w:rPr>
          <w:rFonts w:ascii="MS PGothic" w:cs="MS PGothic" w:eastAsia="MS PGothic" w:hAnsi="MS PGothic"/>
          <w:sz w:val="16"/>
          <w:szCs w:val="16"/>
          <w:color w:val="auto"/>
        </w:rPr>
        <w:t>‑</w:t>
      </w:r>
      <w:r>
        <w:rPr>
          <w:rFonts w:ascii="Arial" w:cs="Arial" w:eastAsia="Arial" w:hAnsi="Arial"/>
          <w:sz w:val="16"/>
          <w:szCs w:val="16"/>
          <w:color w:val="auto"/>
        </w:rPr>
        <w:t>bribery law enforcement activity in recent years, with more frequent and aggressive investigations and enforcement proceedings by both the U.S. Department of Justice and the SEC, increased enforcement activity by non</w:t>
      </w:r>
      <w:r>
        <w:rPr>
          <w:rFonts w:ascii="MS PGothic" w:cs="MS PGothic" w:eastAsia="MS PGothic" w:hAnsi="MS PGothic"/>
          <w:sz w:val="16"/>
          <w:szCs w:val="16"/>
          <w:color w:val="auto"/>
        </w:rPr>
        <w:t>‑</w:t>
      </w:r>
      <w:r>
        <w:rPr>
          <w:rFonts w:ascii="Arial" w:cs="Arial" w:eastAsia="Arial" w:hAnsi="Arial"/>
          <w:sz w:val="16"/>
          <w:szCs w:val="16"/>
          <w:color w:val="auto"/>
        </w:rPr>
        <w:t>U.S. regulators, and increases in criminal and civil proceedings brought against companies and individuals. We operate in parts of the world that are recognized as having governmental and commercial corruption and in certain circumstances, strict compliance with anti</w:t>
      </w:r>
      <w:r>
        <w:rPr>
          <w:rFonts w:ascii="MS PGothic" w:cs="MS PGothic" w:eastAsia="MS PGothic" w:hAnsi="MS PGothic"/>
          <w:sz w:val="16"/>
          <w:szCs w:val="16"/>
          <w:color w:val="auto"/>
        </w:rPr>
        <w:t>‑</w:t>
      </w:r>
      <w:r>
        <w:rPr>
          <w:rFonts w:ascii="Arial" w:cs="Arial" w:eastAsia="Arial" w:hAnsi="Arial"/>
          <w:sz w:val="16"/>
          <w:szCs w:val="16"/>
          <w:color w:val="auto"/>
        </w:rPr>
        <w:t>bribery laws may conflict with local customs and practices. We cannot assure you that our internal control policies and procedures have protected or will always protect us from improper conduct of our employees or business partners. To the extent that we learn that any of our employees do not adhere to our internal control policies, we are committed to taking appropriate remedial action. In the event that we believe or have reason to believe that our employees or agents have or may have violated applicable laws, including anti</w:t>
      </w:r>
      <w:r>
        <w:rPr>
          <w:rFonts w:ascii="MS PGothic" w:cs="MS PGothic" w:eastAsia="MS PGothic" w:hAnsi="MS PGothic"/>
          <w:sz w:val="16"/>
          <w:szCs w:val="16"/>
          <w:color w:val="auto"/>
        </w:rPr>
        <w:t>‑</w:t>
      </w:r>
      <w:r>
        <w:rPr>
          <w:rFonts w:ascii="Arial" w:cs="Arial" w:eastAsia="Arial" w:hAnsi="Arial"/>
          <w:sz w:val="16"/>
          <w:szCs w:val="16"/>
          <w:color w:val="auto"/>
        </w:rPr>
        <w:t>corruption laws, we may be required to investigate or have outside counsel investigate the relevant facts and circumstances, and detecting, investigating and resolving actual or alleged violations can be expensive and require significant time and attention from senior management. Any violation of U.S. federal and state and non</w:t>
      </w:r>
      <w:r>
        <w:rPr>
          <w:rFonts w:ascii="MS PGothic" w:cs="MS PGothic" w:eastAsia="MS PGothic" w:hAnsi="MS PGothic"/>
          <w:sz w:val="16"/>
          <w:szCs w:val="16"/>
          <w:color w:val="auto"/>
        </w:rPr>
        <w:t>‑</w:t>
      </w:r>
      <w:r>
        <w:rPr>
          <w:rFonts w:ascii="Arial" w:cs="Arial" w:eastAsia="Arial" w:hAnsi="Arial"/>
          <w:sz w:val="16"/>
          <w:szCs w:val="16"/>
          <w:color w:val="auto"/>
        </w:rPr>
        <w:t>U.S. laws, regulations and policies could result in substantial fines, sanctions, civil and/or criminal penalties, and curtailment of operations in the U.S. or other applicable jurisdictions. In addition, actual or alleged violations could damage our reputation and ability to do business. Any of the foregoing could materially adversely affect our business, financial condition and results of operations.</w:t>
      </w:r>
    </w:p>
    <w:p>
      <w:pPr>
        <w:spacing w:after="0" w:line="214" w:lineRule="exact"/>
        <w:rPr>
          <w:sz w:val="20"/>
          <w:szCs w:val="20"/>
          <w:color w:val="auto"/>
        </w:rPr>
      </w:pPr>
    </w:p>
    <w:p>
      <w:pPr>
        <w:ind w:left="380" w:right="1299"/>
        <w:spacing w:after="0" w:line="277" w:lineRule="auto"/>
        <w:rPr>
          <w:sz w:val="20"/>
          <w:szCs w:val="20"/>
          <w:color w:val="auto"/>
        </w:rPr>
      </w:pPr>
      <w:r>
        <w:rPr>
          <w:rFonts w:ascii="Arial" w:cs="Arial" w:eastAsia="Arial" w:hAnsi="Arial"/>
          <w:sz w:val="18"/>
          <w:szCs w:val="18"/>
          <w:b w:val="1"/>
          <w:bCs w:val="1"/>
          <w:i w:val="1"/>
          <w:iCs w:val="1"/>
          <w:color w:val="auto"/>
        </w:rPr>
        <w:t>Our business, financial condition and results of operations could be materially adversely affected if professional golfers do not endorse or use our products.</w:t>
      </w:r>
    </w:p>
    <w:p>
      <w:pPr>
        <w:spacing w:after="0" w:line="170" w:lineRule="exact"/>
        <w:rPr>
          <w:sz w:val="20"/>
          <w:szCs w:val="20"/>
          <w:color w:val="auto"/>
        </w:rPr>
      </w:pPr>
    </w:p>
    <w:p>
      <w:pPr>
        <w:ind w:left="380" w:right="399" w:firstLine="648"/>
        <w:spacing w:after="0" w:line="268" w:lineRule="auto"/>
        <w:rPr>
          <w:sz w:val="20"/>
          <w:szCs w:val="20"/>
          <w:color w:val="auto"/>
        </w:rPr>
      </w:pPr>
      <w:r>
        <w:rPr>
          <w:rFonts w:ascii="Arial" w:cs="Arial" w:eastAsia="Arial" w:hAnsi="Arial"/>
          <w:sz w:val="17"/>
          <w:szCs w:val="17"/>
          <w:color w:val="auto"/>
        </w:rPr>
        <w:t>We establish relationships with professional golfers in order to use, validate and promote Titleist and FootJoy branded products. We have entered into endorsement arrangements with members of the various professional tours, including the PGA Tour, the Champions Tour, the LPGA Tour, the European PGA Tour, the Japan Golf Tour and the Korean PGA Tour. We believe that professional usage of our products validates the performance and quality of our products and contributes to retail sales. We therefore spend a significant amount of money to secure professional usage of our products. Many other companies, however, also aggressively seek the patronage of these professionals and offer many inducements, including significant cash incentives and specially designed products. There is a great deal of competition to secure the representation of tour professionals. As a result, it is expensive to attract and retain such tour professionals and we may lose the endorsement of these individuals, even prior to the expiration of the applicable contract term. The inducements offered by other companies could result in a decrease in usage of our products by professional golfers or limit our ability to attract other tour professionals. A decline in the level of professional usage of our products, or a significant increase in the cost to attract or retain endorsers, could materially adversely affect our business, financial condition and results of operations.</w:t>
      </w:r>
    </w:p>
    <w:p>
      <w:pPr>
        <w:spacing w:after="0" w:line="185" w:lineRule="exact"/>
        <w:rPr>
          <w:sz w:val="20"/>
          <w:szCs w:val="20"/>
          <w:color w:val="auto"/>
        </w:rPr>
      </w:pPr>
    </w:p>
    <w:p>
      <w:pPr>
        <w:ind w:left="380" w:right="479"/>
        <w:spacing w:after="0" w:line="277" w:lineRule="auto"/>
        <w:rPr>
          <w:sz w:val="20"/>
          <w:szCs w:val="20"/>
          <w:color w:val="auto"/>
        </w:rPr>
      </w:pPr>
      <w:r>
        <w:rPr>
          <w:rFonts w:ascii="Arial" w:cs="Arial" w:eastAsia="Arial" w:hAnsi="Arial"/>
          <w:sz w:val="18"/>
          <w:szCs w:val="18"/>
          <w:b w:val="1"/>
          <w:bCs w:val="1"/>
          <w:i w:val="1"/>
          <w:iCs w:val="1"/>
          <w:color w:val="auto"/>
        </w:rPr>
        <w:t>The value of our brands and sales of our products could be diminished if we, the golfers who use our products or the golf industry in general are associated with negative publicity.</w:t>
      </w:r>
    </w:p>
    <w:p>
      <w:pPr>
        <w:spacing w:after="0" w:line="170" w:lineRule="exact"/>
        <w:rPr>
          <w:sz w:val="20"/>
          <w:szCs w:val="20"/>
          <w:color w:val="auto"/>
        </w:rPr>
      </w:pPr>
    </w:p>
    <w:p>
      <w:pPr>
        <w:ind w:left="380" w:right="439" w:firstLine="648"/>
        <w:spacing w:after="0" w:line="271" w:lineRule="auto"/>
        <w:rPr>
          <w:sz w:val="20"/>
          <w:szCs w:val="20"/>
          <w:color w:val="auto"/>
        </w:rPr>
      </w:pPr>
      <w:r>
        <w:rPr>
          <w:rFonts w:ascii="Arial" w:cs="Arial" w:eastAsia="Arial" w:hAnsi="Arial"/>
          <w:sz w:val="17"/>
          <w:szCs w:val="17"/>
          <w:color w:val="auto"/>
        </w:rPr>
        <w:t>We sponsor a variety of golfers and feature those golfers in our advertising and marketing materials. We establish these relationships to develop, evaluate and promote our products, as well as establish product authenticity with consumers. Actions taken by golfers or tours associated with our products that harm the reputations of those golfers could also harm our brand image and impact our sales. We may also select golfers who may not perform at expected levels or who are not sufficiently marketable. If we are unable in the future to secure prominent golfers and arrange golfer endorsements of our products on terms we deem to be reasonable, we may be required to modify our marketing platform and to rely more heavily on other forms of marketing and promotion, which may not prove to be as effective or may result in additional costs.</w:t>
      </w:r>
    </w:p>
    <w:p>
      <w:pPr>
        <w:spacing w:after="0" w:line="17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29" w:name="page30"/>
    <w:bookmarkEnd w:id="29"/>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380" w:right="699"/>
        <w:spacing w:after="0" w:line="381" w:lineRule="auto"/>
        <w:rPr>
          <w:sz w:val="20"/>
          <w:szCs w:val="20"/>
          <w:color w:val="auto"/>
        </w:rPr>
      </w:pPr>
      <w:r>
        <w:rPr>
          <w:rFonts w:ascii="Arial" w:cs="Arial" w:eastAsia="Arial" w:hAnsi="Arial"/>
          <w:sz w:val="15"/>
          <w:szCs w:val="15"/>
          <w:b w:val="1"/>
          <w:bCs w:val="1"/>
          <w:i w:val="1"/>
          <w:iCs w:val="1"/>
          <w:color w:val="auto"/>
        </w:rPr>
        <w:t>If we inaccurately forecast demand for our products, we may manufacture insufficient or excess quantities, which could materially adversely affect our business, financial condition and results of operations.</w:t>
      </w:r>
    </w:p>
    <w:p>
      <w:pPr>
        <w:spacing w:after="0" w:line="101" w:lineRule="exact"/>
        <w:rPr>
          <w:sz w:val="20"/>
          <w:szCs w:val="20"/>
          <w:color w:val="auto"/>
        </w:rPr>
      </w:pPr>
    </w:p>
    <w:p>
      <w:pPr>
        <w:ind w:left="380" w:right="419" w:firstLine="648"/>
        <w:spacing w:after="0" w:line="253" w:lineRule="auto"/>
        <w:rPr>
          <w:sz w:val="20"/>
          <w:szCs w:val="20"/>
          <w:color w:val="auto"/>
        </w:rPr>
      </w:pPr>
      <w:r>
        <w:rPr>
          <w:rFonts w:ascii="Arial" w:cs="Arial" w:eastAsia="Arial" w:hAnsi="Arial"/>
          <w:sz w:val="18"/>
          <w:szCs w:val="18"/>
          <w:color w:val="auto"/>
        </w:rPr>
        <w:t>To reduce purchasing costs and ensure supply, we place orders with our suppliers in advance of the time period we expect to deliver our products. In addition, we plan our manufacturing capacity based upon the forecasted demand for our products. Forecasting the demand for our products is very difficult given the number of SKUs we offer and the amount of specification involved in each of our product categories. For example, in our golf shoe business, we offer a large variety of models as well as different styles and sizes for each model, including over 2,400 SKUs available for men in the United States alone. The nature of our business makes it difficult to adjust quickly our manufacturing capacity if actual demand for our products exceeds or is less than forecasted demand. Factors that could affect our ability to accurately forecast demand for our products include, among others:</w:t>
      </w:r>
    </w:p>
    <w:p>
      <w:pPr>
        <w:spacing w:after="0" w:line="197" w:lineRule="exact"/>
        <w:rPr>
          <w:sz w:val="20"/>
          <w:szCs w:val="20"/>
          <w:color w:val="auto"/>
        </w:rPr>
      </w:pPr>
    </w:p>
    <w:p>
      <w:pPr>
        <w:ind w:left="1360" w:hanging="329"/>
        <w:spacing w:after="0"/>
        <w:tabs>
          <w:tab w:leader="none" w:pos="1360" w:val="left"/>
        </w:tabs>
        <w:numPr>
          <w:ilvl w:val="0"/>
          <w:numId w:val="7"/>
        </w:numPr>
        <w:rPr>
          <w:rFonts w:ascii="Arial" w:cs="Arial" w:eastAsia="Arial" w:hAnsi="Arial"/>
          <w:sz w:val="18"/>
          <w:szCs w:val="18"/>
          <w:color w:val="auto"/>
        </w:rPr>
      </w:pPr>
      <w:r>
        <w:rPr>
          <w:rFonts w:ascii="Arial" w:cs="Arial" w:eastAsia="Arial" w:hAnsi="Arial"/>
          <w:sz w:val="18"/>
          <w:szCs w:val="18"/>
          <w:color w:val="auto"/>
        </w:rPr>
        <w:t>changes in consumer demand for our products or the products of our competitors;</w:t>
      </w:r>
    </w:p>
    <w:p>
      <w:pPr>
        <w:spacing w:after="0" w:line="225" w:lineRule="exact"/>
        <w:rPr>
          <w:rFonts w:ascii="Arial" w:cs="Arial" w:eastAsia="Arial" w:hAnsi="Arial"/>
          <w:sz w:val="18"/>
          <w:szCs w:val="18"/>
          <w:color w:val="auto"/>
        </w:rPr>
      </w:pPr>
    </w:p>
    <w:p>
      <w:pPr>
        <w:ind w:left="1360" w:hanging="329"/>
        <w:spacing w:after="0"/>
        <w:tabs>
          <w:tab w:leader="none" w:pos="1360" w:val="left"/>
        </w:tabs>
        <w:numPr>
          <w:ilvl w:val="0"/>
          <w:numId w:val="7"/>
        </w:numPr>
        <w:rPr>
          <w:rFonts w:ascii="Arial" w:cs="Arial" w:eastAsia="Arial" w:hAnsi="Arial"/>
          <w:sz w:val="18"/>
          <w:szCs w:val="18"/>
          <w:color w:val="auto"/>
        </w:rPr>
      </w:pPr>
      <w:r>
        <w:rPr>
          <w:rFonts w:ascii="Arial" w:cs="Arial" w:eastAsia="Arial" w:hAnsi="Arial"/>
          <w:sz w:val="18"/>
          <w:szCs w:val="18"/>
          <w:color w:val="auto"/>
        </w:rPr>
        <w:t>new product introductions by us or our competitors;</w:t>
      </w:r>
    </w:p>
    <w:p>
      <w:pPr>
        <w:spacing w:after="0" w:line="225" w:lineRule="exact"/>
        <w:rPr>
          <w:rFonts w:ascii="Arial" w:cs="Arial" w:eastAsia="Arial" w:hAnsi="Arial"/>
          <w:sz w:val="18"/>
          <w:szCs w:val="18"/>
          <w:color w:val="auto"/>
        </w:rPr>
      </w:pPr>
    </w:p>
    <w:p>
      <w:pPr>
        <w:ind w:left="1360" w:hanging="329"/>
        <w:spacing w:after="0"/>
        <w:tabs>
          <w:tab w:leader="none" w:pos="1360" w:val="left"/>
        </w:tabs>
        <w:numPr>
          <w:ilvl w:val="0"/>
          <w:numId w:val="7"/>
        </w:numPr>
        <w:rPr>
          <w:rFonts w:ascii="Arial" w:cs="Arial" w:eastAsia="Arial" w:hAnsi="Arial"/>
          <w:sz w:val="18"/>
          <w:szCs w:val="18"/>
          <w:color w:val="auto"/>
        </w:rPr>
      </w:pPr>
      <w:r>
        <w:rPr>
          <w:rFonts w:ascii="Arial" w:cs="Arial" w:eastAsia="Arial" w:hAnsi="Arial"/>
          <w:sz w:val="18"/>
          <w:szCs w:val="18"/>
          <w:color w:val="auto"/>
        </w:rPr>
        <w:t>failure to accurately forecast consumer acceptance of our products;</w:t>
      </w:r>
    </w:p>
    <w:p>
      <w:pPr>
        <w:spacing w:after="0" w:line="225" w:lineRule="exact"/>
        <w:rPr>
          <w:rFonts w:ascii="Arial" w:cs="Arial" w:eastAsia="Arial" w:hAnsi="Arial"/>
          <w:sz w:val="18"/>
          <w:szCs w:val="18"/>
          <w:color w:val="auto"/>
        </w:rPr>
      </w:pPr>
    </w:p>
    <w:p>
      <w:pPr>
        <w:ind w:left="1360" w:hanging="329"/>
        <w:spacing w:after="0"/>
        <w:tabs>
          <w:tab w:leader="none" w:pos="1360" w:val="left"/>
        </w:tabs>
        <w:numPr>
          <w:ilvl w:val="0"/>
          <w:numId w:val="7"/>
        </w:numPr>
        <w:rPr>
          <w:rFonts w:ascii="Arial" w:cs="Arial" w:eastAsia="Arial" w:hAnsi="Arial"/>
          <w:sz w:val="18"/>
          <w:szCs w:val="18"/>
          <w:color w:val="auto"/>
        </w:rPr>
      </w:pPr>
      <w:r>
        <w:rPr>
          <w:rFonts w:ascii="Arial" w:cs="Arial" w:eastAsia="Arial" w:hAnsi="Arial"/>
          <w:sz w:val="18"/>
          <w:szCs w:val="18"/>
          <w:color w:val="auto"/>
        </w:rPr>
        <w:t>failure to anticipate consumer acceptance of new technologies;</w:t>
      </w:r>
    </w:p>
    <w:p>
      <w:pPr>
        <w:spacing w:after="0" w:line="225" w:lineRule="exact"/>
        <w:rPr>
          <w:rFonts w:ascii="Arial" w:cs="Arial" w:eastAsia="Arial" w:hAnsi="Arial"/>
          <w:sz w:val="18"/>
          <w:szCs w:val="18"/>
          <w:color w:val="auto"/>
        </w:rPr>
      </w:pPr>
    </w:p>
    <w:p>
      <w:pPr>
        <w:ind w:left="1360" w:hanging="329"/>
        <w:spacing w:after="0"/>
        <w:tabs>
          <w:tab w:leader="none" w:pos="1360" w:val="left"/>
        </w:tabs>
        <w:numPr>
          <w:ilvl w:val="0"/>
          <w:numId w:val="7"/>
        </w:numPr>
        <w:rPr>
          <w:rFonts w:ascii="Arial" w:cs="Arial" w:eastAsia="Arial" w:hAnsi="Arial"/>
          <w:sz w:val="18"/>
          <w:szCs w:val="18"/>
          <w:color w:val="auto"/>
        </w:rPr>
      </w:pPr>
      <w:r>
        <w:rPr>
          <w:rFonts w:ascii="Arial" w:cs="Arial" w:eastAsia="Arial" w:hAnsi="Arial"/>
          <w:sz w:val="18"/>
          <w:szCs w:val="18"/>
          <w:color w:val="auto"/>
        </w:rPr>
        <w:t>inability to realize revenues from booking orders;</w:t>
      </w:r>
    </w:p>
    <w:p>
      <w:pPr>
        <w:spacing w:after="0" w:line="225" w:lineRule="exact"/>
        <w:rPr>
          <w:rFonts w:ascii="Arial" w:cs="Arial" w:eastAsia="Arial" w:hAnsi="Arial"/>
          <w:sz w:val="18"/>
          <w:szCs w:val="18"/>
          <w:color w:val="auto"/>
        </w:rPr>
      </w:pPr>
    </w:p>
    <w:p>
      <w:pPr>
        <w:ind w:left="1360" w:hanging="329"/>
        <w:spacing w:after="0"/>
        <w:tabs>
          <w:tab w:leader="none" w:pos="1360" w:val="left"/>
        </w:tabs>
        <w:numPr>
          <w:ilvl w:val="0"/>
          <w:numId w:val="7"/>
        </w:numPr>
        <w:rPr>
          <w:rFonts w:ascii="Arial" w:cs="Arial" w:eastAsia="Arial" w:hAnsi="Arial"/>
          <w:sz w:val="18"/>
          <w:szCs w:val="18"/>
          <w:color w:val="auto"/>
        </w:rPr>
      </w:pPr>
      <w:r>
        <w:rPr>
          <w:rFonts w:ascii="Arial" w:cs="Arial" w:eastAsia="Arial" w:hAnsi="Arial"/>
          <w:sz w:val="18"/>
          <w:szCs w:val="18"/>
          <w:color w:val="auto"/>
        </w:rPr>
        <w:t>negative publicity associated with tours or golfers we endorse;</w:t>
      </w:r>
    </w:p>
    <w:p>
      <w:pPr>
        <w:spacing w:after="0" w:line="225" w:lineRule="exact"/>
        <w:rPr>
          <w:rFonts w:ascii="Arial" w:cs="Arial" w:eastAsia="Arial" w:hAnsi="Arial"/>
          <w:sz w:val="18"/>
          <w:szCs w:val="18"/>
          <w:color w:val="auto"/>
        </w:rPr>
      </w:pPr>
    </w:p>
    <w:p>
      <w:pPr>
        <w:ind w:left="1360" w:right="519" w:hanging="329"/>
        <w:spacing w:after="0" w:line="342" w:lineRule="auto"/>
        <w:tabs>
          <w:tab w:leader="none" w:pos="1360" w:val="left"/>
        </w:tabs>
        <w:numPr>
          <w:ilvl w:val="0"/>
          <w:numId w:val="7"/>
        </w:numPr>
        <w:rPr>
          <w:rFonts w:ascii="Arial" w:cs="Arial" w:eastAsia="Arial" w:hAnsi="Arial"/>
          <w:sz w:val="16"/>
          <w:szCs w:val="16"/>
          <w:color w:val="auto"/>
        </w:rPr>
      </w:pPr>
      <w:r>
        <w:rPr>
          <w:rFonts w:ascii="Arial" w:cs="Arial" w:eastAsia="Arial" w:hAnsi="Arial"/>
          <w:sz w:val="16"/>
          <w:szCs w:val="16"/>
          <w:color w:val="auto"/>
        </w:rPr>
        <w:t>unanticipated changes in general market conditions or other factors, which may result in cancellations of advance orders or a reduction or increase in the rate of reorders placed by retailers;</w:t>
      </w:r>
    </w:p>
    <w:p>
      <w:pPr>
        <w:spacing w:after="0" w:line="123" w:lineRule="exact"/>
        <w:rPr>
          <w:rFonts w:ascii="Arial" w:cs="Arial" w:eastAsia="Arial" w:hAnsi="Arial"/>
          <w:sz w:val="16"/>
          <w:szCs w:val="16"/>
          <w:color w:val="auto"/>
        </w:rPr>
      </w:pPr>
    </w:p>
    <w:p>
      <w:pPr>
        <w:ind w:left="1360" w:right="639" w:hanging="329"/>
        <w:spacing w:after="0" w:line="277" w:lineRule="auto"/>
        <w:tabs>
          <w:tab w:leader="none" w:pos="1360" w:val="left"/>
        </w:tabs>
        <w:numPr>
          <w:ilvl w:val="0"/>
          <w:numId w:val="7"/>
        </w:numPr>
        <w:rPr>
          <w:rFonts w:ascii="Arial" w:cs="Arial" w:eastAsia="Arial" w:hAnsi="Arial"/>
          <w:sz w:val="18"/>
          <w:szCs w:val="18"/>
          <w:color w:val="auto"/>
        </w:rPr>
      </w:pPr>
      <w:r>
        <w:rPr>
          <w:rFonts w:ascii="Arial" w:cs="Arial" w:eastAsia="Arial" w:hAnsi="Arial"/>
          <w:sz w:val="18"/>
          <w:szCs w:val="18"/>
          <w:color w:val="auto"/>
        </w:rPr>
        <w:t>weakening of economic conditions or consumer confidence in future economic conditions, which could reduce demand for discretionary items, such as our products;</w:t>
      </w:r>
    </w:p>
    <w:p>
      <w:pPr>
        <w:spacing w:after="0" w:line="170" w:lineRule="exact"/>
        <w:rPr>
          <w:rFonts w:ascii="Arial" w:cs="Arial" w:eastAsia="Arial" w:hAnsi="Arial"/>
          <w:sz w:val="18"/>
          <w:szCs w:val="18"/>
          <w:color w:val="auto"/>
        </w:rPr>
      </w:pPr>
    </w:p>
    <w:p>
      <w:pPr>
        <w:ind w:left="1360" w:right="419" w:hanging="329"/>
        <w:spacing w:after="0" w:line="308" w:lineRule="auto"/>
        <w:tabs>
          <w:tab w:leader="none" w:pos="1360" w:val="left"/>
        </w:tabs>
        <w:numPr>
          <w:ilvl w:val="0"/>
          <w:numId w:val="7"/>
        </w:numPr>
        <w:rPr>
          <w:rFonts w:ascii="Arial" w:cs="Arial" w:eastAsia="Arial" w:hAnsi="Arial"/>
          <w:sz w:val="17"/>
          <w:szCs w:val="17"/>
          <w:color w:val="auto"/>
        </w:rPr>
      </w:pPr>
      <w:r>
        <w:rPr>
          <w:rFonts w:ascii="Arial" w:cs="Arial" w:eastAsia="Arial" w:hAnsi="Arial"/>
          <w:sz w:val="17"/>
          <w:szCs w:val="17"/>
          <w:color w:val="auto"/>
        </w:rPr>
        <w:t>terrorism or acts of war, or the threat thereof, which could adversely affect consumer confidence and spending or interrupt production and distribution of products and raw materials;</w:t>
      </w:r>
    </w:p>
    <w:p>
      <w:pPr>
        <w:spacing w:after="0" w:line="146" w:lineRule="exact"/>
        <w:rPr>
          <w:rFonts w:ascii="Arial" w:cs="Arial" w:eastAsia="Arial" w:hAnsi="Arial"/>
          <w:sz w:val="17"/>
          <w:szCs w:val="17"/>
          <w:color w:val="auto"/>
        </w:rPr>
      </w:pPr>
    </w:p>
    <w:p>
      <w:pPr>
        <w:ind w:left="1360" w:right="439" w:hanging="329"/>
        <w:spacing w:after="0" w:line="277" w:lineRule="auto"/>
        <w:tabs>
          <w:tab w:leader="none" w:pos="1360" w:val="left"/>
        </w:tabs>
        <w:numPr>
          <w:ilvl w:val="0"/>
          <w:numId w:val="7"/>
        </w:numPr>
        <w:rPr>
          <w:rFonts w:ascii="Arial" w:cs="Arial" w:eastAsia="Arial" w:hAnsi="Arial"/>
          <w:sz w:val="18"/>
          <w:szCs w:val="18"/>
          <w:color w:val="auto"/>
        </w:rPr>
      </w:pPr>
      <w:r>
        <w:rPr>
          <w:rFonts w:ascii="Arial" w:cs="Arial" w:eastAsia="Arial" w:hAnsi="Arial"/>
          <w:sz w:val="18"/>
          <w:szCs w:val="18"/>
          <w:color w:val="auto"/>
        </w:rPr>
        <w:t>abnormal weather patterns or extreme weather conditions including hurricanes, floods and droughts, among others, which may disrupt economic activity; and</w:t>
      </w:r>
    </w:p>
    <w:p>
      <w:pPr>
        <w:spacing w:after="0" w:line="170" w:lineRule="exact"/>
        <w:rPr>
          <w:rFonts w:ascii="Arial" w:cs="Arial" w:eastAsia="Arial" w:hAnsi="Arial"/>
          <w:sz w:val="18"/>
          <w:szCs w:val="18"/>
          <w:color w:val="auto"/>
        </w:rPr>
      </w:pPr>
    </w:p>
    <w:p>
      <w:pPr>
        <w:ind w:left="1360" w:hanging="329"/>
        <w:spacing w:after="0"/>
        <w:tabs>
          <w:tab w:leader="none" w:pos="1360" w:val="left"/>
        </w:tabs>
        <w:numPr>
          <w:ilvl w:val="0"/>
          <w:numId w:val="7"/>
        </w:numPr>
        <w:rPr>
          <w:rFonts w:ascii="Arial" w:cs="Arial" w:eastAsia="Arial" w:hAnsi="Arial"/>
          <w:sz w:val="18"/>
          <w:szCs w:val="18"/>
          <w:color w:val="auto"/>
        </w:rPr>
      </w:pPr>
      <w:r>
        <w:rPr>
          <w:rFonts w:ascii="Arial" w:cs="Arial" w:eastAsia="Arial" w:hAnsi="Arial"/>
          <w:sz w:val="18"/>
          <w:szCs w:val="18"/>
          <w:color w:val="auto"/>
        </w:rPr>
        <w:t>general economic conditions.</w:t>
      </w:r>
    </w:p>
    <w:p>
      <w:pPr>
        <w:spacing w:after="0" w:line="225" w:lineRule="exact"/>
        <w:rPr>
          <w:sz w:val="20"/>
          <w:szCs w:val="20"/>
          <w:color w:val="auto"/>
        </w:rPr>
      </w:pPr>
    </w:p>
    <w:p>
      <w:pPr>
        <w:ind w:left="380" w:right="999" w:firstLine="648"/>
        <w:spacing w:after="0" w:line="342" w:lineRule="auto"/>
        <w:rPr>
          <w:sz w:val="20"/>
          <w:szCs w:val="20"/>
          <w:color w:val="auto"/>
        </w:rPr>
      </w:pPr>
      <w:r>
        <w:rPr>
          <w:rFonts w:ascii="Arial" w:cs="Arial" w:eastAsia="Arial" w:hAnsi="Arial"/>
          <w:sz w:val="16"/>
          <w:szCs w:val="16"/>
          <w:color w:val="auto"/>
        </w:rPr>
        <w:t>If actual demand for our products exceeds the forecasted demand, we may not be able to produce sufficient quantities of new products in time to fulfill actual demand, which could limit our sales.</w:t>
      </w:r>
    </w:p>
    <w:p>
      <w:pPr>
        <w:spacing w:after="0" w:line="124" w:lineRule="exact"/>
        <w:rPr>
          <w:sz w:val="20"/>
          <w:szCs w:val="20"/>
          <w:color w:val="auto"/>
        </w:rPr>
      </w:pPr>
    </w:p>
    <w:p>
      <w:pPr>
        <w:ind w:left="380" w:right="459" w:firstLine="648"/>
        <w:spacing w:after="0" w:line="223" w:lineRule="exact"/>
        <w:rPr>
          <w:sz w:val="20"/>
          <w:szCs w:val="20"/>
          <w:color w:val="auto"/>
        </w:rPr>
      </w:pPr>
      <w:r>
        <w:rPr>
          <w:rFonts w:ascii="Arial" w:cs="Arial" w:eastAsia="Arial" w:hAnsi="Arial"/>
          <w:sz w:val="18"/>
          <w:szCs w:val="18"/>
          <w:color w:val="auto"/>
        </w:rPr>
        <w:t>Any inventory levels in excess of consumer demand may result in inventory write</w:t>
      </w:r>
      <w:r>
        <w:rPr>
          <w:rFonts w:ascii="MS PGothic" w:cs="MS PGothic" w:eastAsia="MS PGothic" w:hAnsi="MS PGothic"/>
          <w:sz w:val="18"/>
          <w:szCs w:val="18"/>
          <w:color w:val="auto"/>
        </w:rPr>
        <w:t>‑</w:t>
      </w:r>
      <w:r>
        <w:rPr>
          <w:rFonts w:ascii="Arial" w:cs="Arial" w:eastAsia="Arial" w:hAnsi="Arial"/>
          <w:sz w:val="18"/>
          <w:szCs w:val="18"/>
          <w:color w:val="auto"/>
        </w:rPr>
        <w:t>downs and/or the sale of excess inventory at discounted prices.</w:t>
      </w:r>
    </w:p>
    <w:p>
      <w:pPr>
        <w:spacing w:after="0" w:line="203" w:lineRule="exact"/>
        <w:rPr>
          <w:sz w:val="20"/>
          <w:szCs w:val="20"/>
          <w:color w:val="auto"/>
        </w:rPr>
      </w:pPr>
    </w:p>
    <w:p>
      <w:pPr>
        <w:ind w:left="380" w:right="419"/>
        <w:spacing w:after="0" w:line="342" w:lineRule="auto"/>
        <w:rPr>
          <w:sz w:val="20"/>
          <w:szCs w:val="20"/>
          <w:color w:val="auto"/>
        </w:rPr>
      </w:pPr>
      <w:r>
        <w:rPr>
          <w:rFonts w:ascii="Arial" w:cs="Arial" w:eastAsia="Arial" w:hAnsi="Arial"/>
          <w:sz w:val="16"/>
          <w:szCs w:val="16"/>
          <w:b w:val="1"/>
          <w:bCs w:val="1"/>
          <w:i w:val="1"/>
          <w:iCs w:val="1"/>
          <w:color w:val="auto"/>
        </w:rPr>
        <w:t>We may experience a disruption in the service, or a significant increase in the cost, of our primary delivery and shipping services for our products and component parts or a significant disruption at shipping ports.</w:t>
      </w:r>
    </w:p>
    <w:p>
      <w:pPr>
        <w:spacing w:after="0" w:line="124" w:lineRule="exact"/>
        <w:rPr>
          <w:sz w:val="20"/>
          <w:szCs w:val="20"/>
          <w:color w:val="auto"/>
        </w:rPr>
      </w:pPr>
    </w:p>
    <w:p>
      <w:pPr>
        <w:ind w:left="380" w:right="419" w:firstLine="648"/>
        <w:spacing w:after="0" w:line="218" w:lineRule="exact"/>
        <w:rPr>
          <w:sz w:val="20"/>
          <w:szCs w:val="20"/>
          <w:color w:val="auto"/>
        </w:rPr>
      </w:pPr>
      <w:r>
        <w:rPr>
          <w:rFonts w:ascii="Arial" w:cs="Arial" w:eastAsia="Arial" w:hAnsi="Arial"/>
          <w:sz w:val="17"/>
          <w:szCs w:val="17"/>
          <w:color w:val="auto"/>
        </w:rPr>
        <w:t>We use FedEx Corporation, or FedEx, for substantially all ground shipments of products to our U.S. customers. We use ocean shipping services and air carriers for most of our international shipments of products. In addition, many of the components we use to manufacture and assemble our products are shipped to us via ocean shipping and air carrier. If there are changes in trade or tariff laws which result in customs processing delays or any significant interruption in service by such providers or at shipping ports or airports, we may be unable to engage alternative suppliers or to receive or ship goods through alternate sites in order to deliver our products or components in a timely and cost</w:t>
      </w:r>
      <w:r>
        <w:rPr>
          <w:rFonts w:ascii="MS PGothic" w:cs="MS PGothic" w:eastAsia="MS PGothic" w:hAnsi="MS PGothic"/>
          <w:sz w:val="17"/>
          <w:szCs w:val="17"/>
          <w:color w:val="auto"/>
        </w:rPr>
        <w:t>‑</w:t>
      </w:r>
      <w:r>
        <w:rPr>
          <w:rFonts w:ascii="Arial" w:cs="Arial" w:eastAsia="Arial" w:hAnsi="Arial"/>
          <w:sz w:val="17"/>
          <w:szCs w:val="17"/>
          <w:color w:val="auto"/>
        </w:rPr>
        <w:t>efficient manner. As a result, we could experience manufacturing delays, increased manufacturing and shipping costs, and lost sales as a result of missed delivery deadlines and product introduction and demand cycles. Any significant interruption in FedEx services, ship services, at shipping ports or air carrier services could materially adversely affect our business,</w:t>
      </w:r>
    </w:p>
    <w:p>
      <w:pPr>
        <w:spacing w:after="0" w:line="20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30" w:name="page31"/>
    <w:bookmarkEnd w:id="30"/>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380" w:right="779"/>
        <w:spacing w:after="0" w:line="286" w:lineRule="auto"/>
        <w:rPr>
          <w:sz w:val="20"/>
          <w:szCs w:val="20"/>
          <w:color w:val="auto"/>
        </w:rPr>
      </w:pPr>
      <w:r>
        <w:rPr>
          <w:rFonts w:ascii="Arial" w:cs="Arial" w:eastAsia="Arial" w:hAnsi="Arial"/>
          <w:sz w:val="17"/>
          <w:szCs w:val="17"/>
          <w:color w:val="auto"/>
        </w:rPr>
        <w:t>financial condition and results of operations. Furthermore, if the cost of delivery or shipping services were to increase significantly and the additional costs could not be covered by product pricing it could materially adversely affect our business, financial condition and results of operations.</w:t>
      </w:r>
    </w:p>
    <w:p>
      <w:pPr>
        <w:spacing w:after="0" w:line="166" w:lineRule="exact"/>
        <w:rPr>
          <w:sz w:val="20"/>
          <w:szCs w:val="20"/>
          <w:color w:val="auto"/>
        </w:rPr>
      </w:pPr>
    </w:p>
    <w:p>
      <w:pPr>
        <w:ind w:left="380" w:right="539"/>
        <w:spacing w:after="0" w:line="279" w:lineRule="auto"/>
        <w:rPr>
          <w:sz w:val="20"/>
          <w:szCs w:val="20"/>
          <w:color w:val="auto"/>
        </w:rPr>
      </w:pPr>
      <w:r>
        <w:rPr>
          <w:rFonts w:ascii="Arial" w:cs="Arial" w:eastAsia="Arial" w:hAnsi="Arial"/>
          <w:sz w:val="17"/>
          <w:szCs w:val="17"/>
          <w:b w:val="1"/>
          <w:bCs w:val="1"/>
          <w:i w:val="1"/>
          <w:iCs w:val="1"/>
          <w:color w:val="auto"/>
        </w:rPr>
        <w:t>We rely on complex information systems for management of our manufacturing, distribution, sales and other functions. If our information systems fail to perform these functions adequately or if we experience an interruption in our operations, including a breach in cybersecurity, our business, financial condition and results of operations could be materially adversely affected.</w:t>
      </w:r>
    </w:p>
    <w:p>
      <w:pPr>
        <w:spacing w:after="0" w:line="171" w:lineRule="exact"/>
        <w:rPr>
          <w:sz w:val="20"/>
          <w:szCs w:val="20"/>
          <w:color w:val="auto"/>
        </w:rPr>
      </w:pPr>
    </w:p>
    <w:p>
      <w:pPr>
        <w:jc w:val="both"/>
        <w:ind w:left="380" w:right="539" w:firstLine="648"/>
        <w:spacing w:after="0" w:line="342" w:lineRule="auto"/>
        <w:rPr>
          <w:sz w:val="20"/>
          <w:szCs w:val="20"/>
          <w:color w:val="auto"/>
        </w:rPr>
      </w:pPr>
      <w:r>
        <w:rPr>
          <w:rFonts w:ascii="Arial" w:cs="Arial" w:eastAsia="Arial" w:hAnsi="Arial"/>
          <w:sz w:val="16"/>
          <w:szCs w:val="16"/>
          <w:color w:val="auto"/>
        </w:rPr>
        <w:t>All of our major operations, including manufacturing, distribution, sales and accounting, are dependent upon our complex information systems. Our information systems are vulnerable to damage or interruption from:</w:t>
      </w:r>
    </w:p>
    <w:p>
      <w:pPr>
        <w:spacing w:after="0" w:line="124" w:lineRule="exact"/>
        <w:rPr>
          <w:sz w:val="20"/>
          <w:szCs w:val="20"/>
          <w:color w:val="auto"/>
        </w:rPr>
      </w:pPr>
    </w:p>
    <w:p>
      <w:pPr>
        <w:ind w:left="1360" w:hanging="329"/>
        <w:spacing w:after="0"/>
        <w:tabs>
          <w:tab w:leader="none" w:pos="1360" w:val="left"/>
        </w:tabs>
        <w:numPr>
          <w:ilvl w:val="0"/>
          <w:numId w:val="8"/>
        </w:numPr>
        <w:rPr>
          <w:rFonts w:ascii="Arial" w:cs="Arial" w:eastAsia="Arial" w:hAnsi="Arial"/>
          <w:sz w:val="18"/>
          <w:szCs w:val="18"/>
          <w:color w:val="auto"/>
        </w:rPr>
      </w:pPr>
      <w:r>
        <w:rPr>
          <w:rFonts w:ascii="Arial" w:cs="Arial" w:eastAsia="Arial" w:hAnsi="Arial"/>
          <w:sz w:val="18"/>
          <w:szCs w:val="18"/>
          <w:color w:val="auto"/>
        </w:rPr>
        <w:t>earthquake, fire, flood, hurricane and other natural disasters;</w:t>
      </w:r>
    </w:p>
    <w:p>
      <w:pPr>
        <w:spacing w:after="0" w:line="225" w:lineRule="exact"/>
        <w:rPr>
          <w:rFonts w:ascii="Arial" w:cs="Arial" w:eastAsia="Arial" w:hAnsi="Arial"/>
          <w:sz w:val="18"/>
          <w:szCs w:val="18"/>
          <w:color w:val="auto"/>
        </w:rPr>
      </w:pPr>
    </w:p>
    <w:p>
      <w:pPr>
        <w:ind w:left="1360" w:hanging="329"/>
        <w:spacing w:after="0"/>
        <w:tabs>
          <w:tab w:leader="none" w:pos="1360" w:val="left"/>
        </w:tabs>
        <w:numPr>
          <w:ilvl w:val="0"/>
          <w:numId w:val="8"/>
        </w:numPr>
        <w:rPr>
          <w:rFonts w:ascii="Arial" w:cs="Arial" w:eastAsia="Arial" w:hAnsi="Arial"/>
          <w:sz w:val="16"/>
          <w:szCs w:val="16"/>
          <w:color w:val="auto"/>
        </w:rPr>
      </w:pPr>
      <w:r>
        <w:rPr>
          <w:rFonts w:ascii="Arial" w:cs="Arial" w:eastAsia="Arial" w:hAnsi="Arial"/>
          <w:sz w:val="16"/>
          <w:szCs w:val="16"/>
          <w:color w:val="auto"/>
        </w:rPr>
        <w:t>power loss, computer systems failure, Internet and telecommunications or data network failure; and</w:t>
      </w:r>
    </w:p>
    <w:p>
      <w:pPr>
        <w:spacing w:after="0" w:line="248" w:lineRule="exact"/>
        <w:rPr>
          <w:rFonts w:ascii="Arial" w:cs="Arial" w:eastAsia="Arial" w:hAnsi="Arial"/>
          <w:sz w:val="16"/>
          <w:szCs w:val="16"/>
          <w:color w:val="auto"/>
        </w:rPr>
      </w:pPr>
    </w:p>
    <w:p>
      <w:pPr>
        <w:ind w:left="1360" w:hanging="329"/>
        <w:spacing w:after="0"/>
        <w:tabs>
          <w:tab w:leader="none" w:pos="1360" w:val="left"/>
        </w:tabs>
        <w:numPr>
          <w:ilvl w:val="0"/>
          <w:numId w:val="8"/>
        </w:numPr>
        <w:rPr>
          <w:rFonts w:ascii="Arial" w:cs="Arial" w:eastAsia="Arial" w:hAnsi="Arial"/>
          <w:sz w:val="18"/>
          <w:szCs w:val="18"/>
          <w:color w:val="auto"/>
        </w:rPr>
      </w:pPr>
      <w:r>
        <w:rPr>
          <w:rFonts w:ascii="Arial" w:cs="Arial" w:eastAsia="Arial" w:hAnsi="Arial"/>
          <w:sz w:val="18"/>
          <w:szCs w:val="18"/>
          <w:color w:val="auto"/>
        </w:rPr>
        <w:t>hackers, computer viruses, unauthorized access, software bugs or glitches.</w:t>
      </w:r>
    </w:p>
    <w:p>
      <w:pPr>
        <w:spacing w:after="0" w:line="225" w:lineRule="exact"/>
        <w:rPr>
          <w:sz w:val="20"/>
          <w:szCs w:val="20"/>
          <w:color w:val="auto"/>
        </w:rPr>
      </w:pPr>
    </w:p>
    <w:p>
      <w:pPr>
        <w:ind w:left="380" w:right="599" w:firstLine="648"/>
        <w:spacing w:after="0" w:line="259" w:lineRule="auto"/>
        <w:rPr>
          <w:sz w:val="20"/>
          <w:szCs w:val="20"/>
          <w:color w:val="auto"/>
        </w:rPr>
      </w:pPr>
      <w:r>
        <w:rPr>
          <w:rFonts w:ascii="Arial" w:cs="Arial" w:eastAsia="Arial" w:hAnsi="Arial"/>
          <w:sz w:val="18"/>
          <w:szCs w:val="18"/>
          <w:color w:val="auto"/>
        </w:rPr>
        <w:t>Any damage or significant disruption in the operation of such systems or the failure of our information systems to perform as expected would disrupt our business, which may result in decreased sales, increased overhead costs, excess inventory or product shortages which could materially adversely affect our business, financial condition and results of operations.</w:t>
      </w:r>
    </w:p>
    <w:p>
      <w:pPr>
        <w:spacing w:after="0" w:line="187" w:lineRule="exact"/>
        <w:rPr>
          <w:sz w:val="20"/>
          <w:szCs w:val="20"/>
          <w:color w:val="auto"/>
        </w:rPr>
      </w:pPr>
    </w:p>
    <w:p>
      <w:pPr>
        <w:ind w:left="380"/>
        <w:spacing w:after="0"/>
        <w:rPr>
          <w:sz w:val="20"/>
          <w:szCs w:val="20"/>
          <w:color w:val="auto"/>
        </w:rPr>
      </w:pPr>
      <w:r>
        <w:rPr>
          <w:rFonts w:ascii="Arial" w:cs="Arial" w:eastAsia="Arial" w:hAnsi="Arial"/>
          <w:sz w:val="18"/>
          <w:szCs w:val="18"/>
          <w:b w:val="1"/>
          <w:bCs w:val="1"/>
          <w:i w:val="1"/>
          <w:iCs w:val="1"/>
          <w:color w:val="auto"/>
        </w:rPr>
        <w:t>Cybersecurity risks could disrupt our operations and negatively impact our reputation.</w:t>
      </w:r>
    </w:p>
    <w:p>
      <w:pPr>
        <w:spacing w:after="0" w:line="225" w:lineRule="exact"/>
        <w:rPr>
          <w:sz w:val="20"/>
          <w:szCs w:val="20"/>
          <w:color w:val="auto"/>
        </w:rPr>
      </w:pPr>
    </w:p>
    <w:p>
      <w:pPr>
        <w:ind w:left="380" w:right="379" w:firstLine="648"/>
        <w:spacing w:after="0" w:line="217" w:lineRule="exact"/>
        <w:rPr>
          <w:sz w:val="20"/>
          <w:szCs w:val="20"/>
          <w:color w:val="auto"/>
        </w:rPr>
      </w:pPr>
      <w:r>
        <w:rPr>
          <w:rFonts w:ascii="Arial" w:cs="Arial" w:eastAsia="Arial" w:hAnsi="Arial"/>
          <w:sz w:val="16"/>
          <w:szCs w:val="16"/>
          <w:color w:val="auto"/>
        </w:rPr>
        <w:t>There is growing concern over the security of personal and corporate information transmitted over the Internet, consumer identity theft and user privacy due to increasingly diverse and sophisticated threats to network, systems and data security. While we have implemented security measures, our computer systems may be susceptible to electronic or physical computer break</w:t>
      </w:r>
      <w:r>
        <w:rPr>
          <w:rFonts w:ascii="MS PGothic" w:cs="MS PGothic" w:eastAsia="MS PGothic" w:hAnsi="MS PGothic"/>
          <w:sz w:val="16"/>
          <w:szCs w:val="16"/>
          <w:color w:val="auto"/>
        </w:rPr>
        <w:t>‑</w:t>
      </w:r>
      <w:r>
        <w:rPr>
          <w:rFonts w:ascii="Arial" w:cs="Arial" w:eastAsia="Arial" w:hAnsi="Arial"/>
          <w:sz w:val="16"/>
          <w:szCs w:val="16"/>
          <w:color w:val="auto"/>
        </w:rPr>
        <w:t>ins, viruses and other disruptions and security breaches. Any perceived or actual unauthorized or inadvertent disclosure of personally</w:t>
      </w:r>
      <w:r>
        <w:rPr>
          <w:rFonts w:ascii="MS PGothic" w:cs="MS PGothic" w:eastAsia="MS PGothic" w:hAnsi="MS PGothic"/>
          <w:sz w:val="16"/>
          <w:szCs w:val="16"/>
          <w:color w:val="auto"/>
        </w:rPr>
        <w:t>‑</w:t>
      </w:r>
      <w:r>
        <w:rPr>
          <w:rFonts w:ascii="Arial" w:cs="Arial" w:eastAsia="Arial" w:hAnsi="Arial"/>
          <w:sz w:val="16"/>
          <w:szCs w:val="16"/>
          <w:color w:val="auto"/>
        </w:rPr>
        <w:t>identifiable information regarding visitors to our websites or otherwise or other breach or theft of the information we control, whether through a breach of our network by an unauthorized party, employee theft, misuse or error or otherwise, could harm our reputation, impair our ability to attract website visitors, or subject us to claims or litigation and require us to repair damages suffered by consumers, and materially adversely affect our business, financial condition and results of operations.</w:t>
      </w:r>
    </w:p>
    <w:p>
      <w:pPr>
        <w:spacing w:after="0" w:line="208" w:lineRule="exact"/>
        <w:rPr>
          <w:sz w:val="20"/>
          <w:szCs w:val="20"/>
          <w:color w:val="auto"/>
        </w:rPr>
      </w:pPr>
    </w:p>
    <w:p>
      <w:pPr>
        <w:ind w:left="380" w:right="1119"/>
        <w:spacing w:after="0" w:line="223" w:lineRule="exact"/>
        <w:rPr>
          <w:sz w:val="20"/>
          <w:szCs w:val="20"/>
          <w:color w:val="auto"/>
        </w:rPr>
      </w:pPr>
      <w:r>
        <w:rPr>
          <w:rFonts w:ascii="Arial" w:cs="Arial" w:eastAsia="Arial" w:hAnsi="Arial"/>
          <w:sz w:val="15"/>
          <w:szCs w:val="15"/>
          <w:b w:val="1"/>
          <w:bCs w:val="1"/>
          <w:i w:val="1"/>
          <w:iCs w:val="1"/>
          <w:color w:val="auto"/>
        </w:rPr>
        <w:t>If the technology</w:t>
      </w:r>
      <w:r>
        <w:rPr>
          <w:rFonts w:ascii="MS PGothic" w:cs="MS PGothic" w:eastAsia="MS PGothic" w:hAnsi="MS PGothic"/>
          <w:sz w:val="15"/>
          <w:szCs w:val="15"/>
          <w:b w:val="1"/>
          <w:bCs w:val="1"/>
          <w:i w:val="1"/>
          <w:iCs w:val="1"/>
          <w:color w:val="auto"/>
        </w:rPr>
        <w:t>‑</w:t>
      </w:r>
      <w:r>
        <w:rPr>
          <w:rFonts w:ascii="Arial" w:cs="Arial" w:eastAsia="Arial" w:hAnsi="Arial"/>
          <w:sz w:val="15"/>
          <w:szCs w:val="15"/>
          <w:b w:val="1"/>
          <w:bCs w:val="1"/>
          <w:i w:val="1"/>
          <w:iCs w:val="1"/>
          <w:color w:val="auto"/>
        </w:rPr>
        <w:t>based systems that give consumers the ability to shop with us online do not function effectively, our ability to grow our eCommerce business globally could be adversely affected.</w:t>
      </w:r>
    </w:p>
    <w:p>
      <w:pPr>
        <w:spacing w:after="0" w:line="203" w:lineRule="exact"/>
        <w:rPr>
          <w:sz w:val="20"/>
          <w:szCs w:val="20"/>
          <w:color w:val="auto"/>
        </w:rPr>
      </w:pPr>
    </w:p>
    <w:p>
      <w:pPr>
        <w:ind w:left="380" w:right="399" w:firstLine="648"/>
        <w:spacing w:after="0" w:line="269" w:lineRule="auto"/>
        <w:rPr>
          <w:sz w:val="20"/>
          <w:szCs w:val="20"/>
          <w:color w:val="auto"/>
        </w:rPr>
      </w:pPr>
      <w:r>
        <w:rPr>
          <w:rFonts w:ascii="Arial" w:cs="Arial" w:eastAsia="Arial" w:hAnsi="Arial"/>
          <w:sz w:val="17"/>
          <w:szCs w:val="17"/>
          <w:color w:val="auto"/>
        </w:rPr>
        <w:t>We are increasingly using websites and social media to interact with consumers and as a means to enhance their experience with our products, including through Vokey.com and ScottyCameron.com. In Canada and certain European markets, we launched eCommerce websites for FootJoy in 2017. In addition, in the U.S. we launched our FootJoy and MyProV1.com eCommerce initiatives in 2016. In our eCommerce services, we process, store and transmit customer data. We also collect consumer data through certain marketing activities. Failure to prevent or mitigate data loss or other security breaches, including breaches of our vendors’ technology and systems, could expose us or consumers to a risk of loss or misuse of such information, result in litigation or potential liability for us and otherwise materially adversely affect our business, financial condition and results of operations. Further, our eCommerce business is subject to general business regulations and laws, as well as regulations and laws specifically governing the Internet, eCommerce and electronic devices. Existing and future laws and regulations, or new interpretations of these laws, may adversely affect our ability to conduct our eCommerce business.</w:t>
      </w:r>
    </w:p>
    <w:p>
      <w:pPr>
        <w:spacing w:after="0" w:line="180" w:lineRule="exact"/>
        <w:rPr>
          <w:sz w:val="20"/>
          <w:szCs w:val="20"/>
          <w:color w:val="auto"/>
        </w:rPr>
      </w:pPr>
    </w:p>
    <w:p>
      <w:pPr>
        <w:ind w:left="380" w:right="419" w:firstLine="648"/>
        <w:spacing w:after="0" w:line="219" w:lineRule="exact"/>
        <w:rPr>
          <w:sz w:val="20"/>
          <w:szCs w:val="20"/>
          <w:color w:val="auto"/>
        </w:rPr>
      </w:pPr>
      <w:r>
        <w:rPr>
          <w:rFonts w:ascii="Arial" w:cs="Arial" w:eastAsia="Arial" w:hAnsi="Arial"/>
          <w:sz w:val="18"/>
          <w:szCs w:val="18"/>
          <w:color w:val="auto"/>
        </w:rPr>
        <w:t>Any failure on our part to provide private, secure, attractive, effective, reliable, user</w:t>
      </w:r>
      <w:r>
        <w:rPr>
          <w:rFonts w:ascii="MS PGothic" w:cs="MS PGothic" w:eastAsia="MS PGothic" w:hAnsi="MS PGothic"/>
          <w:sz w:val="18"/>
          <w:szCs w:val="18"/>
          <w:color w:val="auto"/>
        </w:rPr>
        <w:t>‑</w:t>
      </w:r>
      <w:r>
        <w:rPr>
          <w:rFonts w:ascii="Arial" w:cs="Arial" w:eastAsia="Arial" w:hAnsi="Arial"/>
          <w:sz w:val="18"/>
          <w:szCs w:val="18"/>
          <w:color w:val="auto"/>
        </w:rPr>
        <w:t>friendly eCommerce platforms that offer a wide assortment of merchandise with rapid delivery options and that continually meet the changing expectations of online shoppers could place us at a competitive disadvantage, result in the loss of eCommerce and other sales, harm our reputation with consumers, have an adverse impact on the growth of our eCommerce business globally and could materially adversely affect our business, financial condition and results of operations.</w:t>
      </w:r>
    </w:p>
    <w:p>
      <w:pPr>
        <w:spacing w:after="0" w:line="201"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31" w:name="page32"/>
    <w:bookmarkEnd w:id="31"/>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380" w:right="379" w:firstLine="648"/>
        <w:spacing w:after="0" w:line="220" w:lineRule="exact"/>
        <w:rPr>
          <w:sz w:val="20"/>
          <w:szCs w:val="20"/>
          <w:color w:val="auto"/>
        </w:rPr>
      </w:pPr>
      <w:r>
        <w:rPr>
          <w:rFonts w:ascii="Arial" w:cs="Arial" w:eastAsia="Arial" w:hAnsi="Arial"/>
          <w:sz w:val="18"/>
          <w:szCs w:val="18"/>
          <w:color w:val="auto"/>
        </w:rPr>
        <w:t>Risks specific to our eCommerce business also include diversion of sales from our trade partners’ brick and mortar stores, difficulty in recreating the in</w:t>
      </w:r>
      <w:r>
        <w:rPr>
          <w:rFonts w:ascii="MS PGothic" w:cs="MS PGothic" w:eastAsia="MS PGothic" w:hAnsi="MS PGothic"/>
          <w:sz w:val="18"/>
          <w:szCs w:val="18"/>
          <w:color w:val="auto"/>
        </w:rPr>
        <w:t>‑</w:t>
      </w:r>
      <w:r>
        <w:rPr>
          <w:rFonts w:ascii="Arial" w:cs="Arial" w:eastAsia="Arial" w:hAnsi="Arial"/>
          <w:sz w:val="18"/>
          <w:szCs w:val="18"/>
          <w:color w:val="auto"/>
        </w:rPr>
        <w:t>store experience through direct channels and liability for online content. Our failure to successfully respond to these risks might adversely affect sales in our eCommerce business, as well as damage our reputation and brands.</w:t>
      </w:r>
    </w:p>
    <w:p>
      <w:pPr>
        <w:spacing w:after="0" w:line="204" w:lineRule="exact"/>
        <w:rPr>
          <w:sz w:val="20"/>
          <w:szCs w:val="20"/>
          <w:color w:val="auto"/>
        </w:rPr>
      </w:pPr>
    </w:p>
    <w:p>
      <w:pPr>
        <w:ind w:left="380" w:right="1099"/>
        <w:spacing w:after="0" w:line="381" w:lineRule="auto"/>
        <w:rPr>
          <w:sz w:val="20"/>
          <w:szCs w:val="20"/>
          <w:color w:val="auto"/>
        </w:rPr>
      </w:pPr>
      <w:r>
        <w:rPr>
          <w:rFonts w:ascii="Arial" w:cs="Arial" w:eastAsia="Arial" w:hAnsi="Arial"/>
          <w:sz w:val="15"/>
          <w:szCs w:val="15"/>
          <w:b w:val="1"/>
          <w:bCs w:val="1"/>
          <w:i w:val="1"/>
          <w:iCs w:val="1"/>
          <w:color w:val="auto"/>
        </w:rPr>
        <w:t>Goodwill and identifiable intangible assets represent a significant portion of our total assets and any impairment of these assets could negatively impact our results of operations and shareholders’ equity.</w:t>
      </w:r>
    </w:p>
    <w:p>
      <w:pPr>
        <w:spacing w:after="0" w:line="101" w:lineRule="exact"/>
        <w:rPr>
          <w:sz w:val="20"/>
          <w:szCs w:val="20"/>
          <w:color w:val="auto"/>
        </w:rPr>
      </w:pPr>
    </w:p>
    <w:p>
      <w:pPr>
        <w:ind w:left="380" w:right="439" w:firstLine="648"/>
        <w:spacing w:after="0" w:line="264" w:lineRule="auto"/>
        <w:rPr>
          <w:sz w:val="20"/>
          <w:szCs w:val="20"/>
          <w:color w:val="auto"/>
        </w:rPr>
      </w:pPr>
      <w:r>
        <w:rPr>
          <w:rFonts w:ascii="Arial" w:cs="Arial" w:eastAsia="Arial" w:hAnsi="Arial"/>
          <w:sz w:val="18"/>
          <w:szCs w:val="18"/>
          <w:color w:val="auto"/>
        </w:rPr>
        <w:t>Our goodwill and identifiable intangible assets, which consist of goodwill from acquisitions, trademarks, patents, completed technology, customer relationships, licensing fees, and other intangible assets, represented 38.6% of our total assets as of December 31, 2017.</w:t>
      </w:r>
    </w:p>
    <w:p>
      <w:pPr>
        <w:spacing w:after="0" w:line="181" w:lineRule="exact"/>
        <w:rPr>
          <w:sz w:val="20"/>
          <w:szCs w:val="20"/>
          <w:color w:val="auto"/>
        </w:rPr>
      </w:pPr>
    </w:p>
    <w:p>
      <w:pPr>
        <w:ind w:left="380" w:right="419" w:firstLine="648"/>
        <w:spacing w:after="0" w:line="218" w:lineRule="exact"/>
        <w:rPr>
          <w:sz w:val="20"/>
          <w:szCs w:val="20"/>
          <w:color w:val="auto"/>
        </w:rPr>
      </w:pPr>
      <w:r>
        <w:rPr>
          <w:rFonts w:ascii="Arial" w:cs="Arial" w:eastAsia="Arial" w:hAnsi="Arial"/>
          <w:sz w:val="16"/>
          <w:szCs w:val="16"/>
          <w:color w:val="auto"/>
        </w:rPr>
        <w:t>Accounting rules require the evaluation of our goodwill and intangible assets with indefinite lives for impairment at least annually or whenever events or changes in circumstances indicate that the carrying value of such assets may not be recoverable. Such indicators include a significant adverse change in customer demand or business climate that could affect the value of an asset; general economic conditions, such as increasing Treasury rates or unexpected changes in gross domestic product growth; a change in our market shares; budget</w:t>
      </w:r>
      <w:r>
        <w:rPr>
          <w:rFonts w:ascii="MS PGothic" w:cs="MS PGothic" w:eastAsia="MS PGothic" w:hAnsi="MS PGothic"/>
          <w:sz w:val="16"/>
          <w:szCs w:val="16"/>
          <w:color w:val="auto"/>
        </w:rPr>
        <w:t>‑</w:t>
      </w:r>
      <w:r>
        <w:rPr>
          <w:rFonts w:ascii="Arial" w:cs="Arial" w:eastAsia="Arial" w:hAnsi="Arial"/>
          <w:sz w:val="16"/>
          <w:szCs w:val="16"/>
          <w:color w:val="auto"/>
        </w:rPr>
        <w:t>to</w:t>
      </w:r>
      <w:r>
        <w:rPr>
          <w:rFonts w:ascii="MS PGothic" w:cs="MS PGothic" w:eastAsia="MS PGothic" w:hAnsi="MS PGothic"/>
          <w:sz w:val="16"/>
          <w:szCs w:val="16"/>
          <w:color w:val="auto"/>
        </w:rPr>
        <w:t>‑</w:t>
      </w:r>
      <w:r>
        <w:rPr>
          <w:rFonts w:ascii="Arial" w:cs="Arial" w:eastAsia="Arial" w:hAnsi="Arial"/>
          <w:sz w:val="16"/>
          <w:szCs w:val="16"/>
          <w:color w:val="auto"/>
        </w:rPr>
        <w:t>actual performance and consistency of operations margins and capital expenditures; a product recall or an adverse action or assessment by a regulator; or changes in management or key personnel.</w:t>
      </w:r>
    </w:p>
    <w:p>
      <w:pPr>
        <w:spacing w:after="0" w:line="205" w:lineRule="exact"/>
        <w:rPr>
          <w:sz w:val="20"/>
          <w:szCs w:val="20"/>
          <w:color w:val="auto"/>
        </w:rPr>
      </w:pPr>
    </w:p>
    <w:p>
      <w:pPr>
        <w:jc w:val="both"/>
        <w:ind w:left="380" w:right="479" w:firstLine="648"/>
        <w:spacing w:after="0" w:line="286" w:lineRule="auto"/>
        <w:rPr>
          <w:sz w:val="20"/>
          <w:szCs w:val="20"/>
          <w:color w:val="auto"/>
        </w:rPr>
      </w:pPr>
      <w:r>
        <w:rPr>
          <w:rFonts w:ascii="Arial" w:cs="Arial" w:eastAsia="Arial" w:hAnsi="Arial"/>
          <w:sz w:val="17"/>
          <w:szCs w:val="17"/>
          <w:color w:val="auto"/>
        </w:rPr>
        <w:t>Goodwill and identifiable intangible assets are deemed impaired when their carrying value exceeds their fair value. If a significant amount of our goodwill and identifiable intangible assets were deemed to be impaired, our business, financial condition and results of operations could be materially adversely affected.</w:t>
      </w:r>
    </w:p>
    <w:p>
      <w:pPr>
        <w:spacing w:after="0" w:line="166" w:lineRule="exact"/>
        <w:rPr>
          <w:sz w:val="20"/>
          <w:szCs w:val="20"/>
          <w:color w:val="auto"/>
        </w:rPr>
      </w:pPr>
    </w:p>
    <w:p>
      <w:pPr>
        <w:jc w:val="both"/>
        <w:ind w:left="380" w:right="399"/>
        <w:spacing w:after="0" w:line="264" w:lineRule="auto"/>
        <w:rPr>
          <w:sz w:val="20"/>
          <w:szCs w:val="20"/>
          <w:color w:val="auto"/>
        </w:rPr>
      </w:pPr>
      <w:r>
        <w:rPr>
          <w:rFonts w:ascii="Arial" w:cs="Arial" w:eastAsia="Arial" w:hAnsi="Arial"/>
          <w:sz w:val="18"/>
          <w:szCs w:val="18"/>
          <w:b w:val="1"/>
          <w:bCs w:val="1"/>
          <w:i w:val="1"/>
          <w:iCs w:val="1"/>
          <w:color w:val="auto"/>
        </w:rPr>
        <w:t>Our current senior management team and other key employees are critical to our success and if we are unable to attract and/or retain key employees and hire qualified management, technical and manufacturing personnel, our ability to compete could be harmed.</w:t>
      </w:r>
    </w:p>
    <w:p>
      <w:pPr>
        <w:spacing w:after="0" w:line="181" w:lineRule="exact"/>
        <w:rPr>
          <w:sz w:val="20"/>
          <w:szCs w:val="20"/>
          <w:color w:val="auto"/>
        </w:rPr>
      </w:pPr>
    </w:p>
    <w:p>
      <w:pPr>
        <w:ind w:left="380" w:right="379" w:firstLine="648"/>
        <w:spacing w:after="0" w:line="288" w:lineRule="auto"/>
        <w:rPr>
          <w:sz w:val="20"/>
          <w:szCs w:val="20"/>
          <w:color w:val="auto"/>
        </w:rPr>
      </w:pPr>
      <w:r>
        <w:rPr>
          <w:rFonts w:ascii="Arial" w:cs="Arial" w:eastAsia="Arial" w:hAnsi="Arial"/>
          <w:sz w:val="16"/>
          <w:szCs w:val="16"/>
          <w:color w:val="auto"/>
        </w:rPr>
        <w:t>Our ability to maintain our competitive position is dependent to a large degree on the efforts and skills of our senior management team and our other key employees. Our executives are experienced and highly qualified with strong reputations and relationships in the golf industry, and we believe that our management team enables us to pursue our strategic goals. Our other key sales, marketing, R&amp;D, manufacturing, intellectual property protection and support personnel are also critical to the success of our business. The loss of the services of any of our senior management team or other key employees could disrupt our operations and delay the development and introduction of our products which could materially adversely affect our business, financial condition and results of operations. We do not have employment agreements with any of the members of our senior management team, except for David Maher, our President and CEO. In addition, we do not have “key person” life insurance policies covering any of our officers or other key employees.</w:t>
      </w:r>
    </w:p>
    <w:p>
      <w:pPr>
        <w:spacing w:after="0" w:line="169" w:lineRule="exact"/>
        <w:rPr>
          <w:sz w:val="20"/>
          <w:szCs w:val="20"/>
          <w:color w:val="auto"/>
        </w:rPr>
      </w:pPr>
    </w:p>
    <w:p>
      <w:pPr>
        <w:ind w:left="380" w:right="579" w:firstLine="648"/>
        <w:spacing w:after="0" w:line="286" w:lineRule="auto"/>
        <w:rPr>
          <w:sz w:val="20"/>
          <w:szCs w:val="20"/>
          <w:color w:val="auto"/>
        </w:rPr>
      </w:pPr>
      <w:r>
        <w:rPr>
          <w:rFonts w:ascii="Arial" w:cs="Arial" w:eastAsia="Arial" w:hAnsi="Arial"/>
          <w:sz w:val="17"/>
          <w:szCs w:val="17"/>
          <w:color w:val="auto"/>
        </w:rPr>
        <w:t>Our future success depends upon our ability to attract and retain our executive officers and other key sales, marketing, R&amp;D, manufacturing, intellectual property protection and support personnel and any failure to do so could materially adversely affect our business, financial condition and results of operations.</w:t>
      </w:r>
    </w:p>
    <w:p>
      <w:pPr>
        <w:spacing w:after="0" w:line="166" w:lineRule="exact"/>
        <w:rPr>
          <w:sz w:val="20"/>
          <w:szCs w:val="20"/>
          <w:color w:val="auto"/>
        </w:rPr>
      </w:pPr>
    </w:p>
    <w:p>
      <w:pPr>
        <w:ind w:left="380" w:right="519" w:firstLine="648"/>
        <w:spacing w:after="0" w:line="264" w:lineRule="auto"/>
        <w:rPr>
          <w:sz w:val="20"/>
          <w:szCs w:val="20"/>
          <w:color w:val="auto"/>
        </w:rPr>
      </w:pPr>
      <w:r>
        <w:rPr>
          <w:rFonts w:ascii="Arial" w:cs="Arial" w:eastAsia="Arial" w:hAnsi="Arial"/>
          <w:sz w:val="18"/>
          <w:szCs w:val="18"/>
          <w:color w:val="auto"/>
        </w:rPr>
        <w:t>Additionally, we compete with many mature and prosperous companies that have far greater financial resources than we do and thus can offer current or perspective employees more lucrative compensation packages than we can.</w:t>
      </w:r>
    </w:p>
    <w:p>
      <w:pPr>
        <w:spacing w:after="0" w:line="181" w:lineRule="exact"/>
        <w:rPr>
          <w:sz w:val="20"/>
          <w:szCs w:val="20"/>
          <w:color w:val="auto"/>
        </w:rPr>
      </w:pPr>
    </w:p>
    <w:p>
      <w:pPr>
        <w:ind w:left="380" w:right="1259"/>
        <w:spacing w:after="0" w:line="277" w:lineRule="auto"/>
        <w:rPr>
          <w:sz w:val="20"/>
          <w:szCs w:val="20"/>
          <w:color w:val="auto"/>
        </w:rPr>
      </w:pPr>
      <w:r>
        <w:rPr>
          <w:rFonts w:ascii="Arial" w:cs="Arial" w:eastAsia="Arial" w:hAnsi="Arial"/>
          <w:sz w:val="18"/>
          <w:szCs w:val="18"/>
          <w:b w:val="1"/>
          <w:bCs w:val="1"/>
          <w:i w:val="1"/>
          <w:iCs w:val="1"/>
          <w:color w:val="auto"/>
        </w:rPr>
        <w:t>Sales of our products by unauthorized retailers or distributors could adversely affect our authorized distribution channels and harm our reputation.</w:t>
      </w:r>
    </w:p>
    <w:p>
      <w:pPr>
        <w:spacing w:after="0" w:line="170" w:lineRule="exact"/>
        <w:rPr>
          <w:sz w:val="20"/>
          <w:szCs w:val="20"/>
          <w:color w:val="auto"/>
        </w:rPr>
      </w:pPr>
    </w:p>
    <w:p>
      <w:pPr>
        <w:ind w:left="380" w:right="459" w:firstLine="648"/>
        <w:spacing w:after="0" w:line="276" w:lineRule="auto"/>
        <w:rPr>
          <w:sz w:val="20"/>
          <w:szCs w:val="20"/>
          <w:color w:val="auto"/>
        </w:rPr>
      </w:pPr>
      <w:r>
        <w:rPr>
          <w:rFonts w:ascii="Arial" w:cs="Arial" w:eastAsia="Arial" w:hAnsi="Arial"/>
          <w:sz w:val="17"/>
          <w:szCs w:val="17"/>
          <w:color w:val="auto"/>
        </w:rPr>
        <w:t>Some of our products find their way to unauthorized outlets or distribution channels. This “gray market” for our products can undermine authorized retailers and foreign wholesale distributors who promote and support our products, and can injure the image of our company in the minds of our customers and consumers. While we have taken some lawful steps to limit commerce of our products in the “gray market” in both the United States and abroad, we have not been successful in halting such commerce.</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32" w:name="page33"/>
    <w:bookmarkEnd w:id="32"/>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380" w:right="419"/>
        <w:spacing w:after="0" w:line="277" w:lineRule="auto"/>
        <w:rPr>
          <w:sz w:val="20"/>
          <w:szCs w:val="20"/>
          <w:color w:val="auto"/>
        </w:rPr>
      </w:pPr>
      <w:r>
        <w:rPr>
          <w:rFonts w:ascii="Arial" w:cs="Arial" w:eastAsia="Arial" w:hAnsi="Arial"/>
          <w:sz w:val="18"/>
          <w:szCs w:val="18"/>
          <w:b w:val="1"/>
          <w:bCs w:val="1"/>
          <w:i w:val="1"/>
          <w:iCs w:val="1"/>
          <w:color w:val="auto"/>
        </w:rPr>
        <w:t>We may not be successful in our efforts to grow our presence in existing international markets and expand into additional international markets.</w:t>
      </w:r>
    </w:p>
    <w:p>
      <w:pPr>
        <w:spacing w:after="0" w:line="170" w:lineRule="exact"/>
        <w:rPr>
          <w:sz w:val="20"/>
          <w:szCs w:val="20"/>
          <w:color w:val="auto"/>
        </w:rPr>
      </w:pPr>
    </w:p>
    <w:p>
      <w:pPr>
        <w:ind w:left="380" w:right="479" w:firstLine="648"/>
        <w:spacing w:after="0" w:line="291" w:lineRule="auto"/>
        <w:rPr>
          <w:sz w:val="20"/>
          <w:szCs w:val="20"/>
          <w:color w:val="auto"/>
        </w:rPr>
      </w:pPr>
      <w:r>
        <w:rPr>
          <w:rFonts w:ascii="Arial" w:cs="Arial" w:eastAsia="Arial" w:hAnsi="Arial"/>
          <w:sz w:val="16"/>
          <w:szCs w:val="16"/>
          <w:color w:val="auto"/>
        </w:rPr>
        <w:t>We intend to grow our presence in and continue to expand into select international markets where there are the necessary and sufficient conditions in place to support such expansion. These growth and expansion plans will require significant management attention and resources and may be unsuccessful. In addition, to achieve satisfactory performance in international locations, it may be necessary to locate physical facilities, such as regional offices, in the foreign market and to hire employees who are familiar with such foreign markets while also being qualified to market our products. We may not be successful in growing our presence in or expanding into any such international markets or in generating sales from such foreign operations.</w:t>
      </w:r>
    </w:p>
    <w:p>
      <w:pPr>
        <w:spacing w:after="0" w:line="167" w:lineRule="exact"/>
        <w:rPr>
          <w:sz w:val="20"/>
          <w:szCs w:val="20"/>
          <w:color w:val="auto"/>
        </w:rPr>
      </w:pPr>
    </w:p>
    <w:p>
      <w:pPr>
        <w:ind w:left="380" w:right="399" w:firstLine="648"/>
        <w:spacing w:after="0" w:line="276" w:lineRule="auto"/>
        <w:rPr>
          <w:sz w:val="20"/>
          <w:szCs w:val="20"/>
          <w:color w:val="auto"/>
        </w:rPr>
      </w:pPr>
      <w:r>
        <w:rPr>
          <w:rFonts w:ascii="Arial" w:cs="Arial" w:eastAsia="Arial" w:hAnsi="Arial"/>
          <w:sz w:val="17"/>
          <w:szCs w:val="17"/>
          <w:color w:val="auto"/>
        </w:rPr>
        <w:t>We have historically grown our business by expanding into additional international markets, but such growth does not always work out as anticipated and there is no assurance that we will be successful in the existing international markets where we are currently seeking to grow our presence, including China, or the new international markets we plan to enter. Our business, financial condition and results of operations could be materially adversely affected if we do not achieve the international growth that we anticipate.</w:t>
      </w:r>
    </w:p>
    <w:p>
      <w:pPr>
        <w:spacing w:after="0" w:line="173" w:lineRule="exact"/>
        <w:rPr>
          <w:sz w:val="20"/>
          <w:szCs w:val="20"/>
          <w:color w:val="auto"/>
        </w:rPr>
      </w:pPr>
    </w:p>
    <w:p>
      <w:pPr>
        <w:ind w:left="380" w:right="599"/>
        <w:spacing w:after="0" w:line="312" w:lineRule="auto"/>
        <w:rPr>
          <w:sz w:val="20"/>
          <w:szCs w:val="20"/>
          <w:color w:val="auto"/>
        </w:rPr>
      </w:pPr>
      <w:r>
        <w:rPr>
          <w:rFonts w:ascii="Arial" w:cs="Arial" w:eastAsia="Arial" w:hAnsi="Arial"/>
          <w:sz w:val="16"/>
          <w:szCs w:val="16"/>
          <w:b w:val="1"/>
          <w:bCs w:val="1"/>
          <w:i w:val="1"/>
          <w:iCs w:val="1"/>
          <w:color w:val="auto"/>
        </w:rPr>
        <w:t>We are exposed to a number of different tax uncertainties, including potential changes in tax laws, unanticipated tax liabilities and limitations on utilization of tax attributes after any change of control, which could materially adversely affect our business, financial condition and results of operations.</w:t>
      </w:r>
    </w:p>
    <w:p>
      <w:pPr>
        <w:spacing w:after="0" w:line="147" w:lineRule="exact"/>
        <w:rPr>
          <w:sz w:val="20"/>
          <w:szCs w:val="20"/>
          <w:color w:val="auto"/>
        </w:rPr>
      </w:pPr>
    </w:p>
    <w:p>
      <w:pPr>
        <w:ind w:left="380" w:right="419" w:firstLine="648"/>
        <w:spacing w:after="0" w:line="290" w:lineRule="auto"/>
        <w:rPr>
          <w:sz w:val="20"/>
          <w:szCs w:val="20"/>
          <w:color w:val="auto"/>
        </w:rPr>
      </w:pPr>
      <w:r>
        <w:rPr>
          <w:rFonts w:ascii="Arial" w:cs="Arial" w:eastAsia="Arial" w:hAnsi="Arial"/>
          <w:sz w:val="16"/>
          <w:szCs w:val="16"/>
          <w:color w:val="auto"/>
        </w:rPr>
        <w:t>We are subject to income taxes in the U.S. (federal and state) and numerous foreign jurisdictions. Tax laws, regulations, and administrative practices in various jurisdictions may be subject to significant change, with or without notice, due to economic, political, and other conditions, and significant judgment is required in evaluating and estimating our provision and accruals for these taxes. Changes to or promulgation of new tax laws, interpretive regulations, other tax or accounting guidance could significantly impact how we are taxed on both U.S. and foreign earnings. Transactions that we have arranged in light of current tax rules could have adverse consequences if those tax rules change, and the imposition of any new or increased tariffs, duties and taxes could materially adversely affect our business, financial condition and results of operations.</w:t>
      </w:r>
    </w:p>
    <w:p>
      <w:pPr>
        <w:spacing w:after="0" w:line="166" w:lineRule="exact"/>
        <w:rPr>
          <w:sz w:val="20"/>
          <w:szCs w:val="20"/>
          <w:color w:val="auto"/>
        </w:rPr>
      </w:pPr>
    </w:p>
    <w:p>
      <w:pPr>
        <w:ind w:left="380" w:right="379" w:firstLine="648"/>
        <w:spacing w:after="0" w:line="288" w:lineRule="auto"/>
        <w:rPr>
          <w:sz w:val="20"/>
          <w:szCs w:val="20"/>
          <w:color w:val="auto"/>
        </w:rPr>
      </w:pPr>
      <w:r>
        <w:rPr>
          <w:rFonts w:ascii="Arial" w:cs="Arial" w:eastAsia="Arial" w:hAnsi="Arial"/>
          <w:sz w:val="16"/>
          <w:szCs w:val="16"/>
          <w:color w:val="auto"/>
        </w:rPr>
        <w:t>Our effective tax rates in the future could be adversely affected by a number of factors, including changes in the expected geographic mix of earnings in countries with differing statutory tax rates, changes in the valuation and realizability of deferred tax assets and liabilities, changes to or issuance of new tax laws, interpretive regulations, notices or other administrative practices, principles, or guidance, changes to or issuance of new accounting guidance, changes in foreign currency exchange rates, entry into new businesses and geographies, changes to our existing businesses and operations, acquisitions (including integrations) and investments and how they are financed, changes in our stock price, and the outcome of income tax audits in various jurisdictions around the world. Finally, foreign governments may enact tax laws in response to the recently enacted U.S. tax reform legislation, commonly referred to as the U.S. Tax Cuts and Jobs Act of 2017 (the “2017 Tax Act”) that could result in further changes to global taxation and materially affect our financial position and results of operations.</w:t>
      </w:r>
    </w:p>
    <w:p>
      <w:pPr>
        <w:spacing w:after="0" w:line="169" w:lineRule="exact"/>
        <w:rPr>
          <w:sz w:val="20"/>
          <w:szCs w:val="20"/>
          <w:color w:val="auto"/>
        </w:rPr>
      </w:pPr>
    </w:p>
    <w:p>
      <w:pPr>
        <w:ind w:left="380" w:right="379" w:firstLine="648"/>
        <w:spacing w:after="0" w:line="270" w:lineRule="auto"/>
        <w:rPr>
          <w:sz w:val="20"/>
          <w:szCs w:val="20"/>
          <w:color w:val="auto"/>
        </w:rPr>
      </w:pPr>
      <w:r>
        <w:rPr>
          <w:rFonts w:ascii="Arial" w:cs="Arial" w:eastAsia="Arial" w:hAnsi="Arial"/>
          <w:sz w:val="17"/>
          <w:szCs w:val="17"/>
          <w:color w:val="auto"/>
        </w:rPr>
        <w:t>The 2017 Tax Act significantly changes how the U.S. taxes corporations. The 2017 Tax Act requires complex computations to be performed that were not previously required in U.S. tax law, judgments to be made in interpretation of the provisions of the 2017 Tax Act, estimates in calculations, and the preparation and analysis of information not previously relevant or regularly produced. The U.S. Treasury Department, the Internal Revenue Service (“IRS”), and other standard-setting bodies could interpret or issue guidance on how provisions of the 2017 Tax Act will be applied or otherwise administered that is different from our interpretation. As we complete our analysis of the 2017 Tax Act, collect and prepare necessary data, and interpret any additional guidance, we may make adjustments to provisional amounts that we have recorded that may materially impact our provision for income taxes in the period in which the adjustments are made.</w:t>
      </w:r>
    </w:p>
    <w:p>
      <w:pPr>
        <w:spacing w:after="0" w:line="182" w:lineRule="exact"/>
        <w:rPr>
          <w:sz w:val="20"/>
          <w:szCs w:val="20"/>
          <w:color w:val="auto"/>
        </w:rPr>
      </w:pPr>
    </w:p>
    <w:p>
      <w:pPr>
        <w:ind w:left="380" w:right="399" w:firstLine="648"/>
        <w:spacing w:after="0" w:line="218" w:lineRule="exact"/>
        <w:rPr>
          <w:sz w:val="20"/>
          <w:szCs w:val="20"/>
          <w:color w:val="auto"/>
        </w:rPr>
      </w:pPr>
      <w:r>
        <w:rPr>
          <w:rFonts w:ascii="Arial" w:cs="Arial" w:eastAsia="Arial" w:hAnsi="Arial"/>
          <w:sz w:val="17"/>
          <w:szCs w:val="17"/>
          <w:color w:val="auto"/>
        </w:rPr>
        <w:t>Under Sections 382 and 383 of the Internal Revenue Code of 1986, as amended, or the Code, if a corporation undergoes an “ownership change,” the corporation’s ability to use its pre</w:t>
      </w:r>
      <w:r>
        <w:rPr>
          <w:rFonts w:ascii="MS PGothic" w:cs="MS PGothic" w:eastAsia="MS PGothic" w:hAnsi="MS PGothic"/>
          <w:sz w:val="17"/>
          <w:szCs w:val="17"/>
          <w:color w:val="auto"/>
        </w:rPr>
        <w:t>‑</w:t>
      </w:r>
      <w:r>
        <w:rPr>
          <w:rFonts w:ascii="Arial" w:cs="Arial" w:eastAsia="Arial" w:hAnsi="Arial"/>
          <w:sz w:val="17"/>
          <w:szCs w:val="17"/>
          <w:color w:val="auto"/>
        </w:rPr>
        <w:t>change net operating loss carryforwards and other pre</w:t>
      </w:r>
      <w:r>
        <w:rPr>
          <w:rFonts w:ascii="MS PGothic" w:cs="MS PGothic" w:eastAsia="MS PGothic" w:hAnsi="MS PGothic"/>
          <w:sz w:val="17"/>
          <w:szCs w:val="17"/>
          <w:color w:val="auto"/>
        </w:rPr>
        <w:t>‑</w:t>
      </w:r>
      <w:r>
        <w:rPr>
          <w:rFonts w:ascii="Arial" w:cs="Arial" w:eastAsia="Arial" w:hAnsi="Arial"/>
          <w:sz w:val="17"/>
          <w:szCs w:val="17"/>
          <w:color w:val="auto"/>
        </w:rPr>
        <w:t>change tax attributes, such as foreign tax credits and research tax credits, to offset its post</w:t>
      </w:r>
      <w:r>
        <w:rPr>
          <w:rFonts w:ascii="MS PGothic" w:cs="MS PGothic" w:eastAsia="MS PGothic" w:hAnsi="MS PGothic"/>
          <w:sz w:val="17"/>
          <w:szCs w:val="17"/>
          <w:color w:val="auto"/>
        </w:rPr>
        <w:t>‑</w:t>
      </w:r>
      <w:r>
        <w:rPr>
          <w:rFonts w:ascii="Arial" w:cs="Arial" w:eastAsia="Arial" w:hAnsi="Arial"/>
          <w:sz w:val="17"/>
          <w:szCs w:val="17"/>
          <w:color w:val="auto"/>
        </w:rPr>
        <w:t>change income and taxes may be limited. In general, an “ownership change” generally occurs if there is a cumulative change in the Company’s ownership by “5</w:t>
      </w:r>
      <w:r>
        <w:rPr>
          <w:rFonts w:ascii="MS PGothic" w:cs="MS PGothic" w:eastAsia="MS PGothic" w:hAnsi="MS PGothic"/>
          <w:sz w:val="17"/>
          <w:szCs w:val="17"/>
          <w:color w:val="auto"/>
        </w:rPr>
        <w:t>‑</w:t>
      </w:r>
      <w:r>
        <w:rPr>
          <w:rFonts w:ascii="Arial" w:cs="Arial" w:eastAsia="Arial" w:hAnsi="Arial"/>
          <w:sz w:val="17"/>
          <w:szCs w:val="17"/>
          <w:color w:val="auto"/>
        </w:rPr>
        <w:t>percent shareholders” that exceeds 50 percentage points over a rolling three</w:t>
      </w:r>
      <w:r>
        <w:rPr>
          <w:rFonts w:ascii="MS PGothic" w:cs="MS PGothic" w:eastAsia="MS PGothic" w:hAnsi="MS PGothic"/>
          <w:sz w:val="17"/>
          <w:szCs w:val="17"/>
          <w:color w:val="auto"/>
        </w:rPr>
        <w:t>‑</w:t>
      </w:r>
      <w:r>
        <w:rPr>
          <w:rFonts w:ascii="Arial" w:cs="Arial" w:eastAsia="Arial" w:hAnsi="Arial"/>
          <w:sz w:val="17"/>
          <w:szCs w:val="17"/>
          <w:color w:val="auto"/>
        </w:rPr>
        <w:t>year period. Similar rules apply under state tax laws. We may experience an ownership change from future transactions in our stock,</w:t>
      </w:r>
    </w:p>
    <w:p>
      <w:pPr>
        <w:spacing w:after="0" w:line="204"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33" w:name="page34"/>
    <w:bookmarkEnd w:id="33"/>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380" w:right="379"/>
        <w:spacing w:after="0" w:line="221" w:lineRule="exact"/>
        <w:rPr>
          <w:sz w:val="20"/>
          <w:szCs w:val="20"/>
          <w:color w:val="auto"/>
        </w:rPr>
      </w:pPr>
      <w:r>
        <w:rPr>
          <w:rFonts w:ascii="Arial" w:cs="Arial" w:eastAsia="Arial" w:hAnsi="Arial"/>
          <w:sz w:val="18"/>
          <w:szCs w:val="18"/>
          <w:color w:val="auto"/>
        </w:rPr>
        <w:t>some of which may be outside our control. As a result, if we earn net taxable income, our ability to use pre</w:t>
      </w:r>
      <w:r>
        <w:rPr>
          <w:rFonts w:ascii="MS PGothic" w:cs="MS PGothic" w:eastAsia="MS PGothic" w:hAnsi="MS PGothic"/>
          <w:sz w:val="18"/>
          <w:szCs w:val="18"/>
          <w:color w:val="auto"/>
        </w:rPr>
        <w:t>‑</w:t>
      </w:r>
      <w:r>
        <w:rPr>
          <w:rFonts w:ascii="Arial" w:cs="Arial" w:eastAsia="Arial" w:hAnsi="Arial"/>
          <w:sz w:val="18"/>
          <w:szCs w:val="18"/>
          <w:color w:val="auto"/>
        </w:rPr>
        <w:t>change net operating loss carryforwards or other pre</w:t>
      </w:r>
      <w:r>
        <w:rPr>
          <w:rFonts w:ascii="MS PGothic" w:cs="MS PGothic" w:eastAsia="MS PGothic" w:hAnsi="MS PGothic"/>
          <w:sz w:val="18"/>
          <w:szCs w:val="18"/>
          <w:color w:val="auto"/>
        </w:rPr>
        <w:t>‑</w:t>
      </w:r>
      <w:r>
        <w:rPr>
          <w:rFonts w:ascii="Arial" w:cs="Arial" w:eastAsia="Arial" w:hAnsi="Arial"/>
          <w:sz w:val="18"/>
          <w:szCs w:val="18"/>
          <w:color w:val="auto"/>
        </w:rPr>
        <w:t>change tax attributes to offset U.S. federal and state taxable income and taxes may be subject to incremental limitations.</w:t>
      </w:r>
    </w:p>
    <w:p>
      <w:pPr>
        <w:spacing w:after="0" w:line="202" w:lineRule="exact"/>
        <w:rPr>
          <w:sz w:val="20"/>
          <w:szCs w:val="20"/>
          <w:color w:val="auto"/>
        </w:rPr>
      </w:pPr>
    </w:p>
    <w:p>
      <w:pPr>
        <w:ind w:left="380" w:right="379" w:firstLine="648"/>
        <w:spacing w:after="0" w:line="257" w:lineRule="auto"/>
        <w:rPr>
          <w:sz w:val="20"/>
          <w:szCs w:val="20"/>
          <w:color w:val="auto"/>
        </w:rPr>
      </w:pPr>
      <w:r>
        <w:rPr>
          <w:rFonts w:ascii="Arial" w:cs="Arial" w:eastAsia="Arial" w:hAnsi="Arial"/>
          <w:sz w:val="18"/>
          <w:szCs w:val="18"/>
          <w:color w:val="auto"/>
        </w:rPr>
        <w:t>We are engaged in a number of intercompany transactions across multiple tax jurisdictions. Although we believe that these transactions reflect the accurate economic allocation of profit and that the proper transfer pricing documentation is in place, the profit allocation and transfer pricing terms and conditions may be scrutinized by local tax authorities during an audit and any resulting changes may impact our mix of earnings in countries with differing statutory tax rates.</w:t>
      </w:r>
    </w:p>
    <w:p>
      <w:pPr>
        <w:spacing w:after="0" w:line="188" w:lineRule="exact"/>
        <w:rPr>
          <w:sz w:val="20"/>
          <w:szCs w:val="20"/>
          <w:color w:val="auto"/>
        </w:rPr>
      </w:pPr>
    </w:p>
    <w:p>
      <w:pPr>
        <w:ind w:left="380" w:right="479" w:firstLine="648"/>
        <w:spacing w:after="0" w:line="290" w:lineRule="auto"/>
        <w:rPr>
          <w:sz w:val="20"/>
          <w:szCs w:val="20"/>
          <w:color w:val="auto"/>
        </w:rPr>
      </w:pPr>
      <w:r>
        <w:rPr>
          <w:rFonts w:ascii="Arial" w:cs="Arial" w:eastAsia="Arial" w:hAnsi="Arial"/>
          <w:sz w:val="16"/>
          <w:szCs w:val="16"/>
          <w:color w:val="auto"/>
        </w:rPr>
        <w:t>We are also subject to the audit or examination of our tax returns by the IRS and other tax authorities whereby tax authorities could impose additional tariffs, duties, taxes, penalties and interest on us. The determination of our worldwide provision for income taxes and other tax liabilities requires significant judgment, and there are many transactions and calculations where the ultimate tax determination is uncertain. Although we believe our estimates are reasonable and our tax provisions are adequate, the final determination of tax audits and any related disputes could be materially different from our historical income tax provisions and accruals. The results of audits or related disputes could have an adverse effect on our financial statements and our financial results for the period or periods for which the applicable final determinations are made.</w:t>
      </w:r>
    </w:p>
    <w:p>
      <w:pPr>
        <w:spacing w:after="0" w:line="166" w:lineRule="exact"/>
        <w:rPr>
          <w:sz w:val="20"/>
          <w:szCs w:val="20"/>
          <w:color w:val="auto"/>
        </w:rPr>
      </w:pPr>
    </w:p>
    <w:p>
      <w:pPr>
        <w:ind w:left="380" w:right="439" w:firstLine="648"/>
        <w:spacing w:after="0" w:line="257" w:lineRule="auto"/>
        <w:rPr>
          <w:sz w:val="20"/>
          <w:szCs w:val="20"/>
          <w:color w:val="auto"/>
        </w:rPr>
      </w:pPr>
      <w:r>
        <w:rPr>
          <w:rFonts w:ascii="Arial" w:cs="Arial" w:eastAsia="Arial" w:hAnsi="Arial"/>
          <w:sz w:val="18"/>
          <w:szCs w:val="18"/>
          <w:color w:val="auto"/>
        </w:rPr>
        <w:t>Portions of our operations are subject to a reduced tax rate or are free of tax under various tax holidays and rulings that expire in whole or in part from time to time. These tax holidays and rulings may be extended when certain conditions are met, or terminated if certain conditions are not met. If the tax holidays and rulings are not extended, or if we fail to satisfy the conditions of the reduced tax rate, then our effective tax rate would increase in the future.</w:t>
      </w:r>
    </w:p>
    <w:p>
      <w:pPr>
        <w:spacing w:after="0" w:line="188" w:lineRule="exact"/>
        <w:rPr>
          <w:sz w:val="20"/>
          <w:szCs w:val="20"/>
          <w:color w:val="auto"/>
        </w:rPr>
      </w:pPr>
    </w:p>
    <w:p>
      <w:pPr>
        <w:ind w:left="380" w:right="459" w:firstLine="648"/>
        <w:spacing w:after="0" w:line="218" w:lineRule="exact"/>
        <w:rPr>
          <w:sz w:val="20"/>
          <w:szCs w:val="20"/>
          <w:color w:val="auto"/>
        </w:rPr>
      </w:pPr>
      <w:r>
        <w:rPr>
          <w:rFonts w:ascii="Arial" w:cs="Arial" w:eastAsia="Arial" w:hAnsi="Arial"/>
          <w:sz w:val="17"/>
          <w:szCs w:val="17"/>
          <w:color w:val="auto"/>
        </w:rPr>
        <w:t>Changes to the overall international tax environment, as well as changes to some of the tax laws of the foreign jurisdictions in which we operate, are expected as a result of the Base Erosion and Profit Shifting project (“BEPS”), undertaken by the Organisation for Economic Co</w:t>
      </w:r>
      <w:r>
        <w:rPr>
          <w:rFonts w:ascii="MS PGothic" w:cs="MS PGothic" w:eastAsia="MS PGothic" w:hAnsi="MS PGothic"/>
          <w:sz w:val="17"/>
          <w:szCs w:val="17"/>
          <w:color w:val="auto"/>
        </w:rPr>
        <w:t>‑</w:t>
      </w:r>
      <w:r>
        <w:rPr>
          <w:rFonts w:ascii="Arial" w:cs="Arial" w:eastAsia="Arial" w:hAnsi="Arial"/>
          <w:sz w:val="17"/>
          <w:szCs w:val="17"/>
          <w:color w:val="auto"/>
        </w:rPr>
        <w:t>operation and Development (“OECD”). The OECD, which represents a coalition of member countries that encompass many of the jurisdictions in which we operate, has promulgated recommended changes to numerous long standing international tax principles through its BEPS project. It is expected that jurisdictions in which we do business may continue to react to the BEPS initiative by enacting tax legislation, and our business could be materially impacted. Our transfer pricing arrangements and principles are reviewed annually; changes may need to be incorporated as the BEPS principles are fully implemented on a global basis.</w:t>
      </w:r>
    </w:p>
    <w:p>
      <w:pPr>
        <w:spacing w:after="0" w:line="204" w:lineRule="exact"/>
        <w:rPr>
          <w:sz w:val="20"/>
          <w:szCs w:val="20"/>
          <w:color w:val="auto"/>
        </w:rPr>
      </w:pPr>
    </w:p>
    <w:p>
      <w:pPr>
        <w:ind w:left="380" w:right="459"/>
        <w:spacing w:after="0" w:line="277" w:lineRule="auto"/>
        <w:rPr>
          <w:sz w:val="20"/>
          <w:szCs w:val="20"/>
          <w:color w:val="auto"/>
        </w:rPr>
      </w:pPr>
      <w:r>
        <w:rPr>
          <w:rFonts w:ascii="Arial" w:cs="Arial" w:eastAsia="Arial" w:hAnsi="Arial"/>
          <w:sz w:val="18"/>
          <w:szCs w:val="18"/>
          <w:b w:val="1"/>
          <w:bCs w:val="1"/>
          <w:i w:val="1"/>
          <w:iCs w:val="1"/>
          <w:color w:val="auto"/>
        </w:rPr>
        <w:t>Our insurance policies may not provide adequate levels of coverage against all claims and we may incur losses that are not covered by our insurance.</w:t>
      </w:r>
    </w:p>
    <w:p>
      <w:pPr>
        <w:spacing w:after="0" w:line="170" w:lineRule="exact"/>
        <w:rPr>
          <w:sz w:val="20"/>
          <w:szCs w:val="20"/>
          <w:color w:val="auto"/>
        </w:rPr>
      </w:pPr>
    </w:p>
    <w:p>
      <w:pPr>
        <w:ind w:left="380" w:right="379" w:firstLine="648"/>
        <w:spacing w:after="0" w:line="218" w:lineRule="exact"/>
        <w:rPr>
          <w:sz w:val="20"/>
          <w:szCs w:val="20"/>
          <w:color w:val="auto"/>
        </w:rPr>
      </w:pPr>
      <w:r>
        <w:rPr>
          <w:rFonts w:ascii="Arial" w:cs="Arial" w:eastAsia="Arial" w:hAnsi="Arial"/>
          <w:sz w:val="17"/>
          <w:szCs w:val="17"/>
          <w:color w:val="auto"/>
        </w:rPr>
        <w:t>We maintain insurance of the type and in amounts that we believe is commercially reasonable and that is available to businesses in our industry. We carry various types of insurance, including general liability, auto liability, workers’ compensation, cyber and excess umbrella, from highly rated insurance carriers on all of our properties. We believe that the policy specifications and insured limits are adequate for foreseeable losses with terms and conditions that are reasonable and customary for similar businesses and are within industry standards. Nevertheless, market forces beyond our control could limit the scope of the insurance coverage that we can obtain in the future or restrict our ability to buy insurance coverage at reasonable rates. We cannot predict the level of the premiums that we may be required to pay for subsequent insurance coverage, the level of any deductible and/or self</w:t>
      </w:r>
      <w:r>
        <w:rPr>
          <w:rFonts w:ascii="MS PGothic" w:cs="MS PGothic" w:eastAsia="MS PGothic" w:hAnsi="MS PGothic"/>
          <w:sz w:val="17"/>
          <w:szCs w:val="17"/>
          <w:color w:val="auto"/>
        </w:rPr>
        <w:t>‑</w:t>
      </w:r>
      <w:r>
        <w:rPr>
          <w:rFonts w:ascii="Arial" w:cs="Arial" w:eastAsia="Arial" w:hAnsi="Arial"/>
          <w:sz w:val="17"/>
          <w:szCs w:val="17"/>
          <w:color w:val="auto"/>
        </w:rPr>
        <w:t>insurance retention applicable thereto, the level of aggregate coverage available or the availability of coverage for specific risks.</w:t>
      </w:r>
    </w:p>
    <w:p>
      <w:pPr>
        <w:spacing w:after="0" w:line="202" w:lineRule="exact"/>
        <w:rPr>
          <w:sz w:val="20"/>
          <w:szCs w:val="20"/>
          <w:color w:val="auto"/>
        </w:rPr>
      </w:pPr>
    </w:p>
    <w:p>
      <w:pPr>
        <w:ind w:left="380" w:right="479" w:firstLine="648"/>
        <w:spacing w:after="0" w:line="255" w:lineRule="auto"/>
        <w:rPr>
          <w:sz w:val="20"/>
          <w:szCs w:val="20"/>
          <w:color w:val="auto"/>
        </w:rPr>
      </w:pPr>
      <w:r>
        <w:rPr>
          <w:rFonts w:ascii="Arial" w:cs="Arial" w:eastAsia="Arial" w:hAnsi="Arial"/>
          <w:sz w:val="18"/>
          <w:szCs w:val="18"/>
          <w:color w:val="auto"/>
        </w:rPr>
        <w:t>In the event of a substantial loss, the insurance coverage that we carry may not be sufficient to compensate us for the losses we incur or any costs for which we are responsible. In addition, there are types of losses we may incur that cannot be insured against or that we believe are not commercially reasonable to insure. For example, we maintain business interruption insurance, but there can be no assurance that the coverage for a severe or prolonged business interruption would be adequate and the deductibles for such insurance may be high. These losses, if they occur, could materially adversely affect our business, financial condition and results of operations.</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34" w:name="page35"/>
    <w:bookmarkEnd w:id="34"/>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380" w:right="439"/>
        <w:spacing w:after="0" w:line="277" w:lineRule="auto"/>
        <w:rPr>
          <w:sz w:val="20"/>
          <w:szCs w:val="20"/>
          <w:color w:val="auto"/>
        </w:rPr>
      </w:pPr>
      <w:r>
        <w:rPr>
          <w:rFonts w:ascii="Arial" w:cs="Arial" w:eastAsia="Arial" w:hAnsi="Arial"/>
          <w:sz w:val="18"/>
          <w:szCs w:val="18"/>
          <w:b w:val="1"/>
          <w:bCs w:val="1"/>
          <w:i w:val="1"/>
          <w:iCs w:val="1"/>
          <w:color w:val="auto"/>
        </w:rPr>
        <w:t>We are subject to product liability, warranty and recall claims, and our insurance coverage may not cover such claims.</w:t>
      </w:r>
    </w:p>
    <w:p>
      <w:pPr>
        <w:spacing w:after="0" w:line="170" w:lineRule="exact"/>
        <w:rPr>
          <w:sz w:val="20"/>
          <w:szCs w:val="20"/>
          <w:color w:val="auto"/>
        </w:rPr>
      </w:pPr>
    </w:p>
    <w:p>
      <w:pPr>
        <w:ind w:left="380" w:right="499" w:firstLine="648"/>
        <w:spacing w:after="0" w:line="271" w:lineRule="auto"/>
        <w:rPr>
          <w:sz w:val="20"/>
          <w:szCs w:val="20"/>
          <w:color w:val="auto"/>
        </w:rPr>
      </w:pPr>
      <w:r>
        <w:rPr>
          <w:rFonts w:ascii="Arial" w:cs="Arial" w:eastAsia="Arial" w:hAnsi="Arial"/>
          <w:sz w:val="17"/>
          <w:szCs w:val="17"/>
          <w:color w:val="auto"/>
        </w:rPr>
        <w:t>Our products expose us to warranty claims and product liability claims if products we manufacture, sell or design actually or allegedly fail to perform as expected, or the use of those products results, or is alleged to result, in personal injury, death or property damage. Further, we or one or more of our suppliers might not adhere to product safety requirements or quality control standards, and products may be shipped to retail partners before the issue is identified. If this occurs, we may have to recall our products to address performance, compliance or other safety related issues. The financial costs we may incur in connection with these recalls typically would include the cost of the product being replaced or repaired and associated labor and administrative costs and, if applicable, governmental fines and/or penalties.</w:t>
      </w:r>
    </w:p>
    <w:p>
      <w:pPr>
        <w:spacing w:after="0" w:line="179" w:lineRule="exact"/>
        <w:rPr>
          <w:sz w:val="20"/>
          <w:szCs w:val="20"/>
          <w:color w:val="auto"/>
        </w:rPr>
      </w:pPr>
    </w:p>
    <w:p>
      <w:pPr>
        <w:ind w:left="380" w:right="439" w:firstLine="648"/>
        <w:spacing w:after="0" w:line="293" w:lineRule="auto"/>
        <w:rPr>
          <w:sz w:val="20"/>
          <w:szCs w:val="20"/>
          <w:color w:val="auto"/>
        </w:rPr>
      </w:pPr>
      <w:r>
        <w:rPr>
          <w:rFonts w:ascii="Arial" w:cs="Arial" w:eastAsia="Arial" w:hAnsi="Arial"/>
          <w:sz w:val="16"/>
          <w:szCs w:val="16"/>
          <w:color w:val="auto"/>
        </w:rPr>
        <w:t>Product recalls can harm our reputation and cause us to lose customers, particularly if those recalls cause consumers to question the performance, quality, safety or reliability of our products. Substantial costs incurred or lost sales caused by future product recalls could materially adversely affect our business, financial condition and results of operations. Conversely, not issuing a recall or not issuing a recall on a timely basis can harm our reputation and cause us to lose customers for the same reasons as expressed above. Product recalls, withdrawals, repairs or replacements may also increase the amount of competition that we face.</w:t>
      </w:r>
    </w:p>
    <w:p>
      <w:pPr>
        <w:spacing w:after="0" w:line="165" w:lineRule="exact"/>
        <w:rPr>
          <w:sz w:val="20"/>
          <w:szCs w:val="20"/>
          <w:color w:val="auto"/>
        </w:rPr>
      </w:pPr>
    </w:p>
    <w:p>
      <w:pPr>
        <w:ind w:left="380" w:right="439" w:firstLine="648"/>
        <w:spacing w:after="0" w:line="286" w:lineRule="auto"/>
        <w:rPr>
          <w:sz w:val="20"/>
          <w:szCs w:val="20"/>
          <w:color w:val="auto"/>
        </w:rPr>
      </w:pPr>
      <w:r>
        <w:rPr>
          <w:rFonts w:ascii="Arial" w:cs="Arial" w:eastAsia="Arial" w:hAnsi="Arial"/>
          <w:sz w:val="16"/>
          <w:szCs w:val="16"/>
          <w:color w:val="auto"/>
        </w:rPr>
        <w:t>We vigorously defend or attempt to settle all product liability cases brought against us. However, there is no assurance that we can successfully defend or settle all such cases. We believe that we are not currently subject to any material product liability claims not covered by insurance or vendor indemnity, although the ultimate outcome of these and future claims cannot presently be determined. Because product liability claims are part of the ordinary course of our business, we maintain product liability insurance which we currently believe is adequate. Our insurance policies provide coverage against claims resulting from alleged injuries arising from our products sustained during the respective policy periods, subject to policy terms and conditions. We believe the insurance will be renewed on substantially similar terms upon its expiry but there can be no assurance that this coverage will be renewed or otherwise remain available in the future, that our insurers will be financially viable when payment of a claim is required, that the cost of such insurance will not increase, or that this insurance will ultimately prove to be adequate under our various policies. Furthermore, future rate increases might make insurance uneconomical for us to maintain. These potential insurance problems or any adverse outcome in any liability suit could create increased expenses which could harm our business. We are unable to predict the nature of product liability claims that may be made against us in the future with respect to injuries, diseases or other illnesses resulting from the use of our products or the materials incorporated in our products.</w:t>
      </w:r>
    </w:p>
    <w:p>
      <w:pPr>
        <w:spacing w:after="0" w:line="169" w:lineRule="exact"/>
        <w:rPr>
          <w:sz w:val="20"/>
          <w:szCs w:val="20"/>
          <w:color w:val="auto"/>
        </w:rPr>
      </w:pPr>
    </w:p>
    <w:p>
      <w:pPr>
        <w:jc w:val="both"/>
        <w:ind w:left="380" w:right="439" w:firstLine="648"/>
        <w:spacing w:after="0" w:line="259" w:lineRule="auto"/>
        <w:rPr>
          <w:sz w:val="20"/>
          <w:szCs w:val="20"/>
          <w:color w:val="auto"/>
        </w:rPr>
      </w:pPr>
      <w:r>
        <w:rPr>
          <w:rFonts w:ascii="Arial" w:cs="Arial" w:eastAsia="Arial" w:hAnsi="Arial"/>
          <w:sz w:val="18"/>
          <w:szCs w:val="18"/>
          <w:color w:val="auto"/>
        </w:rPr>
        <w:t>Our actual product warranty obligations could materially differ from historical rates, which would oblige us to revise our estimated warranty liability accordingly. Adverse determinations of material product liability and warranty claims made against us could materially adversely affect our business, financial condition and results of operations and could harm the reputation of our brands.</w:t>
      </w:r>
    </w:p>
    <w:p>
      <w:pPr>
        <w:spacing w:after="0" w:line="187" w:lineRule="exact"/>
        <w:rPr>
          <w:sz w:val="20"/>
          <w:szCs w:val="20"/>
          <w:color w:val="auto"/>
        </w:rPr>
      </w:pPr>
    </w:p>
    <w:p>
      <w:pPr>
        <w:ind w:left="380" w:right="559"/>
        <w:spacing w:after="0" w:line="381" w:lineRule="auto"/>
        <w:rPr>
          <w:sz w:val="20"/>
          <w:szCs w:val="20"/>
          <w:color w:val="auto"/>
        </w:rPr>
      </w:pPr>
      <w:r>
        <w:rPr>
          <w:rFonts w:ascii="Arial" w:cs="Arial" w:eastAsia="Arial" w:hAnsi="Arial"/>
          <w:sz w:val="15"/>
          <w:szCs w:val="15"/>
          <w:b w:val="1"/>
          <w:bCs w:val="1"/>
          <w:i w:val="1"/>
          <w:iCs w:val="1"/>
          <w:color w:val="auto"/>
        </w:rPr>
        <w:t>We may be subject to litigation and other regulatory proceedings which may result in the expense of time and resources and could materially adversely affect our business, financial condition and results of operations.</w:t>
      </w:r>
    </w:p>
    <w:p>
      <w:pPr>
        <w:spacing w:after="0" w:line="101" w:lineRule="exact"/>
        <w:rPr>
          <w:sz w:val="20"/>
          <w:szCs w:val="20"/>
          <w:color w:val="auto"/>
        </w:rPr>
      </w:pPr>
    </w:p>
    <w:p>
      <w:pPr>
        <w:ind w:left="380" w:right="419" w:firstLine="648"/>
        <w:spacing w:after="0" w:line="255" w:lineRule="auto"/>
        <w:rPr>
          <w:sz w:val="20"/>
          <w:szCs w:val="20"/>
          <w:color w:val="auto"/>
        </w:rPr>
      </w:pPr>
      <w:r>
        <w:rPr>
          <w:rFonts w:ascii="Arial" w:cs="Arial" w:eastAsia="Arial" w:hAnsi="Arial"/>
          <w:sz w:val="18"/>
          <w:szCs w:val="18"/>
          <w:color w:val="auto"/>
        </w:rPr>
        <w:t>From time to time, we are involved in lawsuits and regulatory actions relating to our business, including those relating to intellectual property, antitrust, commercial and employment matters. Due to the inherent uncertainties of litigation and regulatory proceedings, we cannot accurately predict the likelihood of such lawsuits or regulatory proceedings occurring or the ultimate outcome of any such proceedings. An unfavorable outcome could materially adversely affect our business, financial condition and results of operations. In addition, any such proceeding, regardless of its merits, could divert management’s attention from our operations and result in substantial legal fees.</w:t>
      </w:r>
    </w:p>
    <w:p>
      <w:pPr>
        <w:spacing w:after="0" w:line="187"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35" w:name="page36"/>
    <w:bookmarkEnd w:id="35"/>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380" w:right="579"/>
        <w:spacing w:after="0" w:line="277" w:lineRule="auto"/>
        <w:rPr>
          <w:sz w:val="20"/>
          <w:szCs w:val="20"/>
          <w:color w:val="auto"/>
        </w:rPr>
      </w:pPr>
      <w:r>
        <w:rPr>
          <w:rFonts w:ascii="Arial" w:cs="Arial" w:eastAsia="Arial" w:hAnsi="Arial"/>
          <w:sz w:val="18"/>
          <w:szCs w:val="18"/>
          <w:b w:val="1"/>
          <w:bCs w:val="1"/>
          <w:i w:val="1"/>
          <w:iCs w:val="1"/>
          <w:color w:val="auto"/>
        </w:rPr>
        <w:t>We are subject to environmental, health and safety laws and regulations, which could subject us to liabilities, increase our costs or restrict our operations in the future.</w:t>
      </w:r>
    </w:p>
    <w:p>
      <w:pPr>
        <w:spacing w:after="0" w:line="170" w:lineRule="exact"/>
        <w:rPr>
          <w:sz w:val="20"/>
          <w:szCs w:val="20"/>
          <w:color w:val="auto"/>
        </w:rPr>
      </w:pPr>
    </w:p>
    <w:p>
      <w:pPr>
        <w:ind w:left="380" w:right="379" w:firstLine="648"/>
        <w:spacing w:after="0" w:line="272" w:lineRule="auto"/>
        <w:rPr>
          <w:sz w:val="20"/>
          <w:szCs w:val="20"/>
          <w:color w:val="auto"/>
        </w:rPr>
      </w:pPr>
      <w:r>
        <w:rPr>
          <w:rFonts w:ascii="Arial" w:cs="Arial" w:eastAsia="Arial" w:hAnsi="Arial"/>
          <w:sz w:val="17"/>
          <w:szCs w:val="17"/>
          <w:color w:val="auto"/>
        </w:rPr>
        <w:t>Our properties and operations are subject to a number of environmental, health and safety laws and regulations in each of the jurisdictions in which we operate. These laws and regulations govern, among other things, air emissions, water discharges, handling and disposal of solid and hazardous substances and wastes, soil and groundwater contamination and employee health and safety. Our failure to comply with such environmental, health and safety laws and regulations could result in substantial civil or criminal fines or penalties or enforcement actions, including regulatory or judicial orders enjoining or curtailing operations or requiring remedial or corrective measures, installation of pollution control equipment or other actions.</w:t>
      </w:r>
    </w:p>
    <w:p>
      <w:pPr>
        <w:spacing w:after="0" w:line="178" w:lineRule="exact"/>
        <w:rPr>
          <w:sz w:val="20"/>
          <w:szCs w:val="20"/>
          <w:color w:val="auto"/>
        </w:rPr>
      </w:pPr>
    </w:p>
    <w:p>
      <w:pPr>
        <w:ind w:left="380" w:right="439" w:firstLine="648"/>
        <w:spacing w:after="0" w:line="255" w:lineRule="auto"/>
        <w:rPr>
          <w:sz w:val="20"/>
          <w:szCs w:val="20"/>
          <w:color w:val="auto"/>
        </w:rPr>
      </w:pPr>
      <w:r>
        <w:rPr>
          <w:rFonts w:ascii="Arial" w:cs="Arial" w:eastAsia="Arial" w:hAnsi="Arial"/>
          <w:sz w:val="18"/>
          <w:szCs w:val="18"/>
          <w:color w:val="auto"/>
        </w:rPr>
        <w:t>We may also be subject to liability for environmental investigations and cleanups, including at properties that we currently or previously owned or operated, even if such contamination was not caused by us, and we may face claims alleging harm to health or property or natural resource damages arising out of contamination or exposure to hazardous substances. We may also be subject to similar liabilities and claims in connection with locations at which hazardous substances or wastes we have generated have been stored, treated, otherwise managed, or disposed.</w:t>
      </w:r>
    </w:p>
    <w:p>
      <w:pPr>
        <w:spacing w:after="0" w:line="193" w:lineRule="exact"/>
        <w:rPr>
          <w:sz w:val="20"/>
          <w:szCs w:val="20"/>
          <w:color w:val="auto"/>
        </w:rPr>
      </w:pPr>
    </w:p>
    <w:p>
      <w:pPr>
        <w:ind w:left="380" w:right="419" w:firstLine="648"/>
        <w:spacing w:after="0" w:line="290" w:lineRule="auto"/>
        <w:rPr>
          <w:sz w:val="20"/>
          <w:szCs w:val="20"/>
          <w:color w:val="auto"/>
        </w:rPr>
      </w:pPr>
      <w:r>
        <w:rPr>
          <w:rFonts w:ascii="Arial" w:cs="Arial" w:eastAsia="Arial" w:hAnsi="Arial"/>
          <w:sz w:val="16"/>
          <w:szCs w:val="16"/>
          <w:color w:val="auto"/>
        </w:rPr>
        <w:t>We use certain substances and generate certain wastes that may be deemed hazardous or toxic under environmental laws, and we from time to time have incurred, and in the future may incur, costs related to cleaning up contamination resulting from historic uses of certain of our current or former properties or our treatment, storage or disposal of wastes at facilities owned by others. The costs of investigation, remediation or removal of such materials may be substantial, and the presence of those substances, or the failure to remediate a property properly, may impair our ability to use, transfer or obtain financing regarding our property. Liability in many situations may be imposed not only without regard to fault, but may also be joint and several, so that we may be held responsible for more than our share of the contamination or other damages, or even for the entire amount.</w:t>
      </w:r>
    </w:p>
    <w:p>
      <w:pPr>
        <w:spacing w:after="0" w:line="166" w:lineRule="exact"/>
        <w:rPr>
          <w:sz w:val="20"/>
          <w:szCs w:val="20"/>
          <w:color w:val="auto"/>
        </w:rPr>
      </w:pPr>
    </w:p>
    <w:p>
      <w:pPr>
        <w:ind w:left="380" w:right="439" w:firstLine="648"/>
        <w:spacing w:after="0" w:line="259" w:lineRule="auto"/>
        <w:rPr>
          <w:sz w:val="20"/>
          <w:szCs w:val="20"/>
          <w:color w:val="auto"/>
        </w:rPr>
      </w:pPr>
      <w:r>
        <w:rPr>
          <w:rFonts w:ascii="Arial" w:cs="Arial" w:eastAsia="Arial" w:hAnsi="Arial"/>
          <w:sz w:val="18"/>
          <w:szCs w:val="18"/>
          <w:color w:val="auto"/>
        </w:rPr>
        <w:t>Environmental conditions at or related to our current or former properties or operations, and/or the costs of complying with current or future environmental, health and safety requirements (which have become more stringent and complex over time) could materially adversely affect our business, financial condition and results of operations.</w:t>
      </w:r>
    </w:p>
    <w:p>
      <w:pPr>
        <w:spacing w:after="0" w:line="187" w:lineRule="exact"/>
        <w:rPr>
          <w:sz w:val="20"/>
          <w:szCs w:val="20"/>
          <w:color w:val="auto"/>
        </w:rPr>
      </w:pPr>
    </w:p>
    <w:p>
      <w:pPr>
        <w:ind w:left="380" w:right="499"/>
        <w:spacing w:after="0" w:line="264" w:lineRule="auto"/>
        <w:rPr>
          <w:sz w:val="20"/>
          <w:szCs w:val="20"/>
          <w:color w:val="auto"/>
        </w:rPr>
      </w:pPr>
      <w:r>
        <w:rPr>
          <w:rFonts w:ascii="Arial" w:cs="Arial" w:eastAsia="Arial" w:hAnsi="Arial"/>
          <w:sz w:val="18"/>
          <w:szCs w:val="18"/>
          <w:b w:val="1"/>
          <w:bCs w:val="1"/>
          <w:i w:val="1"/>
          <w:iCs w:val="1"/>
          <w:color w:val="auto"/>
        </w:rPr>
        <w:t>We may require additional capital in the future and we cannot give any assurance that such capital will be available at all or available on terms acceptable to us and, if it is available, additional capital raised by us may dilute holders of our common stock.</w:t>
      </w:r>
    </w:p>
    <w:p>
      <w:pPr>
        <w:spacing w:after="0" w:line="181" w:lineRule="exact"/>
        <w:rPr>
          <w:sz w:val="20"/>
          <w:szCs w:val="20"/>
          <w:color w:val="auto"/>
        </w:rPr>
      </w:pPr>
    </w:p>
    <w:p>
      <w:pPr>
        <w:ind w:left="1040"/>
        <w:spacing w:after="0"/>
        <w:rPr>
          <w:sz w:val="20"/>
          <w:szCs w:val="20"/>
          <w:color w:val="auto"/>
        </w:rPr>
      </w:pPr>
      <w:r>
        <w:rPr>
          <w:rFonts w:ascii="Arial" w:cs="Arial" w:eastAsia="Arial" w:hAnsi="Arial"/>
          <w:sz w:val="17"/>
          <w:szCs w:val="17"/>
          <w:color w:val="auto"/>
        </w:rPr>
        <w:t>We may need to raise additional funds through public or private debt or equity financings in order to:</w:t>
      </w:r>
    </w:p>
    <w:p>
      <w:pPr>
        <w:spacing w:after="0" w:line="237" w:lineRule="exact"/>
        <w:rPr>
          <w:sz w:val="20"/>
          <w:szCs w:val="20"/>
          <w:color w:val="auto"/>
        </w:rPr>
      </w:pPr>
    </w:p>
    <w:p>
      <w:pPr>
        <w:ind w:left="1360" w:hanging="329"/>
        <w:spacing w:after="0"/>
        <w:tabs>
          <w:tab w:leader="none" w:pos="1360" w:val="left"/>
        </w:tabs>
        <w:numPr>
          <w:ilvl w:val="0"/>
          <w:numId w:val="9"/>
        </w:numPr>
        <w:rPr>
          <w:rFonts w:ascii="Arial" w:cs="Arial" w:eastAsia="Arial" w:hAnsi="Arial"/>
          <w:sz w:val="18"/>
          <w:szCs w:val="18"/>
          <w:color w:val="auto"/>
        </w:rPr>
      </w:pPr>
      <w:r>
        <w:rPr>
          <w:rFonts w:ascii="Arial" w:cs="Arial" w:eastAsia="Arial" w:hAnsi="Arial"/>
          <w:sz w:val="18"/>
          <w:szCs w:val="18"/>
          <w:color w:val="auto"/>
        </w:rPr>
        <w:t>fund ongoing operations;</w:t>
      </w:r>
    </w:p>
    <w:p>
      <w:pPr>
        <w:spacing w:after="0" w:line="225" w:lineRule="exact"/>
        <w:rPr>
          <w:rFonts w:ascii="Arial" w:cs="Arial" w:eastAsia="Arial" w:hAnsi="Arial"/>
          <w:sz w:val="18"/>
          <w:szCs w:val="18"/>
          <w:color w:val="auto"/>
        </w:rPr>
      </w:pPr>
    </w:p>
    <w:p>
      <w:pPr>
        <w:ind w:left="1360" w:right="1239" w:hanging="329"/>
        <w:spacing w:after="0" w:line="277" w:lineRule="auto"/>
        <w:tabs>
          <w:tab w:leader="none" w:pos="1360" w:val="left"/>
        </w:tabs>
        <w:numPr>
          <w:ilvl w:val="0"/>
          <w:numId w:val="9"/>
        </w:numPr>
        <w:rPr>
          <w:rFonts w:ascii="Arial" w:cs="Arial" w:eastAsia="Arial" w:hAnsi="Arial"/>
          <w:sz w:val="18"/>
          <w:szCs w:val="18"/>
          <w:color w:val="auto"/>
        </w:rPr>
      </w:pPr>
      <w:r>
        <w:rPr>
          <w:rFonts w:ascii="Arial" w:cs="Arial" w:eastAsia="Arial" w:hAnsi="Arial"/>
          <w:sz w:val="18"/>
          <w:szCs w:val="18"/>
          <w:color w:val="auto"/>
        </w:rPr>
        <w:t>take advantage of opportunities, including expansion of our business or the acquisition of complementary products, technologies or businesses;</w:t>
      </w:r>
    </w:p>
    <w:p>
      <w:pPr>
        <w:spacing w:after="0" w:line="170" w:lineRule="exact"/>
        <w:rPr>
          <w:rFonts w:ascii="Arial" w:cs="Arial" w:eastAsia="Arial" w:hAnsi="Arial"/>
          <w:sz w:val="18"/>
          <w:szCs w:val="18"/>
          <w:color w:val="auto"/>
        </w:rPr>
      </w:pPr>
    </w:p>
    <w:p>
      <w:pPr>
        <w:ind w:left="1360" w:hanging="329"/>
        <w:spacing w:after="0"/>
        <w:tabs>
          <w:tab w:leader="none" w:pos="1360" w:val="left"/>
        </w:tabs>
        <w:numPr>
          <w:ilvl w:val="0"/>
          <w:numId w:val="9"/>
        </w:numPr>
        <w:rPr>
          <w:rFonts w:ascii="Arial" w:cs="Arial" w:eastAsia="Arial" w:hAnsi="Arial"/>
          <w:sz w:val="18"/>
          <w:szCs w:val="18"/>
          <w:color w:val="auto"/>
        </w:rPr>
      </w:pPr>
      <w:r>
        <w:rPr>
          <w:rFonts w:ascii="Arial" w:cs="Arial" w:eastAsia="Arial" w:hAnsi="Arial"/>
          <w:sz w:val="18"/>
          <w:szCs w:val="18"/>
          <w:color w:val="auto"/>
        </w:rPr>
        <w:t>develop new products; or</w:t>
      </w:r>
    </w:p>
    <w:p>
      <w:pPr>
        <w:spacing w:after="0" w:line="225" w:lineRule="exact"/>
        <w:rPr>
          <w:rFonts w:ascii="Arial" w:cs="Arial" w:eastAsia="Arial" w:hAnsi="Arial"/>
          <w:sz w:val="18"/>
          <w:szCs w:val="18"/>
          <w:color w:val="auto"/>
        </w:rPr>
      </w:pPr>
    </w:p>
    <w:p>
      <w:pPr>
        <w:ind w:left="1360" w:hanging="329"/>
        <w:spacing w:after="0"/>
        <w:tabs>
          <w:tab w:leader="none" w:pos="1360" w:val="left"/>
        </w:tabs>
        <w:numPr>
          <w:ilvl w:val="0"/>
          <w:numId w:val="9"/>
        </w:numPr>
        <w:rPr>
          <w:rFonts w:ascii="Arial" w:cs="Arial" w:eastAsia="Arial" w:hAnsi="Arial"/>
          <w:sz w:val="18"/>
          <w:szCs w:val="18"/>
          <w:color w:val="auto"/>
        </w:rPr>
      </w:pPr>
      <w:r>
        <w:rPr>
          <w:rFonts w:ascii="Arial" w:cs="Arial" w:eastAsia="Arial" w:hAnsi="Arial"/>
          <w:sz w:val="18"/>
          <w:szCs w:val="18"/>
          <w:color w:val="auto"/>
        </w:rPr>
        <w:t>respond to competitive pressures.</w:t>
      </w:r>
    </w:p>
    <w:p>
      <w:pPr>
        <w:spacing w:after="0" w:line="225" w:lineRule="exact"/>
        <w:rPr>
          <w:sz w:val="20"/>
          <w:szCs w:val="20"/>
          <w:color w:val="auto"/>
        </w:rPr>
      </w:pPr>
    </w:p>
    <w:p>
      <w:pPr>
        <w:ind w:left="380" w:right="399" w:firstLine="648"/>
        <w:spacing w:after="0" w:line="271" w:lineRule="auto"/>
        <w:rPr>
          <w:sz w:val="20"/>
          <w:szCs w:val="20"/>
          <w:color w:val="auto"/>
        </w:rPr>
      </w:pPr>
      <w:r>
        <w:rPr>
          <w:rFonts w:ascii="Arial" w:cs="Arial" w:eastAsia="Arial" w:hAnsi="Arial"/>
          <w:sz w:val="17"/>
          <w:szCs w:val="17"/>
          <w:color w:val="auto"/>
        </w:rPr>
        <w:t>Any additional capital raised through the sale of equity or securities convertible into equity will dilute the percentage ownership of holders of our common stock. Capital raised through debt financing would require us to make periodic interest payments and may impose restrictive covenants on the conduct of our business. Furthermore, additional financings may not be available on terms favorable to us, or at all, especially during periods of adverse economic conditions, which could make it more difficult or impossible for us to obtain funding for the operation of our business, for making additional investments in product development and for repaying outstanding indebtedness. Our failure to obtain additional funding could prevent us from making expenditures that may be required to grow our business or maintain our operations.</w:t>
      </w:r>
    </w:p>
    <w:p>
      <w:pPr>
        <w:spacing w:after="0" w:line="176"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36" w:name="page37"/>
    <w:bookmarkEnd w:id="36"/>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380" w:right="659"/>
        <w:spacing w:after="0" w:line="277" w:lineRule="auto"/>
        <w:rPr>
          <w:sz w:val="20"/>
          <w:szCs w:val="20"/>
          <w:color w:val="auto"/>
        </w:rPr>
      </w:pPr>
      <w:r>
        <w:rPr>
          <w:rFonts w:ascii="Arial" w:cs="Arial" w:eastAsia="Arial" w:hAnsi="Arial"/>
          <w:sz w:val="18"/>
          <w:szCs w:val="18"/>
          <w:b w:val="1"/>
          <w:bCs w:val="1"/>
          <w:i w:val="1"/>
          <w:iCs w:val="1"/>
          <w:color w:val="auto"/>
        </w:rPr>
        <w:t>If our estimates or judgments relating to our critical accounting policies prove to be incorrect, our financial condition and results of operations could be adversely affected.</w:t>
      </w:r>
    </w:p>
    <w:p>
      <w:pPr>
        <w:spacing w:after="0" w:line="170" w:lineRule="exact"/>
        <w:rPr>
          <w:sz w:val="20"/>
          <w:szCs w:val="20"/>
          <w:color w:val="auto"/>
        </w:rPr>
      </w:pPr>
    </w:p>
    <w:p>
      <w:pPr>
        <w:ind w:left="380" w:right="439" w:firstLine="648"/>
        <w:spacing w:after="0" w:line="217" w:lineRule="exact"/>
        <w:rPr>
          <w:sz w:val="20"/>
          <w:szCs w:val="20"/>
          <w:color w:val="auto"/>
        </w:rPr>
      </w:pPr>
      <w:r>
        <w:rPr>
          <w:rFonts w:ascii="Arial" w:cs="Arial" w:eastAsia="Arial" w:hAnsi="Arial"/>
          <w:sz w:val="16"/>
          <w:szCs w:val="16"/>
          <w:color w:val="auto"/>
        </w:rPr>
        <w:t>The preparation of financial statements in conformity with U.S. GAAP requires management to make estimates and assumptions that affect the amounts reported in the consolidated financial statements and accompanying notes. We base our estimates on historical experience and on various other assumptions that we believe to be reasonable under the circumstances, as discussed under “Management’s Discussion and Analysis of Financial Condition and Results of Operations,” Item 7 of Part II, included elsewhere in this report. The results of these estimates form the basis for making judgments about the carrying values of assets, liabilities and equity, and the amount of revenue and expenses that are not readily apparent from other sources. Significant assumptions and estimates used in preparing our consolidated financial statements include those related to revenue recognition, allowance for doubtful accounts, inventory reserves, impairment of goodwill, indefinite</w:t>
      </w:r>
      <w:r>
        <w:rPr>
          <w:rFonts w:ascii="MS PGothic" w:cs="MS PGothic" w:eastAsia="MS PGothic" w:hAnsi="MS PGothic"/>
          <w:sz w:val="16"/>
          <w:szCs w:val="16"/>
          <w:color w:val="auto"/>
        </w:rPr>
        <w:t>‑</w:t>
      </w:r>
      <w:r>
        <w:rPr>
          <w:rFonts w:ascii="Arial" w:cs="Arial" w:eastAsia="Arial" w:hAnsi="Arial"/>
          <w:sz w:val="16"/>
          <w:szCs w:val="16"/>
          <w:color w:val="auto"/>
        </w:rPr>
        <w:t>lived and long</w:t>
      </w:r>
      <w:r>
        <w:rPr>
          <w:rFonts w:ascii="MS PGothic" w:cs="MS PGothic" w:eastAsia="MS PGothic" w:hAnsi="MS PGothic"/>
          <w:sz w:val="16"/>
          <w:szCs w:val="16"/>
          <w:color w:val="auto"/>
        </w:rPr>
        <w:t>‑</w:t>
      </w:r>
      <w:r>
        <w:rPr>
          <w:rFonts w:ascii="Arial" w:cs="Arial" w:eastAsia="Arial" w:hAnsi="Arial"/>
          <w:sz w:val="16"/>
          <w:szCs w:val="16"/>
          <w:color w:val="auto"/>
        </w:rPr>
        <w:t>lived assets, pension and other post</w:t>
      </w:r>
      <w:r>
        <w:rPr>
          <w:rFonts w:ascii="MS PGothic" w:cs="MS PGothic" w:eastAsia="MS PGothic" w:hAnsi="MS PGothic"/>
          <w:sz w:val="16"/>
          <w:szCs w:val="16"/>
          <w:color w:val="auto"/>
        </w:rPr>
        <w:t>‑</w:t>
      </w:r>
      <w:r>
        <w:rPr>
          <w:rFonts w:ascii="Arial" w:cs="Arial" w:eastAsia="Arial" w:hAnsi="Arial"/>
          <w:sz w:val="16"/>
          <w:szCs w:val="16"/>
          <w:color w:val="auto"/>
        </w:rPr>
        <w:t>retirement benefits, provisions for income taxes, valuation allowances for deferred tax assets, share</w:t>
      </w:r>
      <w:r>
        <w:rPr>
          <w:rFonts w:ascii="MS PGothic" w:cs="MS PGothic" w:eastAsia="MS PGothic" w:hAnsi="MS PGothic"/>
          <w:sz w:val="16"/>
          <w:szCs w:val="16"/>
          <w:color w:val="auto"/>
        </w:rPr>
        <w:t>‑</w:t>
      </w:r>
      <w:r>
        <w:rPr>
          <w:rFonts w:ascii="Arial" w:cs="Arial" w:eastAsia="Arial" w:hAnsi="Arial"/>
          <w:sz w:val="16"/>
          <w:szCs w:val="16"/>
          <w:color w:val="auto"/>
        </w:rPr>
        <w:t>based compensation and derivatives. Our financial condition and results of operations may be adversely affected if our assumptions change or if actual circumstances differ from those in our assumptions, which could cause our results of operations to fall below the expectations of securities analysts and investors, resulting in a decline in the price of our common stock.</w:t>
      </w:r>
    </w:p>
    <w:p>
      <w:pPr>
        <w:spacing w:after="0" w:line="204" w:lineRule="exact"/>
        <w:rPr>
          <w:sz w:val="20"/>
          <w:szCs w:val="20"/>
          <w:color w:val="auto"/>
        </w:rPr>
      </w:pPr>
    </w:p>
    <w:p>
      <w:pPr>
        <w:ind w:left="380" w:right="419"/>
        <w:spacing w:after="0" w:line="277" w:lineRule="auto"/>
        <w:rPr>
          <w:sz w:val="20"/>
          <w:szCs w:val="20"/>
          <w:color w:val="auto"/>
        </w:rPr>
      </w:pPr>
      <w:r>
        <w:rPr>
          <w:rFonts w:ascii="Arial" w:cs="Arial" w:eastAsia="Arial" w:hAnsi="Arial"/>
          <w:sz w:val="18"/>
          <w:szCs w:val="18"/>
          <w:b w:val="1"/>
          <w:bCs w:val="1"/>
          <w:i w:val="1"/>
          <w:iCs w:val="1"/>
          <w:color w:val="auto"/>
        </w:rPr>
        <w:t>Terrorist activities and international political instability may decrease demand for our products and disrupt our business.</w:t>
      </w:r>
    </w:p>
    <w:p>
      <w:pPr>
        <w:spacing w:after="0" w:line="170" w:lineRule="exact"/>
        <w:rPr>
          <w:sz w:val="20"/>
          <w:szCs w:val="20"/>
          <w:color w:val="auto"/>
        </w:rPr>
      </w:pPr>
    </w:p>
    <w:p>
      <w:pPr>
        <w:ind w:left="380" w:right="439" w:firstLine="648"/>
        <w:spacing w:after="0" w:line="290" w:lineRule="auto"/>
        <w:rPr>
          <w:sz w:val="20"/>
          <w:szCs w:val="20"/>
          <w:color w:val="auto"/>
        </w:rPr>
      </w:pPr>
      <w:r>
        <w:rPr>
          <w:rFonts w:ascii="Arial" w:cs="Arial" w:eastAsia="Arial" w:hAnsi="Arial"/>
          <w:sz w:val="16"/>
          <w:szCs w:val="16"/>
          <w:color w:val="auto"/>
        </w:rPr>
        <w:t>Terrorist activities and armed conflicts could have an adverse effect upon the United States or worldwide economy and could cause decreased demand for our products. If such events disrupt domestic or international air, ground or sea shipments, or the operation of our suppliers or our manufacturing facilities, our ability to obtain the materials necessary to manufacture products and to deliver customer orders would be harmed, which could materially adversely affect our business, financial condition and results of operations. Such events can negatively impact tourism, which could adversely affect our sales to retailers at resorts and other vacation destinations. In addition, the occurrence of political instability and/or terrorist activities generally restricts travel to and from the affected areas, making it more difficult in general to manage our global operations.</w:t>
      </w:r>
    </w:p>
    <w:p>
      <w:pPr>
        <w:spacing w:after="0" w:line="166" w:lineRule="exact"/>
        <w:rPr>
          <w:sz w:val="20"/>
          <w:szCs w:val="20"/>
          <w:color w:val="auto"/>
        </w:rPr>
      </w:pPr>
    </w:p>
    <w:p>
      <w:pPr>
        <w:ind w:left="380"/>
        <w:spacing w:after="0"/>
        <w:rPr>
          <w:sz w:val="20"/>
          <w:szCs w:val="20"/>
          <w:color w:val="auto"/>
        </w:rPr>
      </w:pPr>
      <w:r>
        <w:rPr>
          <w:rFonts w:ascii="Arial" w:cs="Arial" w:eastAsia="Arial" w:hAnsi="Arial"/>
          <w:sz w:val="18"/>
          <w:szCs w:val="18"/>
          <w:b w:val="1"/>
          <w:bCs w:val="1"/>
          <w:i w:val="1"/>
          <w:iCs w:val="1"/>
          <w:color w:val="auto"/>
        </w:rPr>
        <w:t>Our business could be harmed by the occurrence of natural disasters or pandemic diseases.</w:t>
      </w:r>
    </w:p>
    <w:p>
      <w:pPr>
        <w:spacing w:after="0" w:line="225" w:lineRule="exact"/>
        <w:rPr>
          <w:sz w:val="20"/>
          <w:szCs w:val="20"/>
          <w:color w:val="auto"/>
        </w:rPr>
      </w:pPr>
    </w:p>
    <w:p>
      <w:pPr>
        <w:ind w:left="380" w:right="459" w:firstLine="648"/>
        <w:spacing w:after="0" w:line="288" w:lineRule="auto"/>
        <w:rPr>
          <w:sz w:val="20"/>
          <w:szCs w:val="20"/>
          <w:color w:val="auto"/>
        </w:rPr>
      </w:pPr>
      <w:r>
        <w:rPr>
          <w:rFonts w:ascii="Arial" w:cs="Arial" w:eastAsia="Arial" w:hAnsi="Arial"/>
          <w:sz w:val="16"/>
          <w:szCs w:val="16"/>
          <w:color w:val="auto"/>
        </w:rPr>
        <w:t>The occurrence of a natural disaster, such as an earthquake, tsunami, fire, flood or hurricane, or the outbreak of a pandemic disease, could materially adversely affect our business, financial condition and results of operations. A natural disaster or a pandemic disease could adversely affect both the demand for our products as well as the supply of the raw materials or components used to make our products. Demand for golf products also could be negatively affected if consumers in the affected regions restrict their recreational activities and discretionary spending and as tourism to those areas declines. If our suppliers experience a significant disruption in their business as a result of a natural disaster or pandemic disease, our ability to obtain the necessary raw materials or components to make products could be materially adversely affected. In addition, the occurrence of a natural disaster or the outbreak of a pandemic disease generally restricts travel to and from the affected areas, making it more difficult in general to manage our global operations.</w:t>
      </w:r>
    </w:p>
    <w:p>
      <w:pPr>
        <w:spacing w:after="0" w:line="167"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37" w:name="page38"/>
    <w:bookmarkEnd w:id="37"/>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ind w:left="380"/>
        <w:spacing w:after="0"/>
        <w:rPr>
          <w:sz w:val="20"/>
          <w:szCs w:val="20"/>
          <w:color w:val="auto"/>
        </w:rPr>
      </w:pPr>
      <w:r>
        <w:rPr>
          <w:rFonts w:ascii="Arial" w:cs="Arial" w:eastAsia="Arial" w:hAnsi="Arial"/>
          <w:sz w:val="18"/>
          <w:szCs w:val="18"/>
          <w:b w:val="1"/>
          <w:bCs w:val="1"/>
          <w:color w:val="auto"/>
        </w:rPr>
        <w:t>Risks Related to Our Indebtedness</w:t>
      </w:r>
    </w:p>
    <w:p>
      <w:pPr>
        <w:spacing w:after="0" w:line="229" w:lineRule="exact"/>
        <w:rPr>
          <w:sz w:val="20"/>
          <w:szCs w:val="20"/>
          <w:color w:val="auto"/>
        </w:rPr>
      </w:pPr>
    </w:p>
    <w:p>
      <w:pPr>
        <w:ind w:left="380" w:right="679"/>
        <w:spacing w:after="0" w:line="340" w:lineRule="auto"/>
        <w:rPr>
          <w:sz w:val="20"/>
          <w:szCs w:val="20"/>
          <w:color w:val="auto"/>
        </w:rPr>
      </w:pPr>
      <w:r>
        <w:rPr>
          <w:rFonts w:ascii="Arial" w:cs="Arial" w:eastAsia="Arial" w:hAnsi="Arial"/>
          <w:sz w:val="15"/>
          <w:szCs w:val="15"/>
          <w:b w:val="1"/>
          <w:bCs w:val="1"/>
          <w:i w:val="1"/>
          <w:iCs w:val="1"/>
          <w:color w:val="auto"/>
        </w:rPr>
        <w:t>Our substantial leverage could adversely affect our ability to raise additional capital to fund our operations, limit our ability to react to changes in the economy or in our industry, expose us to interest rate risk to the extent of our variable rate debt, and prevent us from meeting our obligations under our indebtedness.</w:t>
      </w:r>
    </w:p>
    <w:p>
      <w:pPr>
        <w:spacing w:after="0" w:line="131" w:lineRule="exact"/>
        <w:rPr>
          <w:sz w:val="20"/>
          <w:szCs w:val="20"/>
          <w:color w:val="auto"/>
        </w:rPr>
      </w:pPr>
    </w:p>
    <w:p>
      <w:pPr>
        <w:ind w:left="380" w:right="379" w:firstLine="648"/>
        <w:spacing w:after="0" w:line="259" w:lineRule="auto"/>
        <w:rPr>
          <w:sz w:val="20"/>
          <w:szCs w:val="20"/>
          <w:color w:val="auto"/>
        </w:rPr>
      </w:pPr>
      <w:r>
        <w:rPr>
          <w:rFonts w:ascii="Arial" w:cs="Arial" w:eastAsia="Arial" w:hAnsi="Arial"/>
          <w:sz w:val="18"/>
          <w:szCs w:val="18"/>
          <w:color w:val="auto"/>
        </w:rPr>
        <w:t>As of December 31, 2017, we had $466.9 million of indebtedness. In addition, as of December 31, 2017, we had $254.8 million of availability under our revolving credit facility after giving effect to $10.2 million of outstanding letters of credit and we had $53.8 million available under our local credit facilities. Our high degree of leverage could have important consequences for us, including:</w:t>
      </w:r>
    </w:p>
    <w:p>
      <w:pPr>
        <w:spacing w:after="0" w:line="187" w:lineRule="exact"/>
        <w:rPr>
          <w:sz w:val="20"/>
          <w:szCs w:val="20"/>
          <w:color w:val="auto"/>
        </w:rPr>
      </w:pPr>
    </w:p>
    <w:p>
      <w:pPr>
        <w:ind w:left="1360" w:right="559" w:hanging="329"/>
        <w:spacing w:after="0" w:line="312" w:lineRule="auto"/>
        <w:tabs>
          <w:tab w:leader="none" w:pos="1360" w:val="left"/>
        </w:tabs>
        <w:numPr>
          <w:ilvl w:val="0"/>
          <w:numId w:val="10"/>
        </w:numPr>
        <w:rPr>
          <w:rFonts w:ascii="Arial" w:cs="Arial" w:eastAsia="Arial" w:hAnsi="Arial"/>
          <w:sz w:val="16"/>
          <w:szCs w:val="16"/>
          <w:color w:val="auto"/>
        </w:rPr>
      </w:pPr>
      <w:r>
        <w:rPr>
          <w:rFonts w:ascii="Arial" w:cs="Arial" w:eastAsia="Arial" w:hAnsi="Arial"/>
          <w:sz w:val="16"/>
          <w:szCs w:val="16"/>
          <w:color w:val="auto"/>
        </w:rPr>
        <w:t>requiring us to utilize a substantial portion of our cash flows from operations to make payments on our indebtedness, reducing the availability of our cash flows to fund working capital, capital expenditures, product development, acquisitions, general corporate and other purposes;</w:t>
      </w:r>
    </w:p>
    <w:p>
      <w:pPr>
        <w:spacing w:after="0" w:line="146" w:lineRule="exact"/>
        <w:rPr>
          <w:rFonts w:ascii="Arial" w:cs="Arial" w:eastAsia="Arial" w:hAnsi="Arial"/>
          <w:sz w:val="16"/>
          <w:szCs w:val="16"/>
          <w:color w:val="auto"/>
        </w:rPr>
      </w:pPr>
    </w:p>
    <w:p>
      <w:pPr>
        <w:ind w:left="1360" w:hanging="329"/>
        <w:spacing w:after="0"/>
        <w:tabs>
          <w:tab w:leader="none" w:pos="13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increasing our vulnerability to adverse economic, industry, or competitive developments;</w:t>
      </w:r>
    </w:p>
    <w:p>
      <w:pPr>
        <w:spacing w:after="0" w:line="225" w:lineRule="exact"/>
        <w:rPr>
          <w:rFonts w:ascii="Arial" w:cs="Arial" w:eastAsia="Arial" w:hAnsi="Arial"/>
          <w:sz w:val="18"/>
          <w:szCs w:val="18"/>
          <w:color w:val="auto"/>
        </w:rPr>
      </w:pPr>
    </w:p>
    <w:p>
      <w:pPr>
        <w:ind w:left="1360" w:right="579" w:hanging="329"/>
        <w:spacing w:after="0" w:line="277" w:lineRule="auto"/>
        <w:tabs>
          <w:tab w:leader="none" w:pos="13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exposing us to the risk of increased interest rates because substantially all of our borrowings are at variable rates of interest;</w:t>
      </w:r>
    </w:p>
    <w:p>
      <w:pPr>
        <w:spacing w:after="0" w:line="170" w:lineRule="exact"/>
        <w:rPr>
          <w:rFonts w:ascii="Arial" w:cs="Arial" w:eastAsia="Arial" w:hAnsi="Arial"/>
          <w:sz w:val="18"/>
          <w:szCs w:val="18"/>
          <w:color w:val="auto"/>
        </w:rPr>
      </w:pPr>
    </w:p>
    <w:p>
      <w:pPr>
        <w:ind w:left="1360" w:right="639" w:hanging="329"/>
        <w:spacing w:after="0" w:line="259" w:lineRule="auto"/>
        <w:tabs>
          <w:tab w:leader="none" w:pos="13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making it more difficult for us to satisfy our obligations with respect to our indebtedness, and any failure to comply with the obligations of any of our debt instruments, including financial maintenance covenants and restrictive covenants, could result in an event of default under the agreements governing our indebtedness;</w:t>
      </w:r>
    </w:p>
    <w:p>
      <w:pPr>
        <w:spacing w:after="0" w:line="186" w:lineRule="exact"/>
        <w:rPr>
          <w:rFonts w:ascii="Arial" w:cs="Arial" w:eastAsia="Arial" w:hAnsi="Arial"/>
          <w:sz w:val="18"/>
          <w:szCs w:val="18"/>
          <w:color w:val="auto"/>
        </w:rPr>
      </w:pPr>
    </w:p>
    <w:p>
      <w:pPr>
        <w:ind w:left="1360" w:hanging="329"/>
        <w:spacing w:after="0" w:line="196" w:lineRule="exact"/>
        <w:tabs>
          <w:tab w:leader="none" w:pos="1360" w:val="left"/>
        </w:tabs>
        <w:numPr>
          <w:ilvl w:val="0"/>
          <w:numId w:val="10"/>
        </w:numPr>
        <w:rPr>
          <w:rFonts w:ascii="Arial" w:cs="Arial" w:eastAsia="Arial" w:hAnsi="Arial"/>
          <w:sz w:val="17"/>
          <w:szCs w:val="17"/>
          <w:color w:val="auto"/>
        </w:rPr>
      </w:pPr>
      <w:r>
        <w:rPr>
          <w:rFonts w:ascii="Arial" w:cs="Arial" w:eastAsia="Arial" w:hAnsi="Arial"/>
          <w:sz w:val="17"/>
          <w:szCs w:val="17"/>
          <w:color w:val="auto"/>
        </w:rPr>
        <w:t>restricting us from making strategic acquisitions or causing us to make non</w:t>
      </w:r>
      <w:r>
        <w:rPr>
          <w:rFonts w:ascii="MS PGothic" w:cs="MS PGothic" w:eastAsia="MS PGothic" w:hAnsi="MS PGothic"/>
          <w:sz w:val="17"/>
          <w:szCs w:val="17"/>
          <w:color w:val="auto"/>
        </w:rPr>
        <w:t>‑</w:t>
      </w:r>
      <w:r>
        <w:rPr>
          <w:rFonts w:ascii="Arial" w:cs="Arial" w:eastAsia="Arial" w:hAnsi="Arial"/>
          <w:sz w:val="17"/>
          <w:szCs w:val="17"/>
          <w:color w:val="auto"/>
        </w:rPr>
        <w:t>strategic divestitures;</w:t>
      </w:r>
    </w:p>
    <w:p>
      <w:pPr>
        <w:spacing w:after="0" w:line="236" w:lineRule="exact"/>
        <w:rPr>
          <w:rFonts w:ascii="Arial" w:cs="Arial" w:eastAsia="Arial" w:hAnsi="Arial"/>
          <w:sz w:val="17"/>
          <w:szCs w:val="17"/>
          <w:color w:val="auto"/>
        </w:rPr>
      </w:pPr>
    </w:p>
    <w:p>
      <w:pPr>
        <w:jc w:val="both"/>
        <w:ind w:left="1360" w:right="539" w:hanging="329"/>
        <w:spacing w:after="0" w:line="342" w:lineRule="auto"/>
        <w:tabs>
          <w:tab w:leader="none" w:pos="1360" w:val="left"/>
        </w:tabs>
        <w:numPr>
          <w:ilvl w:val="0"/>
          <w:numId w:val="10"/>
        </w:numPr>
        <w:rPr>
          <w:rFonts w:ascii="Arial" w:cs="Arial" w:eastAsia="Arial" w:hAnsi="Arial"/>
          <w:sz w:val="16"/>
          <w:szCs w:val="16"/>
          <w:color w:val="auto"/>
        </w:rPr>
      </w:pPr>
      <w:r>
        <w:rPr>
          <w:rFonts w:ascii="Arial" w:cs="Arial" w:eastAsia="Arial" w:hAnsi="Arial"/>
          <w:sz w:val="16"/>
          <w:szCs w:val="16"/>
          <w:color w:val="auto"/>
        </w:rPr>
        <w:t>limiting our ability to obtain additional financing for working capital, capital expenditures, product development, debt service requirements, acquisitions, and general corporate or other purposes; and</w:t>
      </w:r>
    </w:p>
    <w:p>
      <w:pPr>
        <w:spacing w:after="0" w:line="123" w:lineRule="exact"/>
        <w:rPr>
          <w:rFonts w:ascii="Arial" w:cs="Arial" w:eastAsia="Arial" w:hAnsi="Arial"/>
          <w:sz w:val="16"/>
          <w:szCs w:val="16"/>
          <w:color w:val="auto"/>
        </w:rPr>
      </w:pPr>
    </w:p>
    <w:p>
      <w:pPr>
        <w:ind w:left="1360" w:right="559" w:hanging="329"/>
        <w:spacing w:after="0" w:line="259" w:lineRule="auto"/>
        <w:tabs>
          <w:tab w:leader="none" w:pos="13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limiting our flexibility in planning for, or reacting to, changes in our business or market conditions and placing us at a competitive disadvantage compared to our competitors who are less highly leveraged and who, therefore, may be able to take advantage of opportunities that our leverage prevents us from exploiting.</w:t>
      </w:r>
    </w:p>
    <w:p>
      <w:pPr>
        <w:spacing w:after="0" w:line="187" w:lineRule="exact"/>
        <w:rPr>
          <w:sz w:val="20"/>
          <w:szCs w:val="20"/>
          <w:color w:val="auto"/>
        </w:rPr>
      </w:pPr>
    </w:p>
    <w:p>
      <w:pPr>
        <w:ind w:left="380" w:right="679"/>
        <w:spacing w:after="0" w:line="277" w:lineRule="auto"/>
        <w:rPr>
          <w:sz w:val="20"/>
          <w:szCs w:val="20"/>
          <w:color w:val="auto"/>
        </w:rPr>
      </w:pPr>
      <w:r>
        <w:rPr>
          <w:rFonts w:ascii="Arial" w:cs="Arial" w:eastAsia="Arial" w:hAnsi="Arial"/>
          <w:sz w:val="18"/>
          <w:szCs w:val="18"/>
          <w:b w:val="1"/>
          <w:bCs w:val="1"/>
          <w:i w:val="1"/>
          <w:iCs w:val="1"/>
          <w:color w:val="auto"/>
        </w:rPr>
        <w:t>Servicing our indebtedness will require a significant amount of cash. Our ability to generate sufficient cash depends on many factors, some of which are not within our control.</w:t>
      </w:r>
    </w:p>
    <w:p>
      <w:pPr>
        <w:spacing w:after="0" w:line="170" w:lineRule="exact"/>
        <w:rPr>
          <w:sz w:val="20"/>
          <w:szCs w:val="20"/>
          <w:color w:val="auto"/>
        </w:rPr>
      </w:pPr>
    </w:p>
    <w:p>
      <w:pPr>
        <w:ind w:left="380" w:right="399" w:firstLine="648"/>
        <w:spacing w:after="0" w:line="287" w:lineRule="auto"/>
        <w:rPr>
          <w:sz w:val="20"/>
          <w:szCs w:val="20"/>
          <w:color w:val="auto"/>
        </w:rPr>
      </w:pPr>
      <w:r>
        <w:rPr>
          <w:rFonts w:ascii="Arial" w:cs="Arial" w:eastAsia="Arial" w:hAnsi="Arial"/>
          <w:sz w:val="16"/>
          <w:szCs w:val="16"/>
          <w:color w:val="auto"/>
        </w:rPr>
        <w:t>Our ability to make payments on our indebtedness and to fund planned capital expenditures will depend on our ability to generate cash in the future. To a certain extent, this is subject to general economic, financial, competitive, legislative, regulatory, and other factors that are beyond our control. If we are unable to generate sufficient cash flows to service our debt and meet our other commitments, we may need to restructure or refinance all or a portion of our debt, sell material assets or operations, or raise additional debt or equity capital. We may not be able to effect any of these actions on a timely basis, on commercially reasonable terms, or at all, and these actions may not be sufficient to meet our capital requirements. In addition, any refinancing of our indebtedness could be at a higher interest rate, and the terms of our existing or future debt arrangements may restrict us from affecting any of these alternatives. Our failure to make the required interest and principal payments on our indebtedness would result in an event of default under the agreement governing such indebtedness, which may result in the acceleration of some or all of our outstanding indebtedness.</w:t>
      </w:r>
    </w:p>
    <w:p>
      <w:pPr>
        <w:spacing w:after="0" w:line="173" w:lineRule="exact"/>
        <w:rPr>
          <w:sz w:val="20"/>
          <w:szCs w:val="20"/>
          <w:color w:val="auto"/>
        </w:rPr>
      </w:pPr>
    </w:p>
    <w:p>
      <w:pPr>
        <w:ind w:left="380" w:right="719"/>
        <w:spacing w:after="0" w:line="381" w:lineRule="auto"/>
        <w:rPr>
          <w:sz w:val="20"/>
          <w:szCs w:val="20"/>
          <w:color w:val="auto"/>
        </w:rPr>
      </w:pPr>
      <w:r>
        <w:rPr>
          <w:rFonts w:ascii="Arial" w:cs="Arial" w:eastAsia="Arial" w:hAnsi="Arial"/>
          <w:sz w:val="15"/>
          <w:szCs w:val="15"/>
          <w:b w:val="1"/>
          <w:bCs w:val="1"/>
          <w:i w:val="1"/>
          <w:iCs w:val="1"/>
          <w:color w:val="auto"/>
        </w:rPr>
        <w:t>Despite our high indebtedness level, we and our subsidiaries will still be able to incur significant additional amounts of debt, which could further exacerbate the risks associated with our substantial indebtedness.</w:t>
      </w:r>
    </w:p>
    <w:p>
      <w:pPr>
        <w:spacing w:after="0" w:line="101" w:lineRule="exact"/>
        <w:rPr>
          <w:sz w:val="20"/>
          <w:szCs w:val="20"/>
          <w:color w:val="auto"/>
        </w:rPr>
      </w:pPr>
    </w:p>
    <w:p>
      <w:pPr>
        <w:ind w:left="380" w:right="399" w:firstLine="648"/>
        <w:spacing w:after="0" w:line="302" w:lineRule="auto"/>
        <w:rPr>
          <w:sz w:val="20"/>
          <w:szCs w:val="20"/>
          <w:color w:val="auto"/>
        </w:rPr>
      </w:pPr>
      <w:r>
        <w:rPr>
          <w:rFonts w:ascii="Arial" w:cs="Arial" w:eastAsia="Arial" w:hAnsi="Arial"/>
          <w:sz w:val="16"/>
          <w:szCs w:val="16"/>
          <w:color w:val="auto"/>
        </w:rPr>
        <w:t>We and our subsidiaries may be able to incur substantial additional indebtedness in the future. Although the agreements governing our indebtedness contain restrictions on the incurrence of additional indebtedness, these restrictions are subject to a number of significant qualifications and exceptions and, under certain circumstances, the amount of indebtedness that could be incurred in compliance with these restrictions could be substantial.</w:t>
      </w:r>
    </w:p>
    <w:p>
      <w:pPr>
        <w:spacing w:after="0" w:line="152"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38" w:name="page39"/>
    <w:bookmarkEnd w:id="38"/>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380"/>
        <w:spacing w:after="0"/>
        <w:rPr>
          <w:sz w:val="20"/>
          <w:szCs w:val="20"/>
          <w:color w:val="auto"/>
        </w:rPr>
      </w:pPr>
      <w:r>
        <w:rPr>
          <w:rFonts w:ascii="Arial" w:cs="Arial" w:eastAsia="Arial" w:hAnsi="Arial"/>
          <w:sz w:val="18"/>
          <w:szCs w:val="18"/>
          <w:b w:val="1"/>
          <w:bCs w:val="1"/>
          <w:i w:val="1"/>
          <w:iCs w:val="1"/>
          <w:color w:val="auto"/>
        </w:rPr>
        <w:t>Our credit agreements contain restrictions that limit our flexibility in operating our business.</w:t>
      </w:r>
    </w:p>
    <w:p>
      <w:pPr>
        <w:spacing w:after="0" w:line="225" w:lineRule="exact"/>
        <w:rPr>
          <w:sz w:val="20"/>
          <w:szCs w:val="20"/>
          <w:color w:val="auto"/>
        </w:rPr>
      </w:pPr>
    </w:p>
    <w:p>
      <w:pPr>
        <w:jc w:val="both"/>
        <w:ind w:left="380" w:right="519" w:firstLine="648"/>
        <w:spacing w:after="0" w:line="264" w:lineRule="auto"/>
        <w:rPr>
          <w:sz w:val="20"/>
          <w:szCs w:val="20"/>
          <w:color w:val="auto"/>
        </w:rPr>
      </w:pPr>
      <w:r>
        <w:rPr>
          <w:rFonts w:ascii="Arial" w:cs="Arial" w:eastAsia="Arial" w:hAnsi="Arial"/>
          <w:sz w:val="18"/>
          <w:szCs w:val="18"/>
          <w:color w:val="auto"/>
        </w:rPr>
        <w:t>The agreements governing our outstanding indebtedness contain various covenants that limit our ability to engage in specified types of transactions. These covenants limit the ability of our subsidiaries to, among other things:</w:t>
      </w:r>
    </w:p>
    <w:p>
      <w:pPr>
        <w:spacing w:after="0" w:line="181" w:lineRule="exact"/>
        <w:rPr>
          <w:sz w:val="20"/>
          <w:szCs w:val="20"/>
          <w:color w:val="auto"/>
        </w:rPr>
      </w:pPr>
    </w:p>
    <w:p>
      <w:pPr>
        <w:ind w:left="1360" w:hanging="329"/>
        <w:spacing w:after="0"/>
        <w:tabs>
          <w:tab w:leader="none" w:pos="13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incur, assume, or permit to exist additional indebtedness or guarantees;</w:t>
      </w:r>
    </w:p>
    <w:p>
      <w:pPr>
        <w:spacing w:after="0" w:line="225" w:lineRule="exact"/>
        <w:rPr>
          <w:rFonts w:ascii="Arial" w:cs="Arial" w:eastAsia="Arial" w:hAnsi="Arial"/>
          <w:sz w:val="18"/>
          <w:szCs w:val="18"/>
          <w:color w:val="auto"/>
        </w:rPr>
      </w:pPr>
    </w:p>
    <w:p>
      <w:pPr>
        <w:ind w:left="1360" w:hanging="329"/>
        <w:spacing w:after="0"/>
        <w:tabs>
          <w:tab w:leader="none" w:pos="13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incur liens;</w:t>
      </w:r>
    </w:p>
    <w:p>
      <w:pPr>
        <w:spacing w:after="0" w:line="225" w:lineRule="exact"/>
        <w:rPr>
          <w:rFonts w:ascii="Arial" w:cs="Arial" w:eastAsia="Arial" w:hAnsi="Arial"/>
          <w:sz w:val="18"/>
          <w:szCs w:val="18"/>
          <w:color w:val="auto"/>
        </w:rPr>
      </w:pPr>
    </w:p>
    <w:p>
      <w:pPr>
        <w:ind w:left="1360" w:hanging="329"/>
        <w:spacing w:after="0"/>
        <w:tabs>
          <w:tab w:leader="none" w:pos="13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make investments and loans;</w:t>
      </w:r>
    </w:p>
    <w:p>
      <w:pPr>
        <w:spacing w:after="0" w:line="225" w:lineRule="exact"/>
        <w:rPr>
          <w:rFonts w:ascii="Arial" w:cs="Arial" w:eastAsia="Arial" w:hAnsi="Arial"/>
          <w:sz w:val="18"/>
          <w:szCs w:val="18"/>
          <w:color w:val="auto"/>
        </w:rPr>
      </w:pPr>
    </w:p>
    <w:p>
      <w:pPr>
        <w:ind w:left="1360" w:hanging="329"/>
        <w:spacing w:after="0"/>
        <w:tabs>
          <w:tab w:leader="none" w:pos="13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pay dividends, make payments, or redeem or repurchase capital stock;</w:t>
      </w:r>
    </w:p>
    <w:p>
      <w:pPr>
        <w:spacing w:after="0" w:line="225" w:lineRule="exact"/>
        <w:rPr>
          <w:rFonts w:ascii="Arial" w:cs="Arial" w:eastAsia="Arial" w:hAnsi="Arial"/>
          <w:sz w:val="18"/>
          <w:szCs w:val="18"/>
          <w:color w:val="auto"/>
        </w:rPr>
      </w:pPr>
    </w:p>
    <w:p>
      <w:pPr>
        <w:ind w:left="1360" w:right="839" w:hanging="329"/>
        <w:spacing w:after="0" w:line="277" w:lineRule="auto"/>
        <w:tabs>
          <w:tab w:leader="none" w:pos="13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engage in mergers, liquidations, dissolutions, asset sales, and other dispositions (including sale leaseback transactions);</w:t>
      </w:r>
    </w:p>
    <w:p>
      <w:pPr>
        <w:spacing w:after="0" w:line="170" w:lineRule="exact"/>
        <w:rPr>
          <w:rFonts w:ascii="Arial" w:cs="Arial" w:eastAsia="Arial" w:hAnsi="Arial"/>
          <w:sz w:val="18"/>
          <w:szCs w:val="18"/>
          <w:color w:val="auto"/>
        </w:rPr>
      </w:pPr>
    </w:p>
    <w:p>
      <w:pPr>
        <w:ind w:left="1360" w:hanging="329"/>
        <w:spacing w:after="0"/>
        <w:tabs>
          <w:tab w:leader="none" w:pos="13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amend or otherwise alter terms of certain indebtedness or certain other agreements;</w:t>
      </w:r>
    </w:p>
    <w:p>
      <w:pPr>
        <w:spacing w:after="0" w:line="225" w:lineRule="exact"/>
        <w:rPr>
          <w:rFonts w:ascii="Arial" w:cs="Arial" w:eastAsia="Arial" w:hAnsi="Arial"/>
          <w:sz w:val="18"/>
          <w:szCs w:val="18"/>
          <w:color w:val="auto"/>
        </w:rPr>
      </w:pPr>
    </w:p>
    <w:p>
      <w:pPr>
        <w:ind w:left="1360" w:hanging="329"/>
        <w:spacing w:after="0"/>
        <w:tabs>
          <w:tab w:leader="none" w:pos="1360" w:val="left"/>
        </w:tabs>
        <w:numPr>
          <w:ilvl w:val="0"/>
          <w:numId w:val="11"/>
        </w:numPr>
        <w:rPr>
          <w:rFonts w:ascii="Arial" w:cs="Arial" w:eastAsia="Arial" w:hAnsi="Arial"/>
          <w:sz w:val="17"/>
          <w:szCs w:val="17"/>
          <w:color w:val="auto"/>
        </w:rPr>
      </w:pPr>
      <w:r>
        <w:rPr>
          <w:rFonts w:ascii="Arial" w:cs="Arial" w:eastAsia="Arial" w:hAnsi="Arial"/>
          <w:sz w:val="17"/>
          <w:szCs w:val="17"/>
          <w:color w:val="auto"/>
        </w:rPr>
        <w:t>enter into agreements limiting subsidiary distributions or containing negative pledge clauses;</w:t>
      </w:r>
    </w:p>
    <w:p>
      <w:pPr>
        <w:spacing w:after="0" w:line="236" w:lineRule="exact"/>
        <w:rPr>
          <w:rFonts w:ascii="Arial" w:cs="Arial" w:eastAsia="Arial" w:hAnsi="Arial"/>
          <w:sz w:val="17"/>
          <w:szCs w:val="17"/>
          <w:color w:val="auto"/>
        </w:rPr>
      </w:pPr>
    </w:p>
    <w:p>
      <w:pPr>
        <w:ind w:left="1360" w:hanging="329"/>
        <w:spacing w:after="0"/>
        <w:tabs>
          <w:tab w:leader="none" w:pos="13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engage in certain transactions with affiliates;</w:t>
      </w:r>
    </w:p>
    <w:p>
      <w:pPr>
        <w:spacing w:after="0" w:line="225" w:lineRule="exact"/>
        <w:rPr>
          <w:rFonts w:ascii="Arial" w:cs="Arial" w:eastAsia="Arial" w:hAnsi="Arial"/>
          <w:sz w:val="18"/>
          <w:szCs w:val="18"/>
          <w:color w:val="auto"/>
        </w:rPr>
      </w:pPr>
    </w:p>
    <w:p>
      <w:pPr>
        <w:ind w:left="1360" w:hanging="329"/>
        <w:spacing w:after="0"/>
        <w:tabs>
          <w:tab w:leader="none" w:pos="13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alter the nature of the business that we conduct;</w:t>
      </w:r>
    </w:p>
    <w:p>
      <w:pPr>
        <w:spacing w:after="0" w:line="225" w:lineRule="exact"/>
        <w:rPr>
          <w:rFonts w:ascii="Arial" w:cs="Arial" w:eastAsia="Arial" w:hAnsi="Arial"/>
          <w:sz w:val="18"/>
          <w:szCs w:val="18"/>
          <w:color w:val="auto"/>
        </w:rPr>
      </w:pPr>
    </w:p>
    <w:p>
      <w:pPr>
        <w:ind w:left="1360" w:hanging="329"/>
        <w:spacing w:after="0"/>
        <w:tabs>
          <w:tab w:leader="none" w:pos="13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change our fiscal year or accounting practices; or</w:t>
      </w:r>
    </w:p>
    <w:p>
      <w:pPr>
        <w:spacing w:after="0" w:line="225" w:lineRule="exact"/>
        <w:rPr>
          <w:rFonts w:ascii="Arial" w:cs="Arial" w:eastAsia="Arial" w:hAnsi="Arial"/>
          <w:sz w:val="18"/>
          <w:szCs w:val="18"/>
          <w:color w:val="auto"/>
        </w:rPr>
      </w:pPr>
    </w:p>
    <w:p>
      <w:pPr>
        <w:ind w:left="1360" w:hanging="329"/>
        <w:spacing w:after="0"/>
        <w:tabs>
          <w:tab w:leader="none" w:pos="13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enter into a transaction or series of transactions that constitutes a change of control.</w:t>
      </w:r>
    </w:p>
    <w:p>
      <w:pPr>
        <w:spacing w:after="0" w:line="225" w:lineRule="exact"/>
        <w:rPr>
          <w:sz w:val="20"/>
          <w:szCs w:val="20"/>
          <w:color w:val="auto"/>
        </w:rPr>
      </w:pPr>
    </w:p>
    <w:p>
      <w:pPr>
        <w:ind w:left="380" w:right="439" w:firstLine="648"/>
        <w:spacing w:after="0" w:line="271" w:lineRule="auto"/>
        <w:rPr>
          <w:sz w:val="20"/>
          <w:szCs w:val="20"/>
          <w:color w:val="auto"/>
        </w:rPr>
      </w:pPr>
      <w:r>
        <w:rPr>
          <w:rFonts w:ascii="Arial" w:cs="Arial" w:eastAsia="Arial" w:hAnsi="Arial"/>
          <w:sz w:val="17"/>
          <w:szCs w:val="17"/>
          <w:color w:val="auto"/>
        </w:rPr>
        <w:t>The covenants contained in the credit agreement governing our senior secured credit facilities (which we refer to in this report as “our credit agreement”) also restrict the ability of Acushnet Holdings Corp. to engage in certain mergers or consolidations or engage in any activities other than permitted activities. A breach of any of these covenants, among others, could result in a default under one or more of these agreements, including as a result of cross default provisions, and, in the case of our secured credit facility, following any applicable cure period, would permit the lenders thereunder to, among other things, declare the principal, accrued interest and other obligations thereunder to be immediately due and payable and declare the commitment of each lender thereunder to make loans and issue letters of credit to be terminated.</w:t>
      </w:r>
    </w:p>
    <w:p>
      <w:pPr>
        <w:spacing w:after="0" w:line="179" w:lineRule="exact"/>
        <w:rPr>
          <w:sz w:val="20"/>
          <w:szCs w:val="20"/>
          <w:color w:val="auto"/>
        </w:rPr>
      </w:pPr>
    </w:p>
    <w:p>
      <w:pPr>
        <w:jc w:val="both"/>
        <w:ind w:left="380" w:right="399"/>
        <w:spacing w:after="0" w:line="221" w:lineRule="exact"/>
        <w:rPr>
          <w:sz w:val="20"/>
          <w:szCs w:val="20"/>
          <w:color w:val="auto"/>
        </w:rPr>
      </w:pPr>
      <w:r>
        <w:rPr>
          <w:rFonts w:ascii="Arial" w:cs="Arial" w:eastAsia="Arial" w:hAnsi="Arial"/>
          <w:sz w:val="18"/>
          <w:szCs w:val="18"/>
          <w:b w:val="1"/>
          <w:bCs w:val="1"/>
          <w:i w:val="1"/>
          <w:iCs w:val="1"/>
          <w:color w:val="auto"/>
        </w:rPr>
        <w:t>We may utilize derivative financial instruments to reduce our exposure to market risks from changes in interest rates on our variable rate indebtedness and we will be exposed to risks related to counterparty credit worthiness or non</w:t>
      </w:r>
      <w:r>
        <w:rPr>
          <w:rFonts w:ascii="MS PGothic" w:cs="MS PGothic" w:eastAsia="MS PGothic" w:hAnsi="MS PGothic"/>
          <w:sz w:val="18"/>
          <w:szCs w:val="18"/>
          <w:b w:val="1"/>
          <w:bCs w:val="1"/>
          <w:i w:val="1"/>
          <w:iCs w:val="1"/>
          <w:color w:val="auto"/>
        </w:rPr>
        <w:t>‑</w:t>
      </w:r>
      <w:r>
        <w:rPr>
          <w:rFonts w:ascii="Arial" w:cs="Arial" w:eastAsia="Arial" w:hAnsi="Arial"/>
          <w:sz w:val="18"/>
          <w:szCs w:val="18"/>
          <w:b w:val="1"/>
          <w:bCs w:val="1"/>
          <w:i w:val="1"/>
          <w:iCs w:val="1"/>
          <w:color w:val="auto"/>
        </w:rPr>
        <w:t>performance of these instruments.</w:t>
      </w:r>
    </w:p>
    <w:p>
      <w:pPr>
        <w:spacing w:after="0" w:line="202" w:lineRule="exact"/>
        <w:rPr>
          <w:sz w:val="20"/>
          <w:szCs w:val="20"/>
          <w:color w:val="auto"/>
        </w:rPr>
      </w:pPr>
    </w:p>
    <w:p>
      <w:pPr>
        <w:ind w:left="380" w:right="379" w:firstLine="648"/>
        <w:spacing w:after="0" w:line="219" w:lineRule="exact"/>
        <w:rPr>
          <w:sz w:val="20"/>
          <w:szCs w:val="20"/>
          <w:color w:val="auto"/>
        </w:rPr>
      </w:pPr>
      <w:r>
        <w:rPr>
          <w:rFonts w:ascii="Arial" w:cs="Arial" w:eastAsia="Arial" w:hAnsi="Arial"/>
          <w:sz w:val="18"/>
          <w:szCs w:val="18"/>
          <w:color w:val="auto"/>
        </w:rPr>
        <w:t>We may enter into pay</w:t>
      </w:r>
      <w:r>
        <w:rPr>
          <w:rFonts w:ascii="MS PGothic" w:cs="MS PGothic" w:eastAsia="MS PGothic" w:hAnsi="MS PGothic"/>
          <w:sz w:val="18"/>
          <w:szCs w:val="18"/>
          <w:color w:val="auto"/>
        </w:rPr>
        <w:t>‑</w:t>
      </w:r>
      <w:r>
        <w:rPr>
          <w:rFonts w:ascii="Arial" w:cs="Arial" w:eastAsia="Arial" w:hAnsi="Arial"/>
          <w:sz w:val="18"/>
          <w:szCs w:val="18"/>
          <w:color w:val="auto"/>
        </w:rPr>
        <w:t>fixed interest rate swaps to limit our exposure to changes in variable interest rates. Such instruments may result in economic losses should interest rates decline to a point lower than our fixed rate commitments. We will be exposed to credit</w:t>
      </w:r>
      <w:r>
        <w:rPr>
          <w:rFonts w:ascii="MS PGothic" w:cs="MS PGothic" w:eastAsia="MS PGothic" w:hAnsi="MS PGothic"/>
          <w:sz w:val="18"/>
          <w:szCs w:val="18"/>
          <w:color w:val="auto"/>
        </w:rPr>
        <w:t>‑</w:t>
      </w:r>
      <w:r>
        <w:rPr>
          <w:rFonts w:ascii="Arial" w:cs="Arial" w:eastAsia="Arial" w:hAnsi="Arial"/>
          <w:sz w:val="18"/>
          <w:szCs w:val="18"/>
          <w:color w:val="auto"/>
        </w:rPr>
        <w:t>related losses, which could impact the results of operations in the event of fluctuations in the fair value of the interest rate swaps due to a change in the credit worthiness or non</w:t>
      </w:r>
      <w:r>
        <w:rPr>
          <w:rFonts w:ascii="MS PGothic" w:cs="MS PGothic" w:eastAsia="MS PGothic" w:hAnsi="MS PGothic"/>
          <w:sz w:val="18"/>
          <w:szCs w:val="18"/>
          <w:color w:val="auto"/>
        </w:rPr>
        <w:t>‑</w:t>
      </w:r>
      <w:r>
        <w:rPr>
          <w:rFonts w:ascii="Arial" w:cs="Arial" w:eastAsia="Arial" w:hAnsi="Arial"/>
          <w:sz w:val="18"/>
          <w:szCs w:val="18"/>
          <w:color w:val="auto"/>
        </w:rPr>
        <w:t>performance by the counterparties to the interest rate swaps.</w:t>
      </w:r>
    </w:p>
    <w:p>
      <w:pPr>
        <w:spacing w:after="0" w:line="203"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39" w:name="page40"/>
    <w:bookmarkEnd w:id="39"/>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ind w:left="380"/>
        <w:spacing w:after="0"/>
        <w:rPr>
          <w:sz w:val="20"/>
          <w:szCs w:val="20"/>
          <w:color w:val="auto"/>
        </w:rPr>
      </w:pPr>
      <w:r>
        <w:rPr>
          <w:rFonts w:ascii="Arial" w:cs="Arial" w:eastAsia="Arial" w:hAnsi="Arial"/>
          <w:sz w:val="18"/>
          <w:szCs w:val="18"/>
          <w:b w:val="1"/>
          <w:bCs w:val="1"/>
          <w:color w:val="auto"/>
        </w:rPr>
        <w:t>Risks Related to the Magnus Term Loan</w:t>
      </w:r>
    </w:p>
    <w:p>
      <w:pPr>
        <w:spacing w:after="0" w:line="229" w:lineRule="exact"/>
        <w:rPr>
          <w:sz w:val="20"/>
          <w:szCs w:val="20"/>
          <w:color w:val="auto"/>
        </w:rPr>
      </w:pPr>
    </w:p>
    <w:p>
      <w:pPr>
        <w:ind w:left="380" w:right="399"/>
        <w:spacing w:after="0" w:line="255" w:lineRule="auto"/>
        <w:rPr>
          <w:sz w:val="20"/>
          <w:szCs w:val="20"/>
          <w:color w:val="auto"/>
        </w:rPr>
      </w:pPr>
      <w:r>
        <w:rPr>
          <w:rFonts w:ascii="Arial" w:cs="Arial" w:eastAsia="Arial" w:hAnsi="Arial"/>
          <w:sz w:val="18"/>
          <w:szCs w:val="18"/>
          <w:b w:val="1"/>
          <w:bCs w:val="1"/>
          <w:i w:val="1"/>
          <w:iCs w:val="1"/>
          <w:color w:val="auto"/>
        </w:rPr>
        <w:t>Fila Korea Co. Ltd. (“Fila Korea”) and Magnus Holdings Co., Ltd. (“Magnus”) have obligations under the New Magnus Loans (as defined below), including the satisfaction of a Loan-to-Value covenant, and Fila Korea and/or Magnus may have obligations under any equity or debt used to refinance the New Magnus Loans, that may be satisfied by a sale, foreclosure, liquidation or other transfer of our common stock, which could materially decrease the market value of our common stock and may result in a change of control of our company.</w:t>
      </w:r>
    </w:p>
    <w:p>
      <w:pPr>
        <w:spacing w:after="0" w:line="139" w:lineRule="exact"/>
        <w:rPr>
          <w:sz w:val="20"/>
          <w:szCs w:val="20"/>
          <w:color w:val="auto"/>
        </w:rPr>
      </w:pPr>
    </w:p>
    <w:p>
      <w:pPr>
        <w:ind w:left="380" w:right="479" w:firstLine="648"/>
        <w:spacing w:after="0" w:line="286" w:lineRule="auto"/>
        <w:rPr>
          <w:sz w:val="20"/>
          <w:szCs w:val="20"/>
          <w:color w:val="auto"/>
        </w:rPr>
      </w:pPr>
      <w:r>
        <w:rPr>
          <w:rFonts w:ascii="Arial" w:cs="Arial" w:eastAsia="Arial" w:hAnsi="Arial"/>
          <w:sz w:val="16"/>
          <w:szCs w:val="16"/>
          <w:color w:val="auto"/>
        </w:rPr>
        <w:t>On September 22, 2017, Magnus entered into a loan agreement (the “New Magnus Loan Agreement”) with certain Korean financial institutions (the “New Magnus Lenders”) which provides for (i) three year term loans in an aggregate amount of Korean Won 399.2 billion (equivalent to approximately $373.7 million, using an exchange rate of $1.00 = Korean Won 1,068.27 as of December 31, 2017) (the “New Magnus Term Loans”) and</w:t>
      </w:r>
    </w:p>
    <w:p>
      <w:pPr>
        <w:spacing w:after="0" w:line="2" w:lineRule="exact"/>
        <w:rPr>
          <w:sz w:val="20"/>
          <w:szCs w:val="20"/>
          <w:color w:val="auto"/>
        </w:rPr>
      </w:pPr>
    </w:p>
    <w:p>
      <w:pPr>
        <w:ind w:left="380" w:right="399" w:firstLine="2"/>
        <w:spacing w:after="0" w:line="252" w:lineRule="auto"/>
        <w:tabs>
          <w:tab w:leader="none" w:pos="645" w:val="left"/>
        </w:tabs>
        <w:numPr>
          <w:ilvl w:val="0"/>
          <w:numId w:val="12"/>
        </w:numPr>
        <w:rPr>
          <w:rFonts w:ascii="Arial" w:cs="Arial" w:eastAsia="Arial" w:hAnsi="Arial"/>
          <w:sz w:val="18"/>
          <w:szCs w:val="18"/>
          <w:color w:val="auto"/>
        </w:rPr>
      </w:pPr>
      <w:r>
        <w:rPr>
          <w:rFonts w:ascii="Arial" w:cs="Arial" w:eastAsia="Arial" w:hAnsi="Arial"/>
          <w:sz w:val="18"/>
          <w:szCs w:val="18"/>
          <w:color w:val="auto"/>
        </w:rPr>
        <w:t>a revolving credit loan of Korean Won 10.0 billion (equivalent to approximately $9.4 million, using an exchange rate of $1.00 = Korean Won 1,068.27 as of December 31, 2017) (the “New Magnus Revolving Loan” and, together with the New Magnus Term Loans, the “New Magnus Loans”). The New Magnus Loans are secured by a pledge on all of our common stock owned by Magnus, which consists of 39,345,151 shares (the “Magnus Shares”), or 52.6% of our outstanding common stock. The shares of our common stock owned by Magnus are its only assets.</w:t>
      </w:r>
    </w:p>
    <w:p>
      <w:pPr>
        <w:spacing w:after="0" w:line="194" w:lineRule="exact"/>
        <w:rPr>
          <w:sz w:val="20"/>
          <w:szCs w:val="20"/>
          <w:color w:val="auto"/>
        </w:rPr>
      </w:pPr>
    </w:p>
    <w:p>
      <w:pPr>
        <w:ind w:left="380" w:right="399" w:firstLine="648"/>
        <w:spacing w:after="0" w:line="268" w:lineRule="auto"/>
        <w:rPr>
          <w:sz w:val="20"/>
          <w:szCs w:val="20"/>
          <w:color w:val="auto"/>
        </w:rPr>
      </w:pPr>
      <w:r>
        <w:rPr>
          <w:rFonts w:ascii="Arial" w:cs="Arial" w:eastAsia="Arial" w:hAnsi="Arial"/>
          <w:sz w:val="17"/>
          <w:szCs w:val="17"/>
          <w:color w:val="auto"/>
        </w:rPr>
        <w:t>Under the New Magnus Loan Agreement, Magnus is required to maintain a specified loan-to-value ratio (“LTV Ratio”), which is tested monthly, based on (1) the amount outstanding under the New Magnus Loans on each applicable calculation date divided by (2)(a) the trading-volume-weighted arithmetic mean of the closing price of shares of our common stock on the New York Stock Exchange during the applicable calculation period multiplied by (b) the number of shares of our common stock that are subject to the pledge multiplied by (c) the average exchange rate between U.S. dollars and Korean Won announced by Seoul Money Brokerage during the applicable calculation period. If the LTV Ratio as of any applicable calculation date exceeds 75%, which may occur due to fluctuations in the price of our common stock and/or fluctuations in the exchange rate between U.S. dollars and Korean Won, either of which may be due to events outside our control, Magnus will be in breach of the New Magnus Loan Agreement. Any such breach may, subject to applicable grace periods and cure rights, result in an event of default that gives the New Magnus Lenders the right to accelerate the maturity of the New Magnus Loans. See our Current Report on Form 8-K filed on September 22, 2017 for a description of the terms of the New Magnus Loans.</w:t>
      </w:r>
    </w:p>
    <w:p>
      <w:pPr>
        <w:spacing w:after="0" w:line="188" w:lineRule="exact"/>
        <w:rPr>
          <w:sz w:val="20"/>
          <w:szCs w:val="20"/>
          <w:color w:val="auto"/>
        </w:rPr>
      </w:pPr>
    </w:p>
    <w:p>
      <w:pPr>
        <w:ind w:left="380" w:right="399" w:firstLine="648"/>
        <w:spacing w:after="0" w:line="286" w:lineRule="auto"/>
        <w:rPr>
          <w:sz w:val="20"/>
          <w:szCs w:val="20"/>
          <w:color w:val="auto"/>
        </w:rPr>
      </w:pPr>
      <w:r>
        <w:rPr>
          <w:rFonts w:ascii="Arial" w:cs="Arial" w:eastAsia="Arial" w:hAnsi="Arial"/>
          <w:sz w:val="16"/>
          <w:szCs w:val="16"/>
          <w:color w:val="auto"/>
        </w:rPr>
        <w:t>It is expected that a portion of the interest payments on the New Magnus Loans, and potential future dividend or interest obligations under any equity or debt used to refinance the New Magnus Loans, will be funded using proceeds from dividends, if any, received on our common stock. See “Item 5. – Market for Registrant’s Common Equity, Related Stockholder Matters and Issuer Purchases of Equity Securities – Dividend Policy.” There can be no assurance that we will be able to make such dividend payments on our common stock. See “Risks Related to Ownership of Our Common Stock— We cannot assure you that we will pay dividends on our common stock, and our indebtedness and other factors could limit our ability to pay dividends on our common stock” below. There can be no assurance that Magnus will be able to make the interest payments on the New Magnus Loans, or any potential future dividend or interest obligations under any equity or debt used to refinance the New Magnus Loans. If Magnus is unable to pay interest on the New Magnus Loans on an interest payment date, the principal and accrued interest on the New Magnus Loans becomes automatically due and payable. At maturity (or an earlier date if subject to acceleration), Magnus will be required to raise additional funds to pay the additional amounts of interest incurred, which it may be unable to do. There may be similar obligations under any financing used to refinance the New Magnus Loans in the future.</w:t>
      </w:r>
    </w:p>
    <w:p>
      <w:pPr>
        <w:spacing w:after="0" w:line="172" w:lineRule="exact"/>
        <w:rPr>
          <w:sz w:val="20"/>
          <w:szCs w:val="20"/>
          <w:color w:val="auto"/>
        </w:rPr>
      </w:pPr>
    </w:p>
    <w:p>
      <w:pPr>
        <w:ind w:left="380" w:right="399" w:firstLine="648"/>
        <w:spacing w:after="0" w:line="286" w:lineRule="auto"/>
        <w:rPr>
          <w:sz w:val="20"/>
          <w:szCs w:val="20"/>
          <w:color w:val="auto"/>
        </w:rPr>
      </w:pPr>
      <w:r>
        <w:rPr>
          <w:rFonts w:ascii="Arial" w:cs="Arial" w:eastAsia="Arial" w:hAnsi="Arial"/>
          <w:sz w:val="16"/>
          <w:szCs w:val="16"/>
          <w:color w:val="auto"/>
        </w:rPr>
        <w:t>If the LTV Ratio covenant or other applicable provisions of the New Magnus Loan Agreement are breached and the New Magnus Loans are accelerated, or if Fila Korea or Magnus are unable to make payments on the New Magnus Loans when due or are unable to raise the funds necessary to pay the amounts owed on the New Magnus Loans at maturity (or an earlier date if subject to acceleration), or if Magnus otherwise fails to pay the amounts due on the New Magnus Loans at maturity (or an earlier date if subject to acceleration), the New Magnus Lenders can foreclose on the Magnus Shares. Any such foreclosure may be undertaken in accordance with Korean law and may result, under certain circumstances, in the sale or other transfer of up to 52.6% of our common stock. See “The creditor and insolvency laws of Korea are different from U.S. laws and the outcome of any foreclosure, liquidation, bankruptcy or other restructuring proceeding may be unpredictable” below. Any such sale could have a significant impact on our shareholding structure and our corporate governance and could materially decrease the market price of shares of our common stock. In addition, the perception that such a sale could occur could materially depress the market price of shares of our common stock. See “Risks Related to Ownership of Our Common Stock—Future sales, or the perception of future sales, by us or</w:t>
      </w:r>
    </w:p>
    <w:p>
      <w:pPr>
        <w:spacing w:after="0" w:line="172"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40" w:name="page41"/>
    <w:bookmarkEnd w:id="40"/>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ind w:left="380" w:right="759"/>
        <w:spacing w:after="0" w:line="312" w:lineRule="auto"/>
        <w:rPr>
          <w:sz w:val="20"/>
          <w:szCs w:val="20"/>
          <w:color w:val="auto"/>
        </w:rPr>
      </w:pPr>
      <w:r>
        <w:rPr>
          <w:rFonts w:ascii="Arial" w:cs="Arial" w:eastAsia="Arial" w:hAnsi="Arial"/>
          <w:sz w:val="16"/>
          <w:szCs w:val="16"/>
          <w:color w:val="auto"/>
        </w:rPr>
        <w:t>our existing shareholders in the public market could cause the market price for our common stock to decline” below. There may be similar obligations under any financing used to refinance the New Magnus Loans in the future and failure to satisfy such obligations could result in the same consequences as discussed above.</w:t>
      </w:r>
    </w:p>
    <w:p>
      <w:pPr>
        <w:spacing w:after="0" w:line="147" w:lineRule="exact"/>
        <w:rPr>
          <w:sz w:val="20"/>
          <w:szCs w:val="20"/>
          <w:color w:val="auto"/>
        </w:rPr>
      </w:pPr>
    </w:p>
    <w:p>
      <w:pPr>
        <w:ind w:left="380" w:right="399" w:firstLine="648"/>
        <w:spacing w:after="0" w:line="269" w:lineRule="auto"/>
        <w:rPr>
          <w:sz w:val="20"/>
          <w:szCs w:val="20"/>
          <w:color w:val="auto"/>
        </w:rPr>
      </w:pPr>
      <w:r>
        <w:rPr>
          <w:rFonts w:ascii="Arial" w:cs="Arial" w:eastAsia="Arial" w:hAnsi="Arial"/>
          <w:sz w:val="17"/>
          <w:szCs w:val="17"/>
          <w:color w:val="auto"/>
        </w:rPr>
        <w:t>In addition, prior to any foreclosure, Fila Korea may decide to sell or otherwise transfer all, or a significant portion, of our common stock owned by Magnus in order to meet the obligations of Magnus under the New Magnus Loans, including to satisfy the LTV Ratio covenant, or under any future financing used to refinance the New Magnus Loans. Any such sale, or the perception that such a sale could occur, could have a significant impact on our shareholding structure and our corporate governance and could materially decrease the market price of shares of our common stock. In connection with our initial public offering, we entered into a registration rights agreement with Magnus and certain other pre-IPO shareholders. The New Magnus Lenders will assume Magnus’ rights under the registration rights agreement in the event of a foreclosure or other transfer of the pledged shares of our common stock pursuant to the New Magnus Loans. See “Certain Relationships and Related Party Transactions—Registration Rights Agreement” in our Definitive Proxy Statement on Schedule 14A filed on April 28, 2017.</w:t>
      </w:r>
    </w:p>
    <w:p>
      <w:pPr>
        <w:spacing w:after="0" w:line="183" w:lineRule="exact"/>
        <w:rPr>
          <w:sz w:val="20"/>
          <w:szCs w:val="20"/>
          <w:color w:val="auto"/>
        </w:rPr>
      </w:pPr>
    </w:p>
    <w:p>
      <w:pPr>
        <w:ind w:left="380" w:right="379" w:firstLine="648"/>
        <w:spacing w:after="0" w:line="284" w:lineRule="auto"/>
        <w:rPr>
          <w:sz w:val="20"/>
          <w:szCs w:val="20"/>
          <w:color w:val="auto"/>
        </w:rPr>
      </w:pPr>
      <w:r>
        <w:rPr>
          <w:rFonts w:ascii="Arial" w:cs="Arial" w:eastAsia="Arial" w:hAnsi="Arial"/>
          <w:sz w:val="16"/>
          <w:szCs w:val="16"/>
          <w:color w:val="auto"/>
        </w:rPr>
        <w:t>Any of the potential sales, foreclosures, liquidations or other transfers of our common stock discussed above may result in a change of control under certain outstanding agreements, including as a result of the acquisition of a significant portion of our common stock by any individual, entity or group, which could result in a default under such agreements. Under our credit agreement, it is a change of control if any person (other than certain permitted parties, including Fila Korea) becomes the beneficial owner of 35% or more of our outstanding common stock. In the event of a foreclosure on the pledged shares of our common stock under the New Magnus Loans, if, in the reasonable opinion of the New Magnus Lenders, foreclosure of 35% of our outstanding common stock less one share of our common stock (the “Foreclosure Threshold Amount”) will be sufficient to fully satisfy the principal and interest of the New Magnus Loans, only the Foreclosure Threshold Amount will be permitted for such foreclosure. If the Foreclosure Threshold Amount is insufficient to fully satisfy the principal and interest of the New Magnus Loans, there will be no limitation on the amount of our pledged shares of common stock that may be foreclosed. As a result, if the New Magnus Lenders or a third party were to acquire beneficial ownership of 35% or more of our outstanding common stock pursuant to an event of default under the New Magnus Loans, it would result in a change of control under our credit agreement, which is an event of default that could result in the acceleration of all outstanding indebtedness and the termination of all commitments under our credit agreement and would allow the lenders under our credit agreement to enforce their rights with respect to the collateral granted by us, including the stock of our subsidiary, Acushnet Company. Upon the exercise of such rights, it is uncertain whether we and our subsidiary, Acushnet Company, would be able to refinance the indebtedness and replace the commitments under our credit agreement on comparable terms or at all. If we are unable to refinance our credit agreement, we may need to dispose of assets or operations or issue equity to obtain necessary funds to repay the outstanding indebtedness under our credit agreement. The resulting impairment of our liquidity position could also materially depress our stock price. In addition, a change of control under our outstanding equity award agreements and other employment arrangements may result in the vesting of outstanding equity awards and the acceleration of benefits or other payments under certain employment arrangements. A change of control may also result in a default or other negative consequence under our other outstanding agreements or instruments. See “Management’s Discussion and Analysis of Financial Condition and Results of Operations—Liquidity and Capital Resources.”</w:t>
      </w:r>
    </w:p>
    <w:p>
      <w:pPr>
        <w:spacing w:after="0" w:line="390" w:lineRule="exact"/>
        <w:rPr>
          <w:sz w:val="20"/>
          <w:szCs w:val="20"/>
          <w:color w:val="auto"/>
        </w:rPr>
      </w:pPr>
    </w:p>
    <w:p>
      <w:pPr>
        <w:ind w:left="380" w:right="379" w:firstLine="648"/>
        <w:spacing w:after="0" w:line="270" w:lineRule="auto"/>
        <w:rPr>
          <w:sz w:val="20"/>
          <w:szCs w:val="20"/>
          <w:color w:val="auto"/>
        </w:rPr>
      </w:pPr>
      <w:r>
        <w:rPr>
          <w:rFonts w:ascii="Arial" w:cs="Arial" w:eastAsia="Arial" w:hAnsi="Arial"/>
          <w:sz w:val="17"/>
          <w:szCs w:val="17"/>
          <w:color w:val="auto"/>
        </w:rPr>
        <w:t>Magnus’ ability to pay the amounts owed on, or to refinance, the New Magnus Loans on or prior to maturity may be affected by general economic, financial, competitive, legislative, regulatory, business, geopolitical and other factors beyond its control. We cannot assure you that future borrowings or equity financing will be available for the payment or refinancing of the New Magnus Loans by Magnus. If Magnus is unable to pay the amounts owed on, or to refinance, the New Magnus Loans on or prior to maturity, it could have a material adverse effect on our business, financial condition, results of operations and the market price of our common stock. In addition, any inability by Magnus to take affirmative steps to refinance the New Magnus Loans as the maturity date nears could also have a material adverse effect on our business, financial condition, results of operations and the market price of our common stock.</w:t>
      </w:r>
    </w:p>
    <w:p>
      <w:pPr>
        <w:spacing w:after="0" w:line="179"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41" w:name="page42"/>
    <w:bookmarkEnd w:id="41"/>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380" w:right="799"/>
        <w:spacing w:after="0" w:line="277" w:lineRule="auto"/>
        <w:rPr>
          <w:sz w:val="20"/>
          <w:szCs w:val="20"/>
          <w:color w:val="auto"/>
        </w:rPr>
      </w:pPr>
      <w:r>
        <w:rPr>
          <w:rFonts w:ascii="Arial" w:cs="Arial" w:eastAsia="Arial" w:hAnsi="Arial"/>
          <w:sz w:val="18"/>
          <w:szCs w:val="18"/>
          <w:b w:val="1"/>
          <w:bCs w:val="1"/>
          <w:i w:val="1"/>
          <w:iCs w:val="1"/>
          <w:color w:val="auto"/>
        </w:rPr>
        <w:t>The interests of Magnus, Fila Korea and the New Magnus Lenders may conflict with other holders of our common stock.</w:t>
      </w:r>
    </w:p>
    <w:p>
      <w:pPr>
        <w:spacing w:after="0" w:line="170" w:lineRule="exact"/>
        <w:rPr>
          <w:sz w:val="20"/>
          <w:szCs w:val="20"/>
          <w:color w:val="auto"/>
        </w:rPr>
      </w:pPr>
    </w:p>
    <w:p>
      <w:pPr>
        <w:ind w:left="380" w:right="379" w:firstLine="648"/>
        <w:spacing w:after="0" w:line="218" w:lineRule="exact"/>
        <w:rPr>
          <w:sz w:val="20"/>
          <w:szCs w:val="20"/>
          <w:color w:val="auto"/>
        </w:rPr>
      </w:pPr>
      <w:r>
        <w:rPr>
          <w:rFonts w:ascii="Arial" w:cs="Arial" w:eastAsia="Arial" w:hAnsi="Arial"/>
          <w:sz w:val="18"/>
          <w:szCs w:val="18"/>
          <w:color w:val="auto"/>
        </w:rPr>
        <w:t>Magnus, which is wholly</w:t>
      </w:r>
      <w:r>
        <w:rPr>
          <w:rFonts w:ascii="MS PGothic" w:cs="MS PGothic" w:eastAsia="MS PGothic" w:hAnsi="MS PGothic"/>
          <w:sz w:val="18"/>
          <w:szCs w:val="18"/>
          <w:color w:val="auto"/>
        </w:rPr>
        <w:t>‑</w:t>
      </w:r>
      <w:r>
        <w:rPr>
          <w:rFonts w:ascii="Arial" w:cs="Arial" w:eastAsia="Arial" w:hAnsi="Arial"/>
          <w:sz w:val="18"/>
          <w:szCs w:val="18"/>
          <w:color w:val="auto"/>
        </w:rPr>
        <w:t>owned by Fila Korea, beneficially owns approximately 52.6% of our common stock. Fila Korea is able to control the election and removal of our directors and thereby effectively determine, among other things, the payment of dividends, our corporate and management policies, including potential mergers or acquisitions or asset sales, amendment of our amended and restated certificate of incorporation or amended and restated bylaws, and other significant corporate transactions for so long as Magnus retains significant ownership of us. So long as Magnus continues to own a significant amount of our voting power, even if such amount is less than 50%, Fila Korea will continue to be able to strongly influence or effectively control our decisions. The interests of Fila Korea and Magnus may not coincide with the interests of other holders of our common stock.</w:t>
      </w:r>
    </w:p>
    <w:p>
      <w:pPr>
        <w:spacing w:after="0" w:line="205" w:lineRule="exact"/>
        <w:rPr>
          <w:sz w:val="20"/>
          <w:szCs w:val="20"/>
          <w:color w:val="auto"/>
        </w:rPr>
      </w:pPr>
    </w:p>
    <w:p>
      <w:pPr>
        <w:ind w:left="380" w:right="419" w:firstLine="648"/>
        <w:spacing w:after="0" w:line="272" w:lineRule="auto"/>
        <w:rPr>
          <w:sz w:val="20"/>
          <w:szCs w:val="20"/>
          <w:color w:val="auto"/>
        </w:rPr>
      </w:pPr>
      <w:r>
        <w:rPr>
          <w:rFonts w:ascii="Arial" w:cs="Arial" w:eastAsia="Arial" w:hAnsi="Arial"/>
          <w:sz w:val="17"/>
          <w:szCs w:val="17"/>
          <w:color w:val="auto"/>
        </w:rPr>
        <w:t>By controlling the election and removal of our directors, Fila Korea is able to effectively determine the payment of dividends on our common stock. In light of its interest obligations under the New Magnus Loans, and potential future dividend or interest obligations under any equity or debt used to refinance the New Magnus Loans, Magnus may cause us to pay dividends on our common stock at times or in amounts that may not be in the best interest of us or other holders of our common stock. See “Risks Related to Ownership of our Common Stock —We cannot assure you that we will pay dividends on our common stock, and our indebtedness and other factors could limit our ability to pay dividends on our common stock” below.</w:t>
      </w:r>
    </w:p>
    <w:p>
      <w:pPr>
        <w:spacing w:after="0" w:line="178" w:lineRule="exact"/>
        <w:rPr>
          <w:sz w:val="20"/>
          <w:szCs w:val="20"/>
          <w:color w:val="auto"/>
        </w:rPr>
      </w:pPr>
    </w:p>
    <w:p>
      <w:pPr>
        <w:ind w:left="380" w:right="419" w:firstLine="648"/>
        <w:spacing w:after="0" w:line="253" w:lineRule="auto"/>
        <w:rPr>
          <w:sz w:val="20"/>
          <w:szCs w:val="20"/>
          <w:color w:val="auto"/>
        </w:rPr>
      </w:pPr>
      <w:r>
        <w:rPr>
          <w:rFonts w:ascii="Arial" w:cs="Arial" w:eastAsia="Arial" w:hAnsi="Arial"/>
          <w:sz w:val="18"/>
          <w:szCs w:val="18"/>
          <w:color w:val="auto"/>
        </w:rPr>
        <w:t>In the ordinary course of its business activities, Fila Korea and its affiliates may engage in activities where their interests conflict with our interests or those of our shareholders. Except as may be limited by applicable law, Fila Korea and its affiliates will not have any duty to refrain from competing directly with us or engaging, directly or indirectly, in the same business activities or similar business activities or lines of business in which we operate. Fila Korea and its affiliates also may pursue acquisition opportunities that may be complementary to our business and, as a result, those acquisition opportunities may not be available to us. In addition, Fila Korea and its affiliates may have an interest in us pursuing acquisitions, divestitures and other transactions that, in its judgment, could enhance its investment, even though such transactions might involve risks to you.</w:t>
      </w:r>
    </w:p>
    <w:p>
      <w:pPr>
        <w:spacing w:after="0" w:line="197" w:lineRule="exact"/>
        <w:rPr>
          <w:sz w:val="20"/>
          <w:szCs w:val="20"/>
          <w:color w:val="auto"/>
        </w:rPr>
      </w:pPr>
    </w:p>
    <w:p>
      <w:pPr>
        <w:jc w:val="both"/>
        <w:ind w:left="380" w:right="679" w:firstLine="648"/>
        <w:spacing w:after="0" w:line="312" w:lineRule="auto"/>
        <w:rPr>
          <w:sz w:val="20"/>
          <w:szCs w:val="20"/>
          <w:color w:val="auto"/>
        </w:rPr>
      </w:pPr>
      <w:r>
        <w:rPr>
          <w:rFonts w:ascii="Arial" w:cs="Arial" w:eastAsia="Arial" w:hAnsi="Arial"/>
          <w:sz w:val="16"/>
          <w:szCs w:val="16"/>
          <w:color w:val="auto"/>
        </w:rPr>
        <w:t>In addition, the concentration of our ownership held by Magnus may delay, deter or prevent possible changes in control of the company or a change in the composition of our board of directors and could preclude any unsolicited acquisition of us, which may reduce the value of an investment in our common stock.</w:t>
      </w:r>
    </w:p>
    <w:p>
      <w:pPr>
        <w:spacing w:after="0" w:line="147" w:lineRule="exact"/>
        <w:rPr>
          <w:sz w:val="20"/>
          <w:szCs w:val="20"/>
          <w:color w:val="auto"/>
        </w:rPr>
      </w:pPr>
    </w:p>
    <w:p>
      <w:pPr>
        <w:ind w:left="380" w:right="539" w:firstLine="648"/>
        <w:spacing w:after="0" w:line="302" w:lineRule="auto"/>
        <w:rPr>
          <w:sz w:val="20"/>
          <w:szCs w:val="20"/>
          <w:color w:val="auto"/>
        </w:rPr>
      </w:pPr>
      <w:r>
        <w:rPr>
          <w:rFonts w:ascii="Arial" w:cs="Arial" w:eastAsia="Arial" w:hAnsi="Arial"/>
          <w:sz w:val="16"/>
          <w:szCs w:val="16"/>
          <w:color w:val="auto"/>
        </w:rPr>
        <w:t>Furthermore, the New Magnus Lenders, as lenders under the New Magnus Loans, and any potential future lenders of debt used to refinance the New Magnus Loans, may also become direct owners of our common stock as a result of their exercise of remedies or otherwise. The interests of the New Magnus Lenders, or such potential future lenders, may not coincide with the interests of other holders of our common stock.</w:t>
      </w:r>
    </w:p>
    <w:p>
      <w:pPr>
        <w:spacing w:after="0" w:line="87" w:lineRule="exact"/>
        <w:rPr>
          <w:sz w:val="20"/>
          <w:szCs w:val="20"/>
          <w:color w:val="auto"/>
        </w:rPr>
      </w:pPr>
    </w:p>
    <w:p>
      <w:pPr>
        <w:ind w:left="380" w:right="559" w:firstLine="648"/>
        <w:spacing w:after="0" w:line="259" w:lineRule="auto"/>
        <w:rPr>
          <w:sz w:val="20"/>
          <w:szCs w:val="20"/>
          <w:color w:val="auto"/>
        </w:rPr>
      </w:pPr>
      <w:r>
        <w:rPr>
          <w:rFonts w:ascii="Arial" w:cs="Arial" w:eastAsia="Arial" w:hAnsi="Arial"/>
          <w:sz w:val="18"/>
          <w:szCs w:val="18"/>
          <w:color w:val="auto"/>
        </w:rPr>
        <w:t>We and our board of directors will have no power to direct or influence the affairs of Magnus. In particular, we will have no power with respect to the disposition of shares of our common stock by Fila Korea, Magnus or the New Magnus Lenders (whether in connection with any exercise of remedies by the New Magnus Lenders or otherwise).</w:t>
      </w:r>
    </w:p>
    <w:p>
      <w:pPr>
        <w:spacing w:after="0" w:line="106" w:lineRule="exact"/>
        <w:rPr>
          <w:sz w:val="20"/>
          <w:szCs w:val="20"/>
          <w:color w:val="auto"/>
        </w:rPr>
      </w:pPr>
    </w:p>
    <w:p>
      <w:pPr>
        <w:ind w:left="380" w:right="619"/>
        <w:spacing w:after="0" w:line="277" w:lineRule="auto"/>
        <w:rPr>
          <w:sz w:val="20"/>
          <w:szCs w:val="20"/>
          <w:color w:val="auto"/>
        </w:rPr>
      </w:pPr>
      <w:r>
        <w:rPr>
          <w:rFonts w:ascii="Arial" w:cs="Arial" w:eastAsia="Arial" w:hAnsi="Arial"/>
          <w:sz w:val="18"/>
          <w:szCs w:val="18"/>
          <w:b w:val="1"/>
          <w:bCs w:val="1"/>
          <w:i w:val="1"/>
          <w:iCs w:val="1"/>
          <w:color w:val="auto"/>
        </w:rPr>
        <w:t>Fila Korea has in the past pledged the common stock of Magnus to its lenders and Fila Korea may pledge or borrow against shares of the common stock of Magnus in the future.</w:t>
      </w:r>
    </w:p>
    <w:p>
      <w:pPr>
        <w:spacing w:after="0" w:line="103" w:lineRule="exact"/>
        <w:rPr>
          <w:sz w:val="20"/>
          <w:szCs w:val="20"/>
          <w:color w:val="auto"/>
        </w:rPr>
      </w:pPr>
    </w:p>
    <w:p>
      <w:pPr>
        <w:ind w:left="380" w:right="419" w:firstLine="648"/>
        <w:spacing w:after="0" w:line="290" w:lineRule="auto"/>
        <w:rPr>
          <w:sz w:val="20"/>
          <w:szCs w:val="20"/>
          <w:color w:val="auto"/>
        </w:rPr>
      </w:pPr>
      <w:r>
        <w:rPr>
          <w:rFonts w:ascii="Arial" w:cs="Arial" w:eastAsia="Arial" w:hAnsi="Arial"/>
          <w:sz w:val="16"/>
          <w:szCs w:val="16"/>
          <w:color w:val="auto"/>
        </w:rPr>
        <w:t>In the past, in order to fund the operations of or otherwise provide financing for its own business, Fila Korea has pledged its interest in the common stock of Magnus, and Fila Korea may pledge or borrow against shares of the common stock of Magnus in the future. If Fila Korea defaults under any such pledge or borrowing and the lenders foreclose on the pledged shares of Magnus common stock, they may seek to sell the pledged shares of Magnus common stock, or seek to acquire and to sell a portion of our common stock owned by Magnus. Any such sale, or the perception that such a sale could occur, could alter the voting power of Magnus directly and of us indirectly, and/or decrease the market price of shares of our common stock. The interests of the secured parties who exercise foreclosure may differ from those of other holders of our common stock.</w:t>
      </w:r>
    </w:p>
    <w:p>
      <w:pPr>
        <w:spacing w:after="0" w:line="164"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42" w:name="page43"/>
    <w:bookmarkEnd w:id="42"/>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380" w:right="719"/>
        <w:spacing w:after="0" w:line="342" w:lineRule="auto"/>
        <w:rPr>
          <w:sz w:val="20"/>
          <w:szCs w:val="20"/>
          <w:color w:val="auto"/>
        </w:rPr>
      </w:pPr>
      <w:r>
        <w:rPr>
          <w:rFonts w:ascii="Arial" w:cs="Arial" w:eastAsia="Arial" w:hAnsi="Arial"/>
          <w:sz w:val="16"/>
          <w:szCs w:val="16"/>
          <w:b w:val="1"/>
          <w:bCs w:val="1"/>
          <w:i w:val="1"/>
          <w:iCs w:val="1"/>
          <w:color w:val="auto"/>
        </w:rPr>
        <w:t>The creditor and insolvency laws of Korea are different from U.S. bankruptcy laws and the outcome of any foreclosure, liquidation, bankruptcy or other restructuring proceeding may be unpredictable.</w:t>
      </w:r>
    </w:p>
    <w:p>
      <w:pPr>
        <w:spacing w:after="0" w:line="124" w:lineRule="exact"/>
        <w:rPr>
          <w:sz w:val="20"/>
          <w:szCs w:val="20"/>
          <w:color w:val="auto"/>
        </w:rPr>
      </w:pPr>
    </w:p>
    <w:p>
      <w:pPr>
        <w:ind w:left="380" w:right="439" w:firstLine="648"/>
        <w:spacing w:after="0" w:line="257" w:lineRule="auto"/>
        <w:rPr>
          <w:sz w:val="20"/>
          <w:szCs w:val="20"/>
          <w:color w:val="auto"/>
        </w:rPr>
      </w:pPr>
      <w:r>
        <w:rPr>
          <w:rFonts w:ascii="Arial" w:cs="Arial" w:eastAsia="Arial" w:hAnsi="Arial"/>
          <w:sz w:val="18"/>
          <w:szCs w:val="18"/>
          <w:color w:val="auto"/>
        </w:rPr>
        <w:t>Fila Korea and Magnus are organized under the laws of the Republic of Korea. The creditor, bankruptcy, insolvency and other relevant laws of Korea are materially different from those of the United States. Any foreclosure, liquidation, bankruptcy or other restructuring proceeding involving Fila Korea or Magnus may be unpredictable and would not involve the same timing or procedures, and may not result in the same outcome, as a proceeding under U.S. law.</w:t>
      </w:r>
    </w:p>
    <w:p>
      <w:pPr>
        <w:spacing w:after="0" w:line="188" w:lineRule="exact"/>
        <w:rPr>
          <w:sz w:val="20"/>
          <w:szCs w:val="20"/>
          <w:color w:val="auto"/>
        </w:rPr>
      </w:pPr>
    </w:p>
    <w:p>
      <w:pPr>
        <w:ind w:left="380" w:right="639"/>
        <w:spacing w:after="0" w:line="264" w:lineRule="auto"/>
        <w:rPr>
          <w:sz w:val="20"/>
          <w:szCs w:val="20"/>
          <w:color w:val="auto"/>
        </w:rPr>
      </w:pPr>
      <w:r>
        <w:rPr>
          <w:rFonts w:ascii="Arial" w:cs="Arial" w:eastAsia="Arial" w:hAnsi="Arial"/>
          <w:sz w:val="18"/>
          <w:szCs w:val="18"/>
          <w:b w:val="1"/>
          <w:bCs w:val="1"/>
          <w:i w:val="1"/>
          <w:iCs w:val="1"/>
          <w:color w:val="auto"/>
        </w:rPr>
        <w:t>We are a “controlled company” within the meaning of the rules of the NYSE. As a result, we will qualify for exemptions from certain corporate governance requirements that would otherwise provide protection to shareholders of other companies.</w:t>
      </w:r>
    </w:p>
    <w:p>
      <w:pPr>
        <w:spacing w:after="0" w:line="181" w:lineRule="exact"/>
        <w:rPr>
          <w:sz w:val="20"/>
          <w:szCs w:val="20"/>
          <w:color w:val="auto"/>
        </w:rPr>
      </w:pPr>
    </w:p>
    <w:p>
      <w:pPr>
        <w:jc w:val="both"/>
        <w:ind w:left="380" w:right="419" w:firstLine="648"/>
        <w:spacing w:after="0" w:line="264" w:lineRule="auto"/>
        <w:rPr>
          <w:sz w:val="20"/>
          <w:szCs w:val="20"/>
          <w:color w:val="auto"/>
        </w:rPr>
      </w:pPr>
      <w:r>
        <w:rPr>
          <w:rFonts w:ascii="Arial" w:cs="Arial" w:eastAsia="Arial" w:hAnsi="Arial"/>
          <w:sz w:val="18"/>
          <w:szCs w:val="18"/>
          <w:color w:val="auto"/>
        </w:rPr>
        <w:t>Under the corporate governance standards of the NYSE rules, a company of which more than 50% of the voting power is held by an individual, group, or another company is a “controlled company” and may elect not to comply with certain corporate governance requirements, including:</w:t>
      </w:r>
    </w:p>
    <w:p>
      <w:pPr>
        <w:spacing w:after="0" w:line="181" w:lineRule="exact"/>
        <w:rPr>
          <w:sz w:val="20"/>
          <w:szCs w:val="20"/>
          <w:color w:val="auto"/>
        </w:rPr>
      </w:pPr>
    </w:p>
    <w:p>
      <w:pPr>
        <w:ind w:left="1360" w:right="939" w:hanging="329"/>
        <w:spacing w:after="0" w:line="277" w:lineRule="auto"/>
        <w:tabs>
          <w:tab w:leader="none" w:pos="13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requirement that a majority of our board of directors consist of “independent directors” as defined under the rules of the NYSE;</w:t>
      </w:r>
    </w:p>
    <w:p>
      <w:pPr>
        <w:spacing w:after="0" w:line="170" w:lineRule="exact"/>
        <w:rPr>
          <w:rFonts w:ascii="Arial" w:cs="Arial" w:eastAsia="Arial" w:hAnsi="Arial"/>
          <w:sz w:val="18"/>
          <w:szCs w:val="18"/>
          <w:color w:val="auto"/>
        </w:rPr>
      </w:pPr>
    </w:p>
    <w:p>
      <w:pPr>
        <w:ind w:left="1360" w:right="639" w:hanging="329"/>
        <w:spacing w:after="0" w:line="342" w:lineRule="auto"/>
        <w:tabs>
          <w:tab w:leader="none" w:pos="1360" w:val="left"/>
        </w:tabs>
        <w:numPr>
          <w:ilvl w:val="0"/>
          <w:numId w:val="13"/>
        </w:numPr>
        <w:rPr>
          <w:rFonts w:ascii="Arial" w:cs="Arial" w:eastAsia="Arial" w:hAnsi="Arial"/>
          <w:sz w:val="16"/>
          <w:szCs w:val="16"/>
          <w:color w:val="auto"/>
        </w:rPr>
      </w:pPr>
      <w:r>
        <w:rPr>
          <w:rFonts w:ascii="Arial" w:cs="Arial" w:eastAsia="Arial" w:hAnsi="Arial"/>
          <w:sz w:val="16"/>
          <w:szCs w:val="16"/>
          <w:color w:val="auto"/>
        </w:rPr>
        <w:t>the requirement that we have a compensation committee that is composed entirely of independent directors with a written charter addressing the committee’s purpose and responsibilities;</w:t>
      </w:r>
    </w:p>
    <w:p>
      <w:pPr>
        <w:spacing w:after="0" w:line="123" w:lineRule="exact"/>
        <w:rPr>
          <w:rFonts w:ascii="Arial" w:cs="Arial" w:eastAsia="Arial" w:hAnsi="Arial"/>
          <w:sz w:val="16"/>
          <w:szCs w:val="16"/>
          <w:color w:val="auto"/>
        </w:rPr>
      </w:pPr>
    </w:p>
    <w:p>
      <w:pPr>
        <w:ind w:left="1360" w:right="619" w:hanging="329"/>
        <w:spacing w:after="0" w:line="264" w:lineRule="auto"/>
        <w:tabs>
          <w:tab w:leader="none" w:pos="13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requirement that we have a nominating and corporate governance committee that is composed entirely of independent directors with a written charter addressing the committee’s purpose and responsibilities; and</w:t>
      </w:r>
    </w:p>
    <w:p>
      <w:pPr>
        <w:spacing w:after="0" w:line="181" w:lineRule="exact"/>
        <w:rPr>
          <w:rFonts w:ascii="Arial" w:cs="Arial" w:eastAsia="Arial" w:hAnsi="Arial"/>
          <w:sz w:val="18"/>
          <w:szCs w:val="18"/>
          <w:color w:val="auto"/>
        </w:rPr>
      </w:pPr>
    </w:p>
    <w:p>
      <w:pPr>
        <w:ind w:left="1360" w:right="799" w:hanging="329"/>
        <w:spacing w:after="0" w:line="277" w:lineRule="auto"/>
        <w:tabs>
          <w:tab w:leader="none" w:pos="13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requirement for an annual performance evaluation of the compensation and nominating and corporate governance committees.</w:t>
      </w:r>
    </w:p>
    <w:p>
      <w:pPr>
        <w:spacing w:after="0" w:line="170" w:lineRule="exact"/>
        <w:rPr>
          <w:sz w:val="20"/>
          <w:szCs w:val="20"/>
          <w:color w:val="auto"/>
        </w:rPr>
      </w:pPr>
    </w:p>
    <w:p>
      <w:pPr>
        <w:ind w:left="380" w:right="499" w:firstLine="648"/>
        <w:spacing w:after="0" w:line="218" w:lineRule="exact"/>
        <w:rPr>
          <w:sz w:val="20"/>
          <w:szCs w:val="20"/>
          <w:color w:val="auto"/>
        </w:rPr>
      </w:pPr>
      <w:r>
        <w:rPr>
          <w:rFonts w:ascii="Arial" w:cs="Arial" w:eastAsia="Arial" w:hAnsi="Arial"/>
          <w:sz w:val="17"/>
          <w:szCs w:val="17"/>
          <w:color w:val="auto"/>
        </w:rPr>
        <w:t>Magnus, which is wholly</w:t>
      </w:r>
      <w:r>
        <w:rPr>
          <w:rFonts w:ascii="MS PGothic" w:cs="MS PGothic" w:eastAsia="MS PGothic" w:hAnsi="MS PGothic"/>
          <w:sz w:val="17"/>
          <w:szCs w:val="17"/>
          <w:color w:val="auto"/>
        </w:rPr>
        <w:t>‑</w:t>
      </w:r>
      <w:r>
        <w:rPr>
          <w:rFonts w:ascii="Arial" w:cs="Arial" w:eastAsia="Arial" w:hAnsi="Arial"/>
          <w:sz w:val="17"/>
          <w:szCs w:val="17"/>
          <w:color w:val="auto"/>
        </w:rPr>
        <w:t>owned by Fila Korea, controls 39,345,151 shares, or approximately 52.6%, of our common stock. As a result, we qualify as a “controlled company” within the meaning of the corporate governance standards of the NYSE. Although we do not currently avail ourselves of exemptions available to controlled companies and do not currently expect to avail ourselves of these exemptions, we may utilize one or more of these exemptions in the future. As a result, we may not have a majority of independent directors, our nominating/corporate governance committee and compensation committee may not consist entirely of independent directors, and such committees will not be subject to annual performance evaluations. Accordingly, you may not have the same protections afforded to shareholders of companies that are subject to all of the corporate governance requirements of the NYSE.</w:t>
      </w:r>
    </w:p>
    <w:p>
      <w:pPr>
        <w:spacing w:after="0" w:line="204" w:lineRule="exact"/>
        <w:rPr>
          <w:sz w:val="20"/>
          <w:szCs w:val="20"/>
          <w:color w:val="auto"/>
        </w:rPr>
      </w:pPr>
    </w:p>
    <w:p>
      <w:pPr>
        <w:ind w:left="380" w:right="519" w:firstLine="648"/>
        <w:spacing w:after="0" w:line="259" w:lineRule="auto"/>
        <w:rPr>
          <w:sz w:val="20"/>
          <w:szCs w:val="20"/>
          <w:color w:val="auto"/>
        </w:rPr>
      </w:pPr>
      <w:r>
        <w:rPr>
          <w:rFonts w:ascii="Arial" w:cs="Arial" w:eastAsia="Arial" w:hAnsi="Arial"/>
          <w:sz w:val="18"/>
          <w:szCs w:val="18"/>
          <w:color w:val="auto"/>
        </w:rPr>
        <w:t>In addition, the NYSE adopted listing standards, which were approved by the SEC in 2013, that impose additional requirements pertaining to compensation committee independence and the role and disclosure of compensation consultants and other advisers to the compensation committee that require, among other things, that:</w:t>
      </w:r>
    </w:p>
    <w:p>
      <w:pPr>
        <w:spacing w:after="0" w:line="187" w:lineRule="exact"/>
        <w:rPr>
          <w:sz w:val="20"/>
          <w:szCs w:val="20"/>
          <w:color w:val="auto"/>
        </w:rPr>
      </w:pPr>
    </w:p>
    <w:p>
      <w:pPr>
        <w:ind w:left="1360" w:right="619" w:hanging="329"/>
        <w:spacing w:after="0" w:line="277" w:lineRule="auto"/>
        <w:tabs>
          <w:tab w:leader="none" w:pos="13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a compensation committee be composed of fully independent directors, as determined pursuant to new independence requirements;</w:t>
      </w:r>
    </w:p>
    <w:p>
      <w:pPr>
        <w:spacing w:after="0" w:line="170" w:lineRule="exact"/>
        <w:rPr>
          <w:rFonts w:ascii="Arial" w:cs="Arial" w:eastAsia="Arial" w:hAnsi="Arial"/>
          <w:sz w:val="18"/>
          <w:szCs w:val="18"/>
          <w:color w:val="auto"/>
        </w:rPr>
      </w:pPr>
    </w:p>
    <w:p>
      <w:pPr>
        <w:ind w:left="1360" w:right="1179" w:hanging="329"/>
        <w:spacing w:after="0" w:line="277" w:lineRule="auto"/>
        <w:tabs>
          <w:tab w:leader="none" w:pos="13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a compensation committee be explicitly charged with hiring and overseeing compensation consultants, legal counsel, and other committee advisors; and</w:t>
      </w:r>
    </w:p>
    <w:p>
      <w:pPr>
        <w:spacing w:after="0" w:line="170" w:lineRule="exact"/>
        <w:rPr>
          <w:rFonts w:ascii="Arial" w:cs="Arial" w:eastAsia="Arial" w:hAnsi="Arial"/>
          <w:sz w:val="18"/>
          <w:szCs w:val="18"/>
          <w:color w:val="auto"/>
        </w:rPr>
      </w:pPr>
    </w:p>
    <w:p>
      <w:pPr>
        <w:ind w:left="1360" w:right="519" w:hanging="329"/>
        <w:spacing w:after="0" w:line="286" w:lineRule="auto"/>
        <w:tabs>
          <w:tab w:leader="none" w:pos="1360" w:val="left"/>
        </w:tabs>
        <w:numPr>
          <w:ilvl w:val="0"/>
          <w:numId w:val="14"/>
        </w:numPr>
        <w:rPr>
          <w:rFonts w:ascii="Arial" w:cs="Arial" w:eastAsia="Arial" w:hAnsi="Arial"/>
          <w:sz w:val="17"/>
          <w:szCs w:val="17"/>
          <w:color w:val="auto"/>
        </w:rPr>
      </w:pPr>
      <w:r>
        <w:rPr>
          <w:rFonts w:ascii="Arial" w:cs="Arial" w:eastAsia="Arial" w:hAnsi="Arial"/>
          <w:sz w:val="17"/>
          <w:szCs w:val="17"/>
          <w:color w:val="auto"/>
        </w:rPr>
        <w:t>a compensation committee be required to consider, when engaging compensation consultants, legal counsel, or other advisors, certain independence factors, including factors that examine the relationship between the consultant or advisor’s employer and us.</w:t>
      </w:r>
    </w:p>
    <w:p>
      <w:pPr>
        <w:spacing w:after="0" w:line="166" w:lineRule="exact"/>
        <w:rPr>
          <w:sz w:val="20"/>
          <w:szCs w:val="20"/>
          <w:color w:val="auto"/>
        </w:rPr>
      </w:pPr>
    </w:p>
    <w:p>
      <w:pPr>
        <w:ind w:left="380" w:right="559" w:firstLine="648"/>
        <w:spacing w:after="0" w:line="264" w:lineRule="auto"/>
        <w:rPr>
          <w:sz w:val="20"/>
          <w:szCs w:val="20"/>
          <w:color w:val="auto"/>
        </w:rPr>
      </w:pPr>
      <w:r>
        <w:rPr>
          <w:rFonts w:ascii="Arial" w:cs="Arial" w:eastAsia="Arial" w:hAnsi="Arial"/>
          <w:sz w:val="18"/>
          <w:szCs w:val="18"/>
          <w:color w:val="auto"/>
        </w:rPr>
        <w:t>Although we do not currently avail ourselves of the exemptions from these compensation committee requirements or intend to do so, as a “controlled company,” we are not subject to these compensation committee independence requirements.</w:t>
      </w:r>
    </w:p>
    <w:p>
      <w:pPr>
        <w:spacing w:after="0" w:line="179"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43" w:name="page44"/>
    <w:bookmarkEnd w:id="43"/>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ind w:left="380"/>
        <w:spacing w:after="0"/>
        <w:rPr>
          <w:sz w:val="20"/>
          <w:szCs w:val="20"/>
          <w:color w:val="auto"/>
        </w:rPr>
      </w:pPr>
      <w:r>
        <w:rPr>
          <w:rFonts w:ascii="Arial" w:cs="Arial" w:eastAsia="Arial" w:hAnsi="Arial"/>
          <w:sz w:val="18"/>
          <w:szCs w:val="18"/>
          <w:b w:val="1"/>
          <w:bCs w:val="1"/>
          <w:color w:val="auto"/>
        </w:rPr>
        <w:t>Risks Related to Ownership of Our Common Stock</w:t>
      </w:r>
    </w:p>
    <w:p>
      <w:pPr>
        <w:spacing w:after="0" w:line="229" w:lineRule="exact"/>
        <w:rPr>
          <w:sz w:val="20"/>
          <w:szCs w:val="20"/>
          <w:color w:val="auto"/>
        </w:rPr>
      </w:pPr>
    </w:p>
    <w:p>
      <w:pPr>
        <w:ind w:left="380" w:right="1119"/>
        <w:spacing w:after="0" w:line="277" w:lineRule="auto"/>
        <w:rPr>
          <w:sz w:val="20"/>
          <w:szCs w:val="20"/>
          <w:color w:val="auto"/>
        </w:rPr>
      </w:pPr>
      <w:r>
        <w:rPr>
          <w:rFonts w:ascii="Arial" w:cs="Arial" w:eastAsia="Arial" w:hAnsi="Arial"/>
          <w:sz w:val="18"/>
          <w:szCs w:val="18"/>
          <w:b w:val="1"/>
          <w:bCs w:val="1"/>
          <w:i w:val="1"/>
          <w:iCs w:val="1"/>
          <w:color w:val="auto"/>
        </w:rPr>
        <w:t>The market price of shares of our common stock may be volatile, which could cause the value of your investment to decline.</w:t>
      </w:r>
    </w:p>
    <w:p>
      <w:pPr>
        <w:spacing w:after="0" w:line="170" w:lineRule="exact"/>
        <w:rPr>
          <w:sz w:val="20"/>
          <w:szCs w:val="20"/>
          <w:color w:val="auto"/>
        </w:rPr>
      </w:pPr>
    </w:p>
    <w:p>
      <w:pPr>
        <w:ind w:left="380" w:right="439" w:firstLine="648"/>
        <w:spacing w:after="0" w:line="286" w:lineRule="auto"/>
        <w:rPr>
          <w:sz w:val="20"/>
          <w:szCs w:val="20"/>
          <w:color w:val="auto"/>
        </w:rPr>
      </w:pPr>
      <w:r>
        <w:rPr>
          <w:rFonts w:ascii="Arial" w:cs="Arial" w:eastAsia="Arial" w:hAnsi="Arial"/>
          <w:sz w:val="16"/>
          <w:szCs w:val="16"/>
          <w:color w:val="auto"/>
        </w:rPr>
        <w:t>The market price of our common stock may be highly volatile and could be subject to wide fluctuations. Securities markets worldwide experience significant price and volume fluctuations. This market volatility, as well as general economic, market or political conditions, could reduce the market price of shares of our common stock in spite of our operating performance. In addition, our results of operations could be below the expectations of public market analysts and investors due to a number of potential factors, including variations in our quarterly results of operations, additions or departures of key management personnel, failure to meet analysts’ earnings estimates, publication of research reports about our industry, litigation and government investigations, changes or proposed changes in laws or regulations or differing interpretations or enforcement thereof affecting our business or the golf industry, adverse market reaction to any indebtedness we may incur or securities we may issue in the future, changes in market valuations of similar companies or speculation in the press or investment community, announcements by our competitors of significant contracts, acquisitions, dispositions, strategic partnerships, joint ventures or capital commitments, adverse publicity about our industry in or individual scandals, and in response the market price of shares of our common stock could decrease significantly.</w:t>
      </w:r>
    </w:p>
    <w:p>
      <w:pPr>
        <w:spacing w:after="0" w:line="175" w:lineRule="exact"/>
        <w:rPr>
          <w:sz w:val="20"/>
          <w:szCs w:val="20"/>
          <w:color w:val="auto"/>
        </w:rPr>
      </w:pPr>
    </w:p>
    <w:p>
      <w:pPr>
        <w:ind w:left="380" w:right="399" w:firstLine="648"/>
        <w:spacing w:after="0" w:line="279" w:lineRule="auto"/>
        <w:rPr>
          <w:sz w:val="20"/>
          <w:szCs w:val="20"/>
          <w:color w:val="auto"/>
        </w:rPr>
      </w:pPr>
      <w:r>
        <w:rPr>
          <w:rFonts w:ascii="Arial" w:cs="Arial" w:eastAsia="Arial" w:hAnsi="Arial"/>
          <w:sz w:val="17"/>
          <w:szCs w:val="17"/>
          <w:color w:val="auto"/>
        </w:rPr>
        <w:t>In the past few years, stock markets have experienced significant price and volume fluctuations. In the past, following periods of volatility in the overall market and the market price of a company’s securities, securities class action litigation has often been instituted against these companies. This litigation, if instituted against us, could result in substantial costs and a diversion of our management’s attention and resources.</w:t>
      </w:r>
    </w:p>
    <w:p>
      <w:pPr>
        <w:spacing w:after="0" w:line="171" w:lineRule="exact"/>
        <w:rPr>
          <w:sz w:val="20"/>
          <w:szCs w:val="20"/>
          <w:color w:val="auto"/>
        </w:rPr>
      </w:pPr>
    </w:p>
    <w:p>
      <w:pPr>
        <w:jc w:val="both"/>
        <w:ind w:left="380" w:right="419"/>
        <w:spacing w:after="0" w:line="264" w:lineRule="auto"/>
        <w:rPr>
          <w:sz w:val="20"/>
          <w:szCs w:val="20"/>
          <w:color w:val="auto"/>
        </w:rPr>
      </w:pPr>
      <w:r>
        <w:rPr>
          <w:rFonts w:ascii="Arial" w:cs="Arial" w:eastAsia="Arial" w:hAnsi="Arial"/>
          <w:sz w:val="18"/>
          <w:szCs w:val="18"/>
          <w:b w:val="1"/>
          <w:bCs w:val="1"/>
          <w:i w:val="1"/>
          <w:iCs w:val="1"/>
          <w:color w:val="auto"/>
        </w:rPr>
        <w:t>If we are unable to maintain effective internal controls over financial reporting, we may not be able to produce timely and accurate financial statements, which could have a material adverse effect on our business and stock price.</w:t>
      </w:r>
    </w:p>
    <w:p>
      <w:pPr>
        <w:spacing w:after="0" w:line="181" w:lineRule="exact"/>
        <w:rPr>
          <w:sz w:val="20"/>
          <w:szCs w:val="20"/>
          <w:color w:val="auto"/>
        </w:rPr>
      </w:pPr>
    </w:p>
    <w:p>
      <w:pPr>
        <w:ind w:left="380" w:right="459" w:firstLine="648"/>
        <w:spacing w:after="0" w:line="272" w:lineRule="auto"/>
        <w:rPr>
          <w:sz w:val="20"/>
          <w:szCs w:val="20"/>
          <w:color w:val="auto"/>
        </w:rPr>
      </w:pPr>
      <w:r>
        <w:rPr>
          <w:rFonts w:ascii="Arial" w:cs="Arial" w:eastAsia="Arial" w:hAnsi="Arial"/>
          <w:sz w:val="17"/>
          <w:szCs w:val="17"/>
          <w:color w:val="auto"/>
        </w:rPr>
        <w:t>As disclosed in “Controls and Procedures”, Item 9A of Part II to this report, in connection with the audit of our consolidated financial statements for the years ended December 31, 2016, 2015 and 2014, we identified material weaknesses in our internal control over financial reporting which resulted in several audit adjustments to our consolidated financial statements for the years ended December 31, 2016, 2015 and 2014. A material weakness is a deficiency, or a combination of deficiencies, in internal control over financial reporting, such that there is a reasonable possibility that a material misstatement of the company’s annual or interim consolidated financial statements will not be prevented or detected on a timely basis.</w:t>
      </w:r>
    </w:p>
    <w:p>
      <w:pPr>
        <w:spacing w:after="0" w:line="178" w:lineRule="exact"/>
        <w:rPr>
          <w:sz w:val="20"/>
          <w:szCs w:val="20"/>
          <w:color w:val="auto"/>
        </w:rPr>
      </w:pPr>
    </w:p>
    <w:p>
      <w:pPr>
        <w:ind w:left="380" w:right="459" w:firstLine="501"/>
        <w:spacing w:after="0" w:line="291" w:lineRule="auto"/>
        <w:rPr>
          <w:sz w:val="20"/>
          <w:szCs w:val="20"/>
          <w:color w:val="auto"/>
        </w:rPr>
      </w:pPr>
      <w:r>
        <w:rPr>
          <w:rFonts w:ascii="Arial" w:cs="Arial" w:eastAsia="Arial" w:hAnsi="Arial"/>
          <w:sz w:val="16"/>
          <w:szCs w:val="16"/>
          <w:color w:val="auto"/>
        </w:rPr>
        <w:t>In response to the identified material weaknesses, we took a number of actions to improve our internal control over financial reporting during the year ended December 31, 2017. Management believes that, as a result of the implementation of these actions during the year ended December 31, 2017, our remediation efforts have been successful, and that the previously identified material weaknesses in our internal controls have been remediated. However, while these material weaknesses have been remediated, we continue to seek improvements to enhance our control environment and to strengthen our internal controls to provide reasonable assurance that our financial statements continue to be fairly stated in all material respects.</w:t>
      </w:r>
    </w:p>
    <w:p>
      <w:pPr>
        <w:spacing w:after="0" w:line="167" w:lineRule="exact"/>
        <w:rPr>
          <w:sz w:val="20"/>
          <w:szCs w:val="20"/>
          <w:color w:val="auto"/>
        </w:rPr>
      </w:pPr>
    </w:p>
    <w:p>
      <w:pPr>
        <w:ind w:left="380" w:right="579" w:firstLine="501"/>
        <w:spacing w:after="0" w:line="293" w:lineRule="auto"/>
        <w:rPr>
          <w:sz w:val="20"/>
          <w:szCs w:val="20"/>
          <w:color w:val="auto"/>
        </w:rPr>
      </w:pPr>
      <w:r>
        <w:rPr>
          <w:rFonts w:ascii="Arial" w:cs="Arial" w:eastAsia="Arial" w:hAnsi="Arial"/>
          <w:sz w:val="16"/>
          <w:szCs w:val="16"/>
          <w:color w:val="auto"/>
        </w:rPr>
        <w:t>However, if we fail to maintain effective internal controls over financial reporting or if we identify additional material weaknesses in our internal control over financial reporting, investors may lose confidence in the accuracy and completeness of our financial statements which could cause the market price of our common stock to decline, and we could become subject to sanctions or investigations by the stock exchange upon which our common stock is listed, the SEC or other regulatory authorities, and we could be delayed in delivering financial statements, which could result in a default under the agreements governing our indebtedness.</w:t>
      </w:r>
    </w:p>
    <w:p>
      <w:pPr>
        <w:spacing w:after="0" w:line="378"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44" w:name="page45"/>
    <w:bookmarkEnd w:id="44"/>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380" w:right="439"/>
        <w:spacing w:after="0" w:line="277" w:lineRule="auto"/>
        <w:rPr>
          <w:sz w:val="20"/>
          <w:szCs w:val="20"/>
          <w:color w:val="auto"/>
        </w:rPr>
      </w:pPr>
      <w:r>
        <w:rPr>
          <w:rFonts w:ascii="Arial" w:cs="Arial" w:eastAsia="Arial" w:hAnsi="Arial"/>
          <w:sz w:val="18"/>
          <w:szCs w:val="18"/>
          <w:b w:val="1"/>
          <w:bCs w:val="1"/>
          <w:i w:val="1"/>
          <w:iCs w:val="1"/>
          <w:color w:val="auto"/>
        </w:rPr>
        <w:t>We cannot assure you that we will pay dividends on our common stock, and our indebtedness and other factors could limit our ability to pay dividends on our common stock.</w:t>
      </w:r>
    </w:p>
    <w:p>
      <w:pPr>
        <w:spacing w:after="0" w:line="170" w:lineRule="exact"/>
        <w:rPr>
          <w:sz w:val="20"/>
          <w:szCs w:val="20"/>
          <w:color w:val="auto"/>
        </w:rPr>
      </w:pPr>
    </w:p>
    <w:p>
      <w:pPr>
        <w:ind w:left="380" w:right="399" w:firstLine="648"/>
        <w:spacing w:after="0" w:line="286" w:lineRule="auto"/>
        <w:rPr>
          <w:sz w:val="20"/>
          <w:szCs w:val="20"/>
          <w:color w:val="auto"/>
        </w:rPr>
      </w:pPr>
      <w:r>
        <w:rPr>
          <w:rFonts w:ascii="Arial" w:cs="Arial" w:eastAsia="Arial" w:hAnsi="Arial"/>
          <w:sz w:val="16"/>
          <w:szCs w:val="16"/>
          <w:color w:val="auto"/>
        </w:rPr>
        <w:t>We intend to pay cash dividends on our common stock, subject to the discretion of our board of directors and our compliance with applicable law, and depending on, among other things, our results of operations, capital requirements, financial condition, contractual restrictions, restrictions in our debt agreements and in any equity securities, business prospects and other factors that our board of directors may deem relevant. Because we are a holding company and have no direct operations, we expect to pay dividends, if any, only from funds we receive from our subsidiaries, which may further restrict our ability to pay dividends as a result of the laws of their jurisdiction of organization, agreements of our subsidiaries or covenants under any existing and future outstanding indebtedness we or our subsidiaries incur. Certain of our existing agreements governing indebtedness, including our credit agreement, restrict our ability to pay dividends on our common stock. We expect that any future agreements governing indebtedness will contain similar restrictions. For more information, see “Item 5. – Market for Registrant’s Common Equity, Related Stockholder Matters and Issuer Purchases of Equity Securities – Dividend Policy” and “Item 7. – Management’s Discussion and Analysis of Financial Condition and Results of Operations— Liquidity and Capital Resources.”</w:t>
      </w:r>
    </w:p>
    <w:p>
      <w:pPr>
        <w:spacing w:after="0" w:line="175" w:lineRule="exact"/>
        <w:rPr>
          <w:sz w:val="20"/>
          <w:szCs w:val="20"/>
          <w:color w:val="auto"/>
        </w:rPr>
      </w:pPr>
    </w:p>
    <w:p>
      <w:pPr>
        <w:ind w:left="380" w:right="419" w:firstLine="648"/>
        <w:spacing w:after="0" w:line="259" w:lineRule="auto"/>
        <w:rPr>
          <w:sz w:val="20"/>
          <w:szCs w:val="20"/>
          <w:color w:val="auto"/>
        </w:rPr>
      </w:pPr>
      <w:r>
        <w:rPr>
          <w:rFonts w:ascii="Arial" w:cs="Arial" w:eastAsia="Arial" w:hAnsi="Arial"/>
          <w:sz w:val="18"/>
          <w:szCs w:val="18"/>
          <w:color w:val="auto"/>
        </w:rPr>
        <w:t>Our dividend policy entails certain risks and limitations, particularly with respect to our liquidity. By paying cash dividends rather than investing that cash in our business or repaying debt, we risk, among other things, slowing the pace of our growth and having insufficient cash to fund our operations or unanticipated capital expenditures or limiting our ability to incur additional borrowings.</w:t>
      </w:r>
    </w:p>
    <w:p>
      <w:pPr>
        <w:spacing w:after="0" w:line="187" w:lineRule="exact"/>
        <w:rPr>
          <w:sz w:val="20"/>
          <w:szCs w:val="20"/>
          <w:color w:val="auto"/>
        </w:rPr>
      </w:pPr>
    </w:p>
    <w:p>
      <w:pPr>
        <w:ind w:left="380" w:right="659" w:firstLine="648"/>
        <w:spacing w:after="0" w:line="264" w:lineRule="auto"/>
        <w:rPr>
          <w:sz w:val="20"/>
          <w:szCs w:val="20"/>
          <w:color w:val="auto"/>
        </w:rPr>
      </w:pPr>
      <w:r>
        <w:rPr>
          <w:rFonts w:ascii="Arial" w:cs="Arial" w:eastAsia="Arial" w:hAnsi="Arial"/>
          <w:sz w:val="18"/>
          <w:szCs w:val="18"/>
          <w:color w:val="auto"/>
        </w:rPr>
        <w:t>Although we expect to pay dividends according to our dividend policy, we may not pay dividends according to our policy, or at all, if, among other things, we do not have the cash necessary to pay our intended dividends.</w:t>
      </w:r>
    </w:p>
    <w:p>
      <w:pPr>
        <w:spacing w:after="0" w:line="181" w:lineRule="exact"/>
        <w:rPr>
          <w:sz w:val="20"/>
          <w:szCs w:val="20"/>
          <w:color w:val="auto"/>
        </w:rPr>
      </w:pPr>
    </w:p>
    <w:p>
      <w:pPr>
        <w:ind w:left="380" w:right="419" w:firstLine="648"/>
        <w:spacing w:after="0" w:line="218" w:lineRule="exact"/>
        <w:rPr>
          <w:sz w:val="20"/>
          <w:szCs w:val="20"/>
          <w:color w:val="auto"/>
        </w:rPr>
      </w:pPr>
      <w:r>
        <w:rPr>
          <w:rFonts w:ascii="Arial" w:cs="Arial" w:eastAsia="Arial" w:hAnsi="Arial"/>
          <w:sz w:val="17"/>
          <w:szCs w:val="17"/>
          <w:color w:val="auto"/>
        </w:rPr>
        <w:t>The declaration and payment of dividends will be determined at the discretion of our board of directors, acting in compliance with applicable law and contractual restrictions. However, our board of directors is determined by Magnus, which is wholly</w:t>
      </w:r>
      <w:r>
        <w:rPr>
          <w:rFonts w:ascii="MS PGothic" w:cs="MS PGothic" w:eastAsia="MS PGothic" w:hAnsi="MS PGothic"/>
          <w:sz w:val="17"/>
          <w:szCs w:val="17"/>
          <w:color w:val="auto"/>
        </w:rPr>
        <w:t>‑</w:t>
      </w:r>
      <w:r>
        <w:rPr>
          <w:rFonts w:ascii="Arial" w:cs="Arial" w:eastAsia="Arial" w:hAnsi="Arial"/>
          <w:sz w:val="17"/>
          <w:szCs w:val="17"/>
          <w:color w:val="auto"/>
        </w:rPr>
        <w:t>owned by Fila Korea, which controls a majority of the voting power of all outstanding shares of our common stock. Accordingly, the decision to declare and pay dividends on our common stock in the future, as well as the amount of each such dividend payment, may also depend on the amounts Magnus needs to fund the interest payments on the Magnus Term Loan, other amounts due in connection with the Magnus Term Loan or any potential future dividend or interest obligations under any equity or debt used to refinance the Magnus Term Loan.</w:t>
      </w:r>
    </w:p>
    <w:p>
      <w:pPr>
        <w:spacing w:after="0" w:line="205" w:lineRule="exact"/>
        <w:rPr>
          <w:sz w:val="20"/>
          <w:szCs w:val="20"/>
          <w:color w:val="auto"/>
        </w:rPr>
      </w:pPr>
    </w:p>
    <w:p>
      <w:pPr>
        <w:ind w:left="380" w:right="679"/>
        <w:spacing w:after="0" w:line="381" w:lineRule="auto"/>
        <w:rPr>
          <w:sz w:val="20"/>
          <w:szCs w:val="20"/>
          <w:color w:val="auto"/>
        </w:rPr>
      </w:pPr>
      <w:r>
        <w:rPr>
          <w:rFonts w:ascii="Arial" w:cs="Arial" w:eastAsia="Arial" w:hAnsi="Arial"/>
          <w:sz w:val="15"/>
          <w:szCs w:val="15"/>
          <w:b w:val="1"/>
          <w:bCs w:val="1"/>
          <w:i w:val="1"/>
          <w:iCs w:val="1"/>
          <w:color w:val="auto"/>
        </w:rPr>
        <w:t>Acushnet Holdings Corp. is a holding company with no operations of its own and, as such, it depends on its subsidiaries for cash to fund all of its operations and expenses, including future dividend payments, if any.</w:t>
      </w:r>
    </w:p>
    <w:p>
      <w:pPr>
        <w:spacing w:after="0" w:line="101" w:lineRule="exact"/>
        <w:rPr>
          <w:sz w:val="20"/>
          <w:szCs w:val="20"/>
          <w:color w:val="auto"/>
        </w:rPr>
      </w:pPr>
    </w:p>
    <w:p>
      <w:pPr>
        <w:ind w:left="380" w:right="379" w:firstLine="648"/>
        <w:spacing w:after="0" w:line="257" w:lineRule="auto"/>
        <w:rPr>
          <w:sz w:val="20"/>
          <w:szCs w:val="20"/>
          <w:color w:val="auto"/>
        </w:rPr>
      </w:pPr>
      <w:r>
        <w:rPr>
          <w:rFonts w:ascii="Arial" w:cs="Arial" w:eastAsia="Arial" w:hAnsi="Arial"/>
          <w:sz w:val="18"/>
          <w:szCs w:val="18"/>
          <w:color w:val="auto"/>
        </w:rPr>
        <w:t>Our operations are conducted almost entirely through our subsidiaries and our ability to generate cash to make future dividend payments, if any, is highly dependent on the earnings and the receipt of funds from our subsidiaries via dividends or intercompany loans, which may be restricted as a result of the laws of the jurisdiction of organization of our subsidiaries, agreements of our subsidiaries or covenants under any existing and future outstanding indebtedness we or our subsidiaries incur.</w:t>
      </w:r>
    </w:p>
    <w:p>
      <w:pPr>
        <w:spacing w:after="0" w:line="188" w:lineRule="exact"/>
        <w:rPr>
          <w:sz w:val="20"/>
          <w:szCs w:val="20"/>
          <w:color w:val="auto"/>
        </w:rPr>
      </w:pPr>
    </w:p>
    <w:p>
      <w:pPr>
        <w:ind w:left="380" w:right="519"/>
        <w:spacing w:after="0" w:line="277" w:lineRule="auto"/>
        <w:rPr>
          <w:sz w:val="20"/>
          <w:szCs w:val="20"/>
          <w:color w:val="auto"/>
        </w:rPr>
      </w:pPr>
      <w:r>
        <w:rPr>
          <w:rFonts w:ascii="Arial" w:cs="Arial" w:eastAsia="Arial" w:hAnsi="Arial"/>
          <w:sz w:val="18"/>
          <w:szCs w:val="18"/>
          <w:b w:val="1"/>
          <w:bCs w:val="1"/>
          <w:i w:val="1"/>
          <w:iCs w:val="1"/>
          <w:color w:val="auto"/>
        </w:rPr>
        <w:t>You may be diluted by the future issuance of additional common stock in connection with our incentive plans, acquisitions or otherwise.</w:t>
      </w:r>
    </w:p>
    <w:p>
      <w:pPr>
        <w:spacing w:after="0" w:line="170" w:lineRule="exact"/>
        <w:rPr>
          <w:sz w:val="20"/>
          <w:szCs w:val="20"/>
          <w:color w:val="auto"/>
        </w:rPr>
      </w:pPr>
    </w:p>
    <w:p>
      <w:pPr>
        <w:ind w:left="380" w:right="479" w:firstLine="648"/>
        <w:spacing w:after="0" w:line="291" w:lineRule="auto"/>
        <w:rPr>
          <w:sz w:val="20"/>
          <w:szCs w:val="20"/>
          <w:color w:val="auto"/>
        </w:rPr>
      </w:pPr>
      <w:r>
        <w:rPr>
          <w:rFonts w:ascii="Arial" w:cs="Arial" w:eastAsia="Arial" w:hAnsi="Arial"/>
          <w:sz w:val="16"/>
          <w:szCs w:val="16"/>
          <w:color w:val="auto"/>
        </w:rPr>
        <w:t>As of December 31, 2017, we had 425,520,681 shares of common stock authorized but unissued. Our amended and restated certificate of incorporation authorizes us to issue these shares of common stock and securities convertible into, exchangeable for, or exercisable into our common stock for the consideration and on the terms and conditions established by our board of directors in its sole discretion, whether in connection with acquisitions or otherwise. We have 7,804,279 shares reserved for issuance under our 2015 Incentive Plan. Any shares of common stock that we issue, under our 2015 Incentive Plan or other equity incentive plans that we may adopt in the future, would dilute the percentage ownership held by our existing shareholders.</w:t>
      </w:r>
    </w:p>
    <w:p>
      <w:pPr>
        <w:spacing w:after="0" w:line="167" w:lineRule="exact"/>
        <w:rPr>
          <w:sz w:val="20"/>
          <w:szCs w:val="20"/>
          <w:color w:val="auto"/>
        </w:rPr>
      </w:pPr>
    </w:p>
    <w:p>
      <w:pPr>
        <w:ind w:left="380" w:right="639"/>
        <w:spacing w:after="0" w:line="277" w:lineRule="auto"/>
        <w:rPr>
          <w:sz w:val="20"/>
          <w:szCs w:val="20"/>
          <w:color w:val="auto"/>
        </w:rPr>
      </w:pPr>
      <w:r>
        <w:rPr>
          <w:rFonts w:ascii="Arial" w:cs="Arial" w:eastAsia="Arial" w:hAnsi="Arial"/>
          <w:sz w:val="18"/>
          <w:szCs w:val="18"/>
          <w:b w:val="1"/>
          <w:bCs w:val="1"/>
          <w:i w:val="1"/>
          <w:iCs w:val="1"/>
          <w:color w:val="auto"/>
        </w:rPr>
        <w:t>Future sales, or the perception of future sales, by us or our existing shareholders in the public market could cause the market price for our common stock to decline.</w:t>
      </w:r>
    </w:p>
    <w:p>
      <w:pPr>
        <w:spacing w:after="0" w:line="170" w:lineRule="exact"/>
        <w:rPr>
          <w:sz w:val="20"/>
          <w:szCs w:val="20"/>
          <w:color w:val="auto"/>
        </w:rPr>
      </w:pPr>
    </w:p>
    <w:p>
      <w:pPr>
        <w:ind w:left="380" w:right="379" w:firstLine="648"/>
        <w:spacing w:after="0" w:line="264" w:lineRule="auto"/>
        <w:rPr>
          <w:sz w:val="20"/>
          <w:szCs w:val="20"/>
          <w:color w:val="auto"/>
        </w:rPr>
      </w:pPr>
      <w:r>
        <w:rPr>
          <w:rFonts w:ascii="Arial" w:cs="Arial" w:eastAsia="Arial" w:hAnsi="Arial"/>
          <w:sz w:val="18"/>
          <w:szCs w:val="18"/>
          <w:color w:val="auto"/>
        </w:rPr>
        <w:t>The sale of substantial amounts of shares of our common stock in the public market, or the perception that such sales could occur, including sales by our existing shareholders, could harm the prevailing market price of shares of our</w:t>
      </w:r>
    </w:p>
    <w:p>
      <w:pPr>
        <w:spacing w:after="0" w:line="179"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45" w:name="page46"/>
    <w:bookmarkEnd w:id="45"/>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380" w:right="519"/>
        <w:spacing w:after="0" w:line="259" w:lineRule="auto"/>
        <w:rPr>
          <w:sz w:val="20"/>
          <w:szCs w:val="20"/>
          <w:color w:val="auto"/>
        </w:rPr>
      </w:pPr>
      <w:r>
        <w:rPr>
          <w:rFonts w:ascii="Arial" w:cs="Arial" w:eastAsia="Arial" w:hAnsi="Arial"/>
          <w:sz w:val="18"/>
          <w:szCs w:val="18"/>
          <w:color w:val="auto"/>
        </w:rPr>
        <w:t>common stock. These sales, or the possibility that these sales may occur, also might make it more difficult for us to sell equity securities in the future at a time and at a price that we deem appropriate. These factors could also make it more difficult for us to raise additional funds through future offerings of our shares of common stock or other securities.</w:t>
      </w:r>
    </w:p>
    <w:p>
      <w:pPr>
        <w:spacing w:after="0" w:line="187" w:lineRule="exact"/>
        <w:rPr>
          <w:sz w:val="20"/>
          <w:szCs w:val="20"/>
          <w:color w:val="auto"/>
        </w:rPr>
      </w:pPr>
    </w:p>
    <w:p>
      <w:pPr>
        <w:ind w:left="380" w:right="999"/>
        <w:spacing w:after="0" w:line="223" w:lineRule="exact"/>
        <w:rPr>
          <w:sz w:val="20"/>
          <w:szCs w:val="20"/>
          <w:color w:val="auto"/>
        </w:rPr>
      </w:pPr>
      <w:r>
        <w:rPr>
          <w:rFonts w:ascii="Arial" w:cs="Arial" w:eastAsia="Arial" w:hAnsi="Arial"/>
          <w:sz w:val="18"/>
          <w:szCs w:val="18"/>
          <w:b w:val="1"/>
          <w:bCs w:val="1"/>
          <w:i w:val="1"/>
          <w:iCs w:val="1"/>
          <w:color w:val="auto"/>
        </w:rPr>
        <w:t>Anti</w:t>
      </w:r>
      <w:r>
        <w:rPr>
          <w:rFonts w:ascii="MS PGothic" w:cs="MS PGothic" w:eastAsia="MS PGothic" w:hAnsi="MS PGothic"/>
          <w:sz w:val="18"/>
          <w:szCs w:val="18"/>
          <w:b w:val="1"/>
          <w:bCs w:val="1"/>
          <w:i w:val="1"/>
          <w:iCs w:val="1"/>
          <w:color w:val="auto"/>
        </w:rPr>
        <w:t>‑</w:t>
      </w:r>
      <w:r>
        <w:rPr>
          <w:rFonts w:ascii="Arial" w:cs="Arial" w:eastAsia="Arial" w:hAnsi="Arial"/>
          <w:sz w:val="18"/>
          <w:szCs w:val="18"/>
          <w:b w:val="1"/>
          <w:bCs w:val="1"/>
          <w:i w:val="1"/>
          <w:iCs w:val="1"/>
          <w:color w:val="auto"/>
        </w:rPr>
        <w:t>takeover provisions in our organizational documents and Delaware law might discourage or delay acquisition attempts for us that you might consider favorable.</w:t>
      </w:r>
    </w:p>
    <w:p>
      <w:pPr>
        <w:spacing w:after="0" w:line="203" w:lineRule="exact"/>
        <w:rPr>
          <w:sz w:val="20"/>
          <w:szCs w:val="20"/>
          <w:color w:val="auto"/>
        </w:rPr>
      </w:pPr>
    </w:p>
    <w:p>
      <w:pPr>
        <w:ind w:left="380" w:right="679" w:firstLine="648"/>
        <w:spacing w:after="0" w:line="264" w:lineRule="auto"/>
        <w:rPr>
          <w:sz w:val="20"/>
          <w:szCs w:val="20"/>
          <w:color w:val="auto"/>
        </w:rPr>
      </w:pPr>
      <w:r>
        <w:rPr>
          <w:rFonts w:ascii="Arial" w:cs="Arial" w:eastAsia="Arial" w:hAnsi="Arial"/>
          <w:sz w:val="18"/>
          <w:szCs w:val="18"/>
          <w:color w:val="auto"/>
        </w:rPr>
        <w:t>Our amended and restated certificate of incorporation and amended and restated bylaws contain provisions that may make the merger or acquisition of the Company more difficult without the approval of our board of directors. Among other things:</w:t>
      </w:r>
    </w:p>
    <w:p>
      <w:pPr>
        <w:spacing w:after="0" w:line="181" w:lineRule="exact"/>
        <w:rPr>
          <w:sz w:val="20"/>
          <w:szCs w:val="20"/>
          <w:color w:val="auto"/>
        </w:rPr>
      </w:pPr>
    </w:p>
    <w:p>
      <w:pPr>
        <w:ind w:left="1360" w:right="519" w:hanging="329"/>
        <w:spacing w:after="0" w:line="276" w:lineRule="auto"/>
        <w:tabs>
          <w:tab w:leader="none" w:pos="1360" w:val="left"/>
        </w:tabs>
        <w:numPr>
          <w:ilvl w:val="0"/>
          <w:numId w:val="15"/>
        </w:numPr>
        <w:rPr>
          <w:rFonts w:ascii="Arial" w:cs="Arial" w:eastAsia="Arial" w:hAnsi="Arial"/>
          <w:sz w:val="17"/>
          <w:szCs w:val="17"/>
          <w:color w:val="auto"/>
        </w:rPr>
      </w:pPr>
      <w:r>
        <w:rPr>
          <w:rFonts w:ascii="Arial" w:cs="Arial" w:eastAsia="Arial" w:hAnsi="Arial"/>
          <w:sz w:val="17"/>
          <w:szCs w:val="17"/>
          <w:color w:val="auto"/>
        </w:rPr>
        <w:t>although we do not have a stockholder rights plan, these provisions would allow us to authorize the issuance of undesignated preferred stock in connection with a stockholder rights plan or otherwise, the terms of which may be established and the shares of which may be issued without stockholder approval, and which may include super voting, special approval, dividend, or other rights or preferences superior to the rights of the holders of common stock;</w:t>
      </w:r>
    </w:p>
    <w:p>
      <w:pPr>
        <w:spacing w:after="0" w:line="172" w:lineRule="exact"/>
        <w:rPr>
          <w:rFonts w:ascii="Arial" w:cs="Arial" w:eastAsia="Arial" w:hAnsi="Arial"/>
          <w:sz w:val="17"/>
          <w:szCs w:val="17"/>
          <w:color w:val="auto"/>
        </w:rPr>
      </w:pPr>
    </w:p>
    <w:p>
      <w:pPr>
        <w:ind w:left="1360" w:hanging="329"/>
        <w:spacing w:after="0" w:line="196" w:lineRule="exact"/>
        <w:tabs>
          <w:tab w:leader="none" w:pos="1360" w:val="left"/>
        </w:tabs>
        <w:numPr>
          <w:ilvl w:val="0"/>
          <w:numId w:val="15"/>
        </w:numPr>
        <w:rPr>
          <w:rFonts w:ascii="Arial" w:cs="Arial" w:eastAsia="Arial" w:hAnsi="Arial"/>
          <w:sz w:val="17"/>
          <w:szCs w:val="17"/>
          <w:color w:val="auto"/>
        </w:rPr>
      </w:pPr>
      <w:r>
        <w:rPr>
          <w:rFonts w:ascii="Arial" w:cs="Arial" w:eastAsia="Arial" w:hAnsi="Arial"/>
          <w:sz w:val="17"/>
          <w:szCs w:val="17"/>
          <w:color w:val="auto"/>
        </w:rPr>
        <w:t>these provisions provide for a classified Board of Directors with staggered three</w:t>
      </w:r>
      <w:r>
        <w:rPr>
          <w:rFonts w:ascii="MS PGothic" w:cs="MS PGothic" w:eastAsia="MS PGothic" w:hAnsi="MS PGothic"/>
          <w:sz w:val="17"/>
          <w:szCs w:val="17"/>
          <w:color w:val="auto"/>
        </w:rPr>
        <w:t>‑</w:t>
      </w:r>
      <w:r>
        <w:rPr>
          <w:rFonts w:ascii="Arial" w:cs="Arial" w:eastAsia="Arial" w:hAnsi="Arial"/>
          <w:sz w:val="17"/>
          <w:szCs w:val="17"/>
          <w:color w:val="auto"/>
        </w:rPr>
        <w:t>year terms;</w:t>
      </w:r>
    </w:p>
    <w:p>
      <w:pPr>
        <w:spacing w:after="0" w:line="236" w:lineRule="exact"/>
        <w:rPr>
          <w:rFonts w:ascii="Arial" w:cs="Arial" w:eastAsia="Arial" w:hAnsi="Arial"/>
          <w:sz w:val="17"/>
          <w:szCs w:val="17"/>
          <w:color w:val="auto"/>
        </w:rPr>
      </w:pPr>
    </w:p>
    <w:p>
      <w:pPr>
        <w:ind w:left="1360" w:right="1019" w:hanging="329"/>
        <w:spacing w:after="0" w:line="308" w:lineRule="auto"/>
        <w:tabs>
          <w:tab w:leader="none" w:pos="1360" w:val="left"/>
        </w:tabs>
        <w:numPr>
          <w:ilvl w:val="0"/>
          <w:numId w:val="15"/>
        </w:numPr>
        <w:rPr>
          <w:rFonts w:ascii="Arial" w:cs="Arial" w:eastAsia="Arial" w:hAnsi="Arial"/>
          <w:sz w:val="17"/>
          <w:szCs w:val="17"/>
          <w:color w:val="auto"/>
        </w:rPr>
      </w:pPr>
      <w:r>
        <w:rPr>
          <w:rFonts w:ascii="Arial" w:cs="Arial" w:eastAsia="Arial" w:hAnsi="Arial"/>
          <w:sz w:val="17"/>
          <w:szCs w:val="17"/>
          <w:color w:val="auto"/>
        </w:rPr>
        <w:t>these provisions require advance notice for nominations of directors by stockholders and for stockholders to include matters to be considered at our annual meetings;</w:t>
      </w:r>
    </w:p>
    <w:p>
      <w:pPr>
        <w:spacing w:after="0" w:line="146" w:lineRule="exact"/>
        <w:rPr>
          <w:rFonts w:ascii="Arial" w:cs="Arial" w:eastAsia="Arial" w:hAnsi="Arial"/>
          <w:sz w:val="17"/>
          <w:szCs w:val="17"/>
          <w:color w:val="auto"/>
        </w:rPr>
      </w:pPr>
    </w:p>
    <w:p>
      <w:pPr>
        <w:ind w:left="1360" w:hanging="329"/>
        <w:spacing w:after="0"/>
        <w:tabs>
          <w:tab w:leader="none" w:pos="13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these provisions prohibit stockholder action by written consent;</w:t>
      </w:r>
    </w:p>
    <w:p>
      <w:pPr>
        <w:spacing w:after="0" w:line="225" w:lineRule="exact"/>
        <w:rPr>
          <w:rFonts w:ascii="Arial" w:cs="Arial" w:eastAsia="Arial" w:hAnsi="Arial"/>
          <w:sz w:val="18"/>
          <w:szCs w:val="18"/>
          <w:color w:val="auto"/>
        </w:rPr>
      </w:pPr>
    </w:p>
    <w:p>
      <w:pPr>
        <w:ind w:left="1360" w:right="499" w:hanging="329"/>
        <w:spacing w:after="0" w:line="259" w:lineRule="auto"/>
        <w:tabs>
          <w:tab w:leader="none" w:pos="13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these provisions provide for the removal of directors only for cause and only upon affirmative vote of holders of at least 66⅔% of the shares of common stock entitled to vote generally in the election of directors if Magnus and its affiliates hold less than 50% of our outstanding shares of common stock; and</w:t>
      </w:r>
    </w:p>
    <w:p>
      <w:pPr>
        <w:spacing w:after="0" w:line="186" w:lineRule="exact"/>
        <w:rPr>
          <w:rFonts w:ascii="Arial" w:cs="Arial" w:eastAsia="Arial" w:hAnsi="Arial"/>
          <w:sz w:val="18"/>
          <w:szCs w:val="18"/>
          <w:color w:val="auto"/>
        </w:rPr>
      </w:pPr>
    </w:p>
    <w:p>
      <w:pPr>
        <w:ind w:left="1360" w:right="479" w:hanging="329"/>
        <w:spacing w:after="0" w:line="286" w:lineRule="auto"/>
        <w:tabs>
          <w:tab w:leader="none" w:pos="1360" w:val="left"/>
        </w:tabs>
        <w:numPr>
          <w:ilvl w:val="0"/>
          <w:numId w:val="15"/>
        </w:numPr>
        <w:rPr>
          <w:rFonts w:ascii="Arial" w:cs="Arial" w:eastAsia="Arial" w:hAnsi="Arial"/>
          <w:sz w:val="17"/>
          <w:szCs w:val="17"/>
          <w:color w:val="auto"/>
        </w:rPr>
      </w:pPr>
      <w:r>
        <w:rPr>
          <w:rFonts w:ascii="Arial" w:cs="Arial" w:eastAsia="Arial" w:hAnsi="Arial"/>
          <w:sz w:val="17"/>
          <w:szCs w:val="17"/>
          <w:color w:val="auto"/>
        </w:rPr>
        <w:t>these provisions require the amendment of certain provisions only by the affirmative vote of at least 66⅔% of the shares of common stock entitled to vote generally in the election of directors if Magnus and its affiliates hold less than 50% of our outstanding shares of common stock.</w:t>
      </w:r>
    </w:p>
    <w:p>
      <w:pPr>
        <w:spacing w:after="0" w:line="166" w:lineRule="exact"/>
        <w:rPr>
          <w:sz w:val="20"/>
          <w:szCs w:val="20"/>
          <w:color w:val="auto"/>
        </w:rPr>
      </w:pPr>
    </w:p>
    <w:p>
      <w:pPr>
        <w:ind w:left="380" w:right="439" w:firstLine="648"/>
        <w:spacing w:after="0" w:line="218" w:lineRule="exact"/>
        <w:rPr>
          <w:sz w:val="20"/>
          <w:szCs w:val="20"/>
          <w:color w:val="auto"/>
        </w:rPr>
      </w:pPr>
      <w:r>
        <w:rPr>
          <w:rFonts w:ascii="Arial" w:cs="Arial" w:eastAsia="Arial" w:hAnsi="Arial"/>
          <w:sz w:val="18"/>
          <w:szCs w:val="18"/>
          <w:color w:val="auto"/>
        </w:rPr>
        <w:t>Further, as a Delaware corporation, we are also subject to provisions of Delaware law, which may impair a takeover attempt that our shareholders may find beneficial. These anti</w:t>
      </w:r>
      <w:r>
        <w:rPr>
          <w:rFonts w:ascii="MS PGothic" w:cs="MS PGothic" w:eastAsia="MS PGothic" w:hAnsi="MS PGothic"/>
          <w:sz w:val="18"/>
          <w:szCs w:val="18"/>
          <w:color w:val="auto"/>
        </w:rPr>
        <w:t>‑</w:t>
      </w:r>
      <w:r>
        <w:rPr>
          <w:rFonts w:ascii="Arial" w:cs="Arial" w:eastAsia="Arial" w:hAnsi="Arial"/>
          <w:sz w:val="18"/>
          <w:szCs w:val="18"/>
          <w:color w:val="auto"/>
        </w:rPr>
        <w:t>takeover provisions and other provisions under Delaware law could discourage, delay or prevent a transaction involving a change in control of the Company, including actions that our shareholders may deem advantageous, or negatively affect the trading price of our common stock. These provisions could also discourage proxy contests and make it more difficult for you and other shareholders to elect directors of your choosing and to cause us to take other corporate actions you desire.</w:t>
      </w:r>
    </w:p>
    <w:p>
      <w:pPr>
        <w:spacing w:after="0" w:line="207" w:lineRule="exact"/>
        <w:rPr>
          <w:sz w:val="20"/>
          <w:szCs w:val="20"/>
          <w:color w:val="auto"/>
        </w:rPr>
      </w:pPr>
    </w:p>
    <w:p>
      <w:pPr>
        <w:ind w:left="380" w:right="599"/>
        <w:spacing w:after="0" w:line="277" w:lineRule="auto"/>
        <w:rPr>
          <w:sz w:val="20"/>
          <w:szCs w:val="20"/>
          <w:color w:val="auto"/>
        </w:rPr>
      </w:pPr>
      <w:r>
        <w:rPr>
          <w:rFonts w:ascii="Arial" w:cs="Arial" w:eastAsia="Arial" w:hAnsi="Arial"/>
          <w:sz w:val="18"/>
          <w:szCs w:val="18"/>
          <w:b w:val="1"/>
          <w:bCs w:val="1"/>
          <w:i w:val="1"/>
          <w:iCs w:val="1"/>
          <w:color w:val="auto"/>
        </w:rPr>
        <w:t>If securities analysts do not publish research or reports about our business or if they downgrade our stock or our sector, our stock price and trading volume could decline.</w:t>
      </w:r>
    </w:p>
    <w:p>
      <w:pPr>
        <w:spacing w:after="0" w:line="170" w:lineRule="exact"/>
        <w:rPr>
          <w:sz w:val="20"/>
          <w:szCs w:val="20"/>
          <w:color w:val="auto"/>
        </w:rPr>
      </w:pPr>
    </w:p>
    <w:p>
      <w:pPr>
        <w:ind w:left="380" w:right="439" w:firstLine="648"/>
        <w:spacing w:after="0" w:line="293" w:lineRule="auto"/>
        <w:rPr>
          <w:sz w:val="20"/>
          <w:szCs w:val="20"/>
          <w:color w:val="auto"/>
        </w:rPr>
      </w:pPr>
      <w:r>
        <w:rPr>
          <w:rFonts w:ascii="Arial" w:cs="Arial" w:eastAsia="Arial" w:hAnsi="Arial"/>
          <w:sz w:val="16"/>
          <w:szCs w:val="16"/>
          <w:color w:val="auto"/>
        </w:rPr>
        <w:t>The trading market for our common stock relies in part on the research and reports that industry or financial analysts publish about us or our business or industry. We do not control these analysts. Furthermore, if one or more of the analysts who do cover us downgrade our stock or our industry, or the stock of any of our competitors, or publish inaccurate or unfavorable research about our business or industry, the price of our stock could decline. If one or more of these analysts ceases coverage of us or fails to publish reports on us regularly, we could lose visibility in the market, which in turn could cause our stock price or trading volume to decline.</w:t>
      </w:r>
    </w:p>
    <w:p>
      <w:pPr>
        <w:spacing w:after="0" w:line="161" w:lineRule="exact"/>
        <w:rPr>
          <w:sz w:val="20"/>
          <w:szCs w:val="20"/>
          <w:color w:val="auto"/>
        </w:rPr>
      </w:pPr>
    </w:p>
    <w:p>
      <w:pPr>
        <w:ind w:left="380"/>
        <w:spacing w:after="0"/>
        <w:tabs>
          <w:tab w:leader="none" w:pos="1640" w:val="left"/>
        </w:tabs>
        <w:rPr>
          <w:sz w:val="20"/>
          <w:szCs w:val="20"/>
          <w:color w:val="auto"/>
        </w:rPr>
      </w:pPr>
      <w:r>
        <w:rPr>
          <w:rFonts w:ascii="Arial" w:cs="Arial" w:eastAsia="Arial" w:hAnsi="Arial"/>
          <w:sz w:val="18"/>
          <w:szCs w:val="18"/>
          <w:b w:val="1"/>
          <w:bCs w:val="1"/>
          <w:color w:val="auto"/>
        </w:rPr>
        <w:t>ITEM 1B.</w:t>
      </w:r>
      <w:r>
        <w:rPr>
          <w:sz w:val="20"/>
          <w:szCs w:val="20"/>
          <w:color w:val="auto"/>
        </w:rPr>
        <w:tab/>
      </w:r>
      <w:r>
        <w:rPr>
          <w:rFonts w:ascii="Arial" w:cs="Arial" w:eastAsia="Arial" w:hAnsi="Arial"/>
          <w:sz w:val="17"/>
          <w:szCs w:val="17"/>
          <w:b w:val="1"/>
          <w:bCs w:val="1"/>
          <w:color w:val="auto"/>
        </w:rPr>
        <w:t>UNRESOLVED STAFF COMMENTS</w:t>
      </w:r>
    </w:p>
    <w:p>
      <w:pPr>
        <w:spacing w:after="0" w:line="229" w:lineRule="exact"/>
        <w:rPr>
          <w:sz w:val="20"/>
          <w:szCs w:val="20"/>
          <w:color w:val="auto"/>
        </w:rPr>
      </w:pPr>
    </w:p>
    <w:p>
      <w:pPr>
        <w:ind w:left="1040"/>
        <w:spacing w:after="0"/>
        <w:rPr>
          <w:sz w:val="20"/>
          <w:szCs w:val="20"/>
          <w:color w:val="auto"/>
        </w:rPr>
      </w:pPr>
      <w:r>
        <w:rPr>
          <w:rFonts w:ascii="Arial" w:cs="Arial" w:eastAsia="Arial" w:hAnsi="Arial"/>
          <w:sz w:val="18"/>
          <w:szCs w:val="18"/>
          <w:color w:val="auto"/>
        </w:rPr>
        <w:t>None</w:t>
      </w:r>
    </w:p>
    <w:p>
      <w:pPr>
        <w:spacing w:after="0" w:line="223"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46" w:name="page47"/>
    <w:bookmarkEnd w:id="46"/>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ind w:left="380"/>
        <w:spacing w:after="0"/>
        <w:tabs>
          <w:tab w:leader="none" w:pos="148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7"/>
          <w:szCs w:val="17"/>
          <w:b w:val="1"/>
          <w:bCs w:val="1"/>
          <w:color w:val="auto"/>
        </w:rPr>
        <w:t>PROPERTIES</w:t>
      </w:r>
    </w:p>
    <w:p>
      <w:pPr>
        <w:spacing w:after="0" w:line="229" w:lineRule="exact"/>
        <w:rPr>
          <w:sz w:val="20"/>
          <w:szCs w:val="20"/>
          <w:color w:val="auto"/>
        </w:rPr>
      </w:pPr>
    </w:p>
    <w:p>
      <w:pPr>
        <w:ind w:left="1040"/>
        <w:spacing w:after="0"/>
        <w:rPr>
          <w:sz w:val="20"/>
          <w:szCs w:val="20"/>
          <w:color w:val="auto"/>
        </w:rPr>
      </w:pPr>
      <w:r>
        <w:rPr>
          <w:rFonts w:ascii="Arial" w:cs="Arial" w:eastAsia="Arial" w:hAnsi="Arial"/>
          <w:sz w:val="18"/>
          <w:szCs w:val="18"/>
          <w:color w:val="auto"/>
        </w:rPr>
        <w:t>Our material facilities are located worldwide as shown in the table below.</w:t>
      </w:r>
    </w:p>
    <w:p>
      <w:pPr>
        <w:spacing w:after="0" w:line="68" w:lineRule="exact"/>
        <w:rPr>
          <w:sz w:val="20"/>
          <w:szCs w:val="20"/>
          <w:color w:val="auto"/>
        </w:rPr>
      </w:pPr>
    </w:p>
    <w:tbl>
      <w:tblPr>
        <w:tblLayout w:type="fixed"/>
        <w:tblInd w:w="380" w:type="dxa"/>
        <w:tblCellMar>
          <w:top w:w="0" w:type="dxa"/>
          <w:left w:w="0" w:type="dxa"/>
          <w:bottom w:w="0" w:type="dxa"/>
          <w:right w:w="0" w:type="dxa"/>
        </w:tblCellMar>
      </w:tblPr>
      <w:tr>
        <w:trPr>
          <w:trHeight w:val="171"/>
        </w:trPr>
        <w:tc>
          <w:tcPr>
            <w:tcW w:w="3040" w:type="dxa"/>
            <w:vAlign w:val="bottom"/>
          </w:tcPr>
          <w:p>
            <w:pPr>
              <w:spacing w:after="0"/>
              <w:rPr>
                <w:sz w:val="20"/>
                <w:szCs w:val="20"/>
                <w:color w:val="auto"/>
              </w:rPr>
            </w:pPr>
            <w:r>
              <w:rPr>
                <w:rFonts w:ascii="Arial" w:cs="Arial" w:eastAsia="Arial" w:hAnsi="Arial"/>
                <w:sz w:val="14"/>
                <w:szCs w:val="14"/>
                <w:b w:val="1"/>
                <w:bCs w:val="1"/>
                <w:color w:val="auto"/>
              </w:rPr>
              <w:t>Location</w:t>
            </w:r>
          </w:p>
        </w:tc>
        <w:tc>
          <w:tcPr>
            <w:tcW w:w="140" w:type="dxa"/>
            <w:vAlign w:val="bottom"/>
          </w:tcPr>
          <w:p>
            <w:pPr>
              <w:spacing w:after="0"/>
              <w:rPr>
                <w:sz w:val="14"/>
                <w:szCs w:val="14"/>
                <w:color w:val="auto"/>
              </w:rPr>
            </w:pPr>
          </w:p>
        </w:tc>
        <w:tc>
          <w:tcPr>
            <w:tcW w:w="2640" w:type="dxa"/>
            <w:vAlign w:val="bottom"/>
          </w:tcPr>
          <w:p>
            <w:pPr>
              <w:ind w:left="1160"/>
              <w:spacing w:after="0"/>
              <w:rPr>
                <w:sz w:val="20"/>
                <w:szCs w:val="20"/>
                <w:color w:val="auto"/>
              </w:rPr>
            </w:pPr>
            <w:r>
              <w:rPr>
                <w:rFonts w:ascii="Arial" w:cs="Arial" w:eastAsia="Arial" w:hAnsi="Arial"/>
                <w:sz w:val="14"/>
                <w:szCs w:val="14"/>
                <w:b w:val="1"/>
                <w:bCs w:val="1"/>
                <w:color w:val="auto"/>
              </w:rPr>
              <w:t>Type</w:t>
            </w:r>
          </w:p>
        </w:tc>
        <w:tc>
          <w:tcPr>
            <w:tcW w:w="160" w:type="dxa"/>
            <w:vAlign w:val="bottom"/>
          </w:tcPr>
          <w:p>
            <w:pPr>
              <w:spacing w:after="0"/>
              <w:rPr>
                <w:sz w:val="14"/>
                <w:szCs w:val="14"/>
                <w:color w:val="auto"/>
              </w:rPr>
            </w:pPr>
          </w:p>
        </w:tc>
        <w:tc>
          <w:tcPr>
            <w:tcW w:w="1220" w:type="dxa"/>
            <w:vAlign w:val="bottom"/>
          </w:tcPr>
          <w:p>
            <w:pPr>
              <w:ind w:left="140"/>
              <w:spacing w:after="0"/>
              <w:rPr>
                <w:sz w:val="20"/>
                <w:szCs w:val="20"/>
                <w:color w:val="auto"/>
              </w:rPr>
            </w:pPr>
            <w:r>
              <w:rPr>
                <w:rFonts w:ascii="Arial" w:cs="Arial" w:eastAsia="Arial" w:hAnsi="Arial"/>
                <w:sz w:val="14"/>
                <w:szCs w:val="14"/>
                <w:b w:val="1"/>
                <w:bCs w:val="1"/>
                <w:color w:val="auto"/>
              </w:rPr>
              <w:t>Facility Size(1)</w:t>
            </w:r>
          </w:p>
        </w:tc>
        <w:tc>
          <w:tcPr>
            <w:tcW w:w="1060" w:type="dxa"/>
            <w:vAlign w:val="bottom"/>
            <w:gridSpan w:val="2"/>
          </w:tcPr>
          <w:p>
            <w:pPr>
              <w:ind w:left="140"/>
              <w:spacing w:after="0"/>
              <w:rPr>
                <w:sz w:val="20"/>
                <w:szCs w:val="20"/>
                <w:color w:val="auto"/>
              </w:rPr>
            </w:pPr>
            <w:r>
              <w:rPr>
                <w:rFonts w:ascii="Arial" w:cs="Arial" w:eastAsia="Arial" w:hAnsi="Arial"/>
                <w:sz w:val="14"/>
                <w:szCs w:val="14"/>
                <w:b w:val="1"/>
                <w:bCs w:val="1"/>
                <w:color w:val="auto"/>
                <w:w w:val="91"/>
              </w:rPr>
              <w:t>Leased/Owned</w:t>
            </w:r>
          </w:p>
        </w:tc>
      </w:tr>
      <w:tr>
        <w:trPr>
          <w:trHeight w:val="196"/>
        </w:trPr>
        <w:tc>
          <w:tcPr>
            <w:tcW w:w="304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6"/>
                <w:szCs w:val="16"/>
                <w:color w:val="auto"/>
              </w:rPr>
              <w:t>Fairhaven, Massachusetts</w:t>
            </w:r>
          </w:p>
        </w:tc>
        <w:tc>
          <w:tcPr>
            <w:tcW w:w="140" w:type="dxa"/>
            <w:vAlign w:val="bottom"/>
            <w:tcBorders>
              <w:top w:val="single" w:sz="8" w:color="CCEEFF"/>
            </w:tcBorders>
            <w:shd w:val="clear" w:color="auto" w:fill="CCEEFF"/>
          </w:tcPr>
          <w:p>
            <w:pPr>
              <w:spacing w:after="0"/>
              <w:rPr>
                <w:sz w:val="17"/>
                <w:szCs w:val="17"/>
                <w:color w:val="auto"/>
              </w:rPr>
            </w:pPr>
          </w:p>
        </w:tc>
        <w:tc>
          <w:tcPr>
            <w:tcW w:w="264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6"/>
                <w:szCs w:val="16"/>
                <w:color w:val="auto"/>
              </w:rPr>
              <w:t>Headquarters and Golf Ball R&amp;D</w:t>
            </w:r>
          </w:p>
        </w:tc>
        <w:tc>
          <w:tcPr>
            <w:tcW w:w="160" w:type="dxa"/>
            <w:vAlign w:val="bottom"/>
            <w:tcBorders>
              <w:top w:val="single" w:sz="8" w:color="CCEEFF"/>
            </w:tcBorders>
            <w:shd w:val="clear" w:color="auto" w:fill="CCEEFF"/>
          </w:tcPr>
          <w:p>
            <w:pPr>
              <w:spacing w:after="0"/>
              <w:rPr>
                <w:sz w:val="17"/>
                <w:szCs w:val="17"/>
                <w:color w:val="auto"/>
              </w:rPr>
            </w:pPr>
          </w:p>
        </w:tc>
        <w:tc>
          <w:tcPr>
            <w:tcW w:w="12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6"/>
                <w:szCs w:val="16"/>
                <w:color w:val="auto"/>
              </w:rPr>
              <w:t>222,720</w:t>
            </w:r>
          </w:p>
        </w:tc>
        <w:tc>
          <w:tcPr>
            <w:tcW w:w="140" w:type="dxa"/>
            <w:vAlign w:val="bottom"/>
            <w:tcBorders>
              <w:top w:val="single" w:sz="8" w:color="CCEEFF"/>
            </w:tcBorders>
            <w:shd w:val="clear" w:color="auto" w:fill="CCEEFF"/>
          </w:tcPr>
          <w:p>
            <w:pPr>
              <w:spacing w:after="0"/>
              <w:rPr>
                <w:sz w:val="17"/>
                <w:szCs w:val="17"/>
                <w:color w:val="auto"/>
              </w:rPr>
            </w:pPr>
          </w:p>
        </w:tc>
        <w:tc>
          <w:tcPr>
            <w:tcW w:w="9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6"/>
                <w:szCs w:val="16"/>
                <w:color w:val="auto"/>
              </w:rPr>
              <w:t>Owned</w:t>
            </w:r>
          </w:p>
        </w:tc>
      </w:tr>
      <w:tr>
        <w:trPr>
          <w:trHeight w:val="203"/>
        </w:trPr>
        <w:tc>
          <w:tcPr>
            <w:tcW w:w="3040" w:type="dxa"/>
            <w:vAlign w:val="bottom"/>
          </w:tcPr>
          <w:p>
            <w:pPr>
              <w:spacing w:after="0"/>
              <w:rPr>
                <w:sz w:val="20"/>
                <w:szCs w:val="20"/>
                <w:color w:val="auto"/>
              </w:rPr>
            </w:pPr>
            <w:r>
              <w:rPr>
                <w:rFonts w:ascii="Arial" w:cs="Arial" w:eastAsia="Arial" w:hAnsi="Arial"/>
                <w:sz w:val="16"/>
                <w:szCs w:val="16"/>
                <w:b w:val="1"/>
                <w:bCs w:val="1"/>
                <w:color w:val="auto"/>
              </w:rPr>
              <w:t>Golf Balls</w:t>
            </w:r>
          </w:p>
        </w:tc>
        <w:tc>
          <w:tcPr>
            <w:tcW w:w="140" w:type="dxa"/>
            <w:vAlign w:val="bottom"/>
          </w:tcPr>
          <w:p>
            <w:pPr>
              <w:spacing w:after="0"/>
              <w:rPr>
                <w:sz w:val="17"/>
                <w:szCs w:val="17"/>
                <w:color w:val="auto"/>
              </w:rPr>
            </w:pPr>
          </w:p>
        </w:tc>
        <w:tc>
          <w:tcPr>
            <w:tcW w:w="26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20" w:type="dxa"/>
            <w:vAlign w:val="bottom"/>
          </w:tcPr>
          <w:p>
            <w:pPr>
              <w:spacing w:after="0"/>
              <w:rPr>
                <w:sz w:val="17"/>
                <w:szCs w:val="17"/>
                <w:color w:val="auto"/>
              </w:rPr>
            </w:pPr>
          </w:p>
        </w:tc>
      </w:tr>
      <w:tr>
        <w:trPr>
          <w:trHeight w:val="203"/>
        </w:trPr>
        <w:tc>
          <w:tcPr>
            <w:tcW w:w="3040" w:type="dxa"/>
            <w:vAlign w:val="bottom"/>
            <w:shd w:val="clear" w:color="auto" w:fill="CCEEFF"/>
          </w:tcPr>
          <w:p>
            <w:pPr>
              <w:spacing w:after="0"/>
              <w:rPr>
                <w:sz w:val="20"/>
                <w:szCs w:val="20"/>
                <w:color w:val="auto"/>
              </w:rPr>
            </w:pPr>
            <w:r>
              <w:rPr>
                <w:rFonts w:ascii="Arial" w:cs="Arial" w:eastAsia="Arial" w:hAnsi="Arial"/>
                <w:sz w:val="16"/>
                <w:szCs w:val="16"/>
                <w:color w:val="auto"/>
              </w:rPr>
              <w:t>North Dartmouth, Massachusetts</w:t>
            </w:r>
          </w:p>
        </w:tc>
        <w:tc>
          <w:tcPr>
            <w:tcW w:w="2780" w:type="dxa"/>
            <w:vAlign w:val="bottom"/>
            <w:gridSpan w:val="2"/>
            <w:shd w:val="clear" w:color="auto" w:fill="CCEEFF"/>
          </w:tcPr>
          <w:p>
            <w:pPr>
              <w:ind w:left="140"/>
              <w:spacing w:after="0"/>
              <w:rPr>
                <w:sz w:val="20"/>
                <w:szCs w:val="20"/>
                <w:color w:val="auto"/>
              </w:rPr>
            </w:pPr>
            <w:r>
              <w:rPr>
                <w:rFonts w:ascii="Arial" w:cs="Arial" w:eastAsia="Arial" w:hAnsi="Arial"/>
                <w:sz w:val="16"/>
                <w:szCs w:val="16"/>
                <w:color w:val="auto"/>
              </w:rPr>
              <w:t>Golf ball manufacturing</w:t>
            </w:r>
          </w:p>
        </w:tc>
        <w:tc>
          <w:tcPr>
            <w:tcW w:w="1380" w:type="dxa"/>
            <w:vAlign w:val="bottom"/>
            <w:gridSpan w:val="2"/>
            <w:shd w:val="clear" w:color="auto" w:fill="CCEEFF"/>
          </w:tcPr>
          <w:p>
            <w:pPr>
              <w:ind w:left="160"/>
              <w:spacing w:after="0"/>
              <w:rPr>
                <w:sz w:val="20"/>
                <w:szCs w:val="20"/>
                <w:color w:val="auto"/>
              </w:rPr>
            </w:pPr>
            <w:r>
              <w:rPr>
                <w:rFonts w:ascii="Arial" w:cs="Arial" w:eastAsia="Arial" w:hAnsi="Arial"/>
                <w:sz w:val="16"/>
                <w:szCs w:val="16"/>
                <w:color w:val="auto"/>
              </w:rPr>
              <w:t>179,602</w:t>
            </w:r>
          </w:p>
        </w:tc>
        <w:tc>
          <w:tcPr>
            <w:tcW w:w="1060" w:type="dxa"/>
            <w:vAlign w:val="bottom"/>
            <w:gridSpan w:val="2"/>
            <w:shd w:val="clear" w:color="auto" w:fill="CCEEFF"/>
          </w:tcPr>
          <w:p>
            <w:pPr>
              <w:ind w:left="140"/>
              <w:spacing w:after="0"/>
              <w:rPr>
                <w:sz w:val="20"/>
                <w:szCs w:val="20"/>
                <w:color w:val="auto"/>
              </w:rPr>
            </w:pPr>
            <w:r>
              <w:rPr>
                <w:rFonts w:ascii="Arial" w:cs="Arial" w:eastAsia="Arial" w:hAnsi="Arial"/>
                <w:sz w:val="16"/>
                <w:szCs w:val="16"/>
                <w:color w:val="auto"/>
              </w:rPr>
              <w:t>Owned</w:t>
            </w:r>
          </w:p>
        </w:tc>
      </w:tr>
      <w:tr>
        <w:trPr>
          <w:trHeight w:val="203"/>
        </w:trPr>
        <w:tc>
          <w:tcPr>
            <w:tcW w:w="3040" w:type="dxa"/>
            <w:vAlign w:val="bottom"/>
          </w:tcPr>
          <w:p>
            <w:pPr>
              <w:spacing w:after="0"/>
              <w:rPr>
                <w:sz w:val="20"/>
                <w:szCs w:val="20"/>
                <w:color w:val="auto"/>
              </w:rPr>
            </w:pPr>
            <w:r>
              <w:rPr>
                <w:rFonts w:ascii="Arial" w:cs="Arial" w:eastAsia="Arial" w:hAnsi="Arial"/>
                <w:sz w:val="16"/>
                <w:szCs w:val="16"/>
                <w:color w:val="auto"/>
              </w:rPr>
              <w:t>New Bedford, Massachusetts</w:t>
            </w:r>
          </w:p>
        </w:tc>
        <w:tc>
          <w:tcPr>
            <w:tcW w:w="2780" w:type="dxa"/>
            <w:vAlign w:val="bottom"/>
            <w:gridSpan w:val="2"/>
          </w:tcPr>
          <w:p>
            <w:pPr>
              <w:ind w:left="140"/>
              <w:spacing w:after="0"/>
              <w:rPr>
                <w:sz w:val="20"/>
                <w:szCs w:val="20"/>
                <w:color w:val="auto"/>
              </w:rPr>
            </w:pPr>
            <w:r>
              <w:rPr>
                <w:rFonts w:ascii="Arial" w:cs="Arial" w:eastAsia="Arial" w:hAnsi="Arial"/>
                <w:sz w:val="16"/>
                <w:szCs w:val="16"/>
                <w:color w:val="auto"/>
              </w:rPr>
              <w:t>Golf ball manufacturing</w:t>
            </w:r>
          </w:p>
        </w:tc>
        <w:tc>
          <w:tcPr>
            <w:tcW w:w="1380" w:type="dxa"/>
            <w:vAlign w:val="bottom"/>
            <w:gridSpan w:val="2"/>
          </w:tcPr>
          <w:p>
            <w:pPr>
              <w:ind w:left="160"/>
              <w:spacing w:after="0"/>
              <w:rPr>
                <w:sz w:val="20"/>
                <w:szCs w:val="20"/>
                <w:color w:val="auto"/>
              </w:rPr>
            </w:pPr>
            <w:r>
              <w:rPr>
                <w:rFonts w:ascii="Arial" w:cs="Arial" w:eastAsia="Arial" w:hAnsi="Arial"/>
                <w:sz w:val="16"/>
                <w:szCs w:val="16"/>
                <w:color w:val="auto"/>
              </w:rPr>
              <w:t>244,091</w:t>
            </w:r>
          </w:p>
        </w:tc>
        <w:tc>
          <w:tcPr>
            <w:tcW w:w="1060" w:type="dxa"/>
            <w:vAlign w:val="bottom"/>
            <w:gridSpan w:val="2"/>
          </w:tcPr>
          <w:p>
            <w:pPr>
              <w:ind w:left="140"/>
              <w:spacing w:after="0"/>
              <w:rPr>
                <w:sz w:val="20"/>
                <w:szCs w:val="20"/>
                <w:color w:val="auto"/>
              </w:rPr>
            </w:pPr>
            <w:r>
              <w:rPr>
                <w:rFonts w:ascii="Arial" w:cs="Arial" w:eastAsia="Arial" w:hAnsi="Arial"/>
                <w:sz w:val="16"/>
                <w:szCs w:val="16"/>
                <w:color w:val="auto"/>
              </w:rPr>
              <w:t>Owned</w:t>
            </w:r>
          </w:p>
        </w:tc>
      </w:tr>
      <w:tr>
        <w:trPr>
          <w:trHeight w:val="203"/>
        </w:trPr>
        <w:tc>
          <w:tcPr>
            <w:tcW w:w="3040" w:type="dxa"/>
            <w:vAlign w:val="bottom"/>
            <w:shd w:val="clear" w:color="auto" w:fill="CCEEFF"/>
          </w:tcPr>
          <w:p>
            <w:pPr>
              <w:spacing w:after="0"/>
              <w:rPr>
                <w:sz w:val="20"/>
                <w:szCs w:val="20"/>
                <w:color w:val="auto"/>
              </w:rPr>
            </w:pPr>
            <w:r>
              <w:rPr>
                <w:rFonts w:ascii="Arial" w:cs="Arial" w:eastAsia="Arial" w:hAnsi="Arial"/>
                <w:sz w:val="16"/>
                <w:szCs w:val="16"/>
                <w:color w:val="auto"/>
              </w:rPr>
              <w:t>Amphur Pluakdaeng Rayong, Thailand</w:t>
            </w:r>
          </w:p>
        </w:tc>
        <w:tc>
          <w:tcPr>
            <w:tcW w:w="2780" w:type="dxa"/>
            <w:vAlign w:val="bottom"/>
            <w:gridSpan w:val="2"/>
            <w:shd w:val="clear" w:color="auto" w:fill="CCEEFF"/>
          </w:tcPr>
          <w:p>
            <w:pPr>
              <w:ind w:left="140"/>
              <w:spacing w:after="0"/>
              <w:rPr>
                <w:sz w:val="20"/>
                <w:szCs w:val="20"/>
                <w:color w:val="auto"/>
              </w:rPr>
            </w:pPr>
            <w:r>
              <w:rPr>
                <w:rFonts w:ascii="Arial" w:cs="Arial" w:eastAsia="Arial" w:hAnsi="Arial"/>
                <w:sz w:val="16"/>
                <w:szCs w:val="16"/>
                <w:color w:val="auto"/>
              </w:rPr>
              <w:t>Golf ball manufacturing</w:t>
            </w:r>
          </w:p>
        </w:tc>
        <w:tc>
          <w:tcPr>
            <w:tcW w:w="1380" w:type="dxa"/>
            <w:vAlign w:val="bottom"/>
            <w:gridSpan w:val="2"/>
            <w:shd w:val="clear" w:color="auto" w:fill="CCEEFF"/>
          </w:tcPr>
          <w:p>
            <w:pPr>
              <w:ind w:left="160"/>
              <w:spacing w:after="0"/>
              <w:rPr>
                <w:sz w:val="20"/>
                <w:szCs w:val="20"/>
                <w:color w:val="auto"/>
              </w:rPr>
            </w:pPr>
            <w:r>
              <w:rPr>
                <w:rFonts w:ascii="Arial" w:cs="Arial" w:eastAsia="Arial" w:hAnsi="Arial"/>
                <w:sz w:val="16"/>
                <w:szCs w:val="16"/>
                <w:color w:val="auto"/>
              </w:rPr>
              <w:t>230,003</w:t>
            </w:r>
          </w:p>
        </w:tc>
        <w:tc>
          <w:tcPr>
            <w:tcW w:w="1060" w:type="dxa"/>
            <w:vAlign w:val="bottom"/>
            <w:gridSpan w:val="2"/>
            <w:shd w:val="clear" w:color="auto" w:fill="CCEEFF"/>
          </w:tcPr>
          <w:p>
            <w:pPr>
              <w:ind w:left="140"/>
              <w:spacing w:after="0"/>
              <w:rPr>
                <w:sz w:val="20"/>
                <w:szCs w:val="20"/>
                <w:color w:val="auto"/>
              </w:rPr>
            </w:pPr>
            <w:r>
              <w:rPr>
                <w:rFonts w:ascii="Arial" w:cs="Arial" w:eastAsia="Arial" w:hAnsi="Arial"/>
                <w:sz w:val="16"/>
                <w:szCs w:val="16"/>
                <w:color w:val="auto"/>
              </w:rPr>
              <w:t>Owned</w:t>
            </w:r>
          </w:p>
        </w:tc>
      </w:tr>
      <w:tr>
        <w:trPr>
          <w:trHeight w:val="193"/>
        </w:trPr>
        <w:tc>
          <w:tcPr>
            <w:tcW w:w="3040" w:type="dxa"/>
            <w:vAlign w:val="bottom"/>
          </w:tcPr>
          <w:p>
            <w:pPr>
              <w:spacing w:after="0"/>
              <w:rPr>
                <w:sz w:val="20"/>
                <w:szCs w:val="20"/>
                <w:color w:val="auto"/>
              </w:rPr>
            </w:pPr>
            <w:r>
              <w:rPr>
                <w:rFonts w:ascii="Arial" w:cs="Arial" w:eastAsia="Arial" w:hAnsi="Arial"/>
                <w:sz w:val="16"/>
                <w:szCs w:val="16"/>
                <w:color w:val="auto"/>
              </w:rPr>
              <w:t>New Bedford, Massachusetts</w:t>
            </w:r>
          </w:p>
        </w:tc>
        <w:tc>
          <w:tcPr>
            <w:tcW w:w="2780" w:type="dxa"/>
            <w:vAlign w:val="bottom"/>
            <w:gridSpan w:val="2"/>
          </w:tcPr>
          <w:p>
            <w:pPr>
              <w:ind w:left="140"/>
              <w:spacing w:after="0"/>
              <w:rPr>
                <w:sz w:val="20"/>
                <w:szCs w:val="20"/>
                <w:color w:val="auto"/>
              </w:rPr>
            </w:pPr>
            <w:r>
              <w:rPr>
                <w:rFonts w:ascii="Arial" w:cs="Arial" w:eastAsia="Arial" w:hAnsi="Arial"/>
                <w:sz w:val="16"/>
                <w:szCs w:val="16"/>
                <w:color w:val="auto"/>
                <w:w w:val="95"/>
              </w:rPr>
              <w:t>Golf ball customization and distribution</w:t>
            </w:r>
          </w:p>
        </w:tc>
        <w:tc>
          <w:tcPr>
            <w:tcW w:w="1380" w:type="dxa"/>
            <w:vAlign w:val="bottom"/>
            <w:gridSpan w:val="2"/>
          </w:tcPr>
          <w:p>
            <w:pPr>
              <w:ind w:left="160"/>
              <w:spacing w:after="0"/>
              <w:rPr>
                <w:sz w:val="20"/>
                <w:szCs w:val="20"/>
                <w:color w:val="auto"/>
              </w:rPr>
            </w:pPr>
            <w:r>
              <w:rPr>
                <w:rFonts w:ascii="Arial" w:cs="Arial" w:eastAsia="Arial" w:hAnsi="Arial"/>
                <w:sz w:val="16"/>
                <w:szCs w:val="16"/>
                <w:color w:val="auto"/>
              </w:rPr>
              <w:t>438,007</w:t>
            </w:r>
          </w:p>
        </w:tc>
        <w:tc>
          <w:tcPr>
            <w:tcW w:w="1060" w:type="dxa"/>
            <w:vAlign w:val="bottom"/>
            <w:gridSpan w:val="2"/>
          </w:tcPr>
          <w:p>
            <w:pPr>
              <w:ind w:left="140"/>
              <w:spacing w:after="0"/>
              <w:rPr>
                <w:sz w:val="20"/>
                <w:szCs w:val="20"/>
                <w:color w:val="auto"/>
              </w:rPr>
            </w:pPr>
            <w:r>
              <w:rPr>
                <w:rFonts w:ascii="Arial" w:cs="Arial" w:eastAsia="Arial" w:hAnsi="Arial"/>
                <w:sz w:val="16"/>
                <w:szCs w:val="16"/>
                <w:color w:val="auto"/>
              </w:rPr>
              <w:t>Owned</w:t>
            </w:r>
          </w:p>
        </w:tc>
      </w:tr>
      <w:tr>
        <w:trPr>
          <w:trHeight w:val="206"/>
        </w:trPr>
        <w:tc>
          <w:tcPr>
            <w:tcW w:w="3040" w:type="dxa"/>
            <w:vAlign w:val="bottom"/>
          </w:tcPr>
          <w:p>
            <w:pPr>
              <w:spacing w:after="0"/>
              <w:rPr>
                <w:sz w:val="17"/>
                <w:szCs w:val="17"/>
                <w:color w:val="auto"/>
              </w:rPr>
            </w:pPr>
          </w:p>
        </w:tc>
        <w:tc>
          <w:tcPr>
            <w:tcW w:w="2780" w:type="dxa"/>
            <w:vAlign w:val="bottom"/>
            <w:gridSpan w:val="2"/>
          </w:tcPr>
          <w:p>
            <w:pPr>
              <w:ind w:left="140"/>
              <w:spacing w:after="0"/>
              <w:rPr>
                <w:sz w:val="20"/>
                <w:szCs w:val="20"/>
                <w:color w:val="auto"/>
              </w:rPr>
            </w:pPr>
            <w:r>
              <w:rPr>
                <w:rFonts w:ascii="Arial" w:cs="Arial" w:eastAsia="Arial" w:hAnsi="Arial"/>
                <w:sz w:val="16"/>
                <w:szCs w:val="16"/>
                <w:color w:val="auto"/>
              </w:rPr>
              <w:t>center</w:t>
            </w:r>
          </w:p>
        </w:tc>
        <w:tc>
          <w:tcPr>
            <w:tcW w:w="16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20" w:type="dxa"/>
            <w:vAlign w:val="bottom"/>
          </w:tcPr>
          <w:p>
            <w:pPr>
              <w:spacing w:after="0"/>
              <w:rPr>
                <w:sz w:val="17"/>
                <w:szCs w:val="17"/>
                <w:color w:val="auto"/>
              </w:rPr>
            </w:pPr>
          </w:p>
        </w:tc>
      </w:tr>
      <w:tr>
        <w:trPr>
          <w:trHeight w:val="209"/>
        </w:trPr>
        <w:tc>
          <w:tcPr>
            <w:tcW w:w="3040" w:type="dxa"/>
            <w:vAlign w:val="bottom"/>
            <w:shd w:val="clear" w:color="auto" w:fill="CCEEFF"/>
          </w:tcPr>
          <w:p>
            <w:pPr>
              <w:spacing w:after="0"/>
              <w:rPr>
                <w:sz w:val="20"/>
                <w:szCs w:val="20"/>
                <w:color w:val="auto"/>
              </w:rPr>
            </w:pPr>
            <w:r>
              <w:rPr>
                <w:rFonts w:ascii="Arial" w:cs="Arial" w:eastAsia="Arial" w:hAnsi="Arial"/>
                <w:sz w:val="16"/>
                <w:szCs w:val="16"/>
                <w:color w:val="auto"/>
              </w:rPr>
              <w:t>Fairhaven, Massachusetts</w:t>
            </w:r>
          </w:p>
        </w:tc>
        <w:tc>
          <w:tcPr>
            <w:tcW w:w="2780" w:type="dxa"/>
            <w:vAlign w:val="bottom"/>
            <w:gridSpan w:val="2"/>
            <w:shd w:val="clear" w:color="auto" w:fill="CCEEFF"/>
          </w:tcPr>
          <w:p>
            <w:pPr>
              <w:ind w:left="140"/>
              <w:spacing w:after="0"/>
              <w:rPr>
                <w:sz w:val="20"/>
                <w:szCs w:val="20"/>
                <w:color w:val="auto"/>
              </w:rPr>
            </w:pPr>
            <w:r>
              <w:rPr>
                <w:rFonts w:ascii="Arial" w:cs="Arial" w:eastAsia="Arial" w:hAnsi="Arial"/>
                <w:sz w:val="16"/>
                <w:szCs w:val="16"/>
                <w:color w:val="auto"/>
              </w:rPr>
              <w:t>Golf ball packaging</w:t>
            </w:r>
          </w:p>
        </w:tc>
        <w:tc>
          <w:tcPr>
            <w:tcW w:w="1380" w:type="dxa"/>
            <w:vAlign w:val="bottom"/>
            <w:gridSpan w:val="2"/>
            <w:shd w:val="clear" w:color="auto" w:fill="CCEEFF"/>
          </w:tcPr>
          <w:p>
            <w:pPr>
              <w:ind w:left="160"/>
              <w:spacing w:after="0"/>
              <w:rPr>
                <w:sz w:val="20"/>
                <w:szCs w:val="20"/>
                <w:color w:val="auto"/>
              </w:rPr>
            </w:pPr>
            <w:r>
              <w:rPr>
                <w:rFonts w:ascii="Arial" w:cs="Arial" w:eastAsia="Arial" w:hAnsi="Arial"/>
                <w:sz w:val="16"/>
                <w:szCs w:val="16"/>
                <w:color w:val="auto"/>
              </w:rPr>
              <w:t>49,580</w:t>
            </w:r>
          </w:p>
        </w:tc>
        <w:tc>
          <w:tcPr>
            <w:tcW w:w="1060" w:type="dxa"/>
            <w:vAlign w:val="bottom"/>
            <w:gridSpan w:val="2"/>
            <w:shd w:val="clear" w:color="auto" w:fill="CCEEFF"/>
          </w:tcPr>
          <w:p>
            <w:pPr>
              <w:ind w:left="140"/>
              <w:spacing w:after="0"/>
              <w:rPr>
                <w:sz w:val="20"/>
                <w:szCs w:val="20"/>
                <w:color w:val="auto"/>
              </w:rPr>
            </w:pPr>
            <w:r>
              <w:rPr>
                <w:rFonts w:ascii="Arial" w:cs="Arial" w:eastAsia="Arial" w:hAnsi="Arial"/>
                <w:sz w:val="16"/>
                <w:szCs w:val="16"/>
                <w:color w:val="auto"/>
              </w:rPr>
              <w:t>Owned</w:t>
            </w:r>
          </w:p>
        </w:tc>
      </w:tr>
      <w:tr>
        <w:trPr>
          <w:trHeight w:val="193"/>
        </w:trPr>
        <w:tc>
          <w:tcPr>
            <w:tcW w:w="3040" w:type="dxa"/>
            <w:vAlign w:val="bottom"/>
          </w:tcPr>
          <w:p>
            <w:pPr>
              <w:spacing w:after="0"/>
              <w:rPr>
                <w:sz w:val="20"/>
                <w:szCs w:val="20"/>
                <w:color w:val="auto"/>
              </w:rPr>
            </w:pPr>
            <w:r>
              <w:rPr>
                <w:rFonts w:ascii="Arial" w:cs="Arial" w:eastAsia="Arial" w:hAnsi="Arial"/>
                <w:sz w:val="16"/>
                <w:szCs w:val="16"/>
                <w:color w:val="auto"/>
              </w:rPr>
              <w:t>New Bedford, Massachusetts</w:t>
            </w:r>
          </w:p>
        </w:tc>
        <w:tc>
          <w:tcPr>
            <w:tcW w:w="2780" w:type="dxa"/>
            <w:vAlign w:val="bottom"/>
            <w:gridSpan w:val="2"/>
          </w:tcPr>
          <w:p>
            <w:pPr>
              <w:ind w:left="140"/>
              <w:spacing w:after="0"/>
              <w:rPr>
                <w:sz w:val="20"/>
                <w:szCs w:val="20"/>
                <w:color w:val="auto"/>
              </w:rPr>
            </w:pPr>
            <w:r>
              <w:rPr>
                <w:rFonts w:ascii="Arial" w:cs="Arial" w:eastAsia="Arial" w:hAnsi="Arial"/>
                <w:sz w:val="16"/>
                <w:szCs w:val="16"/>
                <w:color w:val="auto"/>
                <w:w w:val="93"/>
              </w:rPr>
              <w:t>Golf ball advanced engineering and ball</w:t>
            </w:r>
          </w:p>
        </w:tc>
        <w:tc>
          <w:tcPr>
            <w:tcW w:w="1380" w:type="dxa"/>
            <w:vAlign w:val="bottom"/>
            <w:gridSpan w:val="2"/>
          </w:tcPr>
          <w:p>
            <w:pPr>
              <w:ind w:left="160"/>
              <w:spacing w:after="0"/>
              <w:rPr>
                <w:sz w:val="20"/>
                <w:szCs w:val="20"/>
                <w:color w:val="auto"/>
              </w:rPr>
            </w:pPr>
            <w:r>
              <w:rPr>
                <w:rFonts w:ascii="Arial" w:cs="Arial" w:eastAsia="Arial" w:hAnsi="Arial"/>
                <w:sz w:val="16"/>
                <w:szCs w:val="16"/>
                <w:color w:val="auto"/>
              </w:rPr>
              <w:t>34,000</w:t>
            </w:r>
          </w:p>
        </w:tc>
        <w:tc>
          <w:tcPr>
            <w:tcW w:w="1060" w:type="dxa"/>
            <w:vAlign w:val="bottom"/>
            <w:gridSpan w:val="2"/>
          </w:tcPr>
          <w:p>
            <w:pPr>
              <w:ind w:left="140"/>
              <w:spacing w:after="0"/>
              <w:rPr>
                <w:sz w:val="20"/>
                <w:szCs w:val="20"/>
                <w:color w:val="auto"/>
              </w:rPr>
            </w:pPr>
            <w:r>
              <w:rPr>
                <w:rFonts w:ascii="Arial" w:cs="Arial" w:eastAsia="Arial" w:hAnsi="Arial"/>
                <w:sz w:val="16"/>
                <w:szCs w:val="16"/>
                <w:color w:val="auto"/>
              </w:rPr>
              <w:t>Leased</w:t>
            </w:r>
          </w:p>
        </w:tc>
      </w:tr>
      <w:tr>
        <w:trPr>
          <w:trHeight w:val="206"/>
        </w:trPr>
        <w:tc>
          <w:tcPr>
            <w:tcW w:w="3040" w:type="dxa"/>
            <w:vAlign w:val="bottom"/>
          </w:tcPr>
          <w:p>
            <w:pPr>
              <w:spacing w:after="0"/>
              <w:rPr>
                <w:sz w:val="17"/>
                <w:szCs w:val="17"/>
                <w:color w:val="auto"/>
              </w:rPr>
            </w:pPr>
          </w:p>
        </w:tc>
        <w:tc>
          <w:tcPr>
            <w:tcW w:w="2780" w:type="dxa"/>
            <w:vAlign w:val="bottom"/>
            <w:gridSpan w:val="2"/>
          </w:tcPr>
          <w:p>
            <w:pPr>
              <w:ind w:left="140"/>
              <w:spacing w:after="0"/>
              <w:rPr>
                <w:sz w:val="20"/>
                <w:szCs w:val="20"/>
                <w:color w:val="auto"/>
              </w:rPr>
            </w:pPr>
            <w:r>
              <w:rPr>
                <w:rFonts w:ascii="Arial" w:cs="Arial" w:eastAsia="Arial" w:hAnsi="Arial"/>
                <w:sz w:val="16"/>
                <w:szCs w:val="16"/>
                <w:color w:val="auto"/>
              </w:rPr>
              <w:t>cavity manufacturing</w:t>
            </w:r>
          </w:p>
        </w:tc>
        <w:tc>
          <w:tcPr>
            <w:tcW w:w="16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20" w:type="dxa"/>
            <w:vAlign w:val="bottom"/>
          </w:tcPr>
          <w:p>
            <w:pPr>
              <w:spacing w:after="0"/>
              <w:rPr>
                <w:sz w:val="17"/>
                <w:szCs w:val="17"/>
                <w:color w:val="auto"/>
              </w:rPr>
            </w:pPr>
          </w:p>
        </w:tc>
      </w:tr>
      <w:tr>
        <w:trPr>
          <w:trHeight w:val="209"/>
        </w:trPr>
        <w:tc>
          <w:tcPr>
            <w:tcW w:w="304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Golf Clubs, Wedges and Putters</w:t>
            </w:r>
          </w:p>
        </w:tc>
        <w:tc>
          <w:tcPr>
            <w:tcW w:w="140" w:type="dxa"/>
            <w:vAlign w:val="bottom"/>
            <w:shd w:val="clear" w:color="auto" w:fill="CCEEFF"/>
          </w:tcPr>
          <w:p>
            <w:pPr>
              <w:spacing w:after="0"/>
              <w:rPr>
                <w:sz w:val="18"/>
                <w:szCs w:val="18"/>
                <w:color w:val="auto"/>
              </w:rPr>
            </w:pPr>
          </w:p>
        </w:tc>
        <w:tc>
          <w:tcPr>
            <w:tcW w:w="2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r>
      <w:tr>
        <w:trPr>
          <w:trHeight w:val="203"/>
        </w:trPr>
        <w:tc>
          <w:tcPr>
            <w:tcW w:w="3040" w:type="dxa"/>
            <w:vAlign w:val="bottom"/>
          </w:tcPr>
          <w:p>
            <w:pPr>
              <w:spacing w:after="0"/>
              <w:rPr>
                <w:sz w:val="20"/>
                <w:szCs w:val="20"/>
                <w:color w:val="auto"/>
              </w:rPr>
            </w:pPr>
            <w:r>
              <w:rPr>
                <w:rFonts w:ascii="Arial" w:cs="Arial" w:eastAsia="Arial" w:hAnsi="Arial"/>
                <w:sz w:val="16"/>
                <w:szCs w:val="16"/>
                <w:color w:val="auto"/>
              </w:rPr>
              <w:t>Carlsbad, California</w:t>
            </w:r>
          </w:p>
        </w:tc>
        <w:tc>
          <w:tcPr>
            <w:tcW w:w="2780" w:type="dxa"/>
            <w:vAlign w:val="bottom"/>
            <w:gridSpan w:val="2"/>
          </w:tcPr>
          <w:p>
            <w:pPr>
              <w:ind w:left="140"/>
              <w:spacing w:after="0"/>
              <w:rPr>
                <w:sz w:val="20"/>
                <w:szCs w:val="20"/>
                <w:color w:val="auto"/>
              </w:rPr>
            </w:pPr>
            <w:r>
              <w:rPr>
                <w:rFonts w:ascii="Arial" w:cs="Arial" w:eastAsia="Arial" w:hAnsi="Arial"/>
                <w:sz w:val="16"/>
                <w:szCs w:val="16"/>
                <w:color w:val="auto"/>
              </w:rPr>
              <w:t>Golf club assembly and R&amp;D</w:t>
            </w:r>
          </w:p>
        </w:tc>
        <w:tc>
          <w:tcPr>
            <w:tcW w:w="1380" w:type="dxa"/>
            <w:vAlign w:val="bottom"/>
            <w:gridSpan w:val="2"/>
          </w:tcPr>
          <w:p>
            <w:pPr>
              <w:ind w:left="160"/>
              <w:spacing w:after="0"/>
              <w:rPr>
                <w:sz w:val="20"/>
                <w:szCs w:val="20"/>
                <w:color w:val="auto"/>
              </w:rPr>
            </w:pPr>
            <w:r>
              <w:rPr>
                <w:rFonts w:ascii="Arial" w:cs="Arial" w:eastAsia="Arial" w:hAnsi="Arial"/>
                <w:sz w:val="16"/>
                <w:szCs w:val="16"/>
                <w:color w:val="auto"/>
              </w:rPr>
              <w:t>161,310</w:t>
            </w:r>
          </w:p>
        </w:tc>
        <w:tc>
          <w:tcPr>
            <w:tcW w:w="1060" w:type="dxa"/>
            <w:vAlign w:val="bottom"/>
            <w:gridSpan w:val="2"/>
          </w:tcPr>
          <w:p>
            <w:pPr>
              <w:ind w:left="140"/>
              <w:spacing w:after="0"/>
              <w:rPr>
                <w:sz w:val="20"/>
                <w:szCs w:val="20"/>
                <w:color w:val="auto"/>
              </w:rPr>
            </w:pPr>
            <w:r>
              <w:rPr>
                <w:rFonts w:ascii="Arial" w:cs="Arial" w:eastAsia="Arial" w:hAnsi="Arial"/>
                <w:sz w:val="16"/>
                <w:szCs w:val="16"/>
                <w:color w:val="auto"/>
              </w:rPr>
              <w:t>Leased</w:t>
            </w:r>
          </w:p>
        </w:tc>
      </w:tr>
      <w:tr>
        <w:trPr>
          <w:trHeight w:val="203"/>
        </w:trPr>
        <w:tc>
          <w:tcPr>
            <w:tcW w:w="3040" w:type="dxa"/>
            <w:vAlign w:val="bottom"/>
            <w:shd w:val="clear" w:color="auto" w:fill="CCEEFF"/>
          </w:tcPr>
          <w:p>
            <w:pPr>
              <w:spacing w:after="0"/>
              <w:rPr>
                <w:sz w:val="20"/>
                <w:szCs w:val="20"/>
                <w:color w:val="auto"/>
              </w:rPr>
            </w:pPr>
            <w:r>
              <w:rPr>
                <w:rFonts w:ascii="Arial" w:cs="Arial" w:eastAsia="Arial" w:hAnsi="Arial"/>
                <w:sz w:val="16"/>
                <w:szCs w:val="16"/>
                <w:color w:val="auto"/>
              </w:rPr>
              <w:t>San Marcos, California</w:t>
            </w:r>
          </w:p>
        </w:tc>
        <w:tc>
          <w:tcPr>
            <w:tcW w:w="2780" w:type="dxa"/>
            <w:vAlign w:val="bottom"/>
            <w:gridSpan w:val="2"/>
            <w:shd w:val="clear" w:color="auto" w:fill="CCEEFF"/>
          </w:tcPr>
          <w:p>
            <w:pPr>
              <w:ind w:left="140"/>
              <w:spacing w:after="0"/>
              <w:rPr>
                <w:sz w:val="20"/>
                <w:szCs w:val="20"/>
                <w:color w:val="auto"/>
              </w:rPr>
            </w:pPr>
            <w:r>
              <w:rPr>
                <w:rFonts w:ascii="Arial" w:cs="Arial" w:eastAsia="Arial" w:hAnsi="Arial"/>
                <w:sz w:val="16"/>
                <w:szCs w:val="16"/>
                <w:color w:val="auto"/>
              </w:rPr>
              <w:t>Putter research</w:t>
            </w:r>
          </w:p>
        </w:tc>
        <w:tc>
          <w:tcPr>
            <w:tcW w:w="1380" w:type="dxa"/>
            <w:vAlign w:val="bottom"/>
            <w:gridSpan w:val="2"/>
            <w:shd w:val="clear" w:color="auto" w:fill="CCEEFF"/>
          </w:tcPr>
          <w:p>
            <w:pPr>
              <w:ind w:left="160"/>
              <w:spacing w:after="0"/>
              <w:rPr>
                <w:sz w:val="20"/>
                <w:szCs w:val="20"/>
                <w:color w:val="auto"/>
              </w:rPr>
            </w:pPr>
            <w:r>
              <w:rPr>
                <w:rFonts w:ascii="Arial" w:cs="Arial" w:eastAsia="Arial" w:hAnsi="Arial"/>
                <w:sz w:val="16"/>
                <w:szCs w:val="16"/>
                <w:color w:val="auto"/>
              </w:rPr>
              <w:t>19,200</w:t>
            </w:r>
          </w:p>
        </w:tc>
        <w:tc>
          <w:tcPr>
            <w:tcW w:w="1060" w:type="dxa"/>
            <w:vAlign w:val="bottom"/>
            <w:gridSpan w:val="2"/>
            <w:shd w:val="clear" w:color="auto" w:fill="CCEEFF"/>
          </w:tcPr>
          <w:p>
            <w:pPr>
              <w:ind w:left="140"/>
              <w:spacing w:after="0"/>
              <w:rPr>
                <w:sz w:val="20"/>
                <w:szCs w:val="20"/>
                <w:color w:val="auto"/>
              </w:rPr>
            </w:pPr>
            <w:r>
              <w:rPr>
                <w:rFonts w:ascii="Arial" w:cs="Arial" w:eastAsia="Arial" w:hAnsi="Arial"/>
                <w:sz w:val="16"/>
                <w:szCs w:val="16"/>
                <w:color w:val="auto"/>
              </w:rPr>
              <w:t>Leased</w:t>
            </w:r>
          </w:p>
        </w:tc>
      </w:tr>
      <w:tr>
        <w:trPr>
          <w:trHeight w:val="203"/>
        </w:trPr>
        <w:tc>
          <w:tcPr>
            <w:tcW w:w="3040" w:type="dxa"/>
            <w:vAlign w:val="bottom"/>
          </w:tcPr>
          <w:p>
            <w:pPr>
              <w:spacing w:after="0"/>
              <w:rPr>
                <w:sz w:val="20"/>
                <w:szCs w:val="20"/>
                <w:color w:val="auto"/>
              </w:rPr>
            </w:pPr>
            <w:r>
              <w:rPr>
                <w:rFonts w:ascii="Arial" w:cs="Arial" w:eastAsia="Arial" w:hAnsi="Arial"/>
                <w:sz w:val="16"/>
                <w:szCs w:val="16"/>
                <w:color w:val="auto"/>
              </w:rPr>
              <w:t>Encinitas, California</w:t>
            </w:r>
          </w:p>
        </w:tc>
        <w:tc>
          <w:tcPr>
            <w:tcW w:w="2780" w:type="dxa"/>
            <w:vAlign w:val="bottom"/>
            <w:gridSpan w:val="2"/>
          </w:tcPr>
          <w:p>
            <w:pPr>
              <w:ind w:left="140"/>
              <w:spacing w:after="0"/>
              <w:rPr>
                <w:sz w:val="20"/>
                <w:szCs w:val="20"/>
                <w:color w:val="auto"/>
              </w:rPr>
            </w:pPr>
            <w:r>
              <w:rPr>
                <w:rFonts w:ascii="Arial" w:cs="Arial" w:eastAsia="Arial" w:hAnsi="Arial"/>
                <w:sz w:val="16"/>
                <w:szCs w:val="16"/>
                <w:color w:val="auto"/>
              </w:rPr>
              <w:t>Putter fitting and sales</w:t>
            </w:r>
          </w:p>
        </w:tc>
        <w:tc>
          <w:tcPr>
            <w:tcW w:w="1380" w:type="dxa"/>
            <w:vAlign w:val="bottom"/>
            <w:gridSpan w:val="2"/>
          </w:tcPr>
          <w:p>
            <w:pPr>
              <w:ind w:left="160"/>
              <w:spacing w:after="0"/>
              <w:rPr>
                <w:sz w:val="20"/>
                <w:szCs w:val="20"/>
                <w:color w:val="auto"/>
              </w:rPr>
            </w:pPr>
            <w:r>
              <w:rPr>
                <w:rFonts w:ascii="Arial" w:cs="Arial" w:eastAsia="Arial" w:hAnsi="Arial"/>
                <w:sz w:val="16"/>
                <w:szCs w:val="16"/>
                <w:color w:val="auto"/>
              </w:rPr>
              <w:t>3,754</w:t>
            </w:r>
          </w:p>
        </w:tc>
        <w:tc>
          <w:tcPr>
            <w:tcW w:w="1060" w:type="dxa"/>
            <w:vAlign w:val="bottom"/>
            <w:gridSpan w:val="2"/>
          </w:tcPr>
          <w:p>
            <w:pPr>
              <w:ind w:left="140"/>
              <w:spacing w:after="0"/>
              <w:rPr>
                <w:sz w:val="20"/>
                <w:szCs w:val="20"/>
                <w:color w:val="auto"/>
              </w:rPr>
            </w:pPr>
            <w:r>
              <w:rPr>
                <w:rFonts w:ascii="Arial" w:cs="Arial" w:eastAsia="Arial" w:hAnsi="Arial"/>
                <w:sz w:val="16"/>
                <w:szCs w:val="16"/>
                <w:color w:val="auto"/>
              </w:rPr>
              <w:t>Leased</w:t>
            </w:r>
          </w:p>
        </w:tc>
      </w:tr>
      <w:tr>
        <w:trPr>
          <w:trHeight w:val="203"/>
        </w:trPr>
        <w:tc>
          <w:tcPr>
            <w:tcW w:w="3040" w:type="dxa"/>
            <w:vAlign w:val="bottom"/>
            <w:shd w:val="clear" w:color="auto" w:fill="CCEEFF"/>
          </w:tcPr>
          <w:p>
            <w:pPr>
              <w:spacing w:after="0"/>
              <w:rPr>
                <w:sz w:val="20"/>
                <w:szCs w:val="20"/>
                <w:color w:val="auto"/>
              </w:rPr>
            </w:pPr>
            <w:r>
              <w:rPr>
                <w:rFonts w:ascii="Arial" w:cs="Arial" w:eastAsia="Arial" w:hAnsi="Arial"/>
                <w:sz w:val="16"/>
                <w:szCs w:val="16"/>
                <w:color w:val="auto"/>
              </w:rPr>
              <w:t>Tochigi, Japan</w:t>
            </w:r>
          </w:p>
        </w:tc>
        <w:tc>
          <w:tcPr>
            <w:tcW w:w="2780" w:type="dxa"/>
            <w:vAlign w:val="bottom"/>
            <w:gridSpan w:val="2"/>
            <w:shd w:val="clear" w:color="auto" w:fill="CCEEFF"/>
          </w:tcPr>
          <w:p>
            <w:pPr>
              <w:ind w:left="140"/>
              <w:spacing w:after="0"/>
              <w:rPr>
                <w:sz w:val="20"/>
                <w:szCs w:val="20"/>
                <w:color w:val="auto"/>
              </w:rPr>
            </w:pPr>
            <w:r>
              <w:rPr>
                <w:rFonts w:ascii="Arial" w:cs="Arial" w:eastAsia="Arial" w:hAnsi="Arial"/>
                <w:sz w:val="16"/>
                <w:szCs w:val="16"/>
                <w:color w:val="auto"/>
              </w:rPr>
              <w:t>Golf club assembly</w:t>
            </w:r>
          </w:p>
        </w:tc>
        <w:tc>
          <w:tcPr>
            <w:tcW w:w="1380" w:type="dxa"/>
            <w:vAlign w:val="bottom"/>
            <w:gridSpan w:val="2"/>
            <w:shd w:val="clear" w:color="auto" w:fill="CCEEFF"/>
          </w:tcPr>
          <w:p>
            <w:pPr>
              <w:ind w:left="160"/>
              <w:spacing w:after="0"/>
              <w:rPr>
                <w:sz w:val="20"/>
                <w:szCs w:val="20"/>
                <w:color w:val="auto"/>
              </w:rPr>
            </w:pPr>
            <w:r>
              <w:rPr>
                <w:rFonts w:ascii="Arial" w:cs="Arial" w:eastAsia="Arial" w:hAnsi="Arial"/>
                <w:sz w:val="16"/>
                <w:szCs w:val="16"/>
                <w:color w:val="auto"/>
              </w:rPr>
              <w:t>20,376</w:t>
            </w:r>
          </w:p>
        </w:tc>
        <w:tc>
          <w:tcPr>
            <w:tcW w:w="1060" w:type="dxa"/>
            <w:vAlign w:val="bottom"/>
            <w:gridSpan w:val="2"/>
            <w:shd w:val="clear" w:color="auto" w:fill="CCEEFF"/>
          </w:tcPr>
          <w:p>
            <w:pPr>
              <w:ind w:left="140"/>
              <w:spacing w:after="0"/>
              <w:rPr>
                <w:sz w:val="20"/>
                <w:szCs w:val="20"/>
                <w:color w:val="auto"/>
              </w:rPr>
            </w:pPr>
            <w:r>
              <w:rPr>
                <w:rFonts w:ascii="Arial" w:cs="Arial" w:eastAsia="Arial" w:hAnsi="Arial"/>
                <w:sz w:val="16"/>
                <w:szCs w:val="16"/>
                <w:color w:val="auto"/>
              </w:rPr>
              <w:t>Leased</w:t>
            </w:r>
          </w:p>
        </w:tc>
      </w:tr>
      <w:tr>
        <w:trPr>
          <w:trHeight w:val="203"/>
        </w:trPr>
        <w:tc>
          <w:tcPr>
            <w:tcW w:w="3040" w:type="dxa"/>
            <w:vAlign w:val="bottom"/>
          </w:tcPr>
          <w:p>
            <w:pPr>
              <w:spacing w:after="0"/>
              <w:rPr>
                <w:sz w:val="20"/>
                <w:szCs w:val="20"/>
                <w:color w:val="auto"/>
              </w:rPr>
            </w:pPr>
            <w:r>
              <w:rPr>
                <w:rFonts w:ascii="Arial" w:cs="Arial" w:eastAsia="Arial" w:hAnsi="Arial"/>
                <w:sz w:val="16"/>
                <w:szCs w:val="16"/>
                <w:b w:val="1"/>
                <w:bCs w:val="1"/>
                <w:color w:val="auto"/>
              </w:rPr>
              <w:t>FootJoy</w:t>
            </w:r>
          </w:p>
        </w:tc>
        <w:tc>
          <w:tcPr>
            <w:tcW w:w="140" w:type="dxa"/>
            <w:vAlign w:val="bottom"/>
          </w:tcPr>
          <w:p>
            <w:pPr>
              <w:spacing w:after="0"/>
              <w:rPr>
                <w:sz w:val="17"/>
                <w:szCs w:val="17"/>
                <w:color w:val="auto"/>
              </w:rPr>
            </w:pPr>
          </w:p>
        </w:tc>
        <w:tc>
          <w:tcPr>
            <w:tcW w:w="26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20" w:type="dxa"/>
            <w:vAlign w:val="bottom"/>
          </w:tcPr>
          <w:p>
            <w:pPr>
              <w:spacing w:after="0"/>
              <w:rPr>
                <w:sz w:val="17"/>
                <w:szCs w:val="17"/>
                <w:color w:val="auto"/>
              </w:rPr>
            </w:pPr>
          </w:p>
        </w:tc>
      </w:tr>
      <w:tr>
        <w:trPr>
          <w:trHeight w:val="193"/>
        </w:trPr>
        <w:tc>
          <w:tcPr>
            <w:tcW w:w="3040" w:type="dxa"/>
            <w:vAlign w:val="bottom"/>
            <w:shd w:val="clear" w:color="auto" w:fill="CCEEFF"/>
          </w:tcPr>
          <w:p>
            <w:pPr>
              <w:spacing w:after="0"/>
              <w:rPr>
                <w:sz w:val="20"/>
                <w:szCs w:val="20"/>
                <w:color w:val="auto"/>
              </w:rPr>
            </w:pPr>
            <w:r>
              <w:rPr>
                <w:rFonts w:ascii="Arial" w:cs="Arial" w:eastAsia="Arial" w:hAnsi="Arial"/>
                <w:sz w:val="16"/>
                <w:szCs w:val="16"/>
                <w:color w:val="auto"/>
              </w:rPr>
              <w:t>Fujian, China (40% owned joint venture)</w:t>
            </w:r>
          </w:p>
        </w:tc>
        <w:tc>
          <w:tcPr>
            <w:tcW w:w="2780" w:type="dxa"/>
            <w:vAlign w:val="bottom"/>
            <w:gridSpan w:val="2"/>
            <w:shd w:val="clear" w:color="auto" w:fill="CCEEFF"/>
          </w:tcPr>
          <w:p>
            <w:pPr>
              <w:ind w:left="140"/>
              <w:spacing w:after="0"/>
              <w:rPr>
                <w:sz w:val="20"/>
                <w:szCs w:val="20"/>
                <w:color w:val="auto"/>
              </w:rPr>
            </w:pPr>
            <w:r>
              <w:rPr>
                <w:rFonts w:ascii="Arial" w:cs="Arial" w:eastAsia="Arial" w:hAnsi="Arial"/>
                <w:sz w:val="16"/>
                <w:szCs w:val="16"/>
                <w:color w:val="auto"/>
              </w:rPr>
              <w:t>Golf shoe manufacturing and</w:t>
            </w:r>
          </w:p>
        </w:tc>
        <w:tc>
          <w:tcPr>
            <w:tcW w:w="1380" w:type="dxa"/>
            <w:vAlign w:val="bottom"/>
            <w:gridSpan w:val="2"/>
            <w:shd w:val="clear" w:color="auto" w:fill="CCEEFF"/>
          </w:tcPr>
          <w:p>
            <w:pPr>
              <w:ind w:left="160"/>
              <w:spacing w:after="0"/>
              <w:rPr>
                <w:sz w:val="20"/>
                <w:szCs w:val="20"/>
                <w:color w:val="auto"/>
              </w:rPr>
            </w:pPr>
            <w:r>
              <w:rPr>
                <w:rFonts w:ascii="Arial" w:cs="Arial" w:eastAsia="Arial" w:hAnsi="Arial"/>
                <w:sz w:val="16"/>
                <w:szCs w:val="16"/>
                <w:color w:val="auto"/>
              </w:rPr>
              <w:t>525,031</w:t>
            </w:r>
          </w:p>
        </w:tc>
        <w:tc>
          <w:tcPr>
            <w:tcW w:w="1060" w:type="dxa"/>
            <w:vAlign w:val="bottom"/>
            <w:gridSpan w:val="2"/>
            <w:shd w:val="clear" w:color="auto" w:fill="CCEEFF"/>
          </w:tcPr>
          <w:p>
            <w:pPr>
              <w:ind w:left="140"/>
              <w:spacing w:after="0"/>
              <w:rPr>
                <w:sz w:val="20"/>
                <w:szCs w:val="20"/>
                <w:color w:val="auto"/>
              </w:rPr>
            </w:pPr>
            <w:r>
              <w:rPr>
                <w:rFonts w:ascii="Arial" w:cs="Arial" w:eastAsia="Arial" w:hAnsi="Arial"/>
                <w:sz w:val="16"/>
                <w:szCs w:val="16"/>
                <w:color w:val="auto"/>
              </w:rPr>
              <w:t>Building</w:t>
            </w:r>
          </w:p>
        </w:tc>
      </w:tr>
      <w:tr>
        <w:trPr>
          <w:trHeight w:val="203"/>
        </w:trPr>
        <w:tc>
          <w:tcPr>
            <w:tcW w:w="3040" w:type="dxa"/>
            <w:vAlign w:val="bottom"/>
            <w:shd w:val="clear" w:color="auto" w:fill="CCEEFF"/>
          </w:tcPr>
          <w:p>
            <w:pPr>
              <w:spacing w:after="0"/>
              <w:rPr>
                <w:sz w:val="17"/>
                <w:szCs w:val="17"/>
                <w:color w:val="auto"/>
              </w:rPr>
            </w:pPr>
          </w:p>
        </w:tc>
        <w:tc>
          <w:tcPr>
            <w:tcW w:w="2780" w:type="dxa"/>
            <w:vAlign w:val="bottom"/>
            <w:gridSpan w:val="2"/>
            <w:shd w:val="clear" w:color="auto" w:fill="CCEEFF"/>
          </w:tcPr>
          <w:p>
            <w:pPr>
              <w:ind w:left="140"/>
              <w:spacing w:after="0"/>
              <w:rPr>
                <w:sz w:val="20"/>
                <w:szCs w:val="20"/>
                <w:color w:val="auto"/>
              </w:rPr>
            </w:pPr>
            <w:r>
              <w:rPr>
                <w:rFonts w:ascii="Arial" w:cs="Arial" w:eastAsia="Arial" w:hAnsi="Arial"/>
                <w:sz w:val="16"/>
                <w:szCs w:val="16"/>
                <w:color w:val="auto"/>
              </w:rPr>
              <w:t>distribution center</w:t>
            </w:r>
          </w:p>
        </w:tc>
        <w:tc>
          <w:tcPr>
            <w:tcW w:w="160" w:type="dxa"/>
            <w:vAlign w:val="bottom"/>
            <w:shd w:val="clear" w:color="auto" w:fill="CCEEFF"/>
          </w:tcPr>
          <w:p>
            <w:pPr>
              <w:spacing w:after="0"/>
              <w:rPr>
                <w:sz w:val="17"/>
                <w:szCs w:val="17"/>
                <w:color w:val="auto"/>
              </w:rPr>
            </w:pPr>
          </w:p>
        </w:tc>
        <w:tc>
          <w:tcPr>
            <w:tcW w:w="1220" w:type="dxa"/>
            <w:vAlign w:val="bottom"/>
            <w:shd w:val="clear" w:color="auto" w:fill="CCEEFF"/>
          </w:tcPr>
          <w:p>
            <w:pPr>
              <w:spacing w:after="0"/>
              <w:rPr>
                <w:sz w:val="17"/>
                <w:szCs w:val="17"/>
                <w:color w:val="auto"/>
              </w:rPr>
            </w:pPr>
          </w:p>
        </w:tc>
        <w:tc>
          <w:tcPr>
            <w:tcW w:w="1060" w:type="dxa"/>
            <w:vAlign w:val="bottom"/>
            <w:gridSpan w:val="2"/>
            <w:shd w:val="clear" w:color="auto" w:fill="CCEEFF"/>
          </w:tcPr>
          <w:p>
            <w:pPr>
              <w:ind w:left="140"/>
              <w:spacing w:after="0"/>
              <w:rPr>
                <w:sz w:val="20"/>
                <w:szCs w:val="20"/>
                <w:color w:val="auto"/>
              </w:rPr>
            </w:pPr>
            <w:r>
              <w:rPr>
                <w:rFonts w:ascii="Arial" w:cs="Arial" w:eastAsia="Arial" w:hAnsi="Arial"/>
                <w:sz w:val="16"/>
                <w:szCs w:val="16"/>
                <w:color w:val="auto"/>
                <w:w w:val="99"/>
              </w:rPr>
              <w:t>Owned/Land</w:t>
            </w:r>
          </w:p>
        </w:tc>
      </w:tr>
      <w:tr>
        <w:trPr>
          <w:trHeight w:val="212"/>
        </w:trPr>
        <w:tc>
          <w:tcPr>
            <w:tcW w:w="30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ind w:left="140"/>
              <w:spacing w:after="0"/>
              <w:rPr>
                <w:sz w:val="20"/>
                <w:szCs w:val="20"/>
                <w:color w:val="auto"/>
              </w:rPr>
            </w:pPr>
            <w:r>
              <w:rPr>
                <w:rFonts w:ascii="Arial" w:cs="Arial" w:eastAsia="Arial" w:hAnsi="Arial"/>
                <w:sz w:val="16"/>
                <w:szCs w:val="16"/>
                <w:color w:val="auto"/>
              </w:rPr>
              <w:t>Leased</w:t>
            </w:r>
          </w:p>
        </w:tc>
      </w:tr>
      <w:tr>
        <w:trPr>
          <w:trHeight w:val="193"/>
        </w:trPr>
        <w:tc>
          <w:tcPr>
            <w:tcW w:w="3040" w:type="dxa"/>
            <w:vAlign w:val="bottom"/>
          </w:tcPr>
          <w:p>
            <w:pPr>
              <w:spacing w:after="0"/>
              <w:rPr>
                <w:sz w:val="20"/>
                <w:szCs w:val="20"/>
                <w:color w:val="auto"/>
              </w:rPr>
            </w:pPr>
            <w:r>
              <w:rPr>
                <w:rFonts w:ascii="Arial" w:cs="Arial" w:eastAsia="Arial" w:hAnsi="Arial"/>
                <w:sz w:val="16"/>
                <w:szCs w:val="16"/>
                <w:color w:val="auto"/>
              </w:rPr>
              <w:t>Brockton, Massachusetts</w:t>
            </w:r>
          </w:p>
        </w:tc>
        <w:tc>
          <w:tcPr>
            <w:tcW w:w="2780" w:type="dxa"/>
            <w:vAlign w:val="bottom"/>
            <w:gridSpan w:val="2"/>
          </w:tcPr>
          <w:p>
            <w:pPr>
              <w:ind w:left="140"/>
              <w:spacing w:after="0"/>
              <w:rPr>
                <w:sz w:val="20"/>
                <w:szCs w:val="20"/>
                <w:color w:val="auto"/>
              </w:rPr>
            </w:pPr>
            <w:r>
              <w:rPr>
                <w:rFonts w:ascii="Arial" w:cs="Arial" w:eastAsia="Arial" w:hAnsi="Arial"/>
                <w:sz w:val="16"/>
                <w:szCs w:val="16"/>
                <w:color w:val="auto"/>
              </w:rPr>
              <w:t>Golf shoe R&amp;D, custom glove</w:t>
            </w:r>
          </w:p>
        </w:tc>
        <w:tc>
          <w:tcPr>
            <w:tcW w:w="1380" w:type="dxa"/>
            <w:vAlign w:val="bottom"/>
            <w:gridSpan w:val="2"/>
          </w:tcPr>
          <w:p>
            <w:pPr>
              <w:ind w:left="160"/>
              <w:spacing w:after="0"/>
              <w:rPr>
                <w:sz w:val="20"/>
                <w:szCs w:val="20"/>
                <w:color w:val="auto"/>
              </w:rPr>
            </w:pPr>
            <w:r>
              <w:rPr>
                <w:rFonts w:ascii="Arial" w:cs="Arial" w:eastAsia="Arial" w:hAnsi="Arial"/>
                <w:sz w:val="16"/>
                <w:szCs w:val="16"/>
                <w:color w:val="auto"/>
              </w:rPr>
              <w:t>146,000</w:t>
            </w:r>
          </w:p>
        </w:tc>
        <w:tc>
          <w:tcPr>
            <w:tcW w:w="1060" w:type="dxa"/>
            <w:vAlign w:val="bottom"/>
            <w:gridSpan w:val="2"/>
          </w:tcPr>
          <w:p>
            <w:pPr>
              <w:ind w:left="140"/>
              <w:spacing w:after="0"/>
              <w:rPr>
                <w:sz w:val="20"/>
                <w:szCs w:val="20"/>
                <w:color w:val="auto"/>
              </w:rPr>
            </w:pPr>
            <w:r>
              <w:rPr>
                <w:rFonts w:ascii="Arial" w:cs="Arial" w:eastAsia="Arial" w:hAnsi="Arial"/>
                <w:sz w:val="16"/>
                <w:szCs w:val="16"/>
                <w:color w:val="auto"/>
              </w:rPr>
              <w:t>Owned</w:t>
            </w:r>
          </w:p>
        </w:tc>
      </w:tr>
      <w:tr>
        <w:trPr>
          <w:trHeight w:val="203"/>
        </w:trPr>
        <w:tc>
          <w:tcPr>
            <w:tcW w:w="3040" w:type="dxa"/>
            <w:vAlign w:val="bottom"/>
          </w:tcPr>
          <w:p>
            <w:pPr>
              <w:spacing w:after="0"/>
              <w:rPr>
                <w:sz w:val="17"/>
                <w:szCs w:val="17"/>
                <w:color w:val="auto"/>
              </w:rPr>
            </w:pPr>
          </w:p>
        </w:tc>
        <w:tc>
          <w:tcPr>
            <w:tcW w:w="2780" w:type="dxa"/>
            <w:vAlign w:val="bottom"/>
            <w:gridSpan w:val="2"/>
          </w:tcPr>
          <w:p>
            <w:pPr>
              <w:ind w:left="140"/>
              <w:spacing w:after="0"/>
              <w:rPr>
                <w:sz w:val="20"/>
                <w:szCs w:val="20"/>
                <w:color w:val="auto"/>
              </w:rPr>
            </w:pPr>
            <w:r>
              <w:rPr>
                <w:rFonts w:ascii="Arial" w:cs="Arial" w:eastAsia="Arial" w:hAnsi="Arial"/>
                <w:sz w:val="16"/>
                <w:szCs w:val="16"/>
                <w:color w:val="auto"/>
              </w:rPr>
              <w:t>assembly, apparel embroidery and</w:t>
            </w:r>
          </w:p>
        </w:tc>
        <w:tc>
          <w:tcPr>
            <w:tcW w:w="16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20" w:type="dxa"/>
            <w:vAlign w:val="bottom"/>
          </w:tcPr>
          <w:p>
            <w:pPr>
              <w:spacing w:after="0"/>
              <w:rPr>
                <w:sz w:val="17"/>
                <w:szCs w:val="17"/>
                <w:color w:val="auto"/>
              </w:rPr>
            </w:pPr>
          </w:p>
        </w:tc>
      </w:tr>
      <w:tr>
        <w:trPr>
          <w:trHeight w:val="206"/>
        </w:trPr>
        <w:tc>
          <w:tcPr>
            <w:tcW w:w="3040" w:type="dxa"/>
            <w:vAlign w:val="bottom"/>
          </w:tcPr>
          <w:p>
            <w:pPr>
              <w:spacing w:after="0"/>
              <w:rPr>
                <w:sz w:val="17"/>
                <w:szCs w:val="17"/>
                <w:color w:val="auto"/>
              </w:rPr>
            </w:pPr>
          </w:p>
        </w:tc>
        <w:tc>
          <w:tcPr>
            <w:tcW w:w="2780" w:type="dxa"/>
            <w:vAlign w:val="bottom"/>
            <w:gridSpan w:val="2"/>
          </w:tcPr>
          <w:p>
            <w:pPr>
              <w:ind w:left="140"/>
              <w:spacing w:after="0"/>
              <w:rPr>
                <w:sz w:val="20"/>
                <w:szCs w:val="20"/>
                <w:color w:val="auto"/>
              </w:rPr>
            </w:pPr>
            <w:r>
              <w:rPr>
                <w:rFonts w:ascii="Arial" w:cs="Arial" w:eastAsia="Arial" w:hAnsi="Arial"/>
                <w:sz w:val="16"/>
                <w:szCs w:val="16"/>
                <w:color w:val="auto"/>
              </w:rPr>
              <w:t>distribution center</w:t>
            </w:r>
          </w:p>
        </w:tc>
        <w:tc>
          <w:tcPr>
            <w:tcW w:w="16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20" w:type="dxa"/>
            <w:vAlign w:val="bottom"/>
          </w:tcPr>
          <w:p>
            <w:pPr>
              <w:spacing w:after="0"/>
              <w:rPr>
                <w:sz w:val="17"/>
                <w:szCs w:val="17"/>
                <w:color w:val="auto"/>
              </w:rPr>
            </w:pPr>
          </w:p>
        </w:tc>
      </w:tr>
      <w:tr>
        <w:trPr>
          <w:trHeight w:val="199"/>
        </w:trPr>
        <w:tc>
          <w:tcPr>
            <w:tcW w:w="3040" w:type="dxa"/>
            <w:vAlign w:val="bottom"/>
            <w:shd w:val="clear" w:color="auto" w:fill="CCEEFF"/>
          </w:tcPr>
          <w:p>
            <w:pPr>
              <w:spacing w:after="0"/>
              <w:rPr>
                <w:sz w:val="20"/>
                <w:szCs w:val="20"/>
                <w:color w:val="auto"/>
              </w:rPr>
            </w:pPr>
            <w:r>
              <w:rPr>
                <w:rFonts w:ascii="Arial" w:cs="Arial" w:eastAsia="Arial" w:hAnsi="Arial"/>
                <w:sz w:val="16"/>
                <w:szCs w:val="16"/>
                <w:color w:val="auto"/>
              </w:rPr>
              <w:t>Sriracha Chonburi, Thailand</w:t>
            </w:r>
          </w:p>
        </w:tc>
        <w:tc>
          <w:tcPr>
            <w:tcW w:w="2780" w:type="dxa"/>
            <w:vAlign w:val="bottom"/>
            <w:gridSpan w:val="2"/>
            <w:shd w:val="clear" w:color="auto" w:fill="CCEEFF"/>
          </w:tcPr>
          <w:p>
            <w:pPr>
              <w:ind w:left="140"/>
              <w:spacing w:after="0"/>
              <w:rPr>
                <w:sz w:val="20"/>
                <w:szCs w:val="20"/>
                <w:color w:val="auto"/>
              </w:rPr>
            </w:pPr>
            <w:r>
              <w:rPr>
                <w:rFonts w:ascii="Arial" w:cs="Arial" w:eastAsia="Arial" w:hAnsi="Arial"/>
                <w:sz w:val="16"/>
                <w:szCs w:val="16"/>
                <w:color w:val="auto"/>
              </w:rPr>
              <w:t>Golf glove manufacturing</w:t>
            </w:r>
          </w:p>
        </w:tc>
        <w:tc>
          <w:tcPr>
            <w:tcW w:w="1380" w:type="dxa"/>
            <w:vAlign w:val="bottom"/>
            <w:gridSpan w:val="2"/>
            <w:shd w:val="clear" w:color="auto" w:fill="CCEEFF"/>
          </w:tcPr>
          <w:p>
            <w:pPr>
              <w:ind w:left="160"/>
              <w:spacing w:after="0"/>
              <w:rPr>
                <w:sz w:val="20"/>
                <w:szCs w:val="20"/>
                <w:color w:val="auto"/>
              </w:rPr>
            </w:pPr>
            <w:r>
              <w:rPr>
                <w:rFonts w:ascii="Arial" w:cs="Arial" w:eastAsia="Arial" w:hAnsi="Arial"/>
                <w:sz w:val="16"/>
                <w:szCs w:val="16"/>
                <w:color w:val="auto"/>
              </w:rPr>
              <w:t>112,847</w:t>
            </w:r>
          </w:p>
        </w:tc>
        <w:tc>
          <w:tcPr>
            <w:tcW w:w="1060" w:type="dxa"/>
            <w:vAlign w:val="bottom"/>
            <w:gridSpan w:val="2"/>
            <w:shd w:val="clear" w:color="auto" w:fill="CCEEFF"/>
          </w:tcPr>
          <w:p>
            <w:pPr>
              <w:ind w:left="140"/>
              <w:spacing w:after="0"/>
              <w:rPr>
                <w:sz w:val="20"/>
                <w:szCs w:val="20"/>
                <w:color w:val="auto"/>
              </w:rPr>
            </w:pPr>
            <w:r>
              <w:rPr>
                <w:rFonts w:ascii="Arial" w:cs="Arial" w:eastAsia="Arial" w:hAnsi="Arial"/>
                <w:sz w:val="16"/>
                <w:szCs w:val="16"/>
                <w:color w:val="auto"/>
              </w:rPr>
              <w:t>Building</w:t>
            </w:r>
          </w:p>
        </w:tc>
      </w:tr>
      <w:tr>
        <w:trPr>
          <w:trHeight w:val="203"/>
        </w:trPr>
        <w:tc>
          <w:tcPr>
            <w:tcW w:w="30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6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20" w:type="dxa"/>
            <w:vAlign w:val="bottom"/>
            <w:shd w:val="clear" w:color="auto" w:fill="CCEEFF"/>
          </w:tcPr>
          <w:p>
            <w:pPr>
              <w:spacing w:after="0"/>
              <w:rPr>
                <w:sz w:val="17"/>
                <w:szCs w:val="17"/>
                <w:color w:val="auto"/>
              </w:rPr>
            </w:pPr>
          </w:p>
        </w:tc>
        <w:tc>
          <w:tcPr>
            <w:tcW w:w="1060" w:type="dxa"/>
            <w:vAlign w:val="bottom"/>
            <w:gridSpan w:val="2"/>
            <w:shd w:val="clear" w:color="auto" w:fill="CCEEFF"/>
          </w:tcPr>
          <w:p>
            <w:pPr>
              <w:ind w:left="140"/>
              <w:spacing w:after="0"/>
              <w:rPr>
                <w:sz w:val="20"/>
                <w:szCs w:val="20"/>
                <w:color w:val="auto"/>
              </w:rPr>
            </w:pPr>
            <w:r>
              <w:rPr>
                <w:rFonts w:ascii="Arial" w:cs="Arial" w:eastAsia="Arial" w:hAnsi="Arial"/>
                <w:sz w:val="16"/>
                <w:szCs w:val="16"/>
                <w:color w:val="auto"/>
                <w:w w:val="99"/>
              </w:rPr>
              <w:t>Owned/Land</w:t>
            </w:r>
          </w:p>
        </w:tc>
      </w:tr>
      <w:tr>
        <w:trPr>
          <w:trHeight w:val="212"/>
        </w:trPr>
        <w:tc>
          <w:tcPr>
            <w:tcW w:w="30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ind w:left="140"/>
              <w:spacing w:after="0"/>
              <w:rPr>
                <w:sz w:val="20"/>
                <w:szCs w:val="20"/>
                <w:color w:val="auto"/>
              </w:rPr>
            </w:pPr>
            <w:r>
              <w:rPr>
                <w:rFonts w:ascii="Arial" w:cs="Arial" w:eastAsia="Arial" w:hAnsi="Arial"/>
                <w:sz w:val="16"/>
                <w:szCs w:val="16"/>
                <w:color w:val="auto"/>
              </w:rPr>
              <w:t>Leased</w:t>
            </w:r>
          </w:p>
        </w:tc>
      </w:tr>
      <w:tr>
        <w:trPr>
          <w:trHeight w:val="203"/>
        </w:trPr>
        <w:tc>
          <w:tcPr>
            <w:tcW w:w="5820" w:type="dxa"/>
            <w:vAlign w:val="bottom"/>
            <w:gridSpan w:val="3"/>
          </w:tcPr>
          <w:p>
            <w:pPr>
              <w:spacing w:after="0"/>
              <w:rPr>
                <w:sz w:val="20"/>
                <w:szCs w:val="20"/>
                <w:color w:val="auto"/>
              </w:rPr>
            </w:pPr>
            <w:r>
              <w:rPr>
                <w:rFonts w:ascii="Arial" w:cs="Arial" w:eastAsia="Arial" w:hAnsi="Arial"/>
                <w:sz w:val="16"/>
                <w:szCs w:val="16"/>
                <w:b w:val="1"/>
                <w:bCs w:val="1"/>
                <w:color w:val="auto"/>
                <w:w w:val="97"/>
              </w:rPr>
              <w:t>Sales Offices and Distribution Centers (used by multiple reportable segments)</w:t>
            </w:r>
          </w:p>
        </w:tc>
        <w:tc>
          <w:tcPr>
            <w:tcW w:w="16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20" w:type="dxa"/>
            <w:vAlign w:val="bottom"/>
          </w:tcPr>
          <w:p>
            <w:pPr>
              <w:spacing w:after="0"/>
              <w:rPr>
                <w:sz w:val="17"/>
                <w:szCs w:val="17"/>
                <w:color w:val="auto"/>
              </w:rPr>
            </w:pPr>
          </w:p>
        </w:tc>
      </w:tr>
      <w:tr>
        <w:trPr>
          <w:trHeight w:val="203"/>
        </w:trPr>
        <w:tc>
          <w:tcPr>
            <w:tcW w:w="3040" w:type="dxa"/>
            <w:vAlign w:val="bottom"/>
            <w:shd w:val="clear" w:color="auto" w:fill="CCEEFF"/>
          </w:tcPr>
          <w:p>
            <w:pPr>
              <w:spacing w:after="0"/>
              <w:rPr>
                <w:sz w:val="20"/>
                <w:szCs w:val="20"/>
                <w:color w:val="auto"/>
              </w:rPr>
            </w:pPr>
            <w:r>
              <w:rPr>
                <w:rFonts w:ascii="Arial" w:cs="Arial" w:eastAsia="Arial" w:hAnsi="Arial"/>
                <w:sz w:val="16"/>
                <w:szCs w:val="16"/>
                <w:color w:val="auto"/>
              </w:rPr>
              <w:t>Fairhaven, Massachusetts</w:t>
            </w:r>
          </w:p>
        </w:tc>
        <w:tc>
          <w:tcPr>
            <w:tcW w:w="2780" w:type="dxa"/>
            <w:vAlign w:val="bottom"/>
            <w:gridSpan w:val="2"/>
            <w:shd w:val="clear" w:color="auto" w:fill="CCEEFF"/>
          </w:tcPr>
          <w:p>
            <w:pPr>
              <w:ind w:left="140"/>
              <w:spacing w:after="0"/>
              <w:rPr>
                <w:sz w:val="20"/>
                <w:szCs w:val="20"/>
                <w:color w:val="auto"/>
              </w:rPr>
            </w:pPr>
            <w:r>
              <w:rPr>
                <w:rFonts w:ascii="Arial" w:cs="Arial" w:eastAsia="Arial" w:hAnsi="Arial"/>
                <w:sz w:val="16"/>
                <w:szCs w:val="16"/>
                <w:color w:val="auto"/>
              </w:rPr>
              <w:t>East Coast distribution center</w:t>
            </w:r>
          </w:p>
        </w:tc>
        <w:tc>
          <w:tcPr>
            <w:tcW w:w="1380" w:type="dxa"/>
            <w:vAlign w:val="bottom"/>
            <w:gridSpan w:val="2"/>
            <w:shd w:val="clear" w:color="auto" w:fill="CCEEFF"/>
          </w:tcPr>
          <w:p>
            <w:pPr>
              <w:ind w:left="160"/>
              <w:spacing w:after="0"/>
              <w:rPr>
                <w:sz w:val="20"/>
                <w:szCs w:val="20"/>
                <w:color w:val="auto"/>
              </w:rPr>
            </w:pPr>
            <w:r>
              <w:rPr>
                <w:rFonts w:ascii="Arial" w:cs="Arial" w:eastAsia="Arial" w:hAnsi="Arial"/>
                <w:sz w:val="16"/>
                <w:szCs w:val="16"/>
                <w:color w:val="auto"/>
              </w:rPr>
              <w:t>185,370</w:t>
            </w:r>
          </w:p>
        </w:tc>
        <w:tc>
          <w:tcPr>
            <w:tcW w:w="1060" w:type="dxa"/>
            <w:vAlign w:val="bottom"/>
            <w:gridSpan w:val="2"/>
            <w:shd w:val="clear" w:color="auto" w:fill="CCEEFF"/>
          </w:tcPr>
          <w:p>
            <w:pPr>
              <w:ind w:left="140"/>
              <w:spacing w:after="0"/>
              <w:rPr>
                <w:sz w:val="20"/>
                <w:szCs w:val="20"/>
                <w:color w:val="auto"/>
              </w:rPr>
            </w:pPr>
            <w:r>
              <w:rPr>
                <w:rFonts w:ascii="Arial" w:cs="Arial" w:eastAsia="Arial" w:hAnsi="Arial"/>
                <w:sz w:val="16"/>
                <w:szCs w:val="16"/>
                <w:color w:val="auto"/>
              </w:rPr>
              <w:t>Owned</w:t>
            </w:r>
          </w:p>
        </w:tc>
      </w:tr>
      <w:tr>
        <w:trPr>
          <w:trHeight w:val="193"/>
        </w:trPr>
        <w:tc>
          <w:tcPr>
            <w:tcW w:w="3040" w:type="dxa"/>
            <w:vAlign w:val="bottom"/>
          </w:tcPr>
          <w:p>
            <w:pPr>
              <w:spacing w:after="0"/>
              <w:rPr>
                <w:sz w:val="20"/>
                <w:szCs w:val="20"/>
                <w:color w:val="auto"/>
              </w:rPr>
            </w:pPr>
            <w:r>
              <w:rPr>
                <w:rFonts w:ascii="Arial" w:cs="Arial" w:eastAsia="Arial" w:hAnsi="Arial"/>
                <w:sz w:val="16"/>
                <w:szCs w:val="16"/>
                <w:color w:val="auto"/>
              </w:rPr>
              <w:t>Vista, California</w:t>
            </w:r>
          </w:p>
        </w:tc>
        <w:tc>
          <w:tcPr>
            <w:tcW w:w="2780" w:type="dxa"/>
            <w:vAlign w:val="bottom"/>
            <w:gridSpan w:val="2"/>
          </w:tcPr>
          <w:p>
            <w:pPr>
              <w:ind w:left="140"/>
              <w:spacing w:after="0"/>
              <w:rPr>
                <w:sz w:val="20"/>
                <w:szCs w:val="20"/>
                <w:color w:val="auto"/>
              </w:rPr>
            </w:pPr>
            <w:r>
              <w:rPr>
                <w:rFonts w:ascii="Arial" w:cs="Arial" w:eastAsia="Arial" w:hAnsi="Arial"/>
                <w:sz w:val="16"/>
                <w:szCs w:val="16"/>
                <w:color w:val="auto"/>
                <w:w w:val="95"/>
              </w:rPr>
              <w:t>West Coast distribution center and golf</w:t>
            </w:r>
          </w:p>
        </w:tc>
        <w:tc>
          <w:tcPr>
            <w:tcW w:w="1380" w:type="dxa"/>
            <w:vAlign w:val="bottom"/>
            <w:gridSpan w:val="2"/>
          </w:tcPr>
          <w:p>
            <w:pPr>
              <w:ind w:left="160"/>
              <w:spacing w:after="0"/>
              <w:rPr>
                <w:sz w:val="20"/>
                <w:szCs w:val="20"/>
                <w:color w:val="auto"/>
              </w:rPr>
            </w:pPr>
            <w:r>
              <w:rPr>
                <w:rFonts w:ascii="Arial" w:cs="Arial" w:eastAsia="Arial" w:hAnsi="Arial"/>
                <w:sz w:val="16"/>
                <w:szCs w:val="16"/>
                <w:color w:val="auto"/>
              </w:rPr>
              <w:t>102,319</w:t>
            </w:r>
          </w:p>
        </w:tc>
        <w:tc>
          <w:tcPr>
            <w:tcW w:w="1060" w:type="dxa"/>
            <w:vAlign w:val="bottom"/>
            <w:gridSpan w:val="2"/>
          </w:tcPr>
          <w:p>
            <w:pPr>
              <w:ind w:left="140"/>
              <w:spacing w:after="0"/>
              <w:rPr>
                <w:sz w:val="20"/>
                <w:szCs w:val="20"/>
                <w:color w:val="auto"/>
              </w:rPr>
            </w:pPr>
            <w:r>
              <w:rPr>
                <w:rFonts w:ascii="Arial" w:cs="Arial" w:eastAsia="Arial" w:hAnsi="Arial"/>
                <w:sz w:val="16"/>
                <w:szCs w:val="16"/>
                <w:color w:val="auto"/>
              </w:rPr>
              <w:t>Leased</w:t>
            </w:r>
          </w:p>
        </w:tc>
      </w:tr>
      <w:tr>
        <w:trPr>
          <w:trHeight w:val="206"/>
        </w:trPr>
        <w:tc>
          <w:tcPr>
            <w:tcW w:w="3040" w:type="dxa"/>
            <w:vAlign w:val="bottom"/>
          </w:tcPr>
          <w:p>
            <w:pPr>
              <w:spacing w:after="0"/>
              <w:rPr>
                <w:sz w:val="17"/>
                <w:szCs w:val="17"/>
                <w:color w:val="auto"/>
              </w:rPr>
            </w:pPr>
          </w:p>
        </w:tc>
        <w:tc>
          <w:tcPr>
            <w:tcW w:w="2780" w:type="dxa"/>
            <w:vAlign w:val="bottom"/>
            <w:gridSpan w:val="2"/>
          </w:tcPr>
          <w:p>
            <w:pPr>
              <w:ind w:left="140"/>
              <w:spacing w:after="0"/>
              <w:rPr>
                <w:sz w:val="20"/>
                <w:szCs w:val="20"/>
                <w:color w:val="auto"/>
              </w:rPr>
            </w:pPr>
            <w:r>
              <w:rPr>
                <w:rFonts w:ascii="Arial" w:cs="Arial" w:eastAsia="Arial" w:hAnsi="Arial"/>
                <w:sz w:val="16"/>
                <w:szCs w:val="16"/>
                <w:color w:val="auto"/>
              </w:rPr>
              <w:t>bag embroidery</w:t>
            </w:r>
          </w:p>
        </w:tc>
        <w:tc>
          <w:tcPr>
            <w:tcW w:w="16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20" w:type="dxa"/>
            <w:vAlign w:val="bottom"/>
          </w:tcPr>
          <w:p>
            <w:pPr>
              <w:spacing w:after="0"/>
              <w:rPr>
                <w:sz w:val="17"/>
                <w:szCs w:val="17"/>
                <w:color w:val="auto"/>
              </w:rPr>
            </w:pPr>
          </w:p>
        </w:tc>
      </w:tr>
      <w:tr>
        <w:trPr>
          <w:trHeight w:val="199"/>
        </w:trPr>
        <w:tc>
          <w:tcPr>
            <w:tcW w:w="3040" w:type="dxa"/>
            <w:vAlign w:val="bottom"/>
            <w:shd w:val="clear" w:color="auto" w:fill="CCEEFF"/>
          </w:tcPr>
          <w:p>
            <w:pPr>
              <w:spacing w:after="0"/>
              <w:rPr>
                <w:sz w:val="20"/>
                <w:szCs w:val="20"/>
                <w:color w:val="auto"/>
              </w:rPr>
            </w:pPr>
            <w:r>
              <w:rPr>
                <w:rFonts w:ascii="Arial" w:cs="Arial" w:eastAsia="Arial" w:hAnsi="Arial"/>
                <w:sz w:val="16"/>
                <w:szCs w:val="16"/>
                <w:color w:val="auto"/>
              </w:rPr>
              <w:t>Cambridgeshire, United Kingdom</w:t>
            </w:r>
          </w:p>
        </w:tc>
        <w:tc>
          <w:tcPr>
            <w:tcW w:w="2780" w:type="dxa"/>
            <w:vAlign w:val="bottom"/>
            <w:gridSpan w:val="2"/>
            <w:shd w:val="clear" w:color="auto" w:fill="CCEEFF"/>
          </w:tcPr>
          <w:p>
            <w:pPr>
              <w:ind w:left="140"/>
              <w:spacing w:after="0"/>
              <w:rPr>
                <w:sz w:val="20"/>
                <w:szCs w:val="20"/>
                <w:color w:val="auto"/>
              </w:rPr>
            </w:pPr>
            <w:r>
              <w:rPr>
                <w:rFonts w:ascii="Arial" w:cs="Arial" w:eastAsia="Arial" w:hAnsi="Arial"/>
                <w:sz w:val="16"/>
                <w:szCs w:val="16"/>
                <w:color w:val="auto"/>
                <w:w w:val="96"/>
              </w:rPr>
              <w:t>Sales office and distribution center, as</w:t>
            </w:r>
          </w:p>
        </w:tc>
        <w:tc>
          <w:tcPr>
            <w:tcW w:w="1380" w:type="dxa"/>
            <w:vAlign w:val="bottom"/>
            <w:gridSpan w:val="2"/>
            <w:shd w:val="clear" w:color="auto" w:fill="CCEEFF"/>
          </w:tcPr>
          <w:p>
            <w:pPr>
              <w:ind w:left="160"/>
              <w:spacing w:after="0"/>
              <w:rPr>
                <w:sz w:val="20"/>
                <w:szCs w:val="20"/>
                <w:color w:val="auto"/>
              </w:rPr>
            </w:pPr>
            <w:r>
              <w:rPr>
                <w:rFonts w:ascii="Arial" w:cs="Arial" w:eastAsia="Arial" w:hAnsi="Arial"/>
                <w:sz w:val="16"/>
                <w:szCs w:val="16"/>
                <w:color w:val="auto"/>
              </w:rPr>
              <w:t>156,326</w:t>
            </w:r>
          </w:p>
        </w:tc>
        <w:tc>
          <w:tcPr>
            <w:tcW w:w="1060" w:type="dxa"/>
            <w:vAlign w:val="bottom"/>
            <w:gridSpan w:val="2"/>
            <w:shd w:val="clear" w:color="auto" w:fill="CCEEFF"/>
          </w:tcPr>
          <w:p>
            <w:pPr>
              <w:ind w:left="140"/>
              <w:spacing w:after="0"/>
              <w:rPr>
                <w:sz w:val="20"/>
                <w:szCs w:val="20"/>
                <w:color w:val="auto"/>
              </w:rPr>
            </w:pPr>
            <w:r>
              <w:rPr>
                <w:rFonts w:ascii="Arial" w:cs="Arial" w:eastAsia="Arial" w:hAnsi="Arial"/>
                <w:sz w:val="16"/>
                <w:szCs w:val="16"/>
                <w:color w:val="auto"/>
              </w:rPr>
              <w:t>Owned</w:t>
            </w:r>
          </w:p>
        </w:tc>
      </w:tr>
      <w:tr>
        <w:trPr>
          <w:trHeight w:val="203"/>
        </w:trPr>
        <w:tc>
          <w:tcPr>
            <w:tcW w:w="3040" w:type="dxa"/>
            <w:vAlign w:val="bottom"/>
            <w:shd w:val="clear" w:color="auto" w:fill="CCEEFF"/>
          </w:tcPr>
          <w:p>
            <w:pPr>
              <w:spacing w:after="0"/>
              <w:rPr>
                <w:sz w:val="17"/>
                <w:szCs w:val="17"/>
                <w:color w:val="auto"/>
              </w:rPr>
            </w:pPr>
          </w:p>
        </w:tc>
        <w:tc>
          <w:tcPr>
            <w:tcW w:w="2780" w:type="dxa"/>
            <w:vAlign w:val="bottom"/>
            <w:gridSpan w:val="2"/>
            <w:shd w:val="clear" w:color="auto" w:fill="CCEEFF"/>
          </w:tcPr>
          <w:p>
            <w:pPr>
              <w:ind w:left="140"/>
              <w:spacing w:after="0"/>
              <w:rPr>
                <w:sz w:val="20"/>
                <w:szCs w:val="20"/>
                <w:color w:val="auto"/>
              </w:rPr>
            </w:pPr>
            <w:r>
              <w:rPr>
                <w:rFonts w:ascii="Arial" w:cs="Arial" w:eastAsia="Arial" w:hAnsi="Arial"/>
                <w:sz w:val="16"/>
                <w:szCs w:val="16"/>
                <w:color w:val="auto"/>
                <w:w w:val="95"/>
              </w:rPr>
              <w:t>well as golf club assembly and golf ball</w:t>
            </w:r>
          </w:p>
        </w:tc>
        <w:tc>
          <w:tcPr>
            <w:tcW w:w="160" w:type="dxa"/>
            <w:vAlign w:val="bottom"/>
            <w:shd w:val="clear" w:color="auto" w:fill="CCEEFF"/>
          </w:tcPr>
          <w:p>
            <w:pPr>
              <w:spacing w:after="0"/>
              <w:rPr>
                <w:sz w:val="17"/>
                <w:szCs w:val="17"/>
                <w:color w:val="auto"/>
              </w:rPr>
            </w:pPr>
          </w:p>
        </w:tc>
        <w:tc>
          <w:tcPr>
            <w:tcW w:w="12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r>
      <w:tr>
        <w:trPr>
          <w:trHeight w:val="212"/>
        </w:trPr>
        <w:tc>
          <w:tcPr>
            <w:tcW w:w="3040" w:type="dxa"/>
            <w:vAlign w:val="bottom"/>
            <w:shd w:val="clear" w:color="auto" w:fill="CCEEFF"/>
          </w:tcPr>
          <w:p>
            <w:pPr>
              <w:spacing w:after="0"/>
              <w:rPr>
                <w:sz w:val="18"/>
                <w:szCs w:val="18"/>
                <w:color w:val="auto"/>
              </w:rPr>
            </w:pPr>
          </w:p>
        </w:tc>
        <w:tc>
          <w:tcPr>
            <w:tcW w:w="2780" w:type="dxa"/>
            <w:vAlign w:val="bottom"/>
            <w:gridSpan w:val="2"/>
            <w:shd w:val="clear" w:color="auto" w:fill="CCEEFF"/>
          </w:tcPr>
          <w:p>
            <w:pPr>
              <w:ind w:left="140"/>
              <w:spacing w:after="0"/>
              <w:rPr>
                <w:sz w:val="20"/>
                <w:szCs w:val="20"/>
                <w:color w:val="auto"/>
              </w:rPr>
            </w:pPr>
            <w:r>
              <w:rPr>
                <w:rFonts w:ascii="Arial" w:cs="Arial" w:eastAsia="Arial" w:hAnsi="Arial"/>
                <w:sz w:val="16"/>
                <w:szCs w:val="16"/>
                <w:color w:val="auto"/>
              </w:rPr>
              <w:t>customization</w:t>
            </w:r>
          </w:p>
        </w:tc>
        <w:tc>
          <w:tcPr>
            <w:tcW w:w="16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r>
      <w:tr>
        <w:trPr>
          <w:trHeight w:val="203"/>
        </w:trPr>
        <w:tc>
          <w:tcPr>
            <w:tcW w:w="3040" w:type="dxa"/>
            <w:vAlign w:val="bottom"/>
          </w:tcPr>
          <w:p>
            <w:pPr>
              <w:spacing w:after="0"/>
              <w:rPr>
                <w:sz w:val="20"/>
                <w:szCs w:val="20"/>
                <w:color w:val="auto"/>
              </w:rPr>
            </w:pPr>
            <w:r>
              <w:rPr>
                <w:rFonts w:ascii="Arial" w:cs="Arial" w:eastAsia="Arial" w:hAnsi="Arial"/>
                <w:sz w:val="16"/>
                <w:szCs w:val="16"/>
                <w:color w:val="auto"/>
              </w:rPr>
              <w:t>Helmond, The Netherlands</w:t>
            </w:r>
          </w:p>
        </w:tc>
        <w:tc>
          <w:tcPr>
            <w:tcW w:w="2780" w:type="dxa"/>
            <w:vAlign w:val="bottom"/>
            <w:gridSpan w:val="2"/>
          </w:tcPr>
          <w:p>
            <w:pPr>
              <w:ind w:left="140"/>
              <w:spacing w:after="0"/>
              <w:rPr>
                <w:sz w:val="20"/>
                <w:szCs w:val="20"/>
                <w:color w:val="auto"/>
              </w:rPr>
            </w:pPr>
            <w:r>
              <w:rPr>
                <w:rFonts w:ascii="Arial" w:cs="Arial" w:eastAsia="Arial" w:hAnsi="Arial"/>
                <w:sz w:val="16"/>
                <w:szCs w:val="16"/>
                <w:color w:val="auto"/>
              </w:rPr>
              <w:t>Sales office and distribution center</w:t>
            </w:r>
          </w:p>
        </w:tc>
        <w:tc>
          <w:tcPr>
            <w:tcW w:w="1380" w:type="dxa"/>
            <w:vAlign w:val="bottom"/>
            <w:gridSpan w:val="2"/>
          </w:tcPr>
          <w:p>
            <w:pPr>
              <w:ind w:left="160"/>
              <w:spacing w:after="0"/>
              <w:rPr>
                <w:sz w:val="20"/>
                <w:szCs w:val="20"/>
                <w:color w:val="auto"/>
              </w:rPr>
            </w:pPr>
            <w:r>
              <w:rPr>
                <w:rFonts w:ascii="Arial" w:cs="Arial" w:eastAsia="Arial" w:hAnsi="Arial"/>
                <w:sz w:val="16"/>
                <w:szCs w:val="16"/>
                <w:color w:val="auto"/>
              </w:rPr>
              <w:t>69,965</w:t>
            </w:r>
          </w:p>
        </w:tc>
        <w:tc>
          <w:tcPr>
            <w:tcW w:w="1060" w:type="dxa"/>
            <w:vAlign w:val="bottom"/>
            <w:gridSpan w:val="2"/>
          </w:tcPr>
          <w:p>
            <w:pPr>
              <w:ind w:left="140"/>
              <w:spacing w:after="0"/>
              <w:rPr>
                <w:sz w:val="20"/>
                <w:szCs w:val="20"/>
                <w:color w:val="auto"/>
              </w:rPr>
            </w:pPr>
            <w:r>
              <w:rPr>
                <w:rFonts w:ascii="Arial" w:cs="Arial" w:eastAsia="Arial" w:hAnsi="Arial"/>
                <w:sz w:val="16"/>
                <w:szCs w:val="16"/>
                <w:color w:val="auto"/>
              </w:rPr>
              <w:t>Leased</w:t>
            </w:r>
          </w:p>
        </w:tc>
      </w:tr>
      <w:tr>
        <w:trPr>
          <w:trHeight w:val="193"/>
        </w:trPr>
        <w:tc>
          <w:tcPr>
            <w:tcW w:w="3040" w:type="dxa"/>
            <w:vAlign w:val="bottom"/>
            <w:shd w:val="clear" w:color="auto" w:fill="CCEEFF"/>
          </w:tcPr>
          <w:p>
            <w:pPr>
              <w:spacing w:after="0"/>
              <w:rPr>
                <w:sz w:val="20"/>
                <w:szCs w:val="20"/>
                <w:color w:val="auto"/>
              </w:rPr>
            </w:pPr>
            <w:r>
              <w:rPr>
                <w:rFonts w:ascii="Arial" w:cs="Arial" w:eastAsia="Arial" w:hAnsi="Arial"/>
                <w:sz w:val="16"/>
                <w:szCs w:val="16"/>
                <w:color w:val="auto"/>
              </w:rPr>
              <w:t>Victoria, Australia</w:t>
            </w:r>
          </w:p>
        </w:tc>
        <w:tc>
          <w:tcPr>
            <w:tcW w:w="2780" w:type="dxa"/>
            <w:vAlign w:val="bottom"/>
            <w:gridSpan w:val="2"/>
            <w:shd w:val="clear" w:color="auto" w:fill="CCEEFF"/>
          </w:tcPr>
          <w:p>
            <w:pPr>
              <w:ind w:left="140"/>
              <w:spacing w:after="0"/>
              <w:rPr>
                <w:sz w:val="20"/>
                <w:szCs w:val="20"/>
                <w:color w:val="auto"/>
              </w:rPr>
            </w:pPr>
            <w:r>
              <w:rPr>
                <w:rFonts w:ascii="Arial" w:cs="Arial" w:eastAsia="Arial" w:hAnsi="Arial"/>
                <w:sz w:val="16"/>
                <w:szCs w:val="16"/>
                <w:color w:val="auto"/>
                <w:w w:val="96"/>
              </w:rPr>
              <w:t>Sales office and distribution center, as</w:t>
            </w:r>
          </w:p>
        </w:tc>
        <w:tc>
          <w:tcPr>
            <w:tcW w:w="1380" w:type="dxa"/>
            <w:vAlign w:val="bottom"/>
            <w:gridSpan w:val="2"/>
            <w:shd w:val="clear" w:color="auto" w:fill="CCEEFF"/>
          </w:tcPr>
          <w:p>
            <w:pPr>
              <w:ind w:left="160"/>
              <w:spacing w:after="0"/>
              <w:rPr>
                <w:sz w:val="20"/>
                <w:szCs w:val="20"/>
                <w:color w:val="auto"/>
              </w:rPr>
            </w:pPr>
            <w:r>
              <w:rPr>
                <w:rFonts w:ascii="Arial" w:cs="Arial" w:eastAsia="Arial" w:hAnsi="Arial"/>
                <w:sz w:val="16"/>
                <w:szCs w:val="16"/>
                <w:color w:val="auto"/>
              </w:rPr>
              <w:t>37,027</w:t>
            </w:r>
          </w:p>
        </w:tc>
        <w:tc>
          <w:tcPr>
            <w:tcW w:w="1060" w:type="dxa"/>
            <w:vAlign w:val="bottom"/>
            <w:gridSpan w:val="2"/>
            <w:shd w:val="clear" w:color="auto" w:fill="CCEEFF"/>
          </w:tcPr>
          <w:p>
            <w:pPr>
              <w:ind w:left="140"/>
              <w:spacing w:after="0"/>
              <w:rPr>
                <w:sz w:val="20"/>
                <w:szCs w:val="20"/>
                <w:color w:val="auto"/>
              </w:rPr>
            </w:pPr>
            <w:r>
              <w:rPr>
                <w:rFonts w:ascii="Arial" w:cs="Arial" w:eastAsia="Arial" w:hAnsi="Arial"/>
                <w:sz w:val="16"/>
                <w:szCs w:val="16"/>
                <w:color w:val="auto"/>
              </w:rPr>
              <w:t>Leased</w:t>
            </w:r>
          </w:p>
        </w:tc>
      </w:tr>
      <w:tr>
        <w:trPr>
          <w:trHeight w:val="212"/>
        </w:trPr>
        <w:tc>
          <w:tcPr>
            <w:tcW w:w="3040" w:type="dxa"/>
            <w:vAlign w:val="bottom"/>
            <w:shd w:val="clear" w:color="auto" w:fill="CCEEFF"/>
          </w:tcPr>
          <w:p>
            <w:pPr>
              <w:spacing w:after="0"/>
              <w:rPr>
                <w:sz w:val="18"/>
                <w:szCs w:val="18"/>
                <w:color w:val="auto"/>
              </w:rPr>
            </w:pPr>
          </w:p>
        </w:tc>
        <w:tc>
          <w:tcPr>
            <w:tcW w:w="2780" w:type="dxa"/>
            <w:vAlign w:val="bottom"/>
            <w:gridSpan w:val="2"/>
            <w:shd w:val="clear" w:color="auto" w:fill="CCEEFF"/>
          </w:tcPr>
          <w:p>
            <w:pPr>
              <w:ind w:left="140"/>
              <w:spacing w:after="0"/>
              <w:rPr>
                <w:sz w:val="20"/>
                <w:szCs w:val="20"/>
                <w:color w:val="auto"/>
              </w:rPr>
            </w:pPr>
            <w:r>
              <w:rPr>
                <w:rFonts w:ascii="Arial" w:cs="Arial" w:eastAsia="Arial" w:hAnsi="Arial"/>
                <w:sz w:val="16"/>
                <w:szCs w:val="16"/>
                <w:color w:val="auto"/>
              </w:rPr>
              <w:t>well as golf club assembly</w:t>
            </w:r>
          </w:p>
        </w:tc>
        <w:tc>
          <w:tcPr>
            <w:tcW w:w="16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r>
      <w:tr>
        <w:trPr>
          <w:trHeight w:val="193"/>
        </w:trPr>
        <w:tc>
          <w:tcPr>
            <w:tcW w:w="3040" w:type="dxa"/>
            <w:vAlign w:val="bottom"/>
          </w:tcPr>
          <w:p>
            <w:pPr>
              <w:spacing w:after="0"/>
              <w:rPr>
                <w:sz w:val="20"/>
                <w:szCs w:val="20"/>
                <w:color w:val="auto"/>
              </w:rPr>
            </w:pPr>
            <w:r>
              <w:rPr>
                <w:rFonts w:ascii="Arial" w:cs="Arial" w:eastAsia="Arial" w:hAnsi="Arial"/>
                <w:sz w:val="16"/>
                <w:szCs w:val="16"/>
                <w:color w:val="auto"/>
              </w:rPr>
              <w:t>Ontario, Canada</w:t>
            </w:r>
          </w:p>
        </w:tc>
        <w:tc>
          <w:tcPr>
            <w:tcW w:w="2780" w:type="dxa"/>
            <w:vAlign w:val="bottom"/>
            <w:gridSpan w:val="2"/>
          </w:tcPr>
          <w:p>
            <w:pPr>
              <w:ind w:left="140"/>
              <w:spacing w:after="0"/>
              <w:rPr>
                <w:sz w:val="20"/>
                <w:szCs w:val="20"/>
                <w:color w:val="auto"/>
              </w:rPr>
            </w:pPr>
            <w:r>
              <w:rPr>
                <w:rFonts w:ascii="Arial" w:cs="Arial" w:eastAsia="Arial" w:hAnsi="Arial"/>
                <w:sz w:val="16"/>
                <w:szCs w:val="16"/>
                <w:color w:val="auto"/>
                <w:w w:val="96"/>
              </w:rPr>
              <w:t>Sales office and distribution center, as</w:t>
            </w:r>
          </w:p>
        </w:tc>
        <w:tc>
          <w:tcPr>
            <w:tcW w:w="1380" w:type="dxa"/>
            <w:vAlign w:val="bottom"/>
            <w:gridSpan w:val="2"/>
          </w:tcPr>
          <w:p>
            <w:pPr>
              <w:ind w:left="160"/>
              <w:spacing w:after="0"/>
              <w:rPr>
                <w:sz w:val="20"/>
                <w:szCs w:val="20"/>
                <w:color w:val="auto"/>
              </w:rPr>
            </w:pPr>
            <w:r>
              <w:rPr>
                <w:rFonts w:ascii="Arial" w:cs="Arial" w:eastAsia="Arial" w:hAnsi="Arial"/>
                <w:sz w:val="16"/>
                <w:szCs w:val="16"/>
                <w:color w:val="auto"/>
              </w:rPr>
              <w:t>102,057</w:t>
            </w:r>
          </w:p>
        </w:tc>
        <w:tc>
          <w:tcPr>
            <w:tcW w:w="1060" w:type="dxa"/>
            <w:vAlign w:val="bottom"/>
            <w:gridSpan w:val="2"/>
          </w:tcPr>
          <w:p>
            <w:pPr>
              <w:ind w:left="140"/>
              <w:spacing w:after="0"/>
              <w:rPr>
                <w:sz w:val="20"/>
                <w:szCs w:val="20"/>
                <w:color w:val="auto"/>
              </w:rPr>
            </w:pPr>
            <w:r>
              <w:rPr>
                <w:rFonts w:ascii="Arial" w:cs="Arial" w:eastAsia="Arial" w:hAnsi="Arial"/>
                <w:sz w:val="16"/>
                <w:szCs w:val="16"/>
                <w:color w:val="auto"/>
              </w:rPr>
              <w:t>Leased</w:t>
            </w:r>
          </w:p>
        </w:tc>
      </w:tr>
      <w:tr>
        <w:trPr>
          <w:trHeight w:val="206"/>
        </w:trPr>
        <w:tc>
          <w:tcPr>
            <w:tcW w:w="3040" w:type="dxa"/>
            <w:vAlign w:val="bottom"/>
          </w:tcPr>
          <w:p>
            <w:pPr>
              <w:spacing w:after="0"/>
              <w:rPr>
                <w:sz w:val="17"/>
                <w:szCs w:val="17"/>
                <w:color w:val="auto"/>
              </w:rPr>
            </w:pPr>
          </w:p>
        </w:tc>
        <w:tc>
          <w:tcPr>
            <w:tcW w:w="2780" w:type="dxa"/>
            <w:vAlign w:val="bottom"/>
            <w:gridSpan w:val="2"/>
          </w:tcPr>
          <w:p>
            <w:pPr>
              <w:ind w:left="140"/>
              <w:spacing w:after="0"/>
              <w:rPr>
                <w:sz w:val="20"/>
                <w:szCs w:val="20"/>
                <w:color w:val="auto"/>
              </w:rPr>
            </w:pPr>
            <w:r>
              <w:rPr>
                <w:rFonts w:ascii="Arial" w:cs="Arial" w:eastAsia="Arial" w:hAnsi="Arial"/>
                <w:sz w:val="16"/>
                <w:szCs w:val="16"/>
                <w:color w:val="auto"/>
              </w:rPr>
              <w:t>well as golf ball customization</w:t>
            </w:r>
          </w:p>
        </w:tc>
        <w:tc>
          <w:tcPr>
            <w:tcW w:w="16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20" w:type="dxa"/>
            <w:vAlign w:val="bottom"/>
          </w:tcPr>
          <w:p>
            <w:pPr>
              <w:spacing w:after="0"/>
              <w:rPr>
                <w:sz w:val="17"/>
                <w:szCs w:val="17"/>
                <w:color w:val="auto"/>
              </w:rPr>
            </w:pPr>
          </w:p>
        </w:tc>
      </w:tr>
      <w:tr>
        <w:trPr>
          <w:trHeight w:val="199"/>
        </w:trPr>
        <w:tc>
          <w:tcPr>
            <w:tcW w:w="3040" w:type="dxa"/>
            <w:vAlign w:val="bottom"/>
            <w:shd w:val="clear" w:color="auto" w:fill="CCEEFF"/>
          </w:tcPr>
          <w:p>
            <w:pPr>
              <w:spacing w:after="0"/>
              <w:rPr>
                <w:sz w:val="20"/>
                <w:szCs w:val="20"/>
                <w:color w:val="auto"/>
              </w:rPr>
            </w:pPr>
            <w:r>
              <w:rPr>
                <w:rFonts w:ascii="Arial" w:cs="Arial" w:eastAsia="Arial" w:hAnsi="Arial"/>
                <w:sz w:val="16"/>
                <w:szCs w:val="16"/>
                <w:color w:val="auto"/>
              </w:rPr>
              <w:t>Shenzhen, China</w:t>
            </w:r>
          </w:p>
        </w:tc>
        <w:tc>
          <w:tcPr>
            <w:tcW w:w="2780" w:type="dxa"/>
            <w:vAlign w:val="bottom"/>
            <w:gridSpan w:val="2"/>
            <w:shd w:val="clear" w:color="auto" w:fill="CCEEFF"/>
          </w:tcPr>
          <w:p>
            <w:pPr>
              <w:ind w:left="140"/>
              <w:spacing w:after="0"/>
              <w:rPr>
                <w:sz w:val="20"/>
                <w:szCs w:val="20"/>
                <w:color w:val="auto"/>
              </w:rPr>
            </w:pPr>
            <w:r>
              <w:rPr>
                <w:rFonts w:ascii="Arial" w:cs="Arial" w:eastAsia="Arial" w:hAnsi="Arial"/>
                <w:sz w:val="16"/>
                <w:szCs w:val="16"/>
                <w:color w:val="auto"/>
              </w:rPr>
              <w:t>Distribution center and golf ball</w:t>
            </w:r>
          </w:p>
        </w:tc>
        <w:tc>
          <w:tcPr>
            <w:tcW w:w="1380" w:type="dxa"/>
            <w:vAlign w:val="bottom"/>
            <w:gridSpan w:val="2"/>
            <w:shd w:val="clear" w:color="auto" w:fill="CCEEFF"/>
          </w:tcPr>
          <w:p>
            <w:pPr>
              <w:ind w:left="160"/>
              <w:spacing w:after="0"/>
              <w:rPr>
                <w:sz w:val="20"/>
                <w:szCs w:val="20"/>
                <w:color w:val="auto"/>
              </w:rPr>
            </w:pPr>
            <w:r>
              <w:rPr>
                <w:rFonts w:ascii="Arial" w:cs="Arial" w:eastAsia="Arial" w:hAnsi="Arial"/>
                <w:sz w:val="16"/>
                <w:szCs w:val="16"/>
                <w:color w:val="auto"/>
              </w:rPr>
              <w:t>73,194</w:t>
            </w:r>
          </w:p>
        </w:tc>
        <w:tc>
          <w:tcPr>
            <w:tcW w:w="1060" w:type="dxa"/>
            <w:vAlign w:val="bottom"/>
            <w:gridSpan w:val="2"/>
            <w:shd w:val="clear" w:color="auto" w:fill="CCEEFF"/>
          </w:tcPr>
          <w:p>
            <w:pPr>
              <w:ind w:left="140"/>
              <w:spacing w:after="0"/>
              <w:rPr>
                <w:sz w:val="20"/>
                <w:szCs w:val="20"/>
                <w:color w:val="auto"/>
              </w:rPr>
            </w:pPr>
            <w:r>
              <w:rPr>
                <w:rFonts w:ascii="Arial" w:cs="Arial" w:eastAsia="Arial" w:hAnsi="Arial"/>
                <w:sz w:val="16"/>
                <w:szCs w:val="16"/>
                <w:color w:val="auto"/>
              </w:rPr>
              <w:t>Leased</w:t>
            </w:r>
          </w:p>
        </w:tc>
      </w:tr>
      <w:tr>
        <w:trPr>
          <w:trHeight w:val="212"/>
        </w:trPr>
        <w:tc>
          <w:tcPr>
            <w:tcW w:w="3040" w:type="dxa"/>
            <w:vAlign w:val="bottom"/>
            <w:shd w:val="clear" w:color="auto" w:fill="CCEEFF"/>
          </w:tcPr>
          <w:p>
            <w:pPr>
              <w:spacing w:after="0"/>
              <w:rPr>
                <w:sz w:val="18"/>
                <w:szCs w:val="18"/>
                <w:color w:val="auto"/>
              </w:rPr>
            </w:pPr>
          </w:p>
        </w:tc>
        <w:tc>
          <w:tcPr>
            <w:tcW w:w="2780" w:type="dxa"/>
            <w:vAlign w:val="bottom"/>
            <w:gridSpan w:val="2"/>
            <w:shd w:val="clear" w:color="auto" w:fill="CCEEFF"/>
          </w:tcPr>
          <w:p>
            <w:pPr>
              <w:ind w:left="140"/>
              <w:spacing w:after="0"/>
              <w:rPr>
                <w:sz w:val="20"/>
                <w:szCs w:val="20"/>
                <w:color w:val="auto"/>
              </w:rPr>
            </w:pPr>
            <w:r>
              <w:rPr>
                <w:rFonts w:ascii="Arial" w:cs="Arial" w:eastAsia="Arial" w:hAnsi="Arial"/>
                <w:sz w:val="16"/>
                <w:szCs w:val="16"/>
                <w:color w:val="auto"/>
              </w:rPr>
              <w:t>customization</w:t>
            </w:r>
          </w:p>
        </w:tc>
        <w:tc>
          <w:tcPr>
            <w:tcW w:w="16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r>
      <w:tr>
        <w:trPr>
          <w:trHeight w:val="193"/>
        </w:trPr>
        <w:tc>
          <w:tcPr>
            <w:tcW w:w="3040" w:type="dxa"/>
            <w:vAlign w:val="bottom"/>
          </w:tcPr>
          <w:p>
            <w:pPr>
              <w:spacing w:after="0"/>
              <w:rPr>
                <w:sz w:val="20"/>
                <w:szCs w:val="20"/>
                <w:color w:val="auto"/>
              </w:rPr>
            </w:pPr>
            <w:r>
              <w:rPr>
                <w:rFonts w:ascii="Arial" w:cs="Arial" w:eastAsia="Arial" w:hAnsi="Arial"/>
                <w:sz w:val="16"/>
                <w:szCs w:val="16"/>
                <w:color w:val="auto"/>
              </w:rPr>
              <w:t>Randburg, South Africa</w:t>
            </w:r>
          </w:p>
        </w:tc>
        <w:tc>
          <w:tcPr>
            <w:tcW w:w="2780" w:type="dxa"/>
            <w:vAlign w:val="bottom"/>
            <w:gridSpan w:val="2"/>
          </w:tcPr>
          <w:p>
            <w:pPr>
              <w:ind w:left="140"/>
              <w:spacing w:after="0"/>
              <w:rPr>
                <w:sz w:val="20"/>
                <w:szCs w:val="20"/>
                <w:color w:val="auto"/>
              </w:rPr>
            </w:pPr>
            <w:r>
              <w:rPr>
                <w:rFonts w:ascii="Arial" w:cs="Arial" w:eastAsia="Arial" w:hAnsi="Arial"/>
                <w:sz w:val="16"/>
                <w:szCs w:val="16"/>
                <w:color w:val="auto"/>
                <w:w w:val="96"/>
              </w:rPr>
              <w:t>Sales office and distribution center, as</w:t>
            </w:r>
          </w:p>
        </w:tc>
        <w:tc>
          <w:tcPr>
            <w:tcW w:w="1380" w:type="dxa"/>
            <w:vAlign w:val="bottom"/>
            <w:gridSpan w:val="2"/>
          </w:tcPr>
          <w:p>
            <w:pPr>
              <w:ind w:left="160"/>
              <w:spacing w:after="0"/>
              <w:rPr>
                <w:sz w:val="20"/>
                <w:szCs w:val="20"/>
                <w:color w:val="auto"/>
              </w:rPr>
            </w:pPr>
            <w:r>
              <w:rPr>
                <w:rFonts w:ascii="Arial" w:cs="Arial" w:eastAsia="Arial" w:hAnsi="Arial"/>
                <w:sz w:val="16"/>
                <w:szCs w:val="16"/>
                <w:color w:val="auto"/>
              </w:rPr>
              <w:t>25,060</w:t>
            </w:r>
          </w:p>
        </w:tc>
        <w:tc>
          <w:tcPr>
            <w:tcW w:w="1060" w:type="dxa"/>
            <w:vAlign w:val="bottom"/>
            <w:gridSpan w:val="2"/>
          </w:tcPr>
          <w:p>
            <w:pPr>
              <w:ind w:left="140"/>
              <w:spacing w:after="0"/>
              <w:rPr>
                <w:sz w:val="20"/>
                <w:szCs w:val="20"/>
                <w:color w:val="auto"/>
              </w:rPr>
            </w:pPr>
            <w:r>
              <w:rPr>
                <w:rFonts w:ascii="Arial" w:cs="Arial" w:eastAsia="Arial" w:hAnsi="Arial"/>
                <w:sz w:val="16"/>
                <w:szCs w:val="16"/>
                <w:color w:val="auto"/>
              </w:rPr>
              <w:t>Leased</w:t>
            </w:r>
          </w:p>
        </w:tc>
      </w:tr>
      <w:tr>
        <w:trPr>
          <w:trHeight w:val="206"/>
        </w:trPr>
        <w:tc>
          <w:tcPr>
            <w:tcW w:w="3040" w:type="dxa"/>
            <w:vAlign w:val="bottom"/>
          </w:tcPr>
          <w:p>
            <w:pPr>
              <w:spacing w:after="0"/>
              <w:rPr>
                <w:sz w:val="17"/>
                <w:szCs w:val="17"/>
                <w:color w:val="auto"/>
              </w:rPr>
            </w:pPr>
          </w:p>
        </w:tc>
        <w:tc>
          <w:tcPr>
            <w:tcW w:w="2780" w:type="dxa"/>
            <w:vAlign w:val="bottom"/>
            <w:gridSpan w:val="2"/>
          </w:tcPr>
          <w:p>
            <w:pPr>
              <w:ind w:left="140"/>
              <w:spacing w:after="0"/>
              <w:rPr>
                <w:sz w:val="20"/>
                <w:szCs w:val="20"/>
                <w:color w:val="auto"/>
              </w:rPr>
            </w:pPr>
            <w:r>
              <w:rPr>
                <w:rFonts w:ascii="Arial" w:cs="Arial" w:eastAsia="Arial" w:hAnsi="Arial"/>
                <w:sz w:val="16"/>
                <w:szCs w:val="16"/>
                <w:color w:val="auto"/>
              </w:rPr>
              <w:t>well as golf club assembly</w:t>
            </w:r>
          </w:p>
        </w:tc>
        <w:tc>
          <w:tcPr>
            <w:tcW w:w="16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20" w:type="dxa"/>
            <w:vAlign w:val="bottom"/>
          </w:tcPr>
          <w:p>
            <w:pPr>
              <w:spacing w:after="0"/>
              <w:rPr>
                <w:sz w:val="17"/>
                <w:szCs w:val="17"/>
                <w:color w:val="auto"/>
              </w:rPr>
            </w:pPr>
          </w:p>
        </w:tc>
      </w:tr>
      <w:tr>
        <w:trPr>
          <w:trHeight w:val="199"/>
        </w:trPr>
        <w:tc>
          <w:tcPr>
            <w:tcW w:w="3040" w:type="dxa"/>
            <w:vAlign w:val="bottom"/>
            <w:shd w:val="clear" w:color="auto" w:fill="CCEEFF"/>
          </w:tcPr>
          <w:p>
            <w:pPr>
              <w:spacing w:after="0"/>
              <w:rPr>
                <w:sz w:val="20"/>
                <w:szCs w:val="20"/>
                <w:color w:val="auto"/>
              </w:rPr>
            </w:pPr>
            <w:r>
              <w:rPr>
                <w:rFonts w:ascii="Arial" w:cs="Arial" w:eastAsia="Arial" w:hAnsi="Arial"/>
                <w:sz w:val="16"/>
                <w:szCs w:val="16"/>
                <w:color w:val="auto"/>
              </w:rPr>
              <w:t>Icheon-si, Korea</w:t>
            </w:r>
          </w:p>
        </w:tc>
        <w:tc>
          <w:tcPr>
            <w:tcW w:w="2780" w:type="dxa"/>
            <w:vAlign w:val="bottom"/>
            <w:gridSpan w:val="2"/>
            <w:shd w:val="clear" w:color="auto" w:fill="CCEEFF"/>
          </w:tcPr>
          <w:p>
            <w:pPr>
              <w:ind w:left="140"/>
              <w:spacing w:after="0"/>
              <w:rPr>
                <w:sz w:val="20"/>
                <w:szCs w:val="20"/>
                <w:color w:val="auto"/>
              </w:rPr>
            </w:pPr>
            <w:r>
              <w:rPr>
                <w:rFonts w:ascii="Arial" w:cs="Arial" w:eastAsia="Arial" w:hAnsi="Arial"/>
                <w:sz w:val="16"/>
                <w:szCs w:val="16"/>
                <w:color w:val="auto"/>
              </w:rPr>
              <w:t>Distribution center, golf ball</w:t>
            </w:r>
          </w:p>
        </w:tc>
        <w:tc>
          <w:tcPr>
            <w:tcW w:w="1380" w:type="dxa"/>
            <w:vAlign w:val="bottom"/>
            <w:gridSpan w:val="2"/>
            <w:shd w:val="clear" w:color="auto" w:fill="CCEEFF"/>
          </w:tcPr>
          <w:p>
            <w:pPr>
              <w:ind w:left="160"/>
              <w:spacing w:after="0"/>
              <w:rPr>
                <w:sz w:val="20"/>
                <w:szCs w:val="20"/>
                <w:color w:val="auto"/>
              </w:rPr>
            </w:pPr>
            <w:r>
              <w:rPr>
                <w:rFonts w:ascii="Arial" w:cs="Arial" w:eastAsia="Arial" w:hAnsi="Arial"/>
                <w:sz w:val="16"/>
                <w:szCs w:val="16"/>
                <w:color w:val="auto"/>
              </w:rPr>
              <w:t>155,151</w:t>
            </w:r>
          </w:p>
        </w:tc>
        <w:tc>
          <w:tcPr>
            <w:tcW w:w="1060" w:type="dxa"/>
            <w:vAlign w:val="bottom"/>
            <w:gridSpan w:val="2"/>
            <w:shd w:val="clear" w:color="auto" w:fill="CCEEFF"/>
          </w:tcPr>
          <w:p>
            <w:pPr>
              <w:ind w:left="140"/>
              <w:spacing w:after="0"/>
              <w:rPr>
                <w:sz w:val="20"/>
                <w:szCs w:val="20"/>
                <w:color w:val="auto"/>
              </w:rPr>
            </w:pPr>
            <w:r>
              <w:rPr>
                <w:rFonts w:ascii="Arial" w:cs="Arial" w:eastAsia="Arial" w:hAnsi="Arial"/>
                <w:sz w:val="16"/>
                <w:szCs w:val="16"/>
                <w:color w:val="auto"/>
              </w:rPr>
              <w:t>Leased</w:t>
            </w:r>
          </w:p>
        </w:tc>
      </w:tr>
      <w:tr>
        <w:trPr>
          <w:trHeight w:val="212"/>
        </w:trPr>
        <w:tc>
          <w:tcPr>
            <w:tcW w:w="3040" w:type="dxa"/>
            <w:vAlign w:val="bottom"/>
            <w:shd w:val="clear" w:color="auto" w:fill="CCEEFF"/>
          </w:tcPr>
          <w:p>
            <w:pPr>
              <w:spacing w:after="0"/>
              <w:rPr>
                <w:sz w:val="18"/>
                <w:szCs w:val="18"/>
                <w:color w:val="auto"/>
              </w:rPr>
            </w:pPr>
          </w:p>
        </w:tc>
        <w:tc>
          <w:tcPr>
            <w:tcW w:w="2780" w:type="dxa"/>
            <w:vAlign w:val="bottom"/>
            <w:gridSpan w:val="2"/>
            <w:shd w:val="clear" w:color="auto" w:fill="CCEEFF"/>
          </w:tcPr>
          <w:p>
            <w:pPr>
              <w:ind w:left="140"/>
              <w:spacing w:after="0"/>
              <w:rPr>
                <w:sz w:val="20"/>
                <w:szCs w:val="20"/>
                <w:color w:val="auto"/>
              </w:rPr>
            </w:pPr>
            <w:r>
              <w:rPr>
                <w:rFonts w:ascii="Arial" w:cs="Arial" w:eastAsia="Arial" w:hAnsi="Arial"/>
                <w:sz w:val="16"/>
                <w:szCs w:val="16"/>
                <w:color w:val="auto"/>
                <w:w w:val="98"/>
              </w:rPr>
              <w:t>customization and golf club assembly</w:t>
            </w:r>
          </w:p>
        </w:tc>
        <w:tc>
          <w:tcPr>
            <w:tcW w:w="16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r>
      <w:tr>
        <w:trPr>
          <w:trHeight w:val="203"/>
        </w:trPr>
        <w:tc>
          <w:tcPr>
            <w:tcW w:w="5820" w:type="dxa"/>
            <w:vAlign w:val="bottom"/>
            <w:gridSpan w:val="3"/>
          </w:tcPr>
          <w:p>
            <w:pPr>
              <w:spacing w:after="0"/>
              <w:rPr>
                <w:sz w:val="20"/>
                <w:szCs w:val="20"/>
                <w:color w:val="auto"/>
              </w:rPr>
            </w:pPr>
            <w:r>
              <w:rPr>
                <w:rFonts w:ascii="Arial" w:cs="Arial" w:eastAsia="Arial" w:hAnsi="Arial"/>
                <w:sz w:val="16"/>
                <w:szCs w:val="16"/>
                <w:b w:val="1"/>
                <w:bCs w:val="1"/>
                <w:color w:val="auto"/>
              </w:rPr>
              <w:t>Product Testing and Fitting Centers (Golf Balls and Golf Clubs)</w:t>
            </w:r>
          </w:p>
        </w:tc>
        <w:tc>
          <w:tcPr>
            <w:tcW w:w="16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20" w:type="dxa"/>
            <w:vAlign w:val="bottom"/>
          </w:tcPr>
          <w:p>
            <w:pPr>
              <w:spacing w:after="0"/>
              <w:rPr>
                <w:sz w:val="17"/>
                <w:szCs w:val="17"/>
                <w:color w:val="auto"/>
              </w:rPr>
            </w:pPr>
          </w:p>
        </w:tc>
      </w:tr>
      <w:tr>
        <w:trPr>
          <w:trHeight w:val="193"/>
        </w:trPr>
        <w:tc>
          <w:tcPr>
            <w:tcW w:w="3040" w:type="dxa"/>
            <w:vAlign w:val="bottom"/>
            <w:shd w:val="clear" w:color="auto" w:fill="CCEEFF"/>
          </w:tcPr>
          <w:p>
            <w:pPr>
              <w:spacing w:after="0"/>
              <w:rPr>
                <w:sz w:val="20"/>
                <w:szCs w:val="20"/>
                <w:color w:val="auto"/>
              </w:rPr>
            </w:pPr>
            <w:r>
              <w:rPr>
                <w:rFonts w:ascii="Arial" w:cs="Arial" w:eastAsia="Arial" w:hAnsi="Arial"/>
                <w:sz w:val="16"/>
                <w:szCs w:val="16"/>
                <w:color w:val="auto"/>
              </w:rPr>
              <w:t>Acushnet, Massachusetts</w:t>
            </w:r>
          </w:p>
        </w:tc>
        <w:tc>
          <w:tcPr>
            <w:tcW w:w="2780" w:type="dxa"/>
            <w:vAlign w:val="bottom"/>
            <w:gridSpan w:val="2"/>
            <w:shd w:val="clear" w:color="auto" w:fill="CCEEFF"/>
          </w:tcPr>
          <w:p>
            <w:pPr>
              <w:ind w:left="140"/>
              <w:spacing w:after="0"/>
              <w:rPr>
                <w:sz w:val="20"/>
                <w:szCs w:val="20"/>
                <w:color w:val="auto"/>
              </w:rPr>
            </w:pPr>
            <w:r>
              <w:rPr>
                <w:rFonts w:ascii="Arial" w:cs="Arial" w:eastAsia="Arial" w:hAnsi="Arial"/>
                <w:sz w:val="16"/>
                <w:szCs w:val="16"/>
                <w:color w:val="auto"/>
                <w:w w:val="92"/>
              </w:rPr>
              <w:t>East Coast product testing and fitting for</w:t>
            </w:r>
          </w:p>
        </w:tc>
        <w:tc>
          <w:tcPr>
            <w:tcW w:w="1380" w:type="dxa"/>
            <w:vAlign w:val="bottom"/>
            <w:gridSpan w:val="2"/>
            <w:shd w:val="clear" w:color="auto" w:fill="CCEEFF"/>
          </w:tcPr>
          <w:p>
            <w:pPr>
              <w:ind w:left="160"/>
              <w:spacing w:after="0"/>
              <w:rPr>
                <w:sz w:val="20"/>
                <w:szCs w:val="20"/>
                <w:color w:val="auto"/>
              </w:rPr>
            </w:pPr>
            <w:r>
              <w:rPr>
                <w:rFonts w:ascii="Arial" w:cs="Arial" w:eastAsia="Arial" w:hAnsi="Arial"/>
                <w:sz w:val="16"/>
                <w:szCs w:val="16"/>
                <w:color w:val="auto"/>
              </w:rPr>
              <w:t>22 acres total,</w:t>
            </w:r>
          </w:p>
        </w:tc>
        <w:tc>
          <w:tcPr>
            <w:tcW w:w="1060" w:type="dxa"/>
            <w:vAlign w:val="bottom"/>
            <w:gridSpan w:val="2"/>
            <w:shd w:val="clear" w:color="auto" w:fill="CCEEFF"/>
          </w:tcPr>
          <w:p>
            <w:pPr>
              <w:ind w:left="140"/>
              <w:spacing w:after="0"/>
              <w:rPr>
                <w:sz w:val="20"/>
                <w:szCs w:val="20"/>
                <w:color w:val="auto"/>
              </w:rPr>
            </w:pPr>
            <w:r>
              <w:rPr>
                <w:rFonts w:ascii="Arial" w:cs="Arial" w:eastAsia="Arial" w:hAnsi="Arial"/>
                <w:sz w:val="16"/>
                <w:szCs w:val="16"/>
                <w:color w:val="auto"/>
              </w:rPr>
              <w:t>Owned</w:t>
            </w:r>
          </w:p>
        </w:tc>
      </w:tr>
      <w:tr>
        <w:trPr>
          <w:trHeight w:val="203"/>
        </w:trPr>
        <w:tc>
          <w:tcPr>
            <w:tcW w:w="3040" w:type="dxa"/>
            <w:vAlign w:val="bottom"/>
            <w:shd w:val="clear" w:color="auto" w:fill="CCEEFF"/>
          </w:tcPr>
          <w:p>
            <w:pPr>
              <w:spacing w:after="0"/>
              <w:rPr>
                <w:sz w:val="17"/>
                <w:szCs w:val="17"/>
                <w:color w:val="auto"/>
              </w:rPr>
            </w:pPr>
          </w:p>
        </w:tc>
        <w:tc>
          <w:tcPr>
            <w:tcW w:w="2780" w:type="dxa"/>
            <w:vAlign w:val="bottom"/>
            <w:gridSpan w:val="2"/>
            <w:shd w:val="clear" w:color="auto" w:fill="CCEEFF"/>
          </w:tcPr>
          <w:p>
            <w:pPr>
              <w:ind w:left="140"/>
              <w:spacing w:after="0"/>
              <w:rPr>
                <w:sz w:val="20"/>
                <w:szCs w:val="20"/>
                <w:color w:val="auto"/>
              </w:rPr>
            </w:pPr>
            <w:r>
              <w:rPr>
                <w:rFonts w:ascii="Arial" w:cs="Arial" w:eastAsia="Arial" w:hAnsi="Arial"/>
                <w:sz w:val="16"/>
                <w:szCs w:val="16"/>
                <w:color w:val="auto"/>
              </w:rPr>
              <w:t>golf balls and golf clubs</w:t>
            </w:r>
          </w:p>
        </w:tc>
        <w:tc>
          <w:tcPr>
            <w:tcW w:w="1380" w:type="dxa"/>
            <w:vAlign w:val="bottom"/>
            <w:gridSpan w:val="2"/>
            <w:shd w:val="clear" w:color="auto" w:fill="CCEEFF"/>
          </w:tcPr>
          <w:p>
            <w:pPr>
              <w:ind w:left="160"/>
              <w:spacing w:after="0"/>
              <w:rPr>
                <w:sz w:val="20"/>
                <w:szCs w:val="20"/>
                <w:color w:val="auto"/>
              </w:rPr>
            </w:pPr>
            <w:r>
              <w:rPr>
                <w:rFonts w:ascii="Arial" w:cs="Arial" w:eastAsia="Arial" w:hAnsi="Arial"/>
                <w:sz w:val="16"/>
                <w:szCs w:val="16"/>
                <w:color w:val="auto"/>
              </w:rPr>
              <w:t>including</w:t>
            </w:r>
          </w:p>
        </w:tc>
        <w:tc>
          <w:tcPr>
            <w:tcW w:w="14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r>
      <w:tr>
        <w:trPr>
          <w:trHeight w:val="203"/>
        </w:trPr>
        <w:tc>
          <w:tcPr>
            <w:tcW w:w="30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640" w:type="dxa"/>
            <w:vAlign w:val="bottom"/>
            <w:shd w:val="clear" w:color="auto" w:fill="CCEEFF"/>
          </w:tcPr>
          <w:p>
            <w:pPr>
              <w:spacing w:after="0"/>
              <w:rPr>
                <w:sz w:val="17"/>
                <w:szCs w:val="17"/>
                <w:color w:val="auto"/>
              </w:rPr>
            </w:pPr>
          </w:p>
        </w:tc>
        <w:tc>
          <w:tcPr>
            <w:tcW w:w="1380" w:type="dxa"/>
            <w:vAlign w:val="bottom"/>
            <w:gridSpan w:val="2"/>
            <w:shd w:val="clear" w:color="auto" w:fill="CCEEFF"/>
          </w:tcPr>
          <w:p>
            <w:pPr>
              <w:ind w:left="160"/>
              <w:spacing w:after="0"/>
              <w:rPr>
                <w:sz w:val="20"/>
                <w:szCs w:val="20"/>
                <w:color w:val="auto"/>
              </w:rPr>
            </w:pPr>
            <w:r>
              <w:rPr>
                <w:rFonts w:ascii="Arial" w:cs="Arial" w:eastAsia="Arial" w:hAnsi="Arial"/>
                <w:sz w:val="16"/>
                <w:szCs w:val="16"/>
                <w:color w:val="auto"/>
              </w:rPr>
              <w:t>7,662 square</w:t>
            </w:r>
          </w:p>
        </w:tc>
        <w:tc>
          <w:tcPr>
            <w:tcW w:w="14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r>
      <w:tr>
        <w:trPr>
          <w:trHeight w:val="212"/>
        </w:trPr>
        <w:tc>
          <w:tcPr>
            <w:tcW w:w="30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64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ind w:left="160"/>
              <w:spacing w:after="0"/>
              <w:rPr>
                <w:sz w:val="20"/>
                <w:szCs w:val="20"/>
                <w:color w:val="auto"/>
              </w:rPr>
            </w:pPr>
            <w:r>
              <w:rPr>
                <w:rFonts w:ascii="Arial" w:cs="Arial" w:eastAsia="Arial" w:hAnsi="Arial"/>
                <w:sz w:val="16"/>
                <w:szCs w:val="16"/>
                <w:color w:val="auto"/>
              </w:rPr>
              <w:t>foot building</w:t>
            </w:r>
          </w:p>
        </w:tc>
        <w:tc>
          <w:tcPr>
            <w:tcW w:w="1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r>
      <w:tr>
        <w:trPr>
          <w:trHeight w:val="193"/>
        </w:trPr>
        <w:tc>
          <w:tcPr>
            <w:tcW w:w="3040" w:type="dxa"/>
            <w:vAlign w:val="bottom"/>
          </w:tcPr>
          <w:p>
            <w:pPr>
              <w:spacing w:after="0"/>
              <w:rPr>
                <w:sz w:val="20"/>
                <w:szCs w:val="20"/>
                <w:color w:val="auto"/>
              </w:rPr>
            </w:pPr>
            <w:r>
              <w:rPr>
                <w:rFonts w:ascii="Arial" w:cs="Arial" w:eastAsia="Arial" w:hAnsi="Arial"/>
                <w:sz w:val="16"/>
                <w:szCs w:val="16"/>
                <w:color w:val="auto"/>
              </w:rPr>
              <w:t>Oceanside, California</w:t>
            </w:r>
          </w:p>
        </w:tc>
        <w:tc>
          <w:tcPr>
            <w:tcW w:w="2780" w:type="dxa"/>
            <w:vAlign w:val="bottom"/>
            <w:gridSpan w:val="2"/>
          </w:tcPr>
          <w:p>
            <w:pPr>
              <w:ind w:left="140"/>
              <w:spacing w:after="0"/>
              <w:rPr>
                <w:sz w:val="20"/>
                <w:szCs w:val="20"/>
                <w:color w:val="auto"/>
              </w:rPr>
            </w:pPr>
            <w:r>
              <w:rPr>
                <w:rFonts w:ascii="Arial" w:cs="Arial" w:eastAsia="Arial" w:hAnsi="Arial"/>
                <w:sz w:val="16"/>
                <w:szCs w:val="16"/>
                <w:color w:val="auto"/>
                <w:w w:val="98"/>
              </w:rPr>
              <w:t>West Coast product testing and fitting</w:t>
            </w:r>
          </w:p>
        </w:tc>
        <w:tc>
          <w:tcPr>
            <w:tcW w:w="1380" w:type="dxa"/>
            <w:vAlign w:val="bottom"/>
            <w:gridSpan w:val="2"/>
          </w:tcPr>
          <w:p>
            <w:pPr>
              <w:ind w:left="160"/>
              <w:spacing w:after="0"/>
              <w:rPr>
                <w:sz w:val="20"/>
                <w:szCs w:val="20"/>
                <w:color w:val="auto"/>
              </w:rPr>
            </w:pPr>
            <w:r>
              <w:rPr>
                <w:rFonts w:ascii="Arial" w:cs="Arial" w:eastAsia="Arial" w:hAnsi="Arial"/>
                <w:sz w:val="16"/>
                <w:szCs w:val="16"/>
                <w:color w:val="auto"/>
              </w:rPr>
              <w:t>30 acres total,</w:t>
            </w:r>
          </w:p>
        </w:tc>
        <w:tc>
          <w:tcPr>
            <w:tcW w:w="1060" w:type="dxa"/>
            <w:vAlign w:val="bottom"/>
            <w:gridSpan w:val="2"/>
          </w:tcPr>
          <w:p>
            <w:pPr>
              <w:ind w:left="140"/>
              <w:spacing w:after="0"/>
              <w:rPr>
                <w:sz w:val="20"/>
                <w:szCs w:val="20"/>
                <w:color w:val="auto"/>
              </w:rPr>
            </w:pPr>
            <w:r>
              <w:rPr>
                <w:rFonts w:ascii="Arial" w:cs="Arial" w:eastAsia="Arial" w:hAnsi="Arial"/>
                <w:sz w:val="16"/>
                <w:szCs w:val="16"/>
                <w:color w:val="auto"/>
              </w:rPr>
              <w:t>Owned</w:t>
            </w:r>
          </w:p>
        </w:tc>
      </w:tr>
      <w:tr>
        <w:trPr>
          <w:trHeight w:val="203"/>
        </w:trPr>
        <w:tc>
          <w:tcPr>
            <w:tcW w:w="3040" w:type="dxa"/>
            <w:vAlign w:val="bottom"/>
          </w:tcPr>
          <w:p>
            <w:pPr>
              <w:spacing w:after="0"/>
              <w:rPr>
                <w:sz w:val="17"/>
                <w:szCs w:val="17"/>
                <w:color w:val="auto"/>
              </w:rPr>
            </w:pPr>
          </w:p>
        </w:tc>
        <w:tc>
          <w:tcPr>
            <w:tcW w:w="2780" w:type="dxa"/>
            <w:vAlign w:val="bottom"/>
            <w:gridSpan w:val="2"/>
          </w:tcPr>
          <w:p>
            <w:pPr>
              <w:ind w:left="140"/>
              <w:spacing w:after="0"/>
              <w:rPr>
                <w:sz w:val="20"/>
                <w:szCs w:val="20"/>
                <w:color w:val="auto"/>
              </w:rPr>
            </w:pPr>
            <w:r>
              <w:rPr>
                <w:rFonts w:ascii="Arial" w:cs="Arial" w:eastAsia="Arial" w:hAnsi="Arial"/>
                <w:sz w:val="16"/>
                <w:szCs w:val="16"/>
                <w:color w:val="auto"/>
              </w:rPr>
              <w:t>for golf balls and golf clubs</w:t>
            </w:r>
          </w:p>
        </w:tc>
        <w:tc>
          <w:tcPr>
            <w:tcW w:w="1380" w:type="dxa"/>
            <w:vAlign w:val="bottom"/>
            <w:gridSpan w:val="2"/>
          </w:tcPr>
          <w:p>
            <w:pPr>
              <w:ind w:left="160"/>
              <w:spacing w:after="0"/>
              <w:rPr>
                <w:sz w:val="20"/>
                <w:szCs w:val="20"/>
                <w:color w:val="auto"/>
              </w:rPr>
            </w:pPr>
            <w:r>
              <w:rPr>
                <w:rFonts w:ascii="Arial" w:cs="Arial" w:eastAsia="Arial" w:hAnsi="Arial"/>
                <w:sz w:val="16"/>
                <w:szCs w:val="16"/>
                <w:color w:val="auto"/>
              </w:rPr>
              <w:t>including</w:t>
            </w:r>
          </w:p>
        </w:tc>
        <w:tc>
          <w:tcPr>
            <w:tcW w:w="140" w:type="dxa"/>
            <w:vAlign w:val="bottom"/>
          </w:tcPr>
          <w:p>
            <w:pPr>
              <w:spacing w:after="0"/>
              <w:rPr>
                <w:sz w:val="17"/>
                <w:szCs w:val="17"/>
                <w:color w:val="auto"/>
              </w:rPr>
            </w:pPr>
          </w:p>
        </w:tc>
        <w:tc>
          <w:tcPr>
            <w:tcW w:w="920" w:type="dxa"/>
            <w:vAlign w:val="bottom"/>
          </w:tcPr>
          <w:p>
            <w:pPr>
              <w:spacing w:after="0"/>
              <w:rPr>
                <w:sz w:val="17"/>
                <w:szCs w:val="17"/>
                <w:color w:val="auto"/>
              </w:rPr>
            </w:pPr>
          </w:p>
        </w:tc>
      </w:tr>
      <w:tr>
        <w:trPr>
          <w:trHeight w:val="203"/>
        </w:trPr>
        <w:tc>
          <w:tcPr>
            <w:tcW w:w="3040" w:type="dxa"/>
            <w:vAlign w:val="bottom"/>
          </w:tcPr>
          <w:p>
            <w:pPr>
              <w:spacing w:after="0"/>
              <w:rPr>
                <w:sz w:val="17"/>
                <w:szCs w:val="17"/>
                <w:color w:val="auto"/>
              </w:rPr>
            </w:pPr>
          </w:p>
        </w:tc>
        <w:tc>
          <w:tcPr>
            <w:tcW w:w="2780" w:type="dxa"/>
            <w:vAlign w:val="bottom"/>
            <w:gridSpan w:val="2"/>
          </w:tcPr>
          <w:p>
            <w:pPr>
              <w:ind w:left="140"/>
              <w:spacing w:after="0"/>
              <w:rPr>
                <w:sz w:val="20"/>
                <w:szCs w:val="20"/>
                <w:color w:val="auto"/>
              </w:rPr>
            </w:pPr>
            <w:r>
              <w:rPr>
                <w:rFonts w:ascii="Arial" w:cs="Arial" w:eastAsia="Arial" w:hAnsi="Arial"/>
                <w:sz w:val="16"/>
                <w:szCs w:val="16"/>
                <w:color w:val="auto"/>
              </w:rPr>
              <w:t>(Titleist Performance Institute)</w:t>
            </w:r>
          </w:p>
        </w:tc>
        <w:tc>
          <w:tcPr>
            <w:tcW w:w="1380" w:type="dxa"/>
            <w:vAlign w:val="bottom"/>
            <w:gridSpan w:val="2"/>
          </w:tcPr>
          <w:p>
            <w:pPr>
              <w:ind w:left="160"/>
              <w:spacing w:after="0"/>
              <w:rPr>
                <w:sz w:val="20"/>
                <w:szCs w:val="20"/>
                <w:color w:val="auto"/>
              </w:rPr>
            </w:pPr>
            <w:r>
              <w:rPr>
                <w:rFonts w:ascii="Arial" w:cs="Arial" w:eastAsia="Arial" w:hAnsi="Arial"/>
                <w:sz w:val="16"/>
                <w:szCs w:val="16"/>
                <w:color w:val="auto"/>
                <w:w w:val="89"/>
              </w:rPr>
              <w:t>20,539 square foot</w:t>
            </w:r>
          </w:p>
        </w:tc>
        <w:tc>
          <w:tcPr>
            <w:tcW w:w="140" w:type="dxa"/>
            <w:vAlign w:val="bottom"/>
          </w:tcPr>
          <w:p>
            <w:pPr>
              <w:spacing w:after="0"/>
              <w:rPr>
                <w:sz w:val="17"/>
                <w:szCs w:val="17"/>
                <w:color w:val="auto"/>
              </w:rPr>
            </w:pPr>
          </w:p>
        </w:tc>
        <w:tc>
          <w:tcPr>
            <w:tcW w:w="920" w:type="dxa"/>
            <w:vAlign w:val="bottom"/>
          </w:tcPr>
          <w:p>
            <w:pPr>
              <w:spacing w:after="0"/>
              <w:rPr>
                <w:sz w:val="17"/>
                <w:szCs w:val="17"/>
                <w:color w:val="auto"/>
              </w:rPr>
            </w:pPr>
          </w:p>
        </w:tc>
      </w:tr>
      <w:tr>
        <w:trPr>
          <w:trHeight w:val="206"/>
        </w:trPr>
        <w:tc>
          <w:tcPr>
            <w:tcW w:w="30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640" w:type="dxa"/>
            <w:vAlign w:val="bottom"/>
          </w:tcPr>
          <w:p>
            <w:pPr>
              <w:spacing w:after="0"/>
              <w:rPr>
                <w:sz w:val="17"/>
                <w:szCs w:val="17"/>
                <w:color w:val="auto"/>
              </w:rPr>
            </w:pPr>
          </w:p>
        </w:tc>
        <w:tc>
          <w:tcPr>
            <w:tcW w:w="1380" w:type="dxa"/>
            <w:vAlign w:val="bottom"/>
            <w:gridSpan w:val="2"/>
          </w:tcPr>
          <w:p>
            <w:pPr>
              <w:ind w:left="160"/>
              <w:spacing w:after="0"/>
              <w:rPr>
                <w:sz w:val="20"/>
                <w:szCs w:val="20"/>
                <w:color w:val="auto"/>
              </w:rPr>
            </w:pPr>
            <w:r>
              <w:rPr>
                <w:rFonts w:ascii="Arial" w:cs="Arial" w:eastAsia="Arial" w:hAnsi="Arial"/>
                <w:sz w:val="16"/>
                <w:szCs w:val="16"/>
                <w:color w:val="auto"/>
              </w:rPr>
              <w:t>building</w:t>
            </w:r>
          </w:p>
        </w:tc>
        <w:tc>
          <w:tcPr>
            <w:tcW w:w="140" w:type="dxa"/>
            <w:vAlign w:val="bottom"/>
          </w:tcPr>
          <w:p>
            <w:pPr>
              <w:spacing w:after="0"/>
              <w:rPr>
                <w:sz w:val="17"/>
                <w:szCs w:val="17"/>
                <w:color w:val="auto"/>
              </w:rPr>
            </w:pPr>
          </w:p>
        </w:tc>
        <w:tc>
          <w:tcPr>
            <w:tcW w:w="920" w:type="dxa"/>
            <w:vAlign w:val="bottom"/>
          </w:tcPr>
          <w:p>
            <w:pPr>
              <w:spacing w:after="0"/>
              <w:rPr>
                <w:sz w:val="17"/>
                <w:szCs w:val="17"/>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72390</wp:posOffset>
            </wp:positionV>
            <wp:extent cx="1311910" cy="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1311910" cy="8890"/>
                    </a:xfrm>
                    <a:prstGeom prst="rect">
                      <a:avLst/>
                    </a:prstGeom>
                    <a:noFill/>
                  </pic:spPr>
                </pic:pic>
              </a:graphicData>
            </a:graphic>
          </wp:anchor>
        </w:drawing>
      </w:r>
    </w:p>
    <w:p>
      <w:pPr>
        <w:spacing w:after="0" w:line="206" w:lineRule="exact"/>
        <w:rPr>
          <w:sz w:val="20"/>
          <w:szCs w:val="20"/>
          <w:color w:val="auto"/>
        </w:rPr>
      </w:pPr>
    </w:p>
    <w:p>
      <w:pPr>
        <w:ind w:left="700" w:hanging="318"/>
        <w:spacing w:after="0"/>
        <w:tabs>
          <w:tab w:leader="none" w:pos="700" w:val="left"/>
        </w:tabs>
        <w:numPr>
          <w:ilvl w:val="0"/>
          <w:numId w:val="16"/>
        </w:numPr>
        <w:rPr>
          <w:rFonts w:ascii="Arial" w:cs="Arial" w:eastAsia="Arial" w:hAnsi="Arial"/>
          <w:sz w:val="16"/>
          <w:szCs w:val="16"/>
          <w:color w:val="auto"/>
        </w:rPr>
      </w:pPr>
      <w:r>
        <w:rPr>
          <w:rFonts w:ascii="Arial" w:cs="Arial" w:eastAsia="Arial" w:hAnsi="Arial"/>
          <w:sz w:val="16"/>
          <w:szCs w:val="16"/>
          <w:color w:val="auto"/>
        </w:rPr>
        <w:t>Facility size represents square footage of the building, unless otherwise noted.</w:t>
      </w:r>
    </w:p>
    <w:p>
      <w:pPr>
        <w:spacing w:after="0" w:line="230" w:lineRule="exact"/>
        <w:rPr>
          <w:sz w:val="20"/>
          <w:szCs w:val="20"/>
          <w:color w:val="auto"/>
        </w:rPr>
      </w:pPr>
    </w:p>
    <w:p>
      <w:pPr>
        <w:ind w:left="380" w:right="839" w:firstLine="648"/>
        <w:spacing w:after="0" w:line="259" w:lineRule="auto"/>
        <w:rPr>
          <w:sz w:val="20"/>
          <w:szCs w:val="20"/>
          <w:color w:val="auto"/>
        </w:rPr>
      </w:pPr>
      <w:r>
        <w:rPr>
          <w:rFonts w:ascii="Arial" w:cs="Arial" w:eastAsia="Arial" w:hAnsi="Arial"/>
          <w:sz w:val="18"/>
          <w:szCs w:val="18"/>
          <w:color w:val="auto"/>
        </w:rPr>
        <w:t>We have additional sales offices and facilities in Hawaii, New Zealand, Malaysia, Singapore, Hong Kong, Taiwan, Japan, Korea, Thailand, Sweden, France, Germany and Switzerland. In the opinion of the Company’s management, the Company’s properties are adequate and suitable for its business as presently conducted and are adequately maintained.</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47" w:name="page48"/>
    <w:bookmarkEnd w:id="47"/>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ind w:left="380"/>
        <w:spacing w:after="0"/>
        <w:tabs>
          <w:tab w:leader="none" w:pos="156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8"/>
          <w:szCs w:val="18"/>
          <w:b w:val="1"/>
          <w:bCs w:val="1"/>
          <w:color w:val="auto"/>
        </w:rPr>
        <w:t>LEGAL PROCEEDINGS</w:t>
      </w:r>
    </w:p>
    <w:p>
      <w:pPr>
        <w:spacing w:after="0" w:line="229" w:lineRule="exact"/>
        <w:rPr>
          <w:sz w:val="20"/>
          <w:szCs w:val="20"/>
          <w:color w:val="auto"/>
        </w:rPr>
      </w:pPr>
    </w:p>
    <w:p>
      <w:pPr>
        <w:jc w:val="both"/>
        <w:ind w:left="380" w:right="519" w:firstLine="648"/>
        <w:spacing w:after="0" w:line="264" w:lineRule="auto"/>
        <w:rPr>
          <w:sz w:val="20"/>
          <w:szCs w:val="20"/>
          <w:color w:val="auto"/>
        </w:rPr>
      </w:pPr>
      <w:r>
        <w:rPr>
          <w:rFonts w:ascii="Arial" w:cs="Arial" w:eastAsia="Arial" w:hAnsi="Arial"/>
          <w:sz w:val="18"/>
          <w:szCs w:val="18"/>
          <w:color w:val="auto"/>
        </w:rPr>
        <w:t>We are defendants in lawsuits associated with the normal conduct of our businesses and operations. It is not possible to predict the outcome of the pending actions, and, as with any litigation, it is possible that some of these actions could be decided unfavorably.</w:t>
      </w:r>
    </w:p>
    <w:p>
      <w:pPr>
        <w:spacing w:after="0" w:line="177" w:lineRule="exact"/>
        <w:rPr>
          <w:sz w:val="20"/>
          <w:szCs w:val="20"/>
          <w:color w:val="auto"/>
        </w:rPr>
      </w:pPr>
    </w:p>
    <w:p>
      <w:pPr>
        <w:ind w:left="380"/>
        <w:spacing w:after="0"/>
        <w:tabs>
          <w:tab w:leader="none" w:pos="152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7"/>
          <w:szCs w:val="17"/>
          <w:b w:val="1"/>
          <w:bCs w:val="1"/>
          <w:color w:val="auto"/>
        </w:rPr>
        <w:t>MINE SAFETY DISCLOSURES</w:t>
      </w:r>
    </w:p>
    <w:p>
      <w:pPr>
        <w:spacing w:after="0" w:line="229" w:lineRule="exact"/>
        <w:rPr>
          <w:sz w:val="20"/>
          <w:szCs w:val="20"/>
          <w:color w:val="auto"/>
        </w:rPr>
      </w:pPr>
    </w:p>
    <w:p>
      <w:pPr>
        <w:ind w:left="1040"/>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EXECUTIVE OFFICERS OF THE REGISTRANT</w:t>
      </w:r>
    </w:p>
    <w:p>
      <w:pPr>
        <w:spacing w:after="0" w:line="225" w:lineRule="exact"/>
        <w:rPr>
          <w:sz w:val="20"/>
          <w:szCs w:val="20"/>
          <w:color w:val="auto"/>
        </w:rPr>
      </w:pPr>
    </w:p>
    <w:p>
      <w:pPr>
        <w:ind w:left="380"/>
        <w:spacing w:after="0"/>
        <w:rPr>
          <w:sz w:val="20"/>
          <w:szCs w:val="20"/>
          <w:color w:val="auto"/>
        </w:rPr>
      </w:pPr>
      <w:r>
        <w:rPr>
          <w:rFonts w:ascii="Arial" w:cs="Arial" w:eastAsia="Arial" w:hAnsi="Arial"/>
          <w:sz w:val="18"/>
          <w:szCs w:val="18"/>
          <w:b w:val="1"/>
          <w:bCs w:val="1"/>
          <w:color w:val="auto"/>
        </w:rPr>
        <w:t>Executive Officers</w:t>
      </w:r>
    </w:p>
    <w:p>
      <w:pPr>
        <w:spacing w:after="0" w:line="229"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Set forth below is information concerning the Company’s executive officers as of March 7, 2018.</w:t>
      </w:r>
    </w:p>
    <w:p>
      <w:pPr>
        <w:spacing w:after="0" w:line="230" w:lineRule="exact"/>
        <w:rPr>
          <w:sz w:val="20"/>
          <w:szCs w:val="20"/>
          <w:color w:val="auto"/>
        </w:rPr>
      </w:pPr>
    </w:p>
    <w:tbl>
      <w:tblPr>
        <w:tblLayout w:type="fixed"/>
        <w:tblInd w:w="380" w:type="dxa"/>
        <w:tblCellMar>
          <w:top w:w="0" w:type="dxa"/>
          <w:left w:w="0" w:type="dxa"/>
          <w:bottom w:w="0" w:type="dxa"/>
          <w:right w:w="0" w:type="dxa"/>
        </w:tblCellMar>
      </w:tblPr>
      <w:tr>
        <w:trPr>
          <w:trHeight w:val="171"/>
        </w:trPr>
        <w:tc>
          <w:tcPr>
            <w:tcW w:w="1980" w:type="dxa"/>
            <w:vAlign w:val="bottom"/>
            <w:gridSpan w:val="2"/>
          </w:tcPr>
          <w:p>
            <w:pPr>
              <w:spacing w:after="0"/>
              <w:rPr>
                <w:sz w:val="20"/>
                <w:szCs w:val="20"/>
                <w:color w:val="auto"/>
              </w:rPr>
            </w:pPr>
            <w:r>
              <w:rPr>
                <w:rFonts w:ascii="Arial" w:cs="Arial" w:eastAsia="Arial" w:hAnsi="Arial"/>
                <w:sz w:val="14"/>
                <w:szCs w:val="14"/>
                <w:b w:val="1"/>
                <w:bCs w:val="1"/>
                <w:color w:val="auto"/>
              </w:rPr>
              <w:t>Name</w:t>
            </w:r>
          </w:p>
        </w:tc>
        <w:tc>
          <w:tcPr>
            <w:tcW w:w="340" w:type="dxa"/>
            <w:vAlign w:val="bottom"/>
          </w:tcPr>
          <w:p>
            <w:pPr>
              <w:jc w:val="right"/>
              <w:spacing w:after="0"/>
              <w:rPr>
                <w:sz w:val="20"/>
                <w:szCs w:val="20"/>
                <w:color w:val="auto"/>
              </w:rPr>
            </w:pPr>
            <w:r>
              <w:rPr>
                <w:rFonts w:ascii="Arial" w:cs="Arial" w:eastAsia="Arial" w:hAnsi="Arial"/>
                <w:sz w:val="14"/>
                <w:szCs w:val="14"/>
                <w:b w:val="1"/>
                <w:bCs w:val="1"/>
                <w:color w:val="auto"/>
                <w:w w:val="98"/>
              </w:rPr>
              <w:t>Age</w:t>
            </w:r>
          </w:p>
        </w:tc>
        <w:tc>
          <w:tcPr>
            <w:tcW w:w="5940" w:type="dxa"/>
            <w:vAlign w:val="bottom"/>
            <w:gridSpan w:val="2"/>
          </w:tcPr>
          <w:p>
            <w:pPr>
              <w:ind w:left="160"/>
              <w:spacing w:after="0"/>
              <w:rPr>
                <w:sz w:val="20"/>
                <w:szCs w:val="20"/>
                <w:color w:val="auto"/>
              </w:rPr>
            </w:pPr>
            <w:r>
              <w:rPr>
                <w:rFonts w:ascii="Arial" w:cs="Arial" w:eastAsia="Arial" w:hAnsi="Arial"/>
                <w:sz w:val="14"/>
                <w:szCs w:val="14"/>
                <w:b w:val="1"/>
                <w:bCs w:val="1"/>
                <w:color w:val="auto"/>
              </w:rPr>
              <w:t>Position</w:t>
            </w:r>
          </w:p>
        </w:tc>
      </w:tr>
      <w:tr>
        <w:trPr>
          <w:trHeight w:val="210"/>
        </w:trPr>
        <w:tc>
          <w:tcPr>
            <w:tcW w:w="18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David Maher</w:t>
            </w:r>
          </w:p>
        </w:tc>
        <w:tc>
          <w:tcPr>
            <w:tcW w:w="160" w:type="dxa"/>
            <w:vAlign w:val="bottom"/>
            <w:tcBorders>
              <w:top w:val="single" w:sz="8" w:color="CCEEFF"/>
            </w:tcBorders>
            <w:shd w:val="clear" w:color="auto" w:fill="CCEEFF"/>
          </w:tcPr>
          <w:p>
            <w:pPr>
              <w:spacing w:after="0"/>
              <w:rPr>
                <w:sz w:val="18"/>
                <w:szCs w:val="18"/>
                <w:color w:val="auto"/>
              </w:rPr>
            </w:pPr>
          </w:p>
        </w:tc>
        <w:tc>
          <w:tcPr>
            <w:tcW w:w="3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50</w:t>
            </w:r>
          </w:p>
        </w:tc>
        <w:tc>
          <w:tcPr>
            <w:tcW w:w="160" w:type="dxa"/>
            <w:vAlign w:val="bottom"/>
            <w:tcBorders>
              <w:top w:val="single" w:sz="8" w:color="CCEEFF"/>
            </w:tcBorders>
            <w:shd w:val="clear" w:color="auto" w:fill="CCEEFF"/>
          </w:tcPr>
          <w:p>
            <w:pPr>
              <w:spacing w:after="0"/>
              <w:rPr>
                <w:sz w:val="18"/>
                <w:szCs w:val="18"/>
                <w:color w:val="auto"/>
              </w:rPr>
            </w:pPr>
          </w:p>
        </w:tc>
        <w:tc>
          <w:tcPr>
            <w:tcW w:w="57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President and Chief Executive Officer</w:t>
            </w:r>
          </w:p>
        </w:tc>
      </w:tr>
      <w:tr>
        <w:trPr>
          <w:trHeight w:val="216"/>
        </w:trPr>
        <w:tc>
          <w:tcPr>
            <w:tcW w:w="1980" w:type="dxa"/>
            <w:vAlign w:val="bottom"/>
            <w:gridSpan w:val="2"/>
          </w:tcPr>
          <w:p>
            <w:pPr>
              <w:spacing w:after="0"/>
              <w:rPr>
                <w:sz w:val="20"/>
                <w:szCs w:val="20"/>
                <w:color w:val="auto"/>
              </w:rPr>
            </w:pPr>
            <w:r>
              <w:rPr>
                <w:rFonts w:ascii="Arial" w:cs="Arial" w:eastAsia="Arial" w:hAnsi="Arial"/>
                <w:sz w:val="18"/>
                <w:szCs w:val="18"/>
                <w:color w:val="auto"/>
              </w:rPr>
              <w:t>Mary Lou Bohn</w:t>
            </w:r>
          </w:p>
        </w:tc>
        <w:tc>
          <w:tcPr>
            <w:tcW w:w="340" w:type="dxa"/>
            <w:vAlign w:val="bottom"/>
          </w:tcPr>
          <w:p>
            <w:pPr>
              <w:jc w:val="right"/>
              <w:spacing w:after="0"/>
              <w:rPr>
                <w:sz w:val="20"/>
                <w:szCs w:val="20"/>
                <w:color w:val="auto"/>
              </w:rPr>
            </w:pPr>
            <w:r>
              <w:rPr>
                <w:rFonts w:ascii="Arial" w:cs="Arial" w:eastAsia="Arial" w:hAnsi="Arial"/>
                <w:sz w:val="18"/>
                <w:szCs w:val="18"/>
                <w:color w:val="auto"/>
              </w:rPr>
              <w:t>57</w:t>
            </w:r>
          </w:p>
        </w:tc>
        <w:tc>
          <w:tcPr>
            <w:tcW w:w="5940" w:type="dxa"/>
            <w:vAlign w:val="bottom"/>
            <w:gridSpan w:val="2"/>
          </w:tcPr>
          <w:p>
            <w:pPr>
              <w:ind w:left="160"/>
              <w:spacing w:after="0"/>
              <w:rPr>
                <w:sz w:val="20"/>
                <w:szCs w:val="20"/>
                <w:color w:val="auto"/>
              </w:rPr>
            </w:pPr>
            <w:r>
              <w:rPr>
                <w:rFonts w:ascii="Arial" w:cs="Arial" w:eastAsia="Arial" w:hAnsi="Arial"/>
                <w:sz w:val="18"/>
                <w:szCs w:val="18"/>
                <w:color w:val="auto"/>
              </w:rPr>
              <w:t>President, Titleist Golf Balls</w:t>
            </w:r>
          </w:p>
        </w:tc>
      </w:tr>
      <w:tr>
        <w:trPr>
          <w:trHeight w:val="216"/>
        </w:trPr>
        <w:tc>
          <w:tcPr>
            <w:tcW w:w="19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Steven Pelisek</w:t>
            </w:r>
          </w:p>
        </w:tc>
        <w:tc>
          <w:tcPr>
            <w:tcW w:w="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w:t>
            </w:r>
          </w:p>
        </w:tc>
        <w:tc>
          <w:tcPr>
            <w:tcW w:w="594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President, Titleist Golf Clubs</w:t>
            </w:r>
          </w:p>
        </w:tc>
      </w:tr>
      <w:tr>
        <w:trPr>
          <w:trHeight w:val="216"/>
        </w:trPr>
        <w:tc>
          <w:tcPr>
            <w:tcW w:w="1980" w:type="dxa"/>
            <w:vAlign w:val="bottom"/>
            <w:gridSpan w:val="2"/>
          </w:tcPr>
          <w:p>
            <w:pPr>
              <w:spacing w:after="0"/>
              <w:rPr>
                <w:sz w:val="20"/>
                <w:szCs w:val="20"/>
                <w:color w:val="auto"/>
              </w:rPr>
            </w:pPr>
            <w:r>
              <w:rPr>
                <w:rFonts w:ascii="Arial" w:cs="Arial" w:eastAsia="Arial" w:hAnsi="Arial"/>
                <w:sz w:val="18"/>
                <w:szCs w:val="18"/>
                <w:color w:val="auto"/>
              </w:rPr>
              <w:t>John (Jay) Duke, Jr.</w:t>
            </w:r>
          </w:p>
        </w:tc>
        <w:tc>
          <w:tcPr>
            <w:tcW w:w="340" w:type="dxa"/>
            <w:vAlign w:val="bottom"/>
          </w:tcPr>
          <w:p>
            <w:pPr>
              <w:jc w:val="right"/>
              <w:spacing w:after="0"/>
              <w:rPr>
                <w:sz w:val="20"/>
                <w:szCs w:val="20"/>
                <w:color w:val="auto"/>
              </w:rPr>
            </w:pPr>
            <w:r>
              <w:rPr>
                <w:rFonts w:ascii="Arial" w:cs="Arial" w:eastAsia="Arial" w:hAnsi="Arial"/>
                <w:sz w:val="18"/>
                <w:szCs w:val="18"/>
                <w:color w:val="auto"/>
              </w:rPr>
              <w:t>49</w:t>
            </w:r>
          </w:p>
        </w:tc>
        <w:tc>
          <w:tcPr>
            <w:tcW w:w="5940" w:type="dxa"/>
            <w:vAlign w:val="bottom"/>
            <w:gridSpan w:val="2"/>
          </w:tcPr>
          <w:p>
            <w:pPr>
              <w:ind w:left="160"/>
              <w:spacing w:after="0"/>
              <w:rPr>
                <w:sz w:val="20"/>
                <w:szCs w:val="20"/>
                <w:color w:val="auto"/>
              </w:rPr>
            </w:pPr>
            <w:r>
              <w:rPr>
                <w:rFonts w:ascii="Arial" w:cs="Arial" w:eastAsia="Arial" w:hAnsi="Arial"/>
                <w:sz w:val="18"/>
                <w:szCs w:val="18"/>
                <w:color w:val="auto"/>
              </w:rPr>
              <w:t>President, Titleist Golf Gear</w:t>
            </w:r>
          </w:p>
        </w:tc>
      </w:tr>
      <w:tr>
        <w:trPr>
          <w:trHeight w:val="216"/>
        </w:trPr>
        <w:tc>
          <w:tcPr>
            <w:tcW w:w="19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Christopher Lindner</w:t>
            </w:r>
          </w:p>
        </w:tc>
        <w:tc>
          <w:tcPr>
            <w:tcW w:w="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w:t>
            </w:r>
          </w:p>
        </w:tc>
        <w:tc>
          <w:tcPr>
            <w:tcW w:w="594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President, FootJoy</w:t>
            </w:r>
          </w:p>
        </w:tc>
      </w:tr>
      <w:tr>
        <w:trPr>
          <w:trHeight w:val="216"/>
        </w:trPr>
        <w:tc>
          <w:tcPr>
            <w:tcW w:w="1980" w:type="dxa"/>
            <w:vAlign w:val="bottom"/>
            <w:gridSpan w:val="2"/>
          </w:tcPr>
          <w:p>
            <w:pPr>
              <w:spacing w:after="0"/>
              <w:rPr>
                <w:sz w:val="20"/>
                <w:szCs w:val="20"/>
                <w:color w:val="auto"/>
              </w:rPr>
            </w:pPr>
            <w:r>
              <w:rPr>
                <w:rFonts w:ascii="Arial" w:cs="Arial" w:eastAsia="Arial" w:hAnsi="Arial"/>
                <w:sz w:val="18"/>
                <w:szCs w:val="18"/>
                <w:color w:val="auto"/>
              </w:rPr>
              <w:t>William Burke</w:t>
            </w:r>
          </w:p>
        </w:tc>
        <w:tc>
          <w:tcPr>
            <w:tcW w:w="340" w:type="dxa"/>
            <w:vAlign w:val="bottom"/>
          </w:tcPr>
          <w:p>
            <w:pPr>
              <w:jc w:val="right"/>
              <w:spacing w:after="0"/>
              <w:rPr>
                <w:sz w:val="20"/>
                <w:szCs w:val="20"/>
                <w:color w:val="auto"/>
              </w:rPr>
            </w:pPr>
            <w:r>
              <w:rPr>
                <w:rFonts w:ascii="Arial" w:cs="Arial" w:eastAsia="Arial" w:hAnsi="Arial"/>
                <w:sz w:val="18"/>
                <w:szCs w:val="18"/>
                <w:color w:val="auto"/>
              </w:rPr>
              <w:t>59</w:t>
            </w:r>
          </w:p>
        </w:tc>
        <w:tc>
          <w:tcPr>
            <w:tcW w:w="5940" w:type="dxa"/>
            <w:vAlign w:val="bottom"/>
            <w:gridSpan w:val="2"/>
          </w:tcPr>
          <w:p>
            <w:pPr>
              <w:ind w:left="160"/>
              <w:spacing w:after="0"/>
              <w:rPr>
                <w:sz w:val="20"/>
                <w:szCs w:val="20"/>
                <w:color w:val="auto"/>
              </w:rPr>
            </w:pPr>
            <w:r>
              <w:rPr>
                <w:rFonts w:ascii="Arial" w:cs="Arial" w:eastAsia="Arial" w:hAnsi="Arial"/>
                <w:sz w:val="18"/>
                <w:szCs w:val="18"/>
                <w:color w:val="auto"/>
              </w:rPr>
              <w:t>Executive Vice President, Chief Financial Officer and Treasurer</w:t>
            </w:r>
          </w:p>
        </w:tc>
      </w:tr>
      <w:tr>
        <w:trPr>
          <w:trHeight w:val="216"/>
        </w:trPr>
        <w:tc>
          <w:tcPr>
            <w:tcW w:w="19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Dennis Doherty</w:t>
            </w:r>
          </w:p>
        </w:tc>
        <w:tc>
          <w:tcPr>
            <w:tcW w:w="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w:t>
            </w:r>
          </w:p>
        </w:tc>
        <w:tc>
          <w:tcPr>
            <w:tcW w:w="594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Executive Vice President, Chief Human Resources Officer</w:t>
            </w:r>
          </w:p>
        </w:tc>
      </w:tr>
      <w:tr>
        <w:trPr>
          <w:trHeight w:val="216"/>
        </w:trPr>
        <w:tc>
          <w:tcPr>
            <w:tcW w:w="1980" w:type="dxa"/>
            <w:vAlign w:val="bottom"/>
            <w:gridSpan w:val="2"/>
          </w:tcPr>
          <w:p>
            <w:pPr>
              <w:spacing w:after="0"/>
              <w:rPr>
                <w:sz w:val="20"/>
                <w:szCs w:val="20"/>
                <w:color w:val="auto"/>
              </w:rPr>
            </w:pPr>
            <w:r>
              <w:rPr>
                <w:rFonts w:ascii="Arial" w:cs="Arial" w:eastAsia="Arial" w:hAnsi="Arial"/>
                <w:sz w:val="18"/>
                <w:szCs w:val="18"/>
                <w:color w:val="auto"/>
              </w:rPr>
              <w:t>Brendan Gibbons</w:t>
            </w:r>
          </w:p>
        </w:tc>
        <w:tc>
          <w:tcPr>
            <w:tcW w:w="340" w:type="dxa"/>
            <w:vAlign w:val="bottom"/>
          </w:tcPr>
          <w:p>
            <w:pPr>
              <w:jc w:val="right"/>
              <w:spacing w:after="0"/>
              <w:rPr>
                <w:sz w:val="20"/>
                <w:szCs w:val="20"/>
                <w:color w:val="auto"/>
              </w:rPr>
            </w:pPr>
            <w:r>
              <w:rPr>
                <w:rFonts w:ascii="Arial" w:cs="Arial" w:eastAsia="Arial" w:hAnsi="Arial"/>
                <w:sz w:val="18"/>
                <w:szCs w:val="18"/>
                <w:color w:val="auto"/>
              </w:rPr>
              <w:t>42</w:t>
            </w:r>
          </w:p>
        </w:tc>
        <w:tc>
          <w:tcPr>
            <w:tcW w:w="5940" w:type="dxa"/>
            <w:vAlign w:val="bottom"/>
            <w:gridSpan w:val="2"/>
          </w:tcPr>
          <w:p>
            <w:pPr>
              <w:ind w:left="160"/>
              <w:spacing w:after="0"/>
              <w:rPr>
                <w:sz w:val="20"/>
                <w:szCs w:val="20"/>
                <w:color w:val="auto"/>
              </w:rPr>
            </w:pPr>
            <w:r>
              <w:rPr>
                <w:rFonts w:ascii="Arial" w:cs="Arial" w:eastAsia="Arial" w:hAnsi="Arial"/>
                <w:sz w:val="18"/>
                <w:szCs w:val="18"/>
                <w:color w:val="auto"/>
              </w:rPr>
              <w:t>Executive Vice President, Chief Legal Officer and Corporate Secretary</w:t>
            </w:r>
          </w:p>
        </w:tc>
      </w:tr>
      <w:tr>
        <w:trPr>
          <w:trHeight w:val="216"/>
        </w:trPr>
        <w:tc>
          <w:tcPr>
            <w:tcW w:w="19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Thomas Pacheco</w:t>
            </w:r>
          </w:p>
        </w:tc>
        <w:tc>
          <w:tcPr>
            <w:tcW w:w="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w:t>
            </w:r>
          </w:p>
        </w:tc>
        <w:tc>
          <w:tcPr>
            <w:tcW w:w="594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Senior Vice President, Finance and Chief Accounting Officer</w:t>
            </w:r>
          </w:p>
        </w:tc>
      </w:tr>
    </w:tbl>
    <w:p>
      <w:pPr>
        <w:spacing w:after="0" w:line="184" w:lineRule="exact"/>
        <w:rPr>
          <w:sz w:val="20"/>
          <w:szCs w:val="20"/>
          <w:color w:val="auto"/>
        </w:rPr>
      </w:pPr>
    </w:p>
    <w:p>
      <w:pPr>
        <w:ind w:left="380" w:right="459" w:firstLine="648"/>
        <w:spacing w:after="0" w:line="281" w:lineRule="auto"/>
        <w:rPr>
          <w:sz w:val="20"/>
          <w:szCs w:val="20"/>
          <w:color w:val="auto"/>
        </w:rPr>
      </w:pPr>
      <w:r>
        <w:rPr>
          <w:rFonts w:ascii="Arial" w:cs="Arial" w:eastAsia="Arial" w:hAnsi="Arial"/>
          <w:sz w:val="17"/>
          <w:szCs w:val="17"/>
          <w:b w:val="1"/>
          <w:bCs w:val="1"/>
          <w:i w:val="1"/>
          <w:iCs w:val="1"/>
          <w:color w:val="auto"/>
        </w:rPr>
        <w:t>David Maher</w:t>
      </w:r>
      <w:r>
        <w:rPr>
          <w:rFonts w:ascii="Arial" w:cs="Arial" w:eastAsia="Arial" w:hAnsi="Arial"/>
          <w:sz w:val="17"/>
          <w:szCs w:val="17"/>
          <w:b w:val="1"/>
          <w:bCs w:val="1"/>
          <w:color w:val="auto"/>
        </w:rPr>
        <w:t>,</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50, joined the company in 1991 and was appointed President and Chief Executive Officer</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of Acushnet Company in 2018. Prior to that, Mr. Maher was Chief Operating Officer from June 2016 to December 2017, Senior Vice President, Titleist Worldwide Sales and Global Operations from February 2016 to June 2016 and Vice President, Titleist U.S. Sales from 2001 to January 2016.</w:t>
      </w:r>
    </w:p>
    <w:p>
      <w:pPr>
        <w:spacing w:after="0" w:line="169" w:lineRule="exact"/>
        <w:rPr>
          <w:sz w:val="20"/>
          <w:szCs w:val="20"/>
          <w:color w:val="auto"/>
        </w:rPr>
      </w:pPr>
    </w:p>
    <w:p>
      <w:pPr>
        <w:ind w:left="380" w:right="419" w:firstLine="648"/>
        <w:spacing w:after="0" w:line="302" w:lineRule="auto"/>
        <w:rPr>
          <w:sz w:val="20"/>
          <w:szCs w:val="20"/>
          <w:color w:val="auto"/>
        </w:rPr>
      </w:pPr>
      <w:r>
        <w:rPr>
          <w:rFonts w:ascii="Arial" w:cs="Arial" w:eastAsia="Arial" w:hAnsi="Arial"/>
          <w:sz w:val="16"/>
          <w:szCs w:val="16"/>
          <w:b w:val="1"/>
          <w:bCs w:val="1"/>
          <w:i w:val="1"/>
          <w:iCs w:val="1"/>
          <w:color w:val="auto"/>
        </w:rPr>
        <w:t xml:space="preserve">Mary Lou Bohn, </w:t>
      </w:r>
      <w:r>
        <w:rPr>
          <w:rFonts w:ascii="Arial" w:cs="Arial" w:eastAsia="Arial" w:hAnsi="Arial"/>
          <w:sz w:val="16"/>
          <w:szCs w:val="16"/>
          <w:color w:val="auto"/>
        </w:rPr>
        <w:t>57, joined the company in 1987 and was appointed President, Titleist Golf Balls in</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June 2016. Prior to that, Ms. Bohn was Executive Vice President, Titleist Golf Balls and Titleist Communications from February 2016 to June 2016, Vice President, Golf Ball Marketing and Titleist Communications from 2010 to January 2016 and Vice President, Advertising and Communications from 2000 to 2010.</w:t>
      </w:r>
    </w:p>
    <w:p>
      <w:pPr>
        <w:spacing w:after="0" w:line="154" w:lineRule="exact"/>
        <w:rPr>
          <w:sz w:val="20"/>
          <w:szCs w:val="20"/>
          <w:color w:val="auto"/>
        </w:rPr>
      </w:pPr>
    </w:p>
    <w:p>
      <w:pPr>
        <w:ind w:left="380" w:right="599" w:firstLine="648"/>
        <w:spacing w:after="0" w:line="264" w:lineRule="auto"/>
        <w:rPr>
          <w:sz w:val="20"/>
          <w:szCs w:val="20"/>
          <w:color w:val="auto"/>
        </w:rPr>
      </w:pPr>
      <w:r>
        <w:rPr>
          <w:rFonts w:ascii="Arial" w:cs="Arial" w:eastAsia="Arial" w:hAnsi="Arial"/>
          <w:sz w:val="18"/>
          <w:szCs w:val="18"/>
          <w:b w:val="1"/>
          <w:bCs w:val="1"/>
          <w:i w:val="1"/>
          <w:iCs w:val="1"/>
          <w:color w:val="auto"/>
        </w:rPr>
        <w:t xml:space="preserve">Steven Pelisek, </w:t>
      </w:r>
      <w:r>
        <w:rPr>
          <w:rFonts w:ascii="Arial" w:cs="Arial" w:eastAsia="Arial" w:hAnsi="Arial"/>
          <w:sz w:val="18"/>
          <w:szCs w:val="18"/>
          <w:color w:val="auto"/>
        </w:rPr>
        <w:t>57, joined the company in 1993 and was appointed President, Titleist Golf Clubs in</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March 2016. From 2008 to March 2016, he was General Manager, Titleist Golf Clubs. Prior to that, Mr. Pelisek served as Vice President, Club Sales for both the Titleist and Cobra Club brands.</w:t>
      </w:r>
    </w:p>
    <w:p>
      <w:pPr>
        <w:spacing w:after="0" w:line="181" w:lineRule="exact"/>
        <w:rPr>
          <w:sz w:val="20"/>
          <w:szCs w:val="20"/>
          <w:color w:val="auto"/>
        </w:rPr>
      </w:pPr>
    </w:p>
    <w:p>
      <w:pPr>
        <w:ind w:left="380" w:right="439" w:firstLine="648"/>
        <w:spacing w:after="0" w:line="272" w:lineRule="auto"/>
        <w:rPr>
          <w:sz w:val="20"/>
          <w:szCs w:val="20"/>
          <w:color w:val="auto"/>
        </w:rPr>
      </w:pPr>
      <w:r>
        <w:rPr>
          <w:rFonts w:ascii="Arial" w:cs="Arial" w:eastAsia="Arial" w:hAnsi="Arial"/>
          <w:sz w:val="17"/>
          <w:szCs w:val="17"/>
          <w:b w:val="1"/>
          <w:bCs w:val="1"/>
          <w:i w:val="1"/>
          <w:iCs w:val="1"/>
          <w:color w:val="auto"/>
        </w:rPr>
        <w:t xml:space="preserve">John (Jay) Duke, Jr., </w:t>
      </w:r>
      <w:r>
        <w:rPr>
          <w:rFonts w:ascii="Arial" w:cs="Arial" w:eastAsia="Arial" w:hAnsi="Arial"/>
          <w:sz w:val="17"/>
          <w:szCs w:val="17"/>
          <w:color w:val="auto"/>
        </w:rPr>
        <w:t>49, joined the company in 2014 and was appointed President, Titleist Golf Gear in</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2014. Prior to that, Mr. Duke worked at Hasbro, Inc., a multinational toy and board game company, from 2012 to 2014 where he was Vice President and Global Franchise Leader for Transformers Global Brand. Prior to Hasbro, Mr. Duke was President of Karhu Holdings BV from 2008 to 2012 and prior to that he held senior general management and strategy positions with Karhu Holdings BV and Converse Inc. (a subsidiary of NIKE, Inc.). Mr. Duke also spent time earlier in his career working for Morgan Stanley’s Investment Banking Division and in general management positions with Reebok International Ltd.</w:t>
      </w:r>
    </w:p>
    <w:p>
      <w:pPr>
        <w:spacing w:after="0" w:line="178" w:lineRule="exact"/>
        <w:rPr>
          <w:sz w:val="20"/>
          <w:szCs w:val="20"/>
          <w:color w:val="auto"/>
        </w:rPr>
      </w:pPr>
    </w:p>
    <w:p>
      <w:pPr>
        <w:ind w:left="380" w:right="459" w:firstLine="648"/>
        <w:spacing w:after="0" w:line="254" w:lineRule="auto"/>
        <w:rPr>
          <w:sz w:val="20"/>
          <w:szCs w:val="20"/>
          <w:color w:val="auto"/>
        </w:rPr>
      </w:pPr>
      <w:r>
        <w:rPr>
          <w:rFonts w:ascii="Arial" w:cs="Arial" w:eastAsia="Arial" w:hAnsi="Arial"/>
          <w:sz w:val="18"/>
          <w:szCs w:val="18"/>
          <w:b w:val="1"/>
          <w:bCs w:val="1"/>
          <w:i w:val="1"/>
          <w:iCs w:val="1"/>
          <w:color w:val="auto"/>
        </w:rPr>
        <w:t xml:space="preserve">Christopher Lindner, </w:t>
      </w:r>
      <w:r>
        <w:rPr>
          <w:rFonts w:ascii="Arial" w:cs="Arial" w:eastAsia="Arial" w:hAnsi="Arial"/>
          <w:sz w:val="18"/>
          <w:szCs w:val="18"/>
          <w:color w:val="auto"/>
        </w:rPr>
        <w:t>49, joined the company in August 2016 as President, FootJoy. Prior to that,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Mr. Lindner worked at Wolverine World Wide Inc., an American footwear manufacturer, from 2010 to August 2016 where he was President of Keds from 2014 to August 2016, Chief Marketing Officer and Senior Vice President of Business Development for Sperry in 2014 and Chief Marketing Officer and Senior Vice President of North America Sales for Saucony from 2010 to 2014. Prior to 2010, Mr. Lindner held various positions with NIKE, including as Vice President of Global Marketing for Converse and Vice President of Global Marketing for Bauer Hockey (both NIKE subsidiaries), and leadership roles with 800.com, Electronic Arts and Rollerblade.</w:t>
      </w:r>
    </w:p>
    <w:p>
      <w:pPr>
        <w:spacing w:after="0" w:line="19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48" w:name="page49"/>
    <w:bookmarkEnd w:id="48"/>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380" w:right="379" w:firstLine="648"/>
        <w:spacing w:after="0" w:line="257" w:lineRule="auto"/>
        <w:rPr>
          <w:sz w:val="20"/>
          <w:szCs w:val="20"/>
          <w:color w:val="auto"/>
        </w:rPr>
      </w:pPr>
      <w:r>
        <w:rPr>
          <w:rFonts w:ascii="Arial" w:cs="Arial" w:eastAsia="Arial" w:hAnsi="Arial"/>
          <w:sz w:val="18"/>
          <w:szCs w:val="18"/>
          <w:b w:val="1"/>
          <w:bCs w:val="1"/>
          <w:i w:val="1"/>
          <w:iCs w:val="1"/>
          <w:color w:val="auto"/>
        </w:rPr>
        <w:t xml:space="preserve">William Burke, </w:t>
      </w:r>
      <w:r>
        <w:rPr>
          <w:rFonts w:ascii="Arial" w:cs="Arial" w:eastAsia="Arial" w:hAnsi="Arial"/>
          <w:sz w:val="18"/>
          <w:szCs w:val="18"/>
          <w:color w:val="auto"/>
        </w:rPr>
        <w:t>59, joined the company in 1997 and was appointed Executive Vice President, Chief</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Financial Officer and Treasurer in April 2016 after serving as Senior Vice President and Chief Financial Officer of Acushnet Company since 2003. Prior to that, he served as Vice President and Controller of Acushnet Company. Before joining the company, Mr. Burke held various finance positions at predecessor parent companies Fortune Brands Inc. and American Brands Inc.</w:t>
      </w:r>
    </w:p>
    <w:p>
      <w:pPr>
        <w:spacing w:after="0" w:line="188" w:lineRule="exact"/>
        <w:rPr>
          <w:sz w:val="20"/>
          <w:szCs w:val="20"/>
          <w:color w:val="auto"/>
        </w:rPr>
      </w:pPr>
    </w:p>
    <w:p>
      <w:pPr>
        <w:jc w:val="both"/>
        <w:ind w:left="380" w:right="719" w:firstLine="648"/>
        <w:spacing w:after="0" w:line="259" w:lineRule="auto"/>
        <w:rPr>
          <w:sz w:val="20"/>
          <w:szCs w:val="20"/>
          <w:color w:val="auto"/>
        </w:rPr>
      </w:pPr>
      <w:r>
        <w:rPr>
          <w:rFonts w:ascii="Arial" w:cs="Arial" w:eastAsia="Arial" w:hAnsi="Arial"/>
          <w:sz w:val="18"/>
          <w:szCs w:val="18"/>
          <w:b w:val="1"/>
          <w:bCs w:val="1"/>
          <w:i w:val="1"/>
          <w:iCs w:val="1"/>
          <w:color w:val="auto"/>
        </w:rPr>
        <w:t xml:space="preserve">Dennis Doherty, </w:t>
      </w:r>
      <w:r>
        <w:rPr>
          <w:rFonts w:ascii="Arial" w:cs="Arial" w:eastAsia="Arial" w:hAnsi="Arial"/>
          <w:sz w:val="18"/>
          <w:szCs w:val="18"/>
          <w:color w:val="auto"/>
        </w:rPr>
        <w:t>60, joined the company in 1994 and was appointed Executive Vice President, Chief</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Human Resources Officer in June 2016 after serving as Senior Vice President, Human Resources since 2000. Before joining Acushnet Company, Mr. Doherty held human resource positions at American Brands Inc. and Revlon Health Care Group.</w:t>
      </w:r>
    </w:p>
    <w:p>
      <w:pPr>
        <w:spacing w:after="0" w:line="187" w:lineRule="exact"/>
        <w:rPr>
          <w:sz w:val="20"/>
          <w:szCs w:val="20"/>
          <w:color w:val="auto"/>
        </w:rPr>
      </w:pPr>
    </w:p>
    <w:p>
      <w:pPr>
        <w:ind w:left="380" w:right="399" w:firstLine="648"/>
        <w:spacing w:after="0" w:line="279" w:lineRule="auto"/>
        <w:rPr>
          <w:sz w:val="20"/>
          <w:szCs w:val="20"/>
          <w:color w:val="auto"/>
        </w:rPr>
      </w:pPr>
      <w:r>
        <w:rPr>
          <w:rFonts w:ascii="Arial" w:cs="Arial" w:eastAsia="Arial" w:hAnsi="Arial"/>
          <w:sz w:val="17"/>
          <w:szCs w:val="17"/>
          <w:b w:val="1"/>
          <w:bCs w:val="1"/>
          <w:i w:val="1"/>
          <w:iCs w:val="1"/>
          <w:color w:val="auto"/>
        </w:rPr>
        <w:t xml:space="preserve">Brendan Gibbons, </w:t>
      </w:r>
      <w:r>
        <w:rPr>
          <w:rFonts w:ascii="Arial" w:cs="Arial" w:eastAsia="Arial" w:hAnsi="Arial"/>
          <w:sz w:val="17"/>
          <w:szCs w:val="17"/>
          <w:color w:val="auto"/>
        </w:rPr>
        <w:t>42, joined the company in December 2017 as Executive Vice President, Chief Legal</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Officer and Corporate Secretary. Mr. Gibbons was Senior Vice President, General Counsel and Secretary of Wolverine World Wide, Inc. from April 2014 to November 2017. Prior to that, Mr. Gibbons served as Senior Vice President of Legal and Corporate Affairs, General Counsel and Secretary of Carter’s, Inc.</w:t>
      </w:r>
    </w:p>
    <w:p>
      <w:pPr>
        <w:spacing w:after="0" w:line="171" w:lineRule="exact"/>
        <w:rPr>
          <w:sz w:val="20"/>
          <w:szCs w:val="20"/>
          <w:color w:val="auto"/>
        </w:rPr>
      </w:pPr>
    </w:p>
    <w:p>
      <w:pPr>
        <w:ind w:left="380" w:right="439" w:firstLine="648"/>
        <w:spacing w:after="0" w:line="273" w:lineRule="auto"/>
        <w:rPr>
          <w:sz w:val="20"/>
          <w:szCs w:val="20"/>
          <w:color w:val="auto"/>
        </w:rPr>
      </w:pPr>
      <w:r>
        <w:rPr>
          <w:rFonts w:ascii="Arial" w:cs="Arial" w:eastAsia="Arial" w:hAnsi="Arial"/>
          <w:sz w:val="17"/>
          <w:szCs w:val="17"/>
          <w:b w:val="1"/>
          <w:bCs w:val="1"/>
          <w:i w:val="1"/>
          <w:iCs w:val="1"/>
          <w:color w:val="auto"/>
        </w:rPr>
        <w:t xml:space="preserve">Thomas Pacheco, </w:t>
      </w:r>
      <w:r>
        <w:rPr>
          <w:rFonts w:ascii="Arial" w:cs="Arial" w:eastAsia="Arial" w:hAnsi="Arial"/>
          <w:sz w:val="17"/>
          <w:szCs w:val="17"/>
          <w:color w:val="auto"/>
        </w:rPr>
        <w:t>49, joined the company in April 2017 as Senior Vice President, Finance and Chief</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Accounting Officer. Prior to that, Mr. Pacheco was Senior Vice President, Finance and Chief Audit Executive of Dell Technologies from September 2016 to March 2017. Prior to September 2016, Mr. Pacheco served as Senior Vice President, Finance and Chief Accounting Officer at EMC until it was acquired by Dell Technologies. He joined EMC in 2005 and held several roles in Finance including Assistant Corporate Controller, CFO - Cloud Services Division and Senior Director of Corporate Accounting and Reporting.</w:t>
      </w:r>
    </w:p>
    <w:p>
      <w:pPr>
        <w:spacing w:after="0" w:line="176"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49" w:name="page50"/>
    <w:bookmarkEnd w:id="49"/>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PART II</w:t>
      </w:r>
    </w:p>
    <w:p>
      <w:pPr>
        <w:spacing w:after="0" w:line="225" w:lineRule="exact"/>
        <w:rPr>
          <w:sz w:val="20"/>
          <w:szCs w:val="20"/>
          <w:color w:val="auto"/>
        </w:rPr>
      </w:pPr>
    </w:p>
    <w:p>
      <w:pPr>
        <w:ind w:left="380"/>
        <w:spacing w:after="0"/>
        <w:tabs>
          <w:tab w:leader="none" w:pos="1660" w:val="left"/>
        </w:tabs>
        <w:rPr>
          <w:sz w:val="20"/>
          <w:szCs w:val="20"/>
          <w:color w:val="auto"/>
        </w:rPr>
      </w:pPr>
      <w:r>
        <w:rPr>
          <w:rFonts w:ascii="Arial" w:cs="Arial" w:eastAsia="Arial" w:hAnsi="Arial"/>
          <w:sz w:val="18"/>
          <w:szCs w:val="18"/>
          <w:b w:val="1"/>
          <w:bCs w:val="1"/>
          <w:color w:val="auto"/>
        </w:rPr>
        <w:t>ITEM 5.</w:t>
      </w:r>
      <w:r>
        <w:rPr>
          <w:sz w:val="20"/>
          <w:szCs w:val="20"/>
          <w:color w:val="auto"/>
        </w:rPr>
        <w:tab/>
      </w:r>
      <w:r>
        <w:rPr>
          <w:rFonts w:ascii="Arial" w:cs="Arial" w:eastAsia="Arial" w:hAnsi="Arial"/>
          <w:sz w:val="18"/>
          <w:szCs w:val="18"/>
          <w:b w:val="1"/>
          <w:bCs w:val="1"/>
          <w:color w:val="auto"/>
        </w:rPr>
        <w:t>MARKET FOR REGISTRANT’S COMMON EQUITY, RELATED STOCKHOLDER</w:t>
      </w:r>
    </w:p>
    <w:p>
      <w:pPr>
        <w:spacing w:after="0" w:line="27" w:lineRule="exact"/>
        <w:rPr>
          <w:sz w:val="20"/>
          <w:szCs w:val="20"/>
          <w:color w:val="auto"/>
        </w:rPr>
      </w:pPr>
    </w:p>
    <w:p>
      <w:pPr>
        <w:ind w:left="1680"/>
        <w:spacing w:after="0"/>
        <w:rPr>
          <w:sz w:val="20"/>
          <w:szCs w:val="20"/>
          <w:color w:val="auto"/>
        </w:rPr>
      </w:pPr>
      <w:r>
        <w:rPr>
          <w:rFonts w:ascii="Arial" w:cs="Arial" w:eastAsia="Arial" w:hAnsi="Arial"/>
          <w:sz w:val="18"/>
          <w:szCs w:val="18"/>
          <w:b w:val="1"/>
          <w:bCs w:val="1"/>
          <w:color w:val="auto"/>
        </w:rPr>
        <w:t>MATTERS AND ISSUER PURCHASES OF EQUITY SECURITIES</w:t>
      </w:r>
    </w:p>
    <w:p>
      <w:pPr>
        <w:spacing w:after="0" w:line="207" w:lineRule="exact"/>
        <w:rPr>
          <w:sz w:val="20"/>
          <w:szCs w:val="20"/>
          <w:color w:val="auto"/>
        </w:rPr>
      </w:pPr>
    </w:p>
    <w:p>
      <w:pPr>
        <w:ind w:left="380"/>
        <w:spacing w:after="0"/>
        <w:rPr>
          <w:sz w:val="20"/>
          <w:szCs w:val="20"/>
          <w:color w:val="auto"/>
        </w:rPr>
      </w:pPr>
      <w:r>
        <w:rPr>
          <w:rFonts w:ascii="Arial" w:cs="Arial" w:eastAsia="Arial" w:hAnsi="Arial"/>
          <w:sz w:val="18"/>
          <w:szCs w:val="18"/>
          <w:b w:val="1"/>
          <w:bCs w:val="1"/>
          <w:color w:val="auto"/>
        </w:rPr>
        <w:t>Market Information</w:t>
      </w:r>
    </w:p>
    <w:p>
      <w:pPr>
        <w:spacing w:after="0" w:line="229" w:lineRule="exact"/>
        <w:rPr>
          <w:sz w:val="20"/>
          <w:szCs w:val="20"/>
          <w:color w:val="auto"/>
        </w:rPr>
      </w:pPr>
    </w:p>
    <w:p>
      <w:pPr>
        <w:ind w:left="380" w:right="399" w:firstLine="648"/>
        <w:spacing w:after="0" w:line="264" w:lineRule="auto"/>
        <w:rPr>
          <w:sz w:val="20"/>
          <w:szCs w:val="20"/>
          <w:color w:val="auto"/>
        </w:rPr>
      </w:pPr>
      <w:r>
        <w:rPr>
          <w:rFonts w:ascii="Arial" w:cs="Arial" w:eastAsia="Arial" w:hAnsi="Arial"/>
          <w:sz w:val="18"/>
          <w:szCs w:val="18"/>
          <w:color w:val="auto"/>
        </w:rPr>
        <w:t>Our common stock has been listed on the New York Stock Exchange (the “NYSE”) under the symbol “GOLF” since October 28, 2016. Prior to that date, there was no public trading market for our common stock. Our initial public offering was priced at $17.00 per share on October 27, 2016.</w:t>
      </w:r>
    </w:p>
    <w:p>
      <w:pPr>
        <w:spacing w:after="0" w:line="181" w:lineRule="exact"/>
        <w:rPr>
          <w:sz w:val="20"/>
          <w:szCs w:val="20"/>
          <w:color w:val="auto"/>
        </w:rPr>
      </w:pPr>
    </w:p>
    <w:p>
      <w:pPr>
        <w:ind w:left="380" w:right="779" w:firstLine="648"/>
        <w:spacing w:after="0" w:line="277" w:lineRule="auto"/>
        <w:rPr>
          <w:sz w:val="20"/>
          <w:szCs w:val="20"/>
          <w:color w:val="auto"/>
        </w:rPr>
      </w:pPr>
      <w:r>
        <w:rPr>
          <w:rFonts w:ascii="Arial" w:cs="Arial" w:eastAsia="Arial" w:hAnsi="Arial"/>
          <w:sz w:val="18"/>
          <w:szCs w:val="18"/>
          <w:color w:val="auto"/>
        </w:rPr>
        <w:t>The following table sets forth for the periods indicated the high and low sales prices of our common stock as reported on the NYSE:</w:t>
      </w:r>
    </w:p>
    <w:p>
      <w:pPr>
        <w:spacing w:after="0" w:line="189" w:lineRule="exact"/>
        <w:rPr>
          <w:sz w:val="20"/>
          <w:szCs w:val="20"/>
          <w:color w:val="auto"/>
        </w:rPr>
      </w:pPr>
    </w:p>
    <w:tbl>
      <w:tblPr>
        <w:tblLayout w:type="fixed"/>
        <w:tblInd w:w="380" w:type="dxa"/>
        <w:tblCellMar>
          <w:top w:w="0" w:type="dxa"/>
          <w:left w:w="0" w:type="dxa"/>
          <w:bottom w:w="0" w:type="dxa"/>
          <w:right w:w="0" w:type="dxa"/>
        </w:tblCellMar>
      </w:tblPr>
      <w:tr>
        <w:trPr>
          <w:trHeight w:val="171"/>
        </w:trPr>
        <w:tc>
          <w:tcPr>
            <w:tcW w:w="42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280" w:type="dxa"/>
            <w:vAlign w:val="bottom"/>
            <w:tcBorders>
              <w:bottom w:val="single" w:sz="8" w:color="auto"/>
            </w:tcBorders>
            <w:gridSpan w:val="3"/>
          </w:tcPr>
          <w:p>
            <w:pPr>
              <w:jc w:val="right"/>
              <w:ind w:right="248"/>
              <w:spacing w:after="0"/>
              <w:rPr>
                <w:sz w:val="20"/>
                <w:szCs w:val="20"/>
                <w:color w:val="auto"/>
              </w:rPr>
            </w:pPr>
            <w:r>
              <w:rPr>
                <w:rFonts w:ascii="Arial" w:cs="Arial" w:eastAsia="Arial" w:hAnsi="Arial"/>
                <w:sz w:val="14"/>
                <w:szCs w:val="14"/>
                <w:b w:val="1"/>
                <w:bCs w:val="1"/>
                <w:color w:val="auto"/>
              </w:rPr>
              <w:t>Sales Price</w:t>
            </w:r>
          </w:p>
        </w:tc>
      </w:tr>
      <w:tr>
        <w:trPr>
          <w:trHeight w:val="142"/>
        </w:trPr>
        <w:tc>
          <w:tcPr>
            <w:tcW w:w="4220" w:type="dxa"/>
            <w:vAlign w:val="bottom"/>
            <w:tcBorders>
              <w:bottom w:val="single" w:sz="8" w:color="CCEEFF"/>
            </w:tcBorders>
          </w:tcPr>
          <w:p>
            <w:pPr>
              <w:spacing w:after="0"/>
              <w:rPr>
                <w:sz w:val="12"/>
                <w:szCs w:val="12"/>
                <w:color w:val="auto"/>
              </w:rPr>
            </w:pPr>
          </w:p>
        </w:tc>
        <w:tc>
          <w:tcPr>
            <w:tcW w:w="1120" w:type="dxa"/>
            <w:vAlign w:val="bottom"/>
            <w:tcBorders>
              <w:bottom w:val="single" w:sz="8" w:color="CCEEFF"/>
            </w:tcBorders>
          </w:tcPr>
          <w:p>
            <w:pPr>
              <w:spacing w:after="0"/>
              <w:rPr>
                <w:sz w:val="12"/>
                <w:szCs w:val="12"/>
                <w:color w:val="auto"/>
              </w:rPr>
            </w:pPr>
          </w:p>
        </w:tc>
        <w:tc>
          <w:tcPr>
            <w:tcW w:w="560" w:type="dxa"/>
            <w:vAlign w:val="bottom"/>
            <w:tcBorders>
              <w:bottom w:val="single" w:sz="8" w:color="auto"/>
            </w:tcBorders>
          </w:tcPr>
          <w:p>
            <w:pPr>
              <w:jc w:val="right"/>
              <w:ind w:right="68"/>
              <w:spacing w:after="0" w:line="142" w:lineRule="exact"/>
              <w:rPr>
                <w:sz w:val="20"/>
                <w:szCs w:val="20"/>
                <w:color w:val="auto"/>
              </w:rPr>
            </w:pPr>
            <w:r>
              <w:rPr>
                <w:rFonts w:ascii="Arial" w:cs="Arial" w:eastAsia="Arial" w:hAnsi="Arial"/>
                <w:sz w:val="14"/>
                <w:szCs w:val="14"/>
                <w:b w:val="1"/>
                <w:bCs w:val="1"/>
                <w:color w:val="auto"/>
              </w:rPr>
              <w:t>High</w:t>
            </w:r>
          </w:p>
        </w:tc>
        <w:tc>
          <w:tcPr>
            <w:tcW w:w="160" w:type="dxa"/>
            <w:vAlign w:val="bottom"/>
            <w:tcBorders>
              <w:bottom w:val="single" w:sz="8" w:color="CCEEFF"/>
            </w:tcBorders>
          </w:tcPr>
          <w:p>
            <w:pPr>
              <w:spacing w:after="0"/>
              <w:rPr>
                <w:sz w:val="12"/>
                <w:szCs w:val="12"/>
                <w:color w:val="auto"/>
              </w:rPr>
            </w:pPr>
          </w:p>
        </w:tc>
        <w:tc>
          <w:tcPr>
            <w:tcW w:w="560" w:type="dxa"/>
            <w:vAlign w:val="bottom"/>
            <w:tcBorders>
              <w:bottom w:val="single" w:sz="8" w:color="auto"/>
            </w:tcBorders>
          </w:tcPr>
          <w:p>
            <w:pPr>
              <w:jc w:val="right"/>
              <w:ind w:right="88"/>
              <w:spacing w:after="0" w:line="142" w:lineRule="exact"/>
              <w:rPr>
                <w:sz w:val="20"/>
                <w:szCs w:val="20"/>
                <w:color w:val="auto"/>
              </w:rPr>
            </w:pPr>
            <w:r>
              <w:rPr>
                <w:rFonts w:ascii="Arial" w:cs="Arial" w:eastAsia="Arial" w:hAnsi="Arial"/>
                <w:sz w:val="14"/>
                <w:szCs w:val="14"/>
                <w:b w:val="1"/>
                <w:bCs w:val="1"/>
                <w:color w:val="auto"/>
              </w:rPr>
              <w:t>Low</w:t>
            </w:r>
          </w:p>
        </w:tc>
      </w:tr>
      <w:tr>
        <w:trPr>
          <w:trHeight w:val="196"/>
        </w:trPr>
        <w:tc>
          <w:tcPr>
            <w:tcW w:w="422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Fiscal Year Ending December 31, 2017</w:t>
            </w:r>
          </w:p>
        </w:tc>
        <w:tc>
          <w:tcPr>
            <w:tcW w:w="112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r>
      <w:tr>
        <w:trPr>
          <w:trHeight w:val="216"/>
        </w:trPr>
        <w:tc>
          <w:tcPr>
            <w:tcW w:w="4220" w:type="dxa"/>
            <w:vAlign w:val="bottom"/>
          </w:tcPr>
          <w:p>
            <w:pPr>
              <w:ind w:left="220"/>
              <w:spacing w:after="0"/>
              <w:rPr>
                <w:sz w:val="20"/>
                <w:szCs w:val="20"/>
                <w:color w:val="auto"/>
              </w:rPr>
            </w:pPr>
            <w:r>
              <w:rPr>
                <w:rFonts w:ascii="Arial" w:cs="Arial" w:eastAsia="Arial" w:hAnsi="Arial"/>
                <w:sz w:val="18"/>
                <w:szCs w:val="18"/>
                <w:color w:val="auto"/>
              </w:rPr>
              <w:t>Fourth Quarter</w:t>
            </w:r>
          </w:p>
        </w:tc>
        <w:tc>
          <w:tcPr>
            <w:tcW w:w="1680" w:type="dxa"/>
            <w:vAlign w:val="bottom"/>
            <w:gridSpan w:val="2"/>
          </w:tcPr>
          <w:p>
            <w:pPr>
              <w:jc w:val="right"/>
              <w:spacing w:after="0"/>
              <w:rPr>
                <w:sz w:val="20"/>
                <w:szCs w:val="20"/>
                <w:color w:val="auto"/>
              </w:rPr>
            </w:pPr>
            <w:r>
              <w:rPr>
                <w:rFonts w:ascii="Arial" w:cs="Arial" w:eastAsia="Arial" w:hAnsi="Arial"/>
                <w:sz w:val="18"/>
                <w:szCs w:val="18"/>
                <w:color w:val="auto"/>
              </w:rPr>
              <w:t>$21.48</w:t>
            </w:r>
          </w:p>
        </w:tc>
        <w:tc>
          <w:tcPr>
            <w:tcW w:w="720" w:type="dxa"/>
            <w:vAlign w:val="bottom"/>
            <w:gridSpan w:val="2"/>
          </w:tcPr>
          <w:p>
            <w:pPr>
              <w:jc w:val="right"/>
              <w:spacing w:after="0"/>
              <w:rPr>
                <w:sz w:val="20"/>
                <w:szCs w:val="20"/>
                <w:color w:val="auto"/>
              </w:rPr>
            </w:pPr>
            <w:r>
              <w:rPr>
                <w:rFonts w:ascii="Arial" w:cs="Arial" w:eastAsia="Arial" w:hAnsi="Arial"/>
                <w:sz w:val="18"/>
                <w:szCs w:val="18"/>
                <w:color w:val="auto"/>
              </w:rPr>
              <w:t>$16.91</w:t>
            </w:r>
          </w:p>
        </w:tc>
      </w:tr>
      <w:tr>
        <w:trPr>
          <w:trHeight w:val="216"/>
        </w:trPr>
        <w:tc>
          <w:tcPr>
            <w:tcW w:w="4220" w:type="dxa"/>
            <w:vAlign w:val="bottom"/>
            <w:shd w:val="clear" w:color="auto" w:fill="CCEEFF"/>
          </w:tcPr>
          <w:p>
            <w:pPr>
              <w:ind w:left="220"/>
              <w:spacing w:after="0"/>
              <w:rPr>
                <w:sz w:val="20"/>
                <w:szCs w:val="20"/>
                <w:color w:val="auto"/>
              </w:rPr>
            </w:pPr>
            <w:r>
              <w:rPr>
                <w:rFonts w:ascii="Arial" w:cs="Arial" w:eastAsia="Arial" w:hAnsi="Arial"/>
                <w:sz w:val="18"/>
                <w:szCs w:val="18"/>
                <w:color w:val="auto"/>
              </w:rPr>
              <w:t>Third Quarter</w:t>
            </w:r>
          </w:p>
        </w:tc>
        <w:tc>
          <w:tcPr>
            <w:tcW w:w="16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20.56</w:t>
            </w: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15.16</w:t>
            </w:r>
          </w:p>
        </w:tc>
      </w:tr>
      <w:tr>
        <w:trPr>
          <w:trHeight w:val="216"/>
        </w:trPr>
        <w:tc>
          <w:tcPr>
            <w:tcW w:w="4220" w:type="dxa"/>
            <w:vAlign w:val="bottom"/>
          </w:tcPr>
          <w:p>
            <w:pPr>
              <w:ind w:left="220"/>
              <w:spacing w:after="0"/>
              <w:rPr>
                <w:sz w:val="20"/>
                <w:szCs w:val="20"/>
                <w:color w:val="auto"/>
              </w:rPr>
            </w:pPr>
            <w:r>
              <w:rPr>
                <w:rFonts w:ascii="Arial" w:cs="Arial" w:eastAsia="Arial" w:hAnsi="Arial"/>
                <w:sz w:val="18"/>
                <w:szCs w:val="18"/>
                <w:color w:val="auto"/>
              </w:rPr>
              <w:t>Second Quarter</w:t>
            </w:r>
          </w:p>
        </w:tc>
        <w:tc>
          <w:tcPr>
            <w:tcW w:w="1680" w:type="dxa"/>
            <w:vAlign w:val="bottom"/>
            <w:gridSpan w:val="2"/>
          </w:tcPr>
          <w:p>
            <w:pPr>
              <w:jc w:val="right"/>
              <w:spacing w:after="0"/>
              <w:rPr>
                <w:sz w:val="20"/>
                <w:szCs w:val="20"/>
                <w:color w:val="auto"/>
              </w:rPr>
            </w:pPr>
            <w:r>
              <w:rPr>
                <w:rFonts w:ascii="Arial" w:cs="Arial" w:eastAsia="Arial" w:hAnsi="Arial"/>
                <w:sz w:val="18"/>
                <w:szCs w:val="18"/>
                <w:color w:val="auto"/>
              </w:rPr>
              <w:t>20.29</w:t>
            </w:r>
          </w:p>
        </w:tc>
        <w:tc>
          <w:tcPr>
            <w:tcW w:w="720" w:type="dxa"/>
            <w:vAlign w:val="bottom"/>
            <w:gridSpan w:val="2"/>
          </w:tcPr>
          <w:p>
            <w:pPr>
              <w:jc w:val="right"/>
              <w:spacing w:after="0"/>
              <w:rPr>
                <w:sz w:val="20"/>
                <w:szCs w:val="20"/>
                <w:color w:val="auto"/>
              </w:rPr>
            </w:pPr>
            <w:r>
              <w:rPr>
                <w:rFonts w:ascii="Arial" w:cs="Arial" w:eastAsia="Arial" w:hAnsi="Arial"/>
                <w:sz w:val="18"/>
                <w:szCs w:val="18"/>
                <w:color w:val="auto"/>
              </w:rPr>
              <w:t>16.98</w:t>
            </w:r>
          </w:p>
        </w:tc>
      </w:tr>
      <w:tr>
        <w:trPr>
          <w:trHeight w:val="216"/>
        </w:trPr>
        <w:tc>
          <w:tcPr>
            <w:tcW w:w="4220" w:type="dxa"/>
            <w:vAlign w:val="bottom"/>
            <w:shd w:val="clear" w:color="auto" w:fill="CCEEFF"/>
          </w:tcPr>
          <w:p>
            <w:pPr>
              <w:ind w:left="220"/>
              <w:spacing w:after="0"/>
              <w:rPr>
                <w:sz w:val="20"/>
                <w:szCs w:val="20"/>
                <w:color w:val="auto"/>
              </w:rPr>
            </w:pPr>
            <w:r>
              <w:rPr>
                <w:rFonts w:ascii="Arial" w:cs="Arial" w:eastAsia="Arial" w:hAnsi="Arial"/>
                <w:sz w:val="18"/>
                <w:szCs w:val="18"/>
                <w:color w:val="auto"/>
              </w:rPr>
              <w:t>First Quarter</w:t>
            </w:r>
          </w:p>
        </w:tc>
        <w:tc>
          <w:tcPr>
            <w:tcW w:w="16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19.87</w:t>
            </w: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16.84</w:t>
            </w:r>
          </w:p>
        </w:tc>
      </w:tr>
      <w:tr>
        <w:trPr>
          <w:trHeight w:val="216"/>
        </w:trPr>
        <w:tc>
          <w:tcPr>
            <w:tcW w:w="4220" w:type="dxa"/>
            <w:vAlign w:val="bottom"/>
          </w:tcPr>
          <w:p>
            <w:pPr>
              <w:spacing w:after="0"/>
              <w:rPr>
                <w:sz w:val="20"/>
                <w:szCs w:val="20"/>
                <w:color w:val="auto"/>
              </w:rPr>
            </w:pPr>
            <w:r>
              <w:rPr>
                <w:rFonts w:ascii="Arial" w:cs="Arial" w:eastAsia="Arial" w:hAnsi="Arial"/>
                <w:sz w:val="18"/>
                <w:szCs w:val="18"/>
                <w:color w:val="auto"/>
              </w:rPr>
              <w:t>Fiscal Year Ending December 31, 2016</w:t>
            </w:r>
          </w:p>
        </w:tc>
        <w:tc>
          <w:tcPr>
            <w:tcW w:w="1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60" w:type="dxa"/>
            <w:vAlign w:val="bottom"/>
          </w:tcPr>
          <w:p>
            <w:pPr>
              <w:spacing w:after="0"/>
              <w:rPr>
                <w:sz w:val="18"/>
                <w:szCs w:val="18"/>
                <w:color w:val="auto"/>
              </w:rPr>
            </w:pPr>
          </w:p>
        </w:tc>
      </w:tr>
      <w:tr>
        <w:trPr>
          <w:trHeight w:val="216"/>
        </w:trPr>
        <w:tc>
          <w:tcPr>
            <w:tcW w:w="4220" w:type="dxa"/>
            <w:vAlign w:val="bottom"/>
            <w:shd w:val="clear" w:color="auto" w:fill="CCEEFF"/>
          </w:tcPr>
          <w:p>
            <w:pPr>
              <w:ind w:left="220"/>
              <w:spacing w:after="0"/>
              <w:rPr>
                <w:sz w:val="20"/>
                <w:szCs w:val="20"/>
                <w:color w:val="auto"/>
              </w:rPr>
            </w:pPr>
            <w:r>
              <w:rPr>
                <w:rFonts w:ascii="Arial" w:cs="Arial" w:eastAsia="Arial" w:hAnsi="Arial"/>
                <w:sz w:val="18"/>
                <w:szCs w:val="18"/>
                <w:color w:val="auto"/>
              </w:rPr>
              <w:t>Fourth Quarter (from October 28, 2016)</w:t>
            </w:r>
          </w:p>
        </w:tc>
        <w:tc>
          <w:tcPr>
            <w:tcW w:w="16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$22.31</w:t>
            </w: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$16.90</w:t>
            </w:r>
          </w:p>
        </w:tc>
      </w:tr>
    </w:tbl>
    <w:p>
      <w:pPr>
        <w:spacing w:after="0" w:line="202" w:lineRule="exact"/>
        <w:rPr>
          <w:sz w:val="20"/>
          <w:szCs w:val="20"/>
          <w:color w:val="auto"/>
        </w:rPr>
      </w:pPr>
    </w:p>
    <w:p>
      <w:pPr>
        <w:ind w:left="380" w:right="479" w:firstLine="648"/>
        <w:spacing w:after="0" w:line="277" w:lineRule="auto"/>
        <w:rPr>
          <w:sz w:val="20"/>
          <w:szCs w:val="20"/>
          <w:color w:val="auto"/>
        </w:rPr>
      </w:pPr>
      <w:r>
        <w:rPr>
          <w:rFonts w:ascii="Arial" w:cs="Arial" w:eastAsia="Arial" w:hAnsi="Arial"/>
          <w:sz w:val="18"/>
          <w:szCs w:val="18"/>
          <w:color w:val="auto"/>
        </w:rPr>
        <w:t>On March 2, 2018, the last reported sales price of our common stock on the NYSE was $21.06 per share and there were four record holders of our common stock.</w:t>
      </w:r>
    </w:p>
    <w:p>
      <w:pPr>
        <w:spacing w:after="0" w:line="166" w:lineRule="exact"/>
        <w:rPr>
          <w:sz w:val="20"/>
          <w:szCs w:val="20"/>
          <w:color w:val="auto"/>
        </w:rPr>
      </w:pPr>
    </w:p>
    <w:p>
      <w:pPr>
        <w:ind w:left="380"/>
        <w:spacing w:after="0"/>
        <w:rPr>
          <w:sz w:val="20"/>
          <w:szCs w:val="20"/>
          <w:color w:val="auto"/>
        </w:rPr>
      </w:pPr>
      <w:r>
        <w:rPr>
          <w:rFonts w:ascii="Arial" w:cs="Arial" w:eastAsia="Arial" w:hAnsi="Arial"/>
          <w:sz w:val="18"/>
          <w:szCs w:val="18"/>
          <w:b w:val="1"/>
          <w:bCs w:val="1"/>
          <w:color w:val="auto"/>
        </w:rPr>
        <w:t>Performance Graph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923925</wp:posOffset>
            </wp:positionH>
            <wp:positionV relativeFrom="paragraph">
              <wp:posOffset>154940</wp:posOffset>
            </wp:positionV>
            <wp:extent cx="3884930" cy="282130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3884930" cy="28213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50" w:name="page51"/>
    <w:bookmarkEnd w:id="50"/>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ind w:left="380"/>
        <w:spacing w:after="0"/>
        <w:rPr>
          <w:sz w:val="20"/>
          <w:szCs w:val="20"/>
          <w:color w:val="auto"/>
        </w:rPr>
      </w:pPr>
      <w:r>
        <w:rPr>
          <w:rFonts w:ascii="Arial" w:cs="Arial" w:eastAsia="Arial" w:hAnsi="Arial"/>
          <w:sz w:val="18"/>
          <w:szCs w:val="18"/>
          <w:b w:val="1"/>
          <w:bCs w:val="1"/>
          <w:color w:val="auto"/>
        </w:rPr>
        <w:t>Recent Sales of Unregistered Securities</w:t>
      </w:r>
    </w:p>
    <w:p>
      <w:pPr>
        <w:spacing w:after="0" w:line="229" w:lineRule="exact"/>
        <w:rPr>
          <w:sz w:val="20"/>
          <w:szCs w:val="20"/>
          <w:color w:val="auto"/>
        </w:rPr>
      </w:pPr>
    </w:p>
    <w:p>
      <w:pPr>
        <w:ind w:left="1040"/>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ind w:left="380"/>
        <w:spacing w:after="0"/>
        <w:rPr>
          <w:sz w:val="20"/>
          <w:szCs w:val="20"/>
          <w:color w:val="auto"/>
        </w:rPr>
      </w:pPr>
      <w:r>
        <w:rPr>
          <w:rFonts w:ascii="Arial" w:cs="Arial" w:eastAsia="Arial" w:hAnsi="Arial"/>
          <w:sz w:val="18"/>
          <w:szCs w:val="18"/>
          <w:b w:val="1"/>
          <w:bCs w:val="1"/>
          <w:color w:val="auto"/>
        </w:rPr>
        <w:t>Dividend Policy</w:t>
      </w:r>
    </w:p>
    <w:p>
      <w:pPr>
        <w:spacing w:after="0" w:line="229" w:lineRule="exact"/>
        <w:rPr>
          <w:sz w:val="20"/>
          <w:szCs w:val="20"/>
          <w:color w:val="auto"/>
        </w:rPr>
      </w:pPr>
    </w:p>
    <w:p>
      <w:pPr>
        <w:ind w:left="380" w:right="499" w:firstLine="648"/>
        <w:spacing w:after="0" w:line="284" w:lineRule="auto"/>
        <w:rPr>
          <w:sz w:val="20"/>
          <w:szCs w:val="20"/>
          <w:color w:val="auto"/>
        </w:rPr>
      </w:pPr>
      <w:r>
        <w:rPr>
          <w:rFonts w:ascii="Arial" w:cs="Arial" w:eastAsia="Arial" w:hAnsi="Arial"/>
          <w:sz w:val="16"/>
          <w:szCs w:val="16"/>
          <w:color w:val="auto"/>
        </w:rPr>
        <w:t>We paid a total of $35.7 million in dividends on our common stock during the year ended December 31, 2017. We expect to pay future quarterly cash dividends on our common stock, subject to the discretion of our board of directors and our compliance with applicable law, and depending on, among other things, our results of operations, capital requirements, financial condition, contractual restrictions, restrictions in our debt agreements and in any equity securities, business prospects and other factors that our board of directors may deem relevant. Our dividend policy may be changed or terminated in the future at any time without advance notice. For a description of the restrictions on our ability to pay dividends under our senior secured credit facilities, see “Item</w:t>
      </w:r>
    </w:p>
    <w:p>
      <w:pPr>
        <w:spacing w:after="0" w:line="3" w:lineRule="exact"/>
        <w:rPr>
          <w:sz w:val="20"/>
          <w:szCs w:val="20"/>
          <w:color w:val="auto"/>
        </w:rPr>
      </w:pPr>
    </w:p>
    <w:p>
      <w:pPr>
        <w:ind w:left="380" w:right="759" w:firstLine="2"/>
        <w:spacing w:after="0" w:line="255" w:lineRule="auto"/>
        <w:tabs>
          <w:tab w:leader="none" w:pos="5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 Management’s Discussion and Analysis of Financial Condition and Results of Operations - Liquidity and Capital Resources” and “Notes to Consolidated Financial Statements – Note 9 – Debt and Financing Arrangements– Senior Secured Credit Facility.”</w:t>
      </w:r>
    </w:p>
    <w:p>
      <w:pPr>
        <w:spacing w:after="0" w:line="190" w:lineRule="exact"/>
        <w:rPr>
          <w:sz w:val="20"/>
          <w:szCs w:val="20"/>
          <w:color w:val="auto"/>
        </w:rPr>
      </w:pPr>
    </w:p>
    <w:p>
      <w:pPr>
        <w:ind w:left="1040"/>
        <w:spacing w:after="0"/>
        <w:rPr>
          <w:sz w:val="20"/>
          <w:szCs w:val="20"/>
          <w:color w:val="auto"/>
        </w:rPr>
      </w:pPr>
      <w:r>
        <w:rPr>
          <w:rFonts w:ascii="Arial" w:cs="Arial" w:eastAsia="Arial" w:hAnsi="Arial"/>
          <w:sz w:val="18"/>
          <w:szCs w:val="18"/>
          <w:color w:val="auto"/>
        </w:rPr>
        <w:t>We did not declare or pay any dividends on our common stock in 2016 or 2015.</w:t>
      </w:r>
    </w:p>
    <w:p>
      <w:pPr>
        <w:spacing w:after="0" w:line="221" w:lineRule="exact"/>
        <w:rPr>
          <w:sz w:val="20"/>
          <w:szCs w:val="20"/>
          <w:color w:val="auto"/>
        </w:rPr>
      </w:pPr>
    </w:p>
    <w:p>
      <w:pPr>
        <w:ind w:left="380"/>
        <w:spacing w:after="0"/>
        <w:rPr>
          <w:sz w:val="20"/>
          <w:szCs w:val="20"/>
          <w:color w:val="auto"/>
        </w:rPr>
      </w:pPr>
      <w:r>
        <w:rPr>
          <w:rFonts w:ascii="Arial" w:cs="Arial" w:eastAsia="Arial" w:hAnsi="Arial"/>
          <w:sz w:val="18"/>
          <w:szCs w:val="18"/>
          <w:b w:val="1"/>
          <w:bCs w:val="1"/>
          <w:color w:val="auto"/>
        </w:rPr>
        <w:t>Issuer Purchases of Equity Securities</w:t>
      </w:r>
    </w:p>
    <w:p>
      <w:pPr>
        <w:spacing w:after="0" w:line="229" w:lineRule="exact"/>
        <w:rPr>
          <w:sz w:val="20"/>
          <w:szCs w:val="20"/>
          <w:color w:val="auto"/>
        </w:rPr>
      </w:pPr>
    </w:p>
    <w:p>
      <w:pPr>
        <w:ind w:left="1040"/>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ind w:left="380"/>
        <w:spacing w:after="0"/>
        <w:tabs>
          <w:tab w:leader="none" w:pos="156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8"/>
          <w:szCs w:val="18"/>
          <w:b w:val="1"/>
          <w:bCs w:val="1"/>
          <w:color w:val="auto"/>
        </w:rPr>
        <w:t>SELECTED CONSOLIDATED FINANCIAL DATA</w:t>
      </w:r>
    </w:p>
    <w:p>
      <w:pPr>
        <w:spacing w:after="0" w:line="162" w:lineRule="exact"/>
        <w:rPr>
          <w:sz w:val="20"/>
          <w:szCs w:val="20"/>
          <w:color w:val="auto"/>
        </w:rPr>
      </w:pPr>
    </w:p>
    <w:p>
      <w:pPr>
        <w:ind w:left="380" w:right="579" w:firstLine="648"/>
        <w:spacing w:after="0" w:line="259" w:lineRule="auto"/>
        <w:rPr>
          <w:sz w:val="20"/>
          <w:szCs w:val="20"/>
          <w:color w:val="auto"/>
        </w:rPr>
      </w:pPr>
      <w:r>
        <w:rPr>
          <w:rFonts w:ascii="Arial" w:cs="Arial" w:eastAsia="Arial" w:hAnsi="Arial"/>
          <w:sz w:val="18"/>
          <w:szCs w:val="18"/>
          <w:color w:val="auto"/>
        </w:rPr>
        <w:t>You should read the selected consolidated financial data below together with the consolidated financial statements and related notes thereto appearing elsewhere in this report, as well as “Item 7. – Management’s Discussion and Analysis of Financial Condition and Results of Operations” and the other financial information included elsewhere in this report.</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171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5240020" cy="1714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51" w:name="page52"/>
    <w:bookmarkEnd w:id="51"/>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ind w:left="380" w:right="419" w:firstLine="648"/>
        <w:spacing w:after="0" w:line="272" w:lineRule="auto"/>
        <w:rPr>
          <w:sz w:val="20"/>
          <w:szCs w:val="20"/>
          <w:color w:val="auto"/>
        </w:rPr>
      </w:pPr>
      <w:r>
        <w:rPr>
          <w:rFonts w:ascii="Arial" w:cs="Arial" w:eastAsia="Arial" w:hAnsi="Arial"/>
          <w:sz w:val="17"/>
          <w:szCs w:val="17"/>
          <w:color w:val="auto"/>
        </w:rPr>
        <w:t>We have derived the consolidated statement of operations data for the years ended December 31, 2017, 2016 and 2015 and the consolidated balance sheet data as of December 31, 2017 and 2016 presented below from our audited consolidated financial statements included elsewhere in this report. We have derived the consolidated statement of operations data for the years ended December 31, 2014 and 2013 and our consolidated balance sheet data as of December 31, 2015, 2014 and 2013 presented below from our audited consolidated financial statements which are not included in this report. Our historical audited results are not necessarily indicative of the results that should be expected in any future period.</w:t>
      </w:r>
    </w:p>
    <w:p>
      <w:pPr>
        <w:spacing w:after="0" w:line="129" w:lineRule="exact"/>
        <w:rPr>
          <w:sz w:val="20"/>
          <w:szCs w:val="20"/>
          <w:color w:val="auto"/>
        </w:rPr>
      </w:pPr>
    </w:p>
    <w:tbl>
      <w:tblPr>
        <w:tblLayout w:type="fixed"/>
        <w:tblInd w:w="380" w:type="dxa"/>
        <w:tblCellMar>
          <w:top w:w="0" w:type="dxa"/>
          <w:left w:w="0" w:type="dxa"/>
          <w:bottom w:w="0" w:type="dxa"/>
          <w:right w:w="0" w:type="dxa"/>
        </w:tblCellMar>
      </w:tblPr>
      <w:tr>
        <w:trPr>
          <w:trHeight w:val="171"/>
        </w:trPr>
        <w:tc>
          <w:tcPr>
            <w:tcW w:w="20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3160" w:type="dxa"/>
            <w:vAlign w:val="bottom"/>
            <w:tcBorders>
              <w:bottom w:val="single" w:sz="8" w:color="auto"/>
            </w:tcBorders>
            <w:gridSpan w:val="5"/>
          </w:tcPr>
          <w:p>
            <w:pPr>
              <w:jc w:val="center"/>
              <w:ind w:right="71"/>
              <w:spacing w:after="0"/>
              <w:rPr>
                <w:sz w:val="20"/>
                <w:szCs w:val="20"/>
                <w:color w:val="auto"/>
              </w:rPr>
            </w:pPr>
            <w:r>
              <w:rPr>
                <w:rFonts w:ascii="Arial" w:cs="Arial" w:eastAsia="Arial" w:hAnsi="Arial"/>
                <w:sz w:val="14"/>
                <w:szCs w:val="14"/>
                <w:b w:val="1"/>
                <w:bCs w:val="1"/>
                <w:color w:val="auto"/>
                <w:w w:val="91"/>
              </w:rPr>
              <w:t>Year ended December 31,</w:t>
            </w:r>
          </w:p>
        </w:tc>
        <w:tc>
          <w:tcPr>
            <w:tcW w:w="16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940" w:type="dxa"/>
            <w:vAlign w:val="bottom"/>
            <w:tcBorders>
              <w:bottom w:val="single" w:sz="8" w:color="auto"/>
            </w:tcBorders>
          </w:tcPr>
          <w:p>
            <w:pPr>
              <w:jc w:val="right"/>
              <w:ind w:right="331"/>
              <w:spacing w:after="0" w:line="142" w:lineRule="exact"/>
              <w:rPr>
                <w:sz w:val="20"/>
                <w:szCs w:val="20"/>
                <w:color w:val="auto"/>
              </w:rPr>
            </w:pPr>
            <w:r>
              <w:rPr>
                <w:rFonts w:ascii="Arial" w:cs="Arial" w:eastAsia="Arial" w:hAnsi="Arial"/>
                <w:sz w:val="14"/>
                <w:szCs w:val="14"/>
                <w:b w:val="1"/>
                <w:bCs w:val="1"/>
                <w:color w:val="auto"/>
              </w:rPr>
              <w:t>2017</w:t>
            </w:r>
          </w:p>
        </w:tc>
        <w:tc>
          <w:tcPr>
            <w:tcW w:w="160" w:type="dxa"/>
            <w:vAlign w:val="bottom"/>
            <w:tcBorders>
              <w:bottom w:val="single" w:sz="8" w:color="auto"/>
            </w:tcBorders>
          </w:tcPr>
          <w:p>
            <w:pPr>
              <w:spacing w:after="0"/>
              <w:rPr>
                <w:sz w:val="12"/>
                <w:szCs w:val="12"/>
                <w:color w:val="auto"/>
              </w:rPr>
            </w:pPr>
          </w:p>
        </w:tc>
        <w:tc>
          <w:tcPr>
            <w:tcW w:w="940" w:type="dxa"/>
            <w:vAlign w:val="bottom"/>
            <w:tcBorders>
              <w:bottom w:val="single" w:sz="8" w:color="auto"/>
            </w:tcBorders>
          </w:tcPr>
          <w:p>
            <w:pPr>
              <w:jc w:val="right"/>
              <w:ind w:right="312"/>
              <w:spacing w:after="0" w:line="142" w:lineRule="exact"/>
              <w:rPr>
                <w:sz w:val="20"/>
                <w:szCs w:val="20"/>
                <w:color w:val="auto"/>
              </w:rPr>
            </w:pPr>
            <w:r>
              <w:rPr>
                <w:rFonts w:ascii="Arial" w:cs="Arial" w:eastAsia="Arial" w:hAnsi="Arial"/>
                <w:sz w:val="14"/>
                <w:szCs w:val="14"/>
                <w:b w:val="1"/>
                <w:bCs w:val="1"/>
                <w:color w:val="auto"/>
              </w:rPr>
              <w:t>2016</w:t>
            </w:r>
          </w:p>
        </w:tc>
        <w:tc>
          <w:tcPr>
            <w:tcW w:w="180" w:type="dxa"/>
            <w:vAlign w:val="bottom"/>
            <w:tcBorders>
              <w:bottom w:val="single" w:sz="8" w:color="auto"/>
            </w:tcBorders>
          </w:tcPr>
          <w:p>
            <w:pPr>
              <w:spacing w:after="0"/>
              <w:rPr>
                <w:sz w:val="12"/>
                <w:szCs w:val="12"/>
                <w:color w:val="auto"/>
              </w:rPr>
            </w:pPr>
          </w:p>
        </w:tc>
        <w:tc>
          <w:tcPr>
            <w:tcW w:w="940" w:type="dxa"/>
            <w:vAlign w:val="bottom"/>
            <w:tcBorders>
              <w:bottom w:val="single" w:sz="8" w:color="auto"/>
            </w:tcBorders>
          </w:tcPr>
          <w:p>
            <w:pPr>
              <w:jc w:val="center"/>
              <w:ind w:right="91"/>
              <w:spacing w:after="0" w:line="142" w:lineRule="exact"/>
              <w:rPr>
                <w:sz w:val="20"/>
                <w:szCs w:val="20"/>
                <w:color w:val="auto"/>
              </w:rPr>
            </w:pPr>
            <w:r>
              <w:rPr>
                <w:rFonts w:ascii="Arial" w:cs="Arial" w:eastAsia="Arial" w:hAnsi="Arial"/>
                <w:sz w:val="14"/>
                <w:szCs w:val="14"/>
                <w:b w:val="1"/>
                <w:bCs w:val="1"/>
                <w:color w:val="auto"/>
                <w:w w:val="89"/>
              </w:rPr>
              <w:t>2015</w:t>
            </w:r>
          </w:p>
        </w:tc>
        <w:tc>
          <w:tcPr>
            <w:tcW w:w="160" w:type="dxa"/>
            <w:vAlign w:val="bottom"/>
            <w:tcBorders>
              <w:bottom w:val="single" w:sz="8" w:color="auto"/>
            </w:tcBorders>
          </w:tcPr>
          <w:p>
            <w:pPr>
              <w:spacing w:after="0"/>
              <w:rPr>
                <w:sz w:val="12"/>
                <w:szCs w:val="12"/>
                <w:color w:val="auto"/>
              </w:rPr>
            </w:pPr>
          </w:p>
        </w:tc>
        <w:tc>
          <w:tcPr>
            <w:tcW w:w="940" w:type="dxa"/>
            <w:vAlign w:val="bottom"/>
            <w:tcBorders>
              <w:bottom w:val="single" w:sz="8" w:color="auto"/>
            </w:tcBorders>
          </w:tcPr>
          <w:p>
            <w:pPr>
              <w:jc w:val="right"/>
              <w:ind w:right="311"/>
              <w:spacing w:after="0" w:line="142" w:lineRule="exact"/>
              <w:rPr>
                <w:sz w:val="20"/>
                <w:szCs w:val="20"/>
                <w:color w:val="auto"/>
              </w:rPr>
            </w:pPr>
            <w:r>
              <w:rPr>
                <w:rFonts w:ascii="Arial" w:cs="Arial" w:eastAsia="Arial" w:hAnsi="Arial"/>
                <w:sz w:val="14"/>
                <w:szCs w:val="14"/>
                <w:b w:val="1"/>
                <w:bCs w:val="1"/>
                <w:color w:val="auto"/>
              </w:rPr>
              <w:t>2014</w:t>
            </w:r>
          </w:p>
        </w:tc>
        <w:tc>
          <w:tcPr>
            <w:tcW w:w="160" w:type="dxa"/>
            <w:vAlign w:val="bottom"/>
            <w:tcBorders>
              <w:bottom w:val="single" w:sz="8" w:color="auto"/>
            </w:tcBorders>
          </w:tcPr>
          <w:p>
            <w:pPr>
              <w:spacing w:after="0"/>
              <w:rPr>
                <w:sz w:val="12"/>
                <w:szCs w:val="12"/>
                <w:color w:val="auto"/>
              </w:rPr>
            </w:pPr>
          </w:p>
        </w:tc>
        <w:tc>
          <w:tcPr>
            <w:tcW w:w="880" w:type="dxa"/>
            <w:vAlign w:val="bottom"/>
            <w:tcBorders>
              <w:bottom w:val="single" w:sz="8" w:color="auto"/>
            </w:tcBorders>
          </w:tcPr>
          <w:p>
            <w:pPr>
              <w:jc w:val="right"/>
              <w:ind w:right="251"/>
              <w:spacing w:after="0" w:line="142" w:lineRule="exact"/>
              <w:rPr>
                <w:sz w:val="20"/>
                <w:szCs w:val="20"/>
                <w:color w:val="auto"/>
              </w:rPr>
            </w:pPr>
            <w:r>
              <w:rPr>
                <w:rFonts w:ascii="Arial" w:cs="Arial" w:eastAsia="Arial" w:hAnsi="Arial"/>
                <w:sz w:val="14"/>
                <w:szCs w:val="14"/>
                <w:b w:val="1"/>
                <w:bCs w:val="1"/>
                <w:color w:val="auto"/>
              </w:rPr>
              <w:t>2013</w:t>
            </w:r>
          </w:p>
        </w:tc>
        <w:tc>
          <w:tcPr>
            <w:tcW w:w="0" w:type="dxa"/>
            <w:vAlign w:val="bottom"/>
          </w:tcPr>
          <w:p>
            <w:pPr>
              <w:spacing w:after="0"/>
              <w:rPr>
                <w:sz w:val="1"/>
                <w:szCs w:val="1"/>
                <w:color w:val="auto"/>
              </w:rPr>
            </w:pPr>
          </w:p>
        </w:tc>
      </w:tr>
      <w:tr>
        <w:trPr>
          <w:trHeight w:val="142"/>
        </w:trPr>
        <w:tc>
          <w:tcPr>
            <w:tcW w:w="20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160" w:type="dxa"/>
            <w:vAlign w:val="bottom"/>
            <w:gridSpan w:val="5"/>
          </w:tcPr>
          <w:p>
            <w:pPr>
              <w:jc w:val="center"/>
              <w:ind w:right="71"/>
              <w:spacing w:after="0" w:line="142" w:lineRule="exact"/>
              <w:rPr>
                <w:sz w:val="20"/>
                <w:szCs w:val="20"/>
                <w:color w:val="auto"/>
              </w:rPr>
            </w:pPr>
            <w:r>
              <w:rPr>
                <w:rFonts w:ascii="Arial" w:cs="Arial" w:eastAsia="Arial" w:hAnsi="Arial"/>
                <w:sz w:val="14"/>
                <w:szCs w:val="14"/>
                <w:b w:val="1"/>
                <w:bCs w:val="1"/>
                <w:color w:val="auto"/>
                <w:w w:val="90"/>
              </w:rPr>
              <w:t>(in thousands, except share and per share data)</w:t>
            </w:r>
          </w:p>
        </w:tc>
        <w:tc>
          <w:tcPr>
            <w:tcW w:w="16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9"/>
        </w:trPr>
        <w:tc>
          <w:tcPr>
            <w:tcW w:w="2780" w:type="dxa"/>
            <w:vAlign w:val="bottom"/>
            <w:gridSpan w:val="2"/>
            <w:shd w:val="clear" w:color="auto" w:fill="CCEEFF"/>
          </w:tcPr>
          <w:p>
            <w:pPr>
              <w:spacing w:after="0"/>
              <w:rPr>
                <w:sz w:val="20"/>
                <w:szCs w:val="20"/>
                <w:color w:val="auto"/>
              </w:rPr>
            </w:pPr>
            <w:r>
              <w:rPr>
                <w:rFonts w:ascii="Arial" w:cs="Arial" w:eastAsia="Arial" w:hAnsi="Arial"/>
                <w:sz w:val="16"/>
                <w:szCs w:val="16"/>
                <w:b w:val="1"/>
                <w:bCs w:val="1"/>
                <w:color w:val="auto"/>
                <w:w w:val="91"/>
              </w:rPr>
              <w:t>Consolidated Statements of Operations</w:t>
            </w:r>
          </w:p>
        </w:tc>
        <w:tc>
          <w:tcPr>
            <w:tcW w:w="1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94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94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4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94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88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2780" w:type="dxa"/>
            <w:vAlign w:val="bottom"/>
            <w:gridSpan w:val="2"/>
            <w:shd w:val="clear" w:color="auto" w:fill="CCEEFF"/>
          </w:tcPr>
          <w:p>
            <w:pPr>
              <w:spacing w:after="0"/>
              <w:rPr>
                <w:sz w:val="20"/>
                <w:szCs w:val="20"/>
                <w:color w:val="auto"/>
              </w:rPr>
            </w:pPr>
            <w:r>
              <w:rPr>
                <w:rFonts w:ascii="Arial" w:cs="Arial" w:eastAsia="Arial" w:hAnsi="Arial"/>
                <w:sz w:val="16"/>
                <w:szCs w:val="16"/>
                <w:b w:val="1"/>
                <w:bCs w:val="1"/>
                <w:color w:val="auto"/>
              </w:rPr>
              <w:t>Data:</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780" w:type="dxa"/>
            <w:vAlign w:val="bottom"/>
            <w:gridSpan w:val="2"/>
          </w:tcPr>
          <w:p>
            <w:pPr>
              <w:spacing w:after="0"/>
              <w:rPr>
                <w:sz w:val="20"/>
                <w:szCs w:val="20"/>
                <w:color w:val="auto"/>
              </w:rPr>
            </w:pPr>
            <w:r>
              <w:rPr>
                <w:rFonts w:ascii="Arial" w:cs="Arial" w:eastAsia="Arial" w:hAnsi="Arial"/>
                <w:sz w:val="16"/>
                <w:szCs w:val="16"/>
                <w:color w:val="auto"/>
              </w:rPr>
              <w:t>Net sales</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40" w:type="dxa"/>
            <w:vAlign w:val="bottom"/>
          </w:tcPr>
          <w:p>
            <w:pPr>
              <w:jc w:val="right"/>
              <w:ind w:right="31"/>
              <w:spacing w:after="0"/>
              <w:rPr>
                <w:sz w:val="20"/>
                <w:szCs w:val="20"/>
                <w:color w:val="auto"/>
              </w:rPr>
            </w:pPr>
            <w:r>
              <w:rPr>
                <w:rFonts w:ascii="Arial" w:cs="Arial" w:eastAsia="Arial" w:hAnsi="Arial"/>
                <w:sz w:val="18"/>
                <w:szCs w:val="18"/>
                <w:color w:val="auto"/>
                <w:w w:val="99"/>
              </w:rPr>
              <w:t>1,560,258</w:t>
            </w:r>
          </w:p>
        </w:tc>
        <w:tc>
          <w:tcPr>
            <w:tcW w:w="160" w:type="dxa"/>
            <w:vAlign w:val="bottom"/>
          </w:tcPr>
          <w:p>
            <w:pPr>
              <w:jc w:val="right"/>
              <w:spacing w:after="0"/>
              <w:rPr>
                <w:sz w:val="20"/>
                <w:szCs w:val="20"/>
                <w:color w:val="auto"/>
              </w:rPr>
            </w:pPr>
            <w:r>
              <w:rPr>
                <w:rFonts w:ascii="Arial" w:cs="Arial" w:eastAsia="Arial" w:hAnsi="Arial"/>
                <w:sz w:val="18"/>
                <w:szCs w:val="18"/>
                <w:color w:val="auto"/>
              </w:rPr>
              <w:t>$</w:t>
            </w:r>
          </w:p>
        </w:tc>
        <w:tc>
          <w:tcPr>
            <w:tcW w:w="940" w:type="dxa"/>
            <w:vAlign w:val="bottom"/>
          </w:tcPr>
          <w:p>
            <w:pPr>
              <w:jc w:val="right"/>
              <w:ind w:right="32"/>
              <w:spacing w:after="0"/>
              <w:rPr>
                <w:sz w:val="20"/>
                <w:szCs w:val="20"/>
                <w:color w:val="auto"/>
              </w:rPr>
            </w:pPr>
            <w:r>
              <w:rPr>
                <w:rFonts w:ascii="Arial" w:cs="Arial" w:eastAsia="Arial" w:hAnsi="Arial"/>
                <w:sz w:val="18"/>
                <w:szCs w:val="18"/>
                <w:color w:val="auto"/>
                <w:w w:val="99"/>
              </w:rPr>
              <w:t>1,572,275</w:t>
            </w:r>
          </w:p>
        </w:tc>
        <w:tc>
          <w:tcPr>
            <w:tcW w:w="180" w:type="dxa"/>
            <w:vAlign w:val="bottom"/>
          </w:tcPr>
          <w:p>
            <w:pPr>
              <w:jc w:val="right"/>
              <w:spacing w:after="0"/>
              <w:rPr>
                <w:sz w:val="20"/>
                <w:szCs w:val="20"/>
                <w:color w:val="auto"/>
              </w:rPr>
            </w:pPr>
            <w:r>
              <w:rPr>
                <w:rFonts w:ascii="Arial" w:cs="Arial" w:eastAsia="Arial" w:hAnsi="Arial"/>
                <w:sz w:val="18"/>
                <w:szCs w:val="18"/>
                <w:color w:val="auto"/>
              </w:rPr>
              <w:t>$</w:t>
            </w:r>
          </w:p>
        </w:tc>
        <w:tc>
          <w:tcPr>
            <w:tcW w:w="940" w:type="dxa"/>
            <w:vAlign w:val="bottom"/>
          </w:tcPr>
          <w:p>
            <w:pPr>
              <w:jc w:val="right"/>
              <w:ind w:right="51"/>
              <w:spacing w:after="0"/>
              <w:rPr>
                <w:sz w:val="20"/>
                <w:szCs w:val="20"/>
                <w:color w:val="auto"/>
              </w:rPr>
            </w:pPr>
            <w:r>
              <w:rPr>
                <w:rFonts w:ascii="Arial" w:cs="Arial" w:eastAsia="Arial" w:hAnsi="Arial"/>
                <w:sz w:val="18"/>
                <w:szCs w:val="18"/>
                <w:color w:val="auto"/>
                <w:w w:val="97"/>
              </w:rPr>
              <w:t>1,502,958</w:t>
            </w:r>
          </w:p>
        </w:tc>
        <w:tc>
          <w:tcPr>
            <w:tcW w:w="160" w:type="dxa"/>
            <w:vAlign w:val="bottom"/>
          </w:tcPr>
          <w:p>
            <w:pPr>
              <w:jc w:val="right"/>
              <w:spacing w:after="0"/>
              <w:rPr>
                <w:sz w:val="20"/>
                <w:szCs w:val="20"/>
                <w:color w:val="auto"/>
              </w:rPr>
            </w:pPr>
            <w:r>
              <w:rPr>
                <w:rFonts w:ascii="Arial" w:cs="Arial" w:eastAsia="Arial" w:hAnsi="Arial"/>
                <w:sz w:val="18"/>
                <w:szCs w:val="18"/>
                <w:color w:val="auto"/>
              </w:rPr>
              <w:t>$</w:t>
            </w:r>
          </w:p>
        </w:tc>
        <w:tc>
          <w:tcPr>
            <w:tcW w:w="940" w:type="dxa"/>
            <w:vAlign w:val="bottom"/>
          </w:tcPr>
          <w:p>
            <w:pPr>
              <w:jc w:val="right"/>
              <w:ind w:right="31"/>
              <w:spacing w:after="0"/>
              <w:rPr>
                <w:sz w:val="20"/>
                <w:szCs w:val="20"/>
                <w:color w:val="auto"/>
              </w:rPr>
            </w:pPr>
            <w:r>
              <w:rPr>
                <w:rFonts w:ascii="Arial" w:cs="Arial" w:eastAsia="Arial" w:hAnsi="Arial"/>
                <w:sz w:val="18"/>
                <w:szCs w:val="18"/>
                <w:color w:val="auto"/>
                <w:w w:val="99"/>
              </w:rPr>
              <w:t>1,537,610</w:t>
            </w:r>
          </w:p>
        </w:tc>
        <w:tc>
          <w:tcPr>
            <w:tcW w:w="160" w:type="dxa"/>
            <w:vAlign w:val="bottom"/>
          </w:tcPr>
          <w:p>
            <w:pPr>
              <w:jc w:val="right"/>
              <w:spacing w:after="0"/>
              <w:rPr>
                <w:sz w:val="20"/>
                <w:szCs w:val="20"/>
                <w:color w:val="auto"/>
              </w:rPr>
            </w:pPr>
            <w:r>
              <w:rPr>
                <w:rFonts w:ascii="Arial" w:cs="Arial" w:eastAsia="Arial" w:hAnsi="Arial"/>
                <w:sz w:val="18"/>
                <w:szCs w:val="18"/>
                <w:color w:val="auto"/>
              </w:rPr>
              <w:t>$</w:t>
            </w:r>
          </w:p>
        </w:tc>
        <w:tc>
          <w:tcPr>
            <w:tcW w:w="880" w:type="dxa"/>
            <w:vAlign w:val="bottom"/>
          </w:tcPr>
          <w:p>
            <w:pPr>
              <w:jc w:val="right"/>
              <w:spacing w:after="0"/>
              <w:rPr>
                <w:sz w:val="20"/>
                <w:szCs w:val="20"/>
                <w:color w:val="auto"/>
              </w:rPr>
            </w:pPr>
            <w:r>
              <w:rPr>
                <w:rFonts w:ascii="Arial" w:cs="Arial" w:eastAsia="Arial" w:hAnsi="Arial"/>
                <w:sz w:val="18"/>
                <w:szCs w:val="18"/>
                <w:color w:val="auto"/>
                <w:w w:val="99"/>
              </w:rPr>
              <w:t>1,477,219</w:t>
            </w:r>
          </w:p>
        </w:tc>
        <w:tc>
          <w:tcPr>
            <w:tcW w:w="0" w:type="dxa"/>
            <w:vAlign w:val="bottom"/>
          </w:tcPr>
          <w:p>
            <w:pPr>
              <w:spacing w:after="0"/>
              <w:rPr>
                <w:sz w:val="1"/>
                <w:szCs w:val="1"/>
                <w:color w:val="auto"/>
              </w:rPr>
            </w:pPr>
          </w:p>
        </w:tc>
      </w:tr>
      <w:tr>
        <w:trPr>
          <w:trHeight w:val="216"/>
        </w:trPr>
        <w:tc>
          <w:tcPr>
            <w:tcW w:w="278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Income from operations</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31"/>
              <w:spacing w:after="0"/>
              <w:rPr>
                <w:sz w:val="20"/>
                <w:szCs w:val="20"/>
                <w:color w:val="auto"/>
              </w:rPr>
            </w:pPr>
            <w:r>
              <w:rPr>
                <w:rFonts w:ascii="Arial" w:cs="Arial" w:eastAsia="Arial" w:hAnsi="Arial"/>
                <w:sz w:val="18"/>
                <w:szCs w:val="18"/>
                <w:color w:val="auto"/>
              </w:rPr>
              <w:t>166,308</w:t>
            </w: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32"/>
              <w:spacing w:after="0"/>
              <w:rPr>
                <w:sz w:val="20"/>
                <w:szCs w:val="20"/>
                <w:color w:val="auto"/>
              </w:rPr>
            </w:pPr>
            <w:r>
              <w:rPr>
                <w:rFonts w:ascii="Arial" w:cs="Arial" w:eastAsia="Arial" w:hAnsi="Arial"/>
                <w:sz w:val="18"/>
                <w:szCs w:val="18"/>
                <w:color w:val="auto"/>
              </w:rPr>
              <w:t>140,836</w:t>
            </w:r>
          </w:p>
        </w:tc>
        <w:tc>
          <w:tcPr>
            <w:tcW w:w="18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51"/>
              <w:spacing w:after="0"/>
              <w:rPr>
                <w:sz w:val="20"/>
                <w:szCs w:val="20"/>
                <w:color w:val="auto"/>
              </w:rPr>
            </w:pPr>
            <w:r>
              <w:rPr>
                <w:rFonts w:ascii="Arial" w:cs="Arial" w:eastAsia="Arial" w:hAnsi="Arial"/>
                <w:sz w:val="18"/>
                <w:szCs w:val="18"/>
                <w:color w:val="auto"/>
              </w:rPr>
              <w:t>117,583</w:t>
            </w: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31"/>
              <w:spacing w:after="0"/>
              <w:rPr>
                <w:sz w:val="20"/>
                <w:szCs w:val="20"/>
                <w:color w:val="auto"/>
              </w:rPr>
            </w:pPr>
            <w:r>
              <w:rPr>
                <w:rFonts w:ascii="Arial" w:cs="Arial" w:eastAsia="Arial" w:hAnsi="Arial"/>
                <w:sz w:val="18"/>
                <w:szCs w:val="18"/>
                <w:color w:val="auto"/>
              </w:rPr>
              <w:t>104,247</w:t>
            </w:r>
          </w:p>
        </w:tc>
        <w:tc>
          <w:tcPr>
            <w:tcW w:w="16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114,897</w:t>
            </w:r>
          </w:p>
        </w:tc>
        <w:tc>
          <w:tcPr>
            <w:tcW w:w="0" w:type="dxa"/>
            <w:vAlign w:val="bottom"/>
          </w:tcPr>
          <w:p>
            <w:pPr>
              <w:spacing w:after="0"/>
              <w:rPr>
                <w:sz w:val="1"/>
                <w:szCs w:val="1"/>
                <w:color w:val="auto"/>
              </w:rPr>
            </w:pPr>
          </w:p>
        </w:tc>
      </w:tr>
      <w:tr>
        <w:trPr>
          <w:trHeight w:val="216"/>
        </w:trPr>
        <w:tc>
          <w:tcPr>
            <w:tcW w:w="2780" w:type="dxa"/>
            <w:vAlign w:val="bottom"/>
            <w:gridSpan w:val="2"/>
          </w:tcPr>
          <w:p>
            <w:pPr>
              <w:spacing w:after="0"/>
              <w:rPr>
                <w:sz w:val="20"/>
                <w:szCs w:val="20"/>
                <w:color w:val="auto"/>
              </w:rPr>
            </w:pPr>
            <w:r>
              <w:rPr>
                <w:rFonts w:ascii="Arial" w:cs="Arial" w:eastAsia="Arial" w:hAnsi="Arial"/>
                <w:sz w:val="16"/>
                <w:szCs w:val="16"/>
                <w:color w:val="auto"/>
              </w:rPr>
              <w:t>Net income</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40" w:type="dxa"/>
            <w:vAlign w:val="bottom"/>
          </w:tcPr>
          <w:p>
            <w:pPr>
              <w:jc w:val="right"/>
              <w:ind w:right="31"/>
              <w:spacing w:after="0"/>
              <w:rPr>
                <w:sz w:val="20"/>
                <w:szCs w:val="20"/>
                <w:color w:val="auto"/>
              </w:rPr>
            </w:pPr>
            <w:r>
              <w:rPr>
                <w:rFonts w:ascii="Arial" w:cs="Arial" w:eastAsia="Arial" w:hAnsi="Arial"/>
                <w:sz w:val="18"/>
                <w:szCs w:val="18"/>
                <w:color w:val="auto"/>
              </w:rPr>
              <w:t>96,620</w:t>
            </w:r>
          </w:p>
        </w:tc>
        <w:tc>
          <w:tcPr>
            <w:tcW w:w="160" w:type="dxa"/>
            <w:vAlign w:val="bottom"/>
          </w:tcPr>
          <w:p>
            <w:pPr>
              <w:spacing w:after="0"/>
              <w:rPr>
                <w:sz w:val="18"/>
                <w:szCs w:val="18"/>
                <w:color w:val="auto"/>
              </w:rPr>
            </w:pPr>
          </w:p>
        </w:tc>
        <w:tc>
          <w:tcPr>
            <w:tcW w:w="940" w:type="dxa"/>
            <w:vAlign w:val="bottom"/>
          </w:tcPr>
          <w:p>
            <w:pPr>
              <w:jc w:val="right"/>
              <w:ind w:right="32"/>
              <w:spacing w:after="0"/>
              <w:rPr>
                <w:sz w:val="20"/>
                <w:szCs w:val="20"/>
                <w:color w:val="auto"/>
              </w:rPr>
            </w:pPr>
            <w:r>
              <w:rPr>
                <w:rFonts w:ascii="Arial" w:cs="Arial" w:eastAsia="Arial" w:hAnsi="Arial"/>
                <w:sz w:val="18"/>
                <w:szCs w:val="18"/>
                <w:color w:val="auto"/>
              </w:rPr>
              <w:t>49,515</w:t>
            </w:r>
          </w:p>
        </w:tc>
        <w:tc>
          <w:tcPr>
            <w:tcW w:w="180" w:type="dxa"/>
            <w:vAlign w:val="bottom"/>
          </w:tcPr>
          <w:p>
            <w:pPr>
              <w:spacing w:after="0"/>
              <w:rPr>
                <w:sz w:val="18"/>
                <w:szCs w:val="18"/>
                <w:color w:val="auto"/>
              </w:rPr>
            </w:pPr>
          </w:p>
        </w:tc>
        <w:tc>
          <w:tcPr>
            <w:tcW w:w="940" w:type="dxa"/>
            <w:vAlign w:val="bottom"/>
          </w:tcPr>
          <w:p>
            <w:pPr>
              <w:jc w:val="right"/>
              <w:ind w:right="51"/>
              <w:spacing w:after="0"/>
              <w:rPr>
                <w:sz w:val="20"/>
                <w:szCs w:val="20"/>
                <w:color w:val="auto"/>
              </w:rPr>
            </w:pPr>
            <w:r>
              <w:rPr>
                <w:rFonts w:ascii="Arial" w:cs="Arial" w:eastAsia="Arial" w:hAnsi="Arial"/>
                <w:sz w:val="18"/>
                <w:szCs w:val="18"/>
                <w:color w:val="auto"/>
              </w:rPr>
              <w:t>4,156</w:t>
            </w:r>
          </w:p>
        </w:tc>
        <w:tc>
          <w:tcPr>
            <w:tcW w:w="160" w:type="dxa"/>
            <w:vAlign w:val="bottom"/>
          </w:tcPr>
          <w:p>
            <w:pPr>
              <w:spacing w:after="0"/>
              <w:rPr>
                <w:sz w:val="18"/>
                <w:szCs w:val="18"/>
                <w:color w:val="auto"/>
              </w:rPr>
            </w:pPr>
          </w:p>
        </w:tc>
        <w:tc>
          <w:tcPr>
            <w:tcW w:w="940" w:type="dxa"/>
            <w:vAlign w:val="bottom"/>
          </w:tcPr>
          <w:p>
            <w:pPr>
              <w:jc w:val="right"/>
              <w:ind w:right="31"/>
              <w:spacing w:after="0"/>
              <w:rPr>
                <w:sz w:val="20"/>
                <w:szCs w:val="20"/>
                <w:color w:val="auto"/>
              </w:rPr>
            </w:pPr>
            <w:r>
              <w:rPr>
                <w:rFonts w:ascii="Arial" w:cs="Arial" w:eastAsia="Arial" w:hAnsi="Arial"/>
                <w:sz w:val="18"/>
                <w:szCs w:val="18"/>
                <w:color w:val="auto"/>
              </w:rPr>
              <w:t>25,366</w:t>
            </w:r>
          </w:p>
        </w:tc>
        <w:tc>
          <w:tcPr>
            <w:tcW w:w="16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24,313</w:t>
            </w:r>
          </w:p>
        </w:tc>
        <w:tc>
          <w:tcPr>
            <w:tcW w:w="0" w:type="dxa"/>
            <w:vAlign w:val="bottom"/>
          </w:tcPr>
          <w:p>
            <w:pPr>
              <w:spacing w:after="0"/>
              <w:rPr>
                <w:sz w:val="1"/>
                <w:szCs w:val="1"/>
                <w:color w:val="auto"/>
              </w:rPr>
            </w:pPr>
          </w:p>
        </w:tc>
      </w:tr>
      <w:tr>
        <w:trPr>
          <w:trHeight w:val="193"/>
        </w:trPr>
        <w:tc>
          <w:tcPr>
            <w:tcW w:w="278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Less: Net income attributable to</w:t>
            </w:r>
          </w:p>
        </w:tc>
        <w:tc>
          <w:tcPr>
            <w:tcW w:w="1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94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(4,506)</w:t>
            </w:r>
          </w:p>
        </w:tc>
        <w:tc>
          <w:tcPr>
            <w:tcW w:w="160" w:type="dxa"/>
            <w:vAlign w:val="bottom"/>
            <w:shd w:val="clear" w:color="auto" w:fill="CCEEFF"/>
          </w:tcPr>
          <w:p>
            <w:pPr>
              <w:spacing w:after="0"/>
              <w:rPr>
                <w:sz w:val="16"/>
                <w:szCs w:val="16"/>
                <w:color w:val="auto"/>
              </w:rPr>
            </w:pPr>
          </w:p>
        </w:tc>
        <w:tc>
          <w:tcPr>
            <w:tcW w:w="94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(4,503)</w:t>
            </w:r>
          </w:p>
        </w:tc>
        <w:tc>
          <w:tcPr>
            <w:tcW w:w="180" w:type="dxa"/>
            <w:vAlign w:val="bottom"/>
            <w:shd w:val="clear" w:color="auto" w:fill="CCEEFF"/>
          </w:tcPr>
          <w:p>
            <w:pPr>
              <w:spacing w:after="0"/>
              <w:rPr>
                <w:sz w:val="16"/>
                <w:szCs w:val="16"/>
                <w:color w:val="auto"/>
              </w:rPr>
            </w:pPr>
          </w:p>
        </w:tc>
        <w:tc>
          <w:tcPr>
            <w:tcW w:w="94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(5,122)</w:t>
            </w:r>
          </w:p>
        </w:tc>
        <w:tc>
          <w:tcPr>
            <w:tcW w:w="160" w:type="dxa"/>
            <w:vAlign w:val="bottom"/>
            <w:shd w:val="clear" w:color="auto" w:fill="CCEEFF"/>
          </w:tcPr>
          <w:p>
            <w:pPr>
              <w:spacing w:after="0"/>
              <w:rPr>
                <w:sz w:val="16"/>
                <w:szCs w:val="16"/>
                <w:color w:val="auto"/>
              </w:rPr>
            </w:pPr>
          </w:p>
        </w:tc>
        <w:tc>
          <w:tcPr>
            <w:tcW w:w="94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(3,809)</w:t>
            </w:r>
          </w:p>
        </w:tc>
        <w:tc>
          <w:tcPr>
            <w:tcW w:w="160" w:type="dxa"/>
            <w:vAlign w:val="bottom"/>
            <w:shd w:val="clear" w:color="auto" w:fill="CCEEFF"/>
          </w:tcPr>
          <w:p>
            <w:pPr>
              <w:spacing w:after="0"/>
              <w:rPr>
                <w:sz w:val="16"/>
                <w:szCs w:val="16"/>
                <w:color w:val="auto"/>
              </w:rPr>
            </w:pPr>
          </w:p>
        </w:tc>
        <w:tc>
          <w:tcPr>
            <w:tcW w:w="88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(4,677)</w:t>
            </w:r>
          </w:p>
        </w:tc>
        <w:tc>
          <w:tcPr>
            <w:tcW w:w="0" w:type="dxa"/>
            <w:vAlign w:val="bottom"/>
          </w:tcPr>
          <w:p>
            <w:pPr>
              <w:spacing w:after="0"/>
              <w:rPr>
                <w:sz w:val="1"/>
                <w:szCs w:val="1"/>
                <w:color w:val="auto"/>
              </w:rPr>
            </w:pPr>
          </w:p>
        </w:tc>
      </w:tr>
      <w:tr>
        <w:trPr>
          <w:trHeight w:val="212"/>
        </w:trPr>
        <w:tc>
          <w:tcPr>
            <w:tcW w:w="278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noncontrolling interests</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40" w:type="dxa"/>
            <w:vAlign w:val="bottom"/>
            <w:vMerge w:val="continue"/>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40" w:type="dxa"/>
            <w:vAlign w:val="bottom"/>
            <w:vMerge w:val="continue"/>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40" w:type="dxa"/>
            <w:vAlign w:val="bottom"/>
            <w:vMerge w:val="continue"/>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40" w:type="dxa"/>
            <w:vAlign w:val="bottom"/>
            <w:vMerge w:val="continue"/>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80" w:type="dxa"/>
            <w:vAlign w:val="bottom"/>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3"/>
        </w:trPr>
        <w:tc>
          <w:tcPr>
            <w:tcW w:w="2780" w:type="dxa"/>
            <w:vAlign w:val="bottom"/>
            <w:gridSpan w:val="2"/>
          </w:tcPr>
          <w:p>
            <w:pPr>
              <w:spacing w:after="0"/>
              <w:rPr>
                <w:sz w:val="20"/>
                <w:szCs w:val="20"/>
                <w:color w:val="auto"/>
              </w:rPr>
            </w:pPr>
            <w:r>
              <w:rPr>
                <w:rFonts w:ascii="Arial" w:cs="Arial" w:eastAsia="Arial" w:hAnsi="Arial"/>
                <w:sz w:val="16"/>
                <w:szCs w:val="16"/>
                <w:color w:val="auto"/>
              </w:rPr>
              <w:t>Net income (loss) attributable to</w:t>
            </w:r>
          </w:p>
        </w:tc>
        <w:tc>
          <w:tcPr>
            <w:tcW w:w="1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940" w:type="dxa"/>
            <w:vAlign w:val="bottom"/>
            <w:vMerge w:val="restart"/>
          </w:tcPr>
          <w:p>
            <w:pPr>
              <w:jc w:val="right"/>
              <w:ind w:right="31"/>
              <w:spacing w:after="0"/>
              <w:rPr>
                <w:sz w:val="20"/>
                <w:szCs w:val="20"/>
                <w:color w:val="auto"/>
              </w:rPr>
            </w:pPr>
            <w:r>
              <w:rPr>
                <w:rFonts w:ascii="Arial" w:cs="Arial" w:eastAsia="Arial" w:hAnsi="Arial"/>
                <w:sz w:val="18"/>
                <w:szCs w:val="18"/>
                <w:color w:val="auto"/>
              </w:rPr>
              <w:t>92,114</w:t>
            </w:r>
          </w:p>
        </w:tc>
        <w:tc>
          <w:tcPr>
            <w:tcW w:w="160" w:type="dxa"/>
            <w:vAlign w:val="bottom"/>
          </w:tcPr>
          <w:p>
            <w:pPr>
              <w:spacing w:after="0"/>
              <w:rPr>
                <w:sz w:val="16"/>
                <w:szCs w:val="16"/>
                <w:color w:val="auto"/>
              </w:rPr>
            </w:pPr>
          </w:p>
        </w:tc>
        <w:tc>
          <w:tcPr>
            <w:tcW w:w="940" w:type="dxa"/>
            <w:vAlign w:val="bottom"/>
            <w:vMerge w:val="restart"/>
          </w:tcPr>
          <w:p>
            <w:pPr>
              <w:jc w:val="right"/>
              <w:ind w:right="32"/>
              <w:spacing w:after="0"/>
              <w:rPr>
                <w:sz w:val="20"/>
                <w:szCs w:val="20"/>
                <w:color w:val="auto"/>
              </w:rPr>
            </w:pPr>
            <w:r>
              <w:rPr>
                <w:rFonts w:ascii="Arial" w:cs="Arial" w:eastAsia="Arial" w:hAnsi="Arial"/>
                <w:sz w:val="18"/>
                <w:szCs w:val="18"/>
                <w:color w:val="auto"/>
              </w:rPr>
              <w:t>45,012</w:t>
            </w:r>
          </w:p>
        </w:tc>
        <w:tc>
          <w:tcPr>
            <w:tcW w:w="180" w:type="dxa"/>
            <w:vAlign w:val="bottom"/>
          </w:tcPr>
          <w:p>
            <w:pPr>
              <w:spacing w:after="0"/>
              <w:rPr>
                <w:sz w:val="16"/>
                <w:szCs w:val="16"/>
                <w:color w:val="auto"/>
              </w:rPr>
            </w:pPr>
          </w:p>
        </w:tc>
        <w:tc>
          <w:tcPr>
            <w:tcW w:w="940" w:type="dxa"/>
            <w:vAlign w:val="bottom"/>
            <w:vMerge w:val="restart"/>
          </w:tcPr>
          <w:p>
            <w:pPr>
              <w:jc w:val="right"/>
              <w:spacing w:after="0"/>
              <w:rPr>
                <w:sz w:val="20"/>
                <w:szCs w:val="20"/>
                <w:color w:val="auto"/>
              </w:rPr>
            </w:pPr>
            <w:r>
              <w:rPr>
                <w:rFonts w:ascii="Arial" w:cs="Arial" w:eastAsia="Arial" w:hAnsi="Arial"/>
                <w:sz w:val="18"/>
                <w:szCs w:val="18"/>
                <w:color w:val="auto"/>
              </w:rPr>
              <w:t>(966)</w:t>
            </w:r>
          </w:p>
        </w:tc>
        <w:tc>
          <w:tcPr>
            <w:tcW w:w="160" w:type="dxa"/>
            <w:vAlign w:val="bottom"/>
          </w:tcPr>
          <w:p>
            <w:pPr>
              <w:spacing w:after="0"/>
              <w:rPr>
                <w:sz w:val="16"/>
                <w:szCs w:val="16"/>
                <w:color w:val="auto"/>
              </w:rPr>
            </w:pPr>
          </w:p>
        </w:tc>
        <w:tc>
          <w:tcPr>
            <w:tcW w:w="940" w:type="dxa"/>
            <w:vAlign w:val="bottom"/>
            <w:vMerge w:val="restart"/>
          </w:tcPr>
          <w:p>
            <w:pPr>
              <w:jc w:val="right"/>
              <w:ind w:right="31"/>
              <w:spacing w:after="0"/>
              <w:rPr>
                <w:sz w:val="20"/>
                <w:szCs w:val="20"/>
                <w:color w:val="auto"/>
              </w:rPr>
            </w:pPr>
            <w:r>
              <w:rPr>
                <w:rFonts w:ascii="Arial" w:cs="Arial" w:eastAsia="Arial" w:hAnsi="Arial"/>
                <w:sz w:val="18"/>
                <w:szCs w:val="18"/>
                <w:color w:val="auto"/>
              </w:rPr>
              <w:t>21,557</w:t>
            </w:r>
          </w:p>
        </w:tc>
        <w:tc>
          <w:tcPr>
            <w:tcW w:w="160" w:type="dxa"/>
            <w:vAlign w:val="bottom"/>
          </w:tcPr>
          <w:p>
            <w:pPr>
              <w:spacing w:after="0"/>
              <w:rPr>
                <w:sz w:val="16"/>
                <w:szCs w:val="16"/>
                <w:color w:val="auto"/>
              </w:rPr>
            </w:pPr>
          </w:p>
        </w:tc>
        <w:tc>
          <w:tcPr>
            <w:tcW w:w="880" w:type="dxa"/>
            <w:vAlign w:val="bottom"/>
            <w:vMerge w:val="restart"/>
          </w:tcPr>
          <w:p>
            <w:pPr>
              <w:jc w:val="right"/>
              <w:spacing w:after="0"/>
              <w:rPr>
                <w:sz w:val="20"/>
                <w:szCs w:val="20"/>
                <w:color w:val="auto"/>
              </w:rPr>
            </w:pPr>
            <w:r>
              <w:rPr>
                <w:rFonts w:ascii="Arial" w:cs="Arial" w:eastAsia="Arial" w:hAnsi="Arial"/>
                <w:sz w:val="18"/>
                <w:szCs w:val="18"/>
                <w:color w:val="auto"/>
              </w:rPr>
              <w:t>19,636</w:t>
            </w:r>
          </w:p>
        </w:tc>
        <w:tc>
          <w:tcPr>
            <w:tcW w:w="0" w:type="dxa"/>
            <w:vAlign w:val="bottom"/>
          </w:tcPr>
          <w:p>
            <w:pPr>
              <w:spacing w:after="0"/>
              <w:rPr>
                <w:sz w:val="1"/>
                <w:szCs w:val="1"/>
                <w:color w:val="auto"/>
              </w:rPr>
            </w:pPr>
          </w:p>
        </w:tc>
      </w:tr>
      <w:tr>
        <w:trPr>
          <w:trHeight w:val="212"/>
        </w:trPr>
        <w:tc>
          <w:tcPr>
            <w:tcW w:w="2780" w:type="dxa"/>
            <w:vAlign w:val="bottom"/>
            <w:gridSpan w:val="2"/>
          </w:tcPr>
          <w:p>
            <w:pPr>
              <w:spacing w:after="0"/>
              <w:rPr>
                <w:sz w:val="20"/>
                <w:szCs w:val="20"/>
                <w:color w:val="auto"/>
              </w:rPr>
            </w:pPr>
            <w:r>
              <w:rPr>
                <w:rFonts w:ascii="Arial" w:cs="Arial" w:eastAsia="Arial" w:hAnsi="Arial"/>
                <w:sz w:val="16"/>
                <w:szCs w:val="16"/>
                <w:color w:val="auto"/>
              </w:rPr>
              <w:t>Acushnet Holdings Corp.</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40" w:type="dxa"/>
            <w:vAlign w:val="bottom"/>
            <w:vMerge w:val="continue"/>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vMerge w:val="continue"/>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vMerge w:val="continue"/>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vMerge w:val="continue"/>
          </w:tcPr>
          <w:p>
            <w:pPr>
              <w:spacing w:after="0"/>
              <w:rPr>
                <w:sz w:val="18"/>
                <w:szCs w:val="18"/>
                <w:color w:val="auto"/>
              </w:rPr>
            </w:pPr>
          </w:p>
        </w:tc>
        <w:tc>
          <w:tcPr>
            <w:tcW w:w="160" w:type="dxa"/>
            <w:vAlign w:val="bottom"/>
          </w:tcPr>
          <w:p>
            <w:pPr>
              <w:spacing w:after="0"/>
              <w:rPr>
                <w:sz w:val="18"/>
                <w:szCs w:val="18"/>
                <w:color w:val="auto"/>
              </w:rPr>
            </w:pPr>
          </w:p>
        </w:tc>
        <w:tc>
          <w:tcPr>
            <w:tcW w:w="88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93"/>
        </w:trPr>
        <w:tc>
          <w:tcPr>
            <w:tcW w:w="278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Dividends earned by preferred</w:t>
            </w:r>
          </w:p>
        </w:tc>
        <w:tc>
          <w:tcPr>
            <w:tcW w:w="1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940" w:type="dxa"/>
            <w:vAlign w:val="bottom"/>
            <w:vMerge w:val="restart"/>
            <w:shd w:val="clear" w:color="auto" w:fill="CCEEFF"/>
          </w:tcPr>
          <w:p>
            <w:pPr>
              <w:jc w:val="right"/>
              <w:ind w:right="31"/>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6"/>
                <w:szCs w:val="16"/>
                <w:color w:val="auto"/>
              </w:rPr>
            </w:pPr>
          </w:p>
        </w:tc>
        <w:tc>
          <w:tcPr>
            <w:tcW w:w="94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(11,576)</w:t>
            </w:r>
          </w:p>
        </w:tc>
        <w:tc>
          <w:tcPr>
            <w:tcW w:w="180" w:type="dxa"/>
            <w:vAlign w:val="bottom"/>
            <w:shd w:val="clear" w:color="auto" w:fill="CCEEFF"/>
          </w:tcPr>
          <w:p>
            <w:pPr>
              <w:spacing w:after="0"/>
              <w:rPr>
                <w:sz w:val="16"/>
                <w:szCs w:val="16"/>
                <w:color w:val="auto"/>
              </w:rPr>
            </w:pPr>
          </w:p>
        </w:tc>
        <w:tc>
          <w:tcPr>
            <w:tcW w:w="94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(13,785)</w:t>
            </w:r>
          </w:p>
        </w:tc>
        <w:tc>
          <w:tcPr>
            <w:tcW w:w="160" w:type="dxa"/>
            <w:vAlign w:val="bottom"/>
            <w:shd w:val="clear" w:color="auto" w:fill="CCEEFF"/>
          </w:tcPr>
          <w:p>
            <w:pPr>
              <w:spacing w:after="0"/>
              <w:rPr>
                <w:sz w:val="16"/>
                <w:szCs w:val="16"/>
                <w:color w:val="auto"/>
              </w:rPr>
            </w:pPr>
          </w:p>
        </w:tc>
        <w:tc>
          <w:tcPr>
            <w:tcW w:w="94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(13,785)</w:t>
            </w:r>
          </w:p>
        </w:tc>
        <w:tc>
          <w:tcPr>
            <w:tcW w:w="160" w:type="dxa"/>
            <w:vAlign w:val="bottom"/>
            <w:shd w:val="clear" w:color="auto" w:fill="CCEEFF"/>
          </w:tcPr>
          <w:p>
            <w:pPr>
              <w:spacing w:after="0"/>
              <w:rPr>
                <w:sz w:val="16"/>
                <w:szCs w:val="16"/>
                <w:color w:val="auto"/>
              </w:rPr>
            </w:pPr>
          </w:p>
        </w:tc>
        <w:tc>
          <w:tcPr>
            <w:tcW w:w="88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(13,785)</w:t>
            </w:r>
          </w:p>
        </w:tc>
        <w:tc>
          <w:tcPr>
            <w:tcW w:w="0" w:type="dxa"/>
            <w:vAlign w:val="bottom"/>
          </w:tcPr>
          <w:p>
            <w:pPr>
              <w:spacing w:after="0"/>
              <w:rPr>
                <w:sz w:val="1"/>
                <w:szCs w:val="1"/>
                <w:color w:val="auto"/>
              </w:rPr>
            </w:pPr>
          </w:p>
        </w:tc>
      </w:tr>
      <w:tr>
        <w:trPr>
          <w:trHeight w:val="212"/>
        </w:trPr>
        <w:tc>
          <w:tcPr>
            <w:tcW w:w="278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shareholders</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40" w:type="dxa"/>
            <w:vAlign w:val="bottom"/>
            <w:vMerge w:val="continue"/>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40" w:type="dxa"/>
            <w:vAlign w:val="bottom"/>
            <w:vMerge w:val="continue"/>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40" w:type="dxa"/>
            <w:vAlign w:val="bottom"/>
            <w:vMerge w:val="continue"/>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40" w:type="dxa"/>
            <w:vAlign w:val="bottom"/>
            <w:vMerge w:val="continue"/>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80" w:type="dxa"/>
            <w:vAlign w:val="bottom"/>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3"/>
        </w:trPr>
        <w:tc>
          <w:tcPr>
            <w:tcW w:w="2780" w:type="dxa"/>
            <w:vAlign w:val="bottom"/>
            <w:gridSpan w:val="2"/>
          </w:tcPr>
          <w:p>
            <w:pPr>
              <w:spacing w:after="0"/>
              <w:rPr>
                <w:sz w:val="20"/>
                <w:szCs w:val="20"/>
                <w:color w:val="auto"/>
              </w:rPr>
            </w:pPr>
            <w:r>
              <w:rPr>
                <w:rFonts w:ascii="Arial" w:cs="Arial" w:eastAsia="Arial" w:hAnsi="Arial"/>
                <w:sz w:val="16"/>
                <w:szCs w:val="16"/>
                <w:color w:val="auto"/>
              </w:rPr>
              <w:t>Allocation of undistributed earnings to</w:t>
            </w:r>
          </w:p>
        </w:tc>
        <w:tc>
          <w:tcPr>
            <w:tcW w:w="1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940" w:type="dxa"/>
            <w:vAlign w:val="bottom"/>
            <w:vMerge w:val="restart"/>
          </w:tcPr>
          <w:p>
            <w:pPr>
              <w:jc w:val="right"/>
              <w:ind w:right="31"/>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6"/>
                <w:szCs w:val="16"/>
                <w:color w:val="auto"/>
              </w:rPr>
            </w:pPr>
          </w:p>
        </w:tc>
        <w:tc>
          <w:tcPr>
            <w:tcW w:w="940" w:type="dxa"/>
            <w:vAlign w:val="bottom"/>
            <w:vMerge w:val="restart"/>
          </w:tcPr>
          <w:p>
            <w:pPr>
              <w:jc w:val="right"/>
              <w:spacing w:after="0"/>
              <w:rPr>
                <w:sz w:val="20"/>
                <w:szCs w:val="20"/>
                <w:color w:val="auto"/>
              </w:rPr>
            </w:pPr>
            <w:r>
              <w:rPr>
                <w:rFonts w:ascii="Arial" w:cs="Arial" w:eastAsia="Arial" w:hAnsi="Arial"/>
                <w:sz w:val="18"/>
                <w:szCs w:val="18"/>
                <w:color w:val="auto"/>
              </w:rPr>
              <w:t>(10,247)</w:t>
            </w:r>
          </w:p>
        </w:tc>
        <w:tc>
          <w:tcPr>
            <w:tcW w:w="180" w:type="dxa"/>
            <w:vAlign w:val="bottom"/>
          </w:tcPr>
          <w:p>
            <w:pPr>
              <w:spacing w:after="0"/>
              <w:rPr>
                <w:sz w:val="16"/>
                <w:szCs w:val="16"/>
                <w:color w:val="auto"/>
              </w:rPr>
            </w:pPr>
          </w:p>
        </w:tc>
        <w:tc>
          <w:tcPr>
            <w:tcW w:w="940" w:type="dxa"/>
            <w:vAlign w:val="bottom"/>
            <w:vMerge w:val="restart"/>
          </w:tcPr>
          <w:p>
            <w:pPr>
              <w:jc w:val="right"/>
              <w:ind w:right="51"/>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6"/>
                <w:szCs w:val="16"/>
                <w:color w:val="auto"/>
              </w:rPr>
            </w:pPr>
          </w:p>
        </w:tc>
        <w:tc>
          <w:tcPr>
            <w:tcW w:w="940" w:type="dxa"/>
            <w:vAlign w:val="bottom"/>
            <w:vMerge w:val="restart"/>
          </w:tcPr>
          <w:p>
            <w:pPr>
              <w:jc w:val="right"/>
              <w:spacing w:after="0"/>
              <w:rPr>
                <w:sz w:val="20"/>
                <w:szCs w:val="20"/>
                <w:color w:val="auto"/>
              </w:rPr>
            </w:pPr>
            <w:r>
              <w:rPr>
                <w:rFonts w:ascii="Arial" w:cs="Arial" w:eastAsia="Arial" w:hAnsi="Arial"/>
                <w:sz w:val="18"/>
                <w:szCs w:val="18"/>
                <w:color w:val="auto"/>
              </w:rPr>
              <w:t>(3,866)</w:t>
            </w:r>
          </w:p>
        </w:tc>
        <w:tc>
          <w:tcPr>
            <w:tcW w:w="160" w:type="dxa"/>
            <w:vAlign w:val="bottom"/>
          </w:tcPr>
          <w:p>
            <w:pPr>
              <w:spacing w:after="0"/>
              <w:rPr>
                <w:sz w:val="16"/>
                <w:szCs w:val="16"/>
                <w:color w:val="auto"/>
              </w:rPr>
            </w:pPr>
          </w:p>
        </w:tc>
        <w:tc>
          <w:tcPr>
            <w:tcW w:w="880" w:type="dxa"/>
            <w:vAlign w:val="bottom"/>
            <w:vMerge w:val="restart"/>
          </w:tcPr>
          <w:p>
            <w:pPr>
              <w:jc w:val="right"/>
              <w:spacing w:after="0"/>
              <w:rPr>
                <w:sz w:val="20"/>
                <w:szCs w:val="20"/>
                <w:color w:val="auto"/>
              </w:rPr>
            </w:pPr>
            <w:r>
              <w:rPr>
                <w:rFonts w:ascii="Arial" w:cs="Arial" w:eastAsia="Arial" w:hAnsi="Arial"/>
                <w:sz w:val="18"/>
                <w:szCs w:val="18"/>
                <w:color w:val="auto"/>
              </w:rPr>
              <w:t>(3,225)</w:t>
            </w:r>
          </w:p>
        </w:tc>
        <w:tc>
          <w:tcPr>
            <w:tcW w:w="0" w:type="dxa"/>
            <w:vAlign w:val="bottom"/>
          </w:tcPr>
          <w:p>
            <w:pPr>
              <w:spacing w:after="0"/>
              <w:rPr>
                <w:sz w:val="1"/>
                <w:szCs w:val="1"/>
                <w:color w:val="auto"/>
              </w:rPr>
            </w:pPr>
          </w:p>
        </w:tc>
      </w:tr>
      <w:tr>
        <w:trPr>
          <w:trHeight w:val="212"/>
        </w:trPr>
        <w:tc>
          <w:tcPr>
            <w:tcW w:w="2780" w:type="dxa"/>
            <w:vAlign w:val="bottom"/>
            <w:gridSpan w:val="2"/>
          </w:tcPr>
          <w:p>
            <w:pPr>
              <w:spacing w:after="0"/>
              <w:rPr>
                <w:sz w:val="20"/>
                <w:szCs w:val="20"/>
                <w:color w:val="auto"/>
              </w:rPr>
            </w:pPr>
            <w:r>
              <w:rPr>
                <w:rFonts w:ascii="Arial" w:cs="Arial" w:eastAsia="Arial" w:hAnsi="Arial"/>
                <w:sz w:val="16"/>
                <w:szCs w:val="16"/>
                <w:color w:val="auto"/>
              </w:rPr>
              <w:t>preferred shareholders</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40" w:type="dxa"/>
            <w:vAlign w:val="bottom"/>
            <w:vMerge w:val="continue"/>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vMerge w:val="continue"/>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vMerge w:val="continue"/>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vMerge w:val="continue"/>
          </w:tcPr>
          <w:p>
            <w:pPr>
              <w:spacing w:after="0"/>
              <w:rPr>
                <w:sz w:val="18"/>
                <w:szCs w:val="18"/>
                <w:color w:val="auto"/>
              </w:rPr>
            </w:pPr>
          </w:p>
        </w:tc>
        <w:tc>
          <w:tcPr>
            <w:tcW w:w="160" w:type="dxa"/>
            <w:vAlign w:val="bottom"/>
          </w:tcPr>
          <w:p>
            <w:pPr>
              <w:spacing w:after="0"/>
              <w:rPr>
                <w:sz w:val="18"/>
                <w:szCs w:val="18"/>
                <w:color w:val="auto"/>
              </w:rPr>
            </w:pPr>
          </w:p>
        </w:tc>
        <w:tc>
          <w:tcPr>
            <w:tcW w:w="88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93"/>
        </w:trPr>
        <w:tc>
          <w:tcPr>
            <w:tcW w:w="2780" w:type="dxa"/>
            <w:vAlign w:val="bottom"/>
            <w:gridSpan w:val="2"/>
            <w:shd w:val="clear" w:color="auto" w:fill="CCEEFF"/>
          </w:tcPr>
          <w:p>
            <w:pPr>
              <w:spacing w:after="0"/>
              <w:rPr>
                <w:sz w:val="20"/>
                <w:szCs w:val="20"/>
                <w:color w:val="auto"/>
              </w:rPr>
            </w:pPr>
            <w:r>
              <w:rPr>
                <w:rFonts w:ascii="Arial" w:cs="Arial" w:eastAsia="Arial" w:hAnsi="Arial"/>
                <w:sz w:val="16"/>
                <w:szCs w:val="16"/>
                <w:color w:val="auto"/>
                <w:w w:val="94"/>
              </w:rPr>
              <w:t>Net income (loss) attributable to common</w:t>
            </w:r>
          </w:p>
        </w:tc>
        <w:tc>
          <w:tcPr>
            <w:tcW w:w="1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940" w:type="dxa"/>
            <w:vAlign w:val="bottom"/>
            <w:vMerge w:val="restart"/>
            <w:shd w:val="clear" w:color="auto" w:fill="CCEEFF"/>
          </w:tcPr>
          <w:p>
            <w:pPr>
              <w:jc w:val="right"/>
              <w:ind w:right="31"/>
              <w:spacing w:after="0"/>
              <w:rPr>
                <w:sz w:val="20"/>
                <w:szCs w:val="20"/>
                <w:color w:val="auto"/>
              </w:rPr>
            </w:pPr>
            <w:r>
              <w:rPr>
                <w:rFonts w:ascii="Arial" w:cs="Arial" w:eastAsia="Arial" w:hAnsi="Arial"/>
                <w:sz w:val="18"/>
                <w:szCs w:val="18"/>
                <w:color w:val="auto"/>
              </w:rPr>
              <w:t>92,114</w:t>
            </w:r>
          </w:p>
        </w:tc>
        <w:tc>
          <w:tcPr>
            <w:tcW w:w="160" w:type="dxa"/>
            <w:vAlign w:val="bottom"/>
            <w:shd w:val="clear" w:color="auto" w:fill="CCEEFF"/>
          </w:tcPr>
          <w:p>
            <w:pPr>
              <w:spacing w:after="0"/>
              <w:rPr>
                <w:sz w:val="16"/>
                <w:szCs w:val="16"/>
                <w:color w:val="auto"/>
              </w:rPr>
            </w:pPr>
          </w:p>
        </w:tc>
        <w:tc>
          <w:tcPr>
            <w:tcW w:w="940" w:type="dxa"/>
            <w:vAlign w:val="bottom"/>
            <w:vMerge w:val="restart"/>
            <w:shd w:val="clear" w:color="auto" w:fill="CCEEFF"/>
          </w:tcPr>
          <w:p>
            <w:pPr>
              <w:jc w:val="right"/>
              <w:ind w:right="32"/>
              <w:spacing w:after="0"/>
              <w:rPr>
                <w:sz w:val="20"/>
                <w:szCs w:val="20"/>
                <w:color w:val="auto"/>
              </w:rPr>
            </w:pPr>
            <w:r>
              <w:rPr>
                <w:rFonts w:ascii="Arial" w:cs="Arial" w:eastAsia="Arial" w:hAnsi="Arial"/>
                <w:sz w:val="18"/>
                <w:szCs w:val="18"/>
                <w:color w:val="auto"/>
              </w:rPr>
              <w:t>23,189</w:t>
            </w:r>
          </w:p>
        </w:tc>
        <w:tc>
          <w:tcPr>
            <w:tcW w:w="180" w:type="dxa"/>
            <w:vAlign w:val="bottom"/>
            <w:shd w:val="clear" w:color="auto" w:fill="CCEEFF"/>
          </w:tcPr>
          <w:p>
            <w:pPr>
              <w:spacing w:after="0"/>
              <w:rPr>
                <w:sz w:val="16"/>
                <w:szCs w:val="16"/>
                <w:color w:val="auto"/>
              </w:rPr>
            </w:pPr>
          </w:p>
        </w:tc>
        <w:tc>
          <w:tcPr>
            <w:tcW w:w="94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(14,751)</w:t>
            </w:r>
          </w:p>
        </w:tc>
        <w:tc>
          <w:tcPr>
            <w:tcW w:w="160" w:type="dxa"/>
            <w:vAlign w:val="bottom"/>
            <w:shd w:val="clear" w:color="auto" w:fill="CCEEFF"/>
          </w:tcPr>
          <w:p>
            <w:pPr>
              <w:spacing w:after="0"/>
              <w:rPr>
                <w:sz w:val="16"/>
                <w:szCs w:val="16"/>
                <w:color w:val="auto"/>
              </w:rPr>
            </w:pPr>
          </w:p>
        </w:tc>
        <w:tc>
          <w:tcPr>
            <w:tcW w:w="940" w:type="dxa"/>
            <w:vAlign w:val="bottom"/>
            <w:vMerge w:val="restart"/>
            <w:shd w:val="clear" w:color="auto" w:fill="CCEEFF"/>
          </w:tcPr>
          <w:p>
            <w:pPr>
              <w:jc w:val="right"/>
              <w:ind w:right="31"/>
              <w:spacing w:after="0"/>
              <w:rPr>
                <w:sz w:val="20"/>
                <w:szCs w:val="20"/>
                <w:color w:val="auto"/>
              </w:rPr>
            </w:pPr>
            <w:r>
              <w:rPr>
                <w:rFonts w:ascii="Arial" w:cs="Arial" w:eastAsia="Arial" w:hAnsi="Arial"/>
                <w:sz w:val="18"/>
                <w:szCs w:val="18"/>
                <w:color w:val="auto"/>
              </w:rPr>
              <w:t>3,906</w:t>
            </w:r>
          </w:p>
        </w:tc>
        <w:tc>
          <w:tcPr>
            <w:tcW w:w="160" w:type="dxa"/>
            <w:vAlign w:val="bottom"/>
            <w:shd w:val="clear" w:color="auto" w:fill="CCEEFF"/>
          </w:tcPr>
          <w:p>
            <w:pPr>
              <w:spacing w:after="0"/>
              <w:rPr>
                <w:sz w:val="16"/>
                <w:szCs w:val="16"/>
                <w:color w:val="auto"/>
              </w:rPr>
            </w:pPr>
          </w:p>
        </w:tc>
        <w:tc>
          <w:tcPr>
            <w:tcW w:w="88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2,626</w:t>
            </w:r>
          </w:p>
        </w:tc>
        <w:tc>
          <w:tcPr>
            <w:tcW w:w="0" w:type="dxa"/>
            <w:vAlign w:val="bottom"/>
          </w:tcPr>
          <w:p>
            <w:pPr>
              <w:spacing w:after="0"/>
              <w:rPr>
                <w:sz w:val="1"/>
                <w:szCs w:val="1"/>
                <w:color w:val="auto"/>
              </w:rPr>
            </w:pPr>
          </w:p>
        </w:tc>
      </w:tr>
      <w:tr>
        <w:trPr>
          <w:trHeight w:val="212"/>
        </w:trPr>
        <w:tc>
          <w:tcPr>
            <w:tcW w:w="278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shareholders—basic</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40" w:type="dxa"/>
            <w:vAlign w:val="bottom"/>
            <w:vMerge w:val="continue"/>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40" w:type="dxa"/>
            <w:vAlign w:val="bottom"/>
            <w:vMerge w:val="continue"/>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40" w:type="dxa"/>
            <w:vAlign w:val="bottom"/>
            <w:vMerge w:val="continue"/>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40" w:type="dxa"/>
            <w:vAlign w:val="bottom"/>
            <w:vMerge w:val="continue"/>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80" w:type="dxa"/>
            <w:vAlign w:val="bottom"/>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3"/>
        </w:trPr>
        <w:tc>
          <w:tcPr>
            <w:tcW w:w="2780" w:type="dxa"/>
            <w:vAlign w:val="bottom"/>
            <w:gridSpan w:val="2"/>
          </w:tcPr>
          <w:p>
            <w:pPr>
              <w:spacing w:after="0"/>
              <w:rPr>
                <w:sz w:val="20"/>
                <w:szCs w:val="20"/>
                <w:color w:val="auto"/>
              </w:rPr>
            </w:pPr>
            <w:r>
              <w:rPr>
                <w:rFonts w:ascii="Arial" w:cs="Arial" w:eastAsia="Arial" w:hAnsi="Arial"/>
                <w:sz w:val="16"/>
                <w:szCs w:val="16"/>
                <w:color w:val="auto"/>
                <w:w w:val="94"/>
              </w:rPr>
              <w:t>Net income (loss) attributable to common</w:t>
            </w:r>
          </w:p>
        </w:tc>
        <w:tc>
          <w:tcPr>
            <w:tcW w:w="1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940" w:type="dxa"/>
            <w:vAlign w:val="bottom"/>
            <w:vMerge w:val="restart"/>
          </w:tcPr>
          <w:p>
            <w:pPr>
              <w:jc w:val="right"/>
              <w:ind w:right="31"/>
              <w:spacing w:after="0"/>
              <w:rPr>
                <w:sz w:val="20"/>
                <w:szCs w:val="20"/>
                <w:color w:val="auto"/>
              </w:rPr>
            </w:pPr>
            <w:r>
              <w:rPr>
                <w:rFonts w:ascii="Arial" w:cs="Arial" w:eastAsia="Arial" w:hAnsi="Arial"/>
                <w:sz w:val="18"/>
                <w:szCs w:val="18"/>
                <w:color w:val="auto"/>
              </w:rPr>
              <w:t>92,114</w:t>
            </w:r>
          </w:p>
        </w:tc>
        <w:tc>
          <w:tcPr>
            <w:tcW w:w="160" w:type="dxa"/>
            <w:vAlign w:val="bottom"/>
          </w:tcPr>
          <w:p>
            <w:pPr>
              <w:spacing w:after="0"/>
              <w:rPr>
                <w:sz w:val="16"/>
                <w:szCs w:val="16"/>
                <w:color w:val="auto"/>
              </w:rPr>
            </w:pPr>
          </w:p>
        </w:tc>
        <w:tc>
          <w:tcPr>
            <w:tcW w:w="940" w:type="dxa"/>
            <w:vAlign w:val="bottom"/>
            <w:vMerge w:val="restart"/>
          </w:tcPr>
          <w:p>
            <w:pPr>
              <w:jc w:val="right"/>
              <w:ind w:right="32"/>
              <w:spacing w:after="0"/>
              <w:rPr>
                <w:sz w:val="20"/>
                <w:szCs w:val="20"/>
                <w:color w:val="auto"/>
              </w:rPr>
            </w:pPr>
            <w:r>
              <w:rPr>
                <w:rFonts w:ascii="Arial" w:cs="Arial" w:eastAsia="Arial" w:hAnsi="Arial"/>
                <w:sz w:val="18"/>
                <w:szCs w:val="18"/>
                <w:color w:val="auto"/>
              </w:rPr>
              <w:t>39,664</w:t>
            </w:r>
          </w:p>
        </w:tc>
        <w:tc>
          <w:tcPr>
            <w:tcW w:w="180" w:type="dxa"/>
            <w:vAlign w:val="bottom"/>
          </w:tcPr>
          <w:p>
            <w:pPr>
              <w:spacing w:after="0"/>
              <w:rPr>
                <w:sz w:val="16"/>
                <w:szCs w:val="16"/>
                <w:color w:val="auto"/>
              </w:rPr>
            </w:pPr>
          </w:p>
        </w:tc>
        <w:tc>
          <w:tcPr>
            <w:tcW w:w="940" w:type="dxa"/>
            <w:vAlign w:val="bottom"/>
            <w:vMerge w:val="restart"/>
          </w:tcPr>
          <w:p>
            <w:pPr>
              <w:jc w:val="right"/>
              <w:spacing w:after="0"/>
              <w:rPr>
                <w:sz w:val="20"/>
                <w:szCs w:val="20"/>
                <w:color w:val="auto"/>
              </w:rPr>
            </w:pPr>
            <w:r>
              <w:rPr>
                <w:rFonts w:ascii="Arial" w:cs="Arial" w:eastAsia="Arial" w:hAnsi="Arial"/>
                <w:sz w:val="18"/>
                <w:szCs w:val="18"/>
                <w:color w:val="auto"/>
              </w:rPr>
              <w:t>(14,751)</w:t>
            </w:r>
          </w:p>
        </w:tc>
        <w:tc>
          <w:tcPr>
            <w:tcW w:w="160" w:type="dxa"/>
            <w:vAlign w:val="bottom"/>
          </w:tcPr>
          <w:p>
            <w:pPr>
              <w:spacing w:after="0"/>
              <w:rPr>
                <w:sz w:val="16"/>
                <w:szCs w:val="16"/>
                <w:color w:val="auto"/>
              </w:rPr>
            </w:pPr>
          </w:p>
        </w:tc>
        <w:tc>
          <w:tcPr>
            <w:tcW w:w="940" w:type="dxa"/>
            <w:vAlign w:val="bottom"/>
            <w:vMerge w:val="restart"/>
          </w:tcPr>
          <w:p>
            <w:pPr>
              <w:jc w:val="right"/>
              <w:ind w:right="31"/>
              <w:spacing w:after="0"/>
              <w:rPr>
                <w:sz w:val="20"/>
                <w:szCs w:val="20"/>
                <w:color w:val="auto"/>
              </w:rPr>
            </w:pPr>
            <w:r>
              <w:rPr>
                <w:rFonts w:ascii="Arial" w:cs="Arial" w:eastAsia="Arial" w:hAnsi="Arial"/>
                <w:sz w:val="18"/>
                <w:szCs w:val="18"/>
                <w:color w:val="auto"/>
              </w:rPr>
              <w:t>3,906</w:t>
            </w:r>
          </w:p>
        </w:tc>
        <w:tc>
          <w:tcPr>
            <w:tcW w:w="160" w:type="dxa"/>
            <w:vAlign w:val="bottom"/>
          </w:tcPr>
          <w:p>
            <w:pPr>
              <w:spacing w:after="0"/>
              <w:rPr>
                <w:sz w:val="16"/>
                <w:szCs w:val="16"/>
                <w:color w:val="auto"/>
              </w:rPr>
            </w:pPr>
          </w:p>
        </w:tc>
        <w:tc>
          <w:tcPr>
            <w:tcW w:w="880" w:type="dxa"/>
            <w:vAlign w:val="bottom"/>
            <w:vMerge w:val="restart"/>
          </w:tcPr>
          <w:p>
            <w:pPr>
              <w:jc w:val="right"/>
              <w:spacing w:after="0"/>
              <w:rPr>
                <w:sz w:val="20"/>
                <w:szCs w:val="20"/>
                <w:color w:val="auto"/>
              </w:rPr>
            </w:pPr>
            <w:r>
              <w:rPr>
                <w:rFonts w:ascii="Arial" w:cs="Arial" w:eastAsia="Arial" w:hAnsi="Arial"/>
                <w:sz w:val="18"/>
                <w:szCs w:val="18"/>
                <w:color w:val="auto"/>
              </w:rPr>
              <w:t>2,626</w:t>
            </w:r>
          </w:p>
        </w:tc>
        <w:tc>
          <w:tcPr>
            <w:tcW w:w="0" w:type="dxa"/>
            <w:vAlign w:val="bottom"/>
          </w:tcPr>
          <w:p>
            <w:pPr>
              <w:spacing w:after="0"/>
              <w:rPr>
                <w:sz w:val="1"/>
                <w:szCs w:val="1"/>
                <w:color w:val="auto"/>
              </w:rPr>
            </w:pPr>
          </w:p>
        </w:tc>
      </w:tr>
      <w:tr>
        <w:trPr>
          <w:trHeight w:val="212"/>
        </w:trPr>
        <w:tc>
          <w:tcPr>
            <w:tcW w:w="2780" w:type="dxa"/>
            <w:vAlign w:val="bottom"/>
            <w:gridSpan w:val="2"/>
          </w:tcPr>
          <w:p>
            <w:pPr>
              <w:spacing w:after="0"/>
              <w:rPr>
                <w:sz w:val="20"/>
                <w:szCs w:val="20"/>
                <w:color w:val="auto"/>
              </w:rPr>
            </w:pPr>
            <w:r>
              <w:rPr>
                <w:rFonts w:ascii="Arial" w:cs="Arial" w:eastAsia="Arial" w:hAnsi="Arial"/>
                <w:sz w:val="16"/>
                <w:szCs w:val="16"/>
                <w:color w:val="auto"/>
              </w:rPr>
              <w:t>shareholders—diluted(1)</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40" w:type="dxa"/>
            <w:vAlign w:val="bottom"/>
            <w:vMerge w:val="continue"/>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vMerge w:val="continue"/>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vMerge w:val="continue"/>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vMerge w:val="continue"/>
          </w:tcPr>
          <w:p>
            <w:pPr>
              <w:spacing w:after="0"/>
              <w:rPr>
                <w:sz w:val="18"/>
                <w:szCs w:val="18"/>
                <w:color w:val="auto"/>
              </w:rPr>
            </w:pPr>
          </w:p>
        </w:tc>
        <w:tc>
          <w:tcPr>
            <w:tcW w:w="160" w:type="dxa"/>
            <w:vAlign w:val="bottom"/>
          </w:tcPr>
          <w:p>
            <w:pPr>
              <w:spacing w:after="0"/>
              <w:rPr>
                <w:sz w:val="18"/>
                <w:szCs w:val="18"/>
                <w:color w:val="auto"/>
              </w:rPr>
            </w:pPr>
          </w:p>
        </w:tc>
        <w:tc>
          <w:tcPr>
            <w:tcW w:w="88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2780" w:type="dxa"/>
            <w:vAlign w:val="bottom"/>
            <w:gridSpan w:val="2"/>
            <w:shd w:val="clear" w:color="auto" w:fill="CCEEFF"/>
          </w:tcPr>
          <w:p>
            <w:pPr>
              <w:spacing w:after="0"/>
              <w:rPr>
                <w:sz w:val="20"/>
                <w:szCs w:val="20"/>
                <w:color w:val="auto"/>
              </w:rPr>
            </w:pPr>
            <w:r>
              <w:rPr>
                <w:rFonts w:ascii="Arial" w:cs="Arial" w:eastAsia="Arial" w:hAnsi="Arial"/>
                <w:sz w:val="16"/>
                <w:szCs w:val="16"/>
                <w:b w:val="1"/>
                <w:bCs w:val="1"/>
                <w:color w:val="auto"/>
              </w:rPr>
              <w:t>Per Share Data:</w:t>
            </w: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3"/>
        </w:trPr>
        <w:tc>
          <w:tcPr>
            <w:tcW w:w="2780" w:type="dxa"/>
            <w:vAlign w:val="bottom"/>
            <w:gridSpan w:val="2"/>
          </w:tcPr>
          <w:p>
            <w:pPr>
              <w:spacing w:after="0"/>
              <w:rPr>
                <w:sz w:val="20"/>
                <w:szCs w:val="20"/>
                <w:color w:val="auto"/>
              </w:rPr>
            </w:pPr>
            <w:r>
              <w:rPr>
                <w:rFonts w:ascii="Arial" w:cs="Arial" w:eastAsia="Arial" w:hAnsi="Arial"/>
                <w:sz w:val="16"/>
                <w:szCs w:val="16"/>
                <w:color w:val="auto"/>
              </w:rPr>
              <w:t>Net income (loss) per common share</w:t>
            </w:r>
          </w:p>
        </w:tc>
        <w:tc>
          <w:tcPr>
            <w:tcW w:w="1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2780" w:type="dxa"/>
            <w:vAlign w:val="bottom"/>
            <w:gridSpan w:val="2"/>
          </w:tcPr>
          <w:p>
            <w:pPr>
              <w:spacing w:after="0"/>
              <w:rPr>
                <w:sz w:val="20"/>
                <w:szCs w:val="20"/>
                <w:color w:val="auto"/>
              </w:rPr>
            </w:pPr>
            <w:r>
              <w:rPr>
                <w:rFonts w:ascii="Arial" w:cs="Arial" w:eastAsia="Arial" w:hAnsi="Arial"/>
                <w:sz w:val="16"/>
                <w:szCs w:val="16"/>
                <w:color w:val="auto"/>
                <w:w w:val="99"/>
              </w:rPr>
              <w:t>attributable to Acushnet Holdings Corp.</w:t>
            </w:r>
          </w:p>
        </w:tc>
        <w:tc>
          <w:tcPr>
            <w:tcW w:w="180" w:type="dxa"/>
            <w:vAlign w:val="bottom"/>
            <w:gridSpan w:val="2"/>
            <w:vMerge w:val="restart"/>
          </w:tcPr>
          <w:p>
            <w:pPr>
              <w:jc w:val="right"/>
              <w:spacing w:after="0"/>
              <w:rPr>
                <w:sz w:val="20"/>
                <w:szCs w:val="20"/>
                <w:color w:val="auto"/>
              </w:rPr>
            </w:pPr>
            <w:r>
              <w:rPr>
                <w:rFonts w:ascii="Arial" w:cs="Arial" w:eastAsia="Arial" w:hAnsi="Arial"/>
                <w:sz w:val="18"/>
                <w:szCs w:val="18"/>
                <w:color w:val="auto"/>
              </w:rPr>
              <w:t>$</w:t>
            </w:r>
          </w:p>
        </w:tc>
        <w:tc>
          <w:tcPr>
            <w:tcW w:w="940" w:type="dxa"/>
            <w:vAlign w:val="bottom"/>
            <w:vMerge w:val="restart"/>
          </w:tcPr>
          <w:p>
            <w:pPr>
              <w:jc w:val="right"/>
              <w:ind w:right="31"/>
              <w:spacing w:after="0"/>
              <w:rPr>
                <w:sz w:val="20"/>
                <w:szCs w:val="20"/>
                <w:color w:val="auto"/>
              </w:rPr>
            </w:pPr>
            <w:r>
              <w:rPr>
                <w:rFonts w:ascii="Arial" w:cs="Arial" w:eastAsia="Arial" w:hAnsi="Arial"/>
                <w:sz w:val="18"/>
                <w:szCs w:val="18"/>
                <w:color w:val="auto"/>
              </w:rPr>
              <w:t>1.24</w:t>
            </w:r>
          </w:p>
        </w:tc>
        <w:tc>
          <w:tcPr>
            <w:tcW w:w="160" w:type="dxa"/>
            <w:vAlign w:val="bottom"/>
            <w:vMerge w:val="restart"/>
          </w:tcPr>
          <w:p>
            <w:pPr>
              <w:jc w:val="right"/>
              <w:spacing w:after="0"/>
              <w:rPr>
                <w:sz w:val="20"/>
                <w:szCs w:val="20"/>
                <w:color w:val="auto"/>
              </w:rPr>
            </w:pPr>
            <w:r>
              <w:rPr>
                <w:rFonts w:ascii="Arial" w:cs="Arial" w:eastAsia="Arial" w:hAnsi="Arial"/>
                <w:sz w:val="18"/>
                <w:szCs w:val="18"/>
                <w:color w:val="auto"/>
              </w:rPr>
              <w:t>$</w:t>
            </w:r>
          </w:p>
        </w:tc>
        <w:tc>
          <w:tcPr>
            <w:tcW w:w="940" w:type="dxa"/>
            <w:vAlign w:val="bottom"/>
            <w:vMerge w:val="restart"/>
          </w:tcPr>
          <w:p>
            <w:pPr>
              <w:jc w:val="right"/>
              <w:ind w:right="32"/>
              <w:spacing w:after="0"/>
              <w:rPr>
                <w:sz w:val="20"/>
                <w:szCs w:val="20"/>
                <w:color w:val="auto"/>
              </w:rPr>
            </w:pPr>
            <w:r>
              <w:rPr>
                <w:rFonts w:ascii="Arial" w:cs="Arial" w:eastAsia="Arial" w:hAnsi="Arial"/>
                <w:sz w:val="18"/>
                <w:szCs w:val="18"/>
                <w:color w:val="auto"/>
              </w:rPr>
              <w:t>0.74</w:t>
            </w:r>
          </w:p>
        </w:tc>
        <w:tc>
          <w:tcPr>
            <w:tcW w:w="180" w:type="dxa"/>
            <w:vAlign w:val="bottom"/>
            <w:vMerge w:val="restart"/>
          </w:tcPr>
          <w:p>
            <w:pPr>
              <w:jc w:val="right"/>
              <w:spacing w:after="0"/>
              <w:rPr>
                <w:sz w:val="20"/>
                <w:szCs w:val="20"/>
                <w:color w:val="auto"/>
              </w:rPr>
            </w:pPr>
            <w:r>
              <w:rPr>
                <w:rFonts w:ascii="Arial" w:cs="Arial" w:eastAsia="Arial" w:hAnsi="Arial"/>
                <w:sz w:val="18"/>
                <w:szCs w:val="18"/>
                <w:color w:val="auto"/>
              </w:rPr>
              <w:t>$</w:t>
            </w:r>
          </w:p>
        </w:tc>
        <w:tc>
          <w:tcPr>
            <w:tcW w:w="940" w:type="dxa"/>
            <w:vAlign w:val="bottom"/>
            <w:vMerge w:val="restart"/>
          </w:tcPr>
          <w:p>
            <w:pPr>
              <w:jc w:val="right"/>
              <w:spacing w:after="0"/>
              <w:rPr>
                <w:sz w:val="20"/>
                <w:szCs w:val="20"/>
                <w:color w:val="auto"/>
              </w:rPr>
            </w:pPr>
            <w:r>
              <w:rPr>
                <w:rFonts w:ascii="Arial" w:cs="Arial" w:eastAsia="Arial" w:hAnsi="Arial"/>
                <w:sz w:val="18"/>
                <w:szCs w:val="18"/>
                <w:color w:val="auto"/>
              </w:rPr>
              <w:t>(0.74)</w:t>
            </w:r>
          </w:p>
        </w:tc>
        <w:tc>
          <w:tcPr>
            <w:tcW w:w="160" w:type="dxa"/>
            <w:vAlign w:val="bottom"/>
            <w:vMerge w:val="restart"/>
          </w:tcPr>
          <w:p>
            <w:pPr>
              <w:jc w:val="right"/>
              <w:spacing w:after="0"/>
              <w:rPr>
                <w:sz w:val="20"/>
                <w:szCs w:val="20"/>
                <w:color w:val="auto"/>
              </w:rPr>
            </w:pPr>
            <w:r>
              <w:rPr>
                <w:rFonts w:ascii="Arial" w:cs="Arial" w:eastAsia="Arial" w:hAnsi="Arial"/>
                <w:sz w:val="18"/>
                <w:szCs w:val="18"/>
                <w:color w:val="auto"/>
              </w:rPr>
              <w:t>$</w:t>
            </w:r>
          </w:p>
        </w:tc>
        <w:tc>
          <w:tcPr>
            <w:tcW w:w="940" w:type="dxa"/>
            <w:vAlign w:val="bottom"/>
            <w:vMerge w:val="restart"/>
          </w:tcPr>
          <w:p>
            <w:pPr>
              <w:jc w:val="right"/>
              <w:ind w:right="31"/>
              <w:spacing w:after="0"/>
              <w:rPr>
                <w:sz w:val="20"/>
                <w:szCs w:val="20"/>
                <w:color w:val="auto"/>
              </w:rPr>
            </w:pPr>
            <w:r>
              <w:rPr>
                <w:rFonts w:ascii="Arial" w:cs="Arial" w:eastAsia="Arial" w:hAnsi="Arial"/>
                <w:sz w:val="18"/>
                <w:szCs w:val="18"/>
                <w:color w:val="auto"/>
              </w:rPr>
              <w:t>0.23</w:t>
            </w:r>
          </w:p>
        </w:tc>
        <w:tc>
          <w:tcPr>
            <w:tcW w:w="160" w:type="dxa"/>
            <w:vAlign w:val="bottom"/>
            <w:vMerge w:val="restart"/>
          </w:tcPr>
          <w:p>
            <w:pPr>
              <w:jc w:val="right"/>
              <w:spacing w:after="0"/>
              <w:rPr>
                <w:sz w:val="20"/>
                <w:szCs w:val="20"/>
                <w:color w:val="auto"/>
              </w:rPr>
            </w:pPr>
            <w:r>
              <w:rPr>
                <w:rFonts w:ascii="Arial" w:cs="Arial" w:eastAsia="Arial" w:hAnsi="Arial"/>
                <w:sz w:val="18"/>
                <w:szCs w:val="18"/>
                <w:color w:val="auto"/>
              </w:rPr>
              <w:t>$</w:t>
            </w:r>
          </w:p>
        </w:tc>
        <w:tc>
          <w:tcPr>
            <w:tcW w:w="880" w:type="dxa"/>
            <w:vAlign w:val="bottom"/>
            <w:vMerge w:val="restart"/>
          </w:tcPr>
          <w:p>
            <w:pPr>
              <w:jc w:val="right"/>
              <w:spacing w:after="0"/>
              <w:rPr>
                <w:sz w:val="20"/>
                <w:szCs w:val="20"/>
                <w:color w:val="auto"/>
              </w:rPr>
            </w:pPr>
            <w:r>
              <w:rPr>
                <w:rFonts w:ascii="Arial" w:cs="Arial" w:eastAsia="Arial" w:hAnsi="Arial"/>
                <w:sz w:val="18"/>
                <w:szCs w:val="18"/>
                <w:color w:val="auto"/>
              </w:rPr>
              <w:t>0.19</w:t>
            </w:r>
          </w:p>
        </w:tc>
        <w:tc>
          <w:tcPr>
            <w:tcW w:w="0" w:type="dxa"/>
            <w:vAlign w:val="bottom"/>
          </w:tcPr>
          <w:p>
            <w:pPr>
              <w:spacing w:after="0"/>
              <w:rPr>
                <w:sz w:val="1"/>
                <w:szCs w:val="1"/>
                <w:color w:val="auto"/>
              </w:rPr>
            </w:pPr>
          </w:p>
        </w:tc>
      </w:tr>
      <w:tr>
        <w:trPr>
          <w:trHeight w:val="212"/>
        </w:trPr>
        <w:tc>
          <w:tcPr>
            <w:tcW w:w="2780" w:type="dxa"/>
            <w:vAlign w:val="bottom"/>
            <w:gridSpan w:val="2"/>
          </w:tcPr>
          <w:p>
            <w:pPr>
              <w:spacing w:after="0"/>
              <w:rPr>
                <w:sz w:val="20"/>
                <w:szCs w:val="20"/>
                <w:color w:val="auto"/>
              </w:rPr>
            </w:pPr>
            <w:r>
              <w:rPr>
                <w:rFonts w:ascii="Arial" w:cs="Arial" w:eastAsia="Arial" w:hAnsi="Arial"/>
                <w:sz w:val="16"/>
                <w:szCs w:val="16"/>
                <w:color w:val="auto"/>
              </w:rPr>
              <w:t>—basic(2)</w:t>
            </w:r>
          </w:p>
        </w:tc>
        <w:tc>
          <w:tcPr>
            <w:tcW w:w="180" w:type="dxa"/>
            <w:vAlign w:val="bottom"/>
            <w:gridSpan w:val="2"/>
            <w:vMerge w:val="continue"/>
          </w:tcPr>
          <w:p>
            <w:pPr>
              <w:spacing w:after="0"/>
              <w:rPr>
                <w:sz w:val="18"/>
                <w:szCs w:val="18"/>
                <w:color w:val="auto"/>
              </w:rPr>
            </w:pPr>
          </w:p>
        </w:tc>
        <w:tc>
          <w:tcPr>
            <w:tcW w:w="940" w:type="dxa"/>
            <w:vAlign w:val="bottom"/>
            <w:vMerge w:val="continue"/>
          </w:tcPr>
          <w:p>
            <w:pPr>
              <w:spacing w:after="0"/>
              <w:rPr>
                <w:sz w:val="18"/>
                <w:szCs w:val="18"/>
                <w:color w:val="auto"/>
              </w:rPr>
            </w:pPr>
          </w:p>
        </w:tc>
        <w:tc>
          <w:tcPr>
            <w:tcW w:w="160" w:type="dxa"/>
            <w:vAlign w:val="bottom"/>
            <w:vMerge w:val="continue"/>
          </w:tcPr>
          <w:p>
            <w:pPr>
              <w:spacing w:after="0"/>
              <w:rPr>
                <w:sz w:val="18"/>
                <w:szCs w:val="18"/>
                <w:color w:val="auto"/>
              </w:rPr>
            </w:pPr>
          </w:p>
        </w:tc>
        <w:tc>
          <w:tcPr>
            <w:tcW w:w="940" w:type="dxa"/>
            <w:vAlign w:val="bottom"/>
            <w:vMerge w:val="continue"/>
          </w:tcPr>
          <w:p>
            <w:pPr>
              <w:spacing w:after="0"/>
              <w:rPr>
                <w:sz w:val="18"/>
                <w:szCs w:val="18"/>
                <w:color w:val="auto"/>
              </w:rPr>
            </w:pPr>
          </w:p>
        </w:tc>
        <w:tc>
          <w:tcPr>
            <w:tcW w:w="180" w:type="dxa"/>
            <w:vAlign w:val="bottom"/>
            <w:vMerge w:val="continue"/>
          </w:tcPr>
          <w:p>
            <w:pPr>
              <w:spacing w:after="0"/>
              <w:rPr>
                <w:sz w:val="18"/>
                <w:szCs w:val="18"/>
                <w:color w:val="auto"/>
              </w:rPr>
            </w:pPr>
          </w:p>
        </w:tc>
        <w:tc>
          <w:tcPr>
            <w:tcW w:w="940" w:type="dxa"/>
            <w:vAlign w:val="bottom"/>
            <w:vMerge w:val="continue"/>
          </w:tcPr>
          <w:p>
            <w:pPr>
              <w:spacing w:after="0"/>
              <w:rPr>
                <w:sz w:val="18"/>
                <w:szCs w:val="18"/>
                <w:color w:val="auto"/>
              </w:rPr>
            </w:pPr>
          </w:p>
        </w:tc>
        <w:tc>
          <w:tcPr>
            <w:tcW w:w="160" w:type="dxa"/>
            <w:vAlign w:val="bottom"/>
            <w:vMerge w:val="continue"/>
          </w:tcPr>
          <w:p>
            <w:pPr>
              <w:spacing w:after="0"/>
              <w:rPr>
                <w:sz w:val="18"/>
                <w:szCs w:val="18"/>
                <w:color w:val="auto"/>
              </w:rPr>
            </w:pPr>
          </w:p>
        </w:tc>
        <w:tc>
          <w:tcPr>
            <w:tcW w:w="940" w:type="dxa"/>
            <w:vAlign w:val="bottom"/>
            <w:vMerge w:val="continue"/>
          </w:tcPr>
          <w:p>
            <w:pPr>
              <w:spacing w:after="0"/>
              <w:rPr>
                <w:sz w:val="18"/>
                <w:szCs w:val="18"/>
                <w:color w:val="auto"/>
              </w:rPr>
            </w:pPr>
          </w:p>
        </w:tc>
        <w:tc>
          <w:tcPr>
            <w:tcW w:w="160" w:type="dxa"/>
            <w:vAlign w:val="bottom"/>
            <w:vMerge w:val="continue"/>
          </w:tcPr>
          <w:p>
            <w:pPr>
              <w:spacing w:after="0"/>
              <w:rPr>
                <w:sz w:val="18"/>
                <w:szCs w:val="18"/>
                <w:color w:val="auto"/>
              </w:rPr>
            </w:pPr>
          </w:p>
        </w:tc>
        <w:tc>
          <w:tcPr>
            <w:tcW w:w="88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93"/>
        </w:trPr>
        <w:tc>
          <w:tcPr>
            <w:tcW w:w="278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Net income (loss) per common share</w:t>
            </w:r>
          </w:p>
        </w:tc>
        <w:tc>
          <w:tcPr>
            <w:tcW w:w="1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94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94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4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94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88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2780" w:type="dxa"/>
            <w:vAlign w:val="bottom"/>
            <w:gridSpan w:val="2"/>
            <w:shd w:val="clear" w:color="auto" w:fill="CCEEFF"/>
          </w:tcPr>
          <w:p>
            <w:pPr>
              <w:spacing w:after="0"/>
              <w:rPr>
                <w:sz w:val="20"/>
                <w:szCs w:val="20"/>
                <w:color w:val="auto"/>
              </w:rPr>
            </w:pPr>
            <w:r>
              <w:rPr>
                <w:rFonts w:ascii="Arial" w:cs="Arial" w:eastAsia="Arial" w:hAnsi="Arial"/>
                <w:sz w:val="16"/>
                <w:szCs w:val="16"/>
                <w:color w:val="auto"/>
                <w:w w:val="99"/>
              </w:rPr>
              <w:t>attributable to Acushnet Holdings Corp.</w:t>
            </w: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940" w:type="dxa"/>
            <w:vAlign w:val="bottom"/>
            <w:vMerge w:val="restart"/>
            <w:shd w:val="clear" w:color="auto" w:fill="CCEEFF"/>
          </w:tcPr>
          <w:p>
            <w:pPr>
              <w:jc w:val="right"/>
              <w:ind w:right="31"/>
              <w:spacing w:after="0"/>
              <w:rPr>
                <w:sz w:val="20"/>
                <w:szCs w:val="20"/>
                <w:color w:val="auto"/>
              </w:rPr>
            </w:pPr>
            <w:r>
              <w:rPr>
                <w:rFonts w:ascii="Arial" w:cs="Arial" w:eastAsia="Arial" w:hAnsi="Arial"/>
                <w:sz w:val="18"/>
                <w:szCs w:val="18"/>
                <w:color w:val="auto"/>
              </w:rPr>
              <w:t>1.23</w:t>
            </w:r>
          </w:p>
        </w:tc>
        <w:tc>
          <w:tcPr>
            <w:tcW w:w="160" w:type="dxa"/>
            <w:vAlign w:val="bottom"/>
            <w:shd w:val="clear" w:color="auto" w:fill="CCEEFF"/>
          </w:tcPr>
          <w:p>
            <w:pPr>
              <w:spacing w:after="0"/>
              <w:rPr>
                <w:sz w:val="17"/>
                <w:szCs w:val="17"/>
                <w:color w:val="auto"/>
              </w:rPr>
            </w:pPr>
          </w:p>
        </w:tc>
        <w:tc>
          <w:tcPr>
            <w:tcW w:w="940" w:type="dxa"/>
            <w:vAlign w:val="bottom"/>
            <w:vMerge w:val="restart"/>
            <w:shd w:val="clear" w:color="auto" w:fill="CCEEFF"/>
          </w:tcPr>
          <w:p>
            <w:pPr>
              <w:jc w:val="right"/>
              <w:ind w:right="32"/>
              <w:spacing w:after="0"/>
              <w:rPr>
                <w:sz w:val="20"/>
                <w:szCs w:val="20"/>
                <w:color w:val="auto"/>
              </w:rPr>
            </w:pPr>
            <w:r>
              <w:rPr>
                <w:rFonts w:ascii="Arial" w:cs="Arial" w:eastAsia="Arial" w:hAnsi="Arial"/>
                <w:sz w:val="18"/>
                <w:szCs w:val="18"/>
                <w:color w:val="auto"/>
              </w:rPr>
              <w:t>0.62</w:t>
            </w:r>
          </w:p>
        </w:tc>
        <w:tc>
          <w:tcPr>
            <w:tcW w:w="180" w:type="dxa"/>
            <w:vAlign w:val="bottom"/>
            <w:shd w:val="clear" w:color="auto" w:fill="CCEEFF"/>
          </w:tcPr>
          <w:p>
            <w:pPr>
              <w:spacing w:after="0"/>
              <w:rPr>
                <w:sz w:val="17"/>
                <w:szCs w:val="17"/>
                <w:color w:val="auto"/>
              </w:rPr>
            </w:pPr>
          </w:p>
        </w:tc>
        <w:tc>
          <w:tcPr>
            <w:tcW w:w="94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(0.74)</w:t>
            </w:r>
          </w:p>
        </w:tc>
        <w:tc>
          <w:tcPr>
            <w:tcW w:w="160" w:type="dxa"/>
            <w:vAlign w:val="bottom"/>
            <w:shd w:val="clear" w:color="auto" w:fill="CCEEFF"/>
          </w:tcPr>
          <w:p>
            <w:pPr>
              <w:spacing w:after="0"/>
              <w:rPr>
                <w:sz w:val="17"/>
                <w:szCs w:val="17"/>
                <w:color w:val="auto"/>
              </w:rPr>
            </w:pPr>
          </w:p>
        </w:tc>
        <w:tc>
          <w:tcPr>
            <w:tcW w:w="940" w:type="dxa"/>
            <w:vAlign w:val="bottom"/>
            <w:vMerge w:val="restart"/>
            <w:shd w:val="clear" w:color="auto" w:fill="CCEEFF"/>
          </w:tcPr>
          <w:p>
            <w:pPr>
              <w:jc w:val="right"/>
              <w:ind w:right="31"/>
              <w:spacing w:after="0"/>
              <w:rPr>
                <w:sz w:val="20"/>
                <w:szCs w:val="20"/>
                <w:color w:val="auto"/>
              </w:rPr>
            </w:pPr>
            <w:r>
              <w:rPr>
                <w:rFonts w:ascii="Arial" w:cs="Arial" w:eastAsia="Arial" w:hAnsi="Arial"/>
                <w:sz w:val="18"/>
                <w:szCs w:val="18"/>
                <w:color w:val="auto"/>
              </w:rPr>
              <w:t>0.23</w:t>
            </w:r>
          </w:p>
        </w:tc>
        <w:tc>
          <w:tcPr>
            <w:tcW w:w="160" w:type="dxa"/>
            <w:vAlign w:val="bottom"/>
            <w:shd w:val="clear" w:color="auto" w:fill="CCEEFF"/>
          </w:tcPr>
          <w:p>
            <w:pPr>
              <w:spacing w:after="0"/>
              <w:rPr>
                <w:sz w:val="17"/>
                <w:szCs w:val="17"/>
                <w:color w:val="auto"/>
              </w:rPr>
            </w:pPr>
          </w:p>
        </w:tc>
        <w:tc>
          <w:tcPr>
            <w:tcW w:w="88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0.19</w:t>
            </w:r>
          </w:p>
        </w:tc>
        <w:tc>
          <w:tcPr>
            <w:tcW w:w="0" w:type="dxa"/>
            <w:vAlign w:val="bottom"/>
          </w:tcPr>
          <w:p>
            <w:pPr>
              <w:spacing w:after="0"/>
              <w:rPr>
                <w:sz w:val="1"/>
                <w:szCs w:val="1"/>
                <w:color w:val="auto"/>
              </w:rPr>
            </w:pPr>
          </w:p>
        </w:tc>
      </w:tr>
      <w:tr>
        <w:trPr>
          <w:trHeight w:val="212"/>
        </w:trPr>
        <w:tc>
          <w:tcPr>
            <w:tcW w:w="278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—diluted(3)</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40" w:type="dxa"/>
            <w:vAlign w:val="bottom"/>
            <w:vMerge w:val="continue"/>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40" w:type="dxa"/>
            <w:vAlign w:val="bottom"/>
            <w:vMerge w:val="continue"/>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40" w:type="dxa"/>
            <w:vAlign w:val="bottom"/>
            <w:vMerge w:val="continue"/>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40" w:type="dxa"/>
            <w:vAlign w:val="bottom"/>
            <w:vMerge w:val="continue"/>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80" w:type="dxa"/>
            <w:vAlign w:val="bottom"/>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3"/>
        </w:trPr>
        <w:tc>
          <w:tcPr>
            <w:tcW w:w="2780" w:type="dxa"/>
            <w:vAlign w:val="bottom"/>
            <w:gridSpan w:val="2"/>
          </w:tcPr>
          <w:p>
            <w:pPr>
              <w:spacing w:after="0"/>
              <w:rPr>
                <w:sz w:val="20"/>
                <w:szCs w:val="20"/>
                <w:color w:val="auto"/>
              </w:rPr>
            </w:pPr>
            <w:r>
              <w:rPr>
                <w:rFonts w:ascii="Arial" w:cs="Arial" w:eastAsia="Arial" w:hAnsi="Arial"/>
                <w:sz w:val="16"/>
                <w:szCs w:val="16"/>
                <w:color w:val="auto"/>
              </w:rPr>
              <w:t>Weighted average number of common</w:t>
            </w:r>
          </w:p>
        </w:tc>
        <w:tc>
          <w:tcPr>
            <w:tcW w:w="1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940" w:type="dxa"/>
            <w:vAlign w:val="bottom"/>
            <w:vMerge w:val="restart"/>
          </w:tcPr>
          <w:p>
            <w:pPr>
              <w:jc w:val="right"/>
              <w:ind w:right="31"/>
              <w:spacing w:after="0"/>
              <w:rPr>
                <w:sz w:val="20"/>
                <w:szCs w:val="20"/>
                <w:color w:val="auto"/>
              </w:rPr>
            </w:pPr>
            <w:r>
              <w:rPr>
                <w:rFonts w:ascii="Arial" w:cs="Arial" w:eastAsia="Arial" w:hAnsi="Arial"/>
                <w:sz w:val="18"/>
                <w:szCs w:val="18"/>
                <w:color w:val="auto"/>
                <w:w w:val="88"/>
              </w:rPr>
              <w:t>74,399,836</w:t>
            </w:r>
          </w:p>
        </w:tc>
        <w:tc>
          <w:tcPr>
            <w:tcW w:w="160" w:type="dxa"/>
            <w:vAlign w:val="bottom"/>
          </w:tcPr>
          <w:p>
            <w:pPr>
              <w:spacing w:after="0"/>
              <w:rPr>
                <w:sz w:val="16"/>
                <w:szCs w:val="16"/>
                <w:color w:val="auto"/>
              </w:rPr>
            </w:pPr>
          </w:p>
        </w:tc>
        <w:tc>
          <w:tcPr>
            <w:tcW w:w="940" w:type="dxa"/>
            <w:vAlign w:val="bottom"/>
            <w:vMerge w:val="restart"/>
          </w:tcPr>
          <w:p>
            <w:pPr>
              <w:jc w:val="right"/>
              <w:ind w:right="32"/>
              <w:spacing w:after="0"/>
              <w:rPr>
                <w:sz w:val="20"/>
                <w:szCs w:val="20"/>
                <w:color w:val="auto"/>
              </w:rPr>
            </w:pPr>
            <w:r>
              <w:rPr>
                <w:rFonts w:ascii="Arial" w:cs="Arial" w:eastAsia="Arial" w:hAnsi="Arial"/>
                <w:sz w:val="18"/>
                <w:szCs w:val="18"/>
                <w:color w:val="auto"/>
                <w:w w:val="88"/>
              </w:rPr>
              <w:t>31,247,643</w:t>
            </w:r>
          </w:p>
        </w:tc>
        <w:tc>
          <w:tcPr>
            <w:tcW w:w="180" w:type="dxa"/>
            <w:vAlign w:val="bottom"/>
          </w:tcPr>
          <w:p>
            <w:pPr>
              <w:spacing w:after="0"/>
              <w:rPr>
                <w:sz w:val="16"/>
                <w:szCs w:val="16"/>
                <w:color w:val="auto"/>
              </w:rPr>
            </w:pPr>
          </w:p>
        </w:tc>
        <w:tc>
          <w:tcPr>
            <w:tcW w:w="940" w:type="dxa"/>
            <w:vAlign w:val="bottom"/>
            <w:vMerge w:val="restart"/>
          </w:tcPr>
          <w:p>
            <w:pPr>
              <w:jc w:val="right"/>
              <w:ind w:right="51"/>
              <w:spacing w:after="0"/>
              <w:rPr>
                <w:sz w:val="20"/>
                <w:szCs w:val="20"/>
                <w:color w:val="auto"/>
              </w:rPr>
            </w:pPr>
            <w:r>
              <w:rPr>
                <w:rFonts w:ascii="Arial" w:cs="Arial" w:eastAsia="Arial" w:hAnsi="Arial"/>
                <w:sz w:val="18"/>
                <w:szCs w:val="18"/>
                <w:color w:val="auto"/>
                <w:w w:val="86"/>
              </w:rPr>
              <w:t>19,939,293</w:t>
            </w:r>
          </w:p>
        </w:tc>
        <w:tc>
          <w:tcPr>
            <w:tcW w:w="160" w:type="dxa"/>
            <w:vAlign w:val="bottom"/>
          </w:tcPr>
          <w:p>
            <w:pPr>
              <w:spacing w:after="0"/>
              <w:rPr>
                <w:sz w:val="16"/>
                <w:szCs w:val="16"/>
                <w:color w:val="auto"/>
              </w:rPr>
            </w:pPr>
          </w:p>
        </w:tc>
        <w:tc>
          <w:tcPr>
            <w:tcW w:w="940" w:type="dxa"/>
            <w:vAlign w:val="bottom"/>
            <w:vMerge w:val="restart"/>
          </w:tcPr>
          <w:p>
            <w:pPr>
              <w:jc w:val="right"/>
              <w:ind w:right="31"/>
              <w:spacing w:after="0"/>
              <w:rPr>
                <w:sz w:val="20"/>
                <w:szCs w:val="20"/>
                <w:color w:val="auto"/>
              </w:rPr>
            </w:pPr>
            <w:r>
              <w:rPr>
                <w:rFonts w:ascii="Arial" w:cs="Arial" w:eastAsia="Arial" w:hAnsi="Arial"/>
                <w:sz w:val="18"/>
                <w:szCs w:val="18"/>
                <w:color w:val="auto"/>
                <w:w w:val="88"/>
              </w:rPr>
              <w:t>16,716,825</w:t>
            </w:r>
          </w:p>
        </w:tc>
        <w:tc>
          <w:tcPr>
            <w:tcW w:w="160" w:type="dxa"/>
            <w:vAlign w:val="bottom"/>
          </w:tcPr>
          <w:p>
            <w:pPr>
              <w:spacing w:after="0"/>
              <w:rPr>
                <w:sz w:val="16"/>
                <w:szCs w:val="16"/>
                <w:color w:val="auto"/>
              </w:rPr>
            </w:pPr>
          </w:p>
        </w:tc>
        <w:tc>
          <w:tcPr>
            <w:tcW w:w="880" w:type="dxa"/>
            <w:vAlign w:val="bottom"/>
            <w:vMerge w:val="restart"/>
          </w:tcPr>
          <w:p>
            <w:pPr>
              <w:jc w:val="right"/>
              <w:spacing w:after="0"/>
              <w:rPr>
                <w:sz w:val="20"/>
                <w:szCs w:val="20"/>
                <w:color w:val="auto"/>
              </w:rPr>
            </w:pPr>
            <w:r>
              <w:rPr>
                <w:rFonts w:ascii="Arial" w:cs="Arial" w:eastAsia="Arial" w:hAnsi="Arial"/>
                <w:sz w:val="18"/>
                <w:szCs w:val="18"/>
                <w:color w:val="auto"/>
                <w:w w:val="88"/>
              </w:rPr>
              <w:t>13,471,308</w:t>
            </w:r>
          </w:p>
        </w:tc>
        <w:tc>
          <w:tcPr>
            <w:tcW w:w="0" w:type="dxa"/>
            <w:vAlign w:val="bottom"/>
          </w:tcPr>
          <w:p>
            <w:pPr>
              <w:spacing w:after="0"/>
              <w:rPr>
                <w:sz w:val="1"/>
                <w:szCs w:val="1"/>
                <w:color w:val="auto"/>
              </w:rPr>
            </w:pPr>
          </w:p>
        </w:tc>
      </w:tr>
      <w:tr>
        <w:trPr>
          <w:trHeight w:val="212"/>
        </w:trPr>
        <w:tc>
          <w:tcPr>
            <w:tcW w:w="2780" w:type="dxa"/>
            <w:vAlign w:val="bottom"/>
            <w:gridSpan w:val="2"/>
          </w:tcPr>
          <w:p>
            <w:pPr>
              <w:spacing w:after="0"/>
              <w:rPr>
                <w:sz w:val="20"/>
                <w:szCs w:val="20"/>
                <w:color w:val="auto"/>
              </w:rPr>
            </w:pPr>
            <w:r>
              <w:rPr>
                <w:rFonts w:ascii="Arial" w:cs="Arial" w:eastAsia="Arial" w:hAnsi="Arial"/>
                <w:sz w:val="16"/>
                <w:szCs w:val="16"/>
                <w:color w:val="auto"/>
              </w:rPr>
              <w:t>shares—basic(2)</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40" w:type="dxa"/>
            <w:vAlign w:val="bottom"/>
            <w:vMerge w:val="continue"/>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vMerge w:val="continue"/>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vMerge w:val="continue"/>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vMerge w:val="continue"/>
          </w:tcPr>
          <w:p>
            <w:pPr>
              <w:spacing w:after="0"/>
              <w:rPr>
                <w:sz w:val="18"/>
                <w:szCs w:val="18"/>
                <w:color w:val="auto"/>
              </w:rPr>
            </w:pPr>
          </w:p>
        </w:tc>
        <w:tc>
          <w:tcPr>
            <w:tcW w:w="160" w:type="dxa"/>
            <w:vAlign w:val="bottom"/>
          </w:tcPr>
          <w:p>
            <w:pPr>
              <w:spacing w:after="0"/>
              <w:rPr>
                <w:sz w:val="18"/>
                <w:szCs w:val="18"/>
                <w:color w:val="auto"/>
              </w:rPr>
            </w:pPr>
          </w:p>
        </w:tc>
        <w:tc>
          <w:tcPr>
            <w:tcW w:w="88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93"/>
        </w:trPr>
        <w:tc>
          <w:tcPr>
            <w:tcW w:w="278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Weighted average number of common</w:t>
            </w:r>
          </w:p>
        </w:tc>
        <w:tc>
          <w:tcPr>
            <w:tcW w:w="1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940" w:type="dxa"/>
            <w:vAlign w:val="bottom"/>
            <w:vMerge w:val="restart"/>
            <w:shd w:val="clear" w:color="auto" w:fill="CCEEFF"/>
          </w:tcPr>
          <w:p>
            <w:pPr>
              <w:jc w:val="right"/>
              <w:ind w:right="31"/>
              <w:spacing w:after="0"/>
              <w:rPr>
                <w:sz w:val="20"/>
                <w:szCs w:val="20"/>
                <w:color w:val="auto"/>
              </w:rPr>
            </w:pPr>
            <w:r>
              <w:rPr>
                <w:rFonts w:ascii="Arial" w:cs="Arial" w:eastAsia="Arial" w:hAnsi="Arial"/>
                <w:sz w:val="18"/>
                <w:szCs w:val="18"/>
                <w:color w:val="auto"/>
                <w:w w:val="88"/>
              </w:rPr>
              <w:t>74,590,999</w:t>
            </w:r>
          </w:p>
        </w:tc>
        <w:tc>
          <w:tcPr>
            <w:tcW w:w="160" w:type="dxa"/>
            <w:vAlign w:val="bottom"/>
            <w:shd w:val="clear" w:color="auto" w:fill="CCEEFF"/>
          </w:tcPr>
          <w:p>
            <w:pPr>
              <w:spacing w:after="0"/>
              <w:rPr>
                <w:sz w:val="16"/>
                <w:szCs w:val="16"/>
                <w:color w:val="auto"/>
              </w:rPr>
            </w:pPr>
          </w:p>
        </w:tc>
        <w:tc>
          <w:tcPr>
            <w:tcW w:w="940" w:type="dxa"/>
            <w:vAlign w:val="bottom"/>
            <w:vMerge w:val="restart"/>
            <w:shd w:val="clear" w:color="auto" w:fill="CCEEFF"/>
          </w:tcPr>
          <w:p>
            <w:pPr>
              <w:jc w:val="right"/>
              <w:ind w:right="32"/>
              <w:spacing w:after="0"/>
              <w:rPr>
                <w:sz w:val="20"/>
                <w:szCs w:val="20"/>
                <w:color w:val="auto"/>
              </w:rPr>
            </w:pPr>
            <w:r>
              <w:rPr>
                <w:rFonts w:ascii="Arial" w:cs="Arial" w:eastAsia="Arial" w:hAnsi="Arial"/>
                <w:sz w:val="18"/>
                <w:szCs w:val="18"/>
                <w:color w:val="auto"/>
                <w:w w:val="88"/>
              </w:rPr>
              <w:t>64,323,742</w:t>
            </w:r>
          </w:p>
        </w:tc>
        <w:tc>
          <w:tcPr>
            <w:tcW w:w="180" w:type="dxa"/>
            <w:vAlign w:val="bottom"/>
            <w:shd w:val="clear" w:color="auto" w:fill="CCEEFF"/>
          </w:tcPr>
          <w:p>
            <w:pPr>
              <w:spacing w:after="0"/>
              <w:rPr>
                <w:sz w:val="16"/>
                <w:szCs w:val="16"/>
                <w:color w:val="auto"/>
              </w:rPr>
            </w:pPr>
          </w:p>
        </w:tc>
        <w:tc>
          <w:tcPr>
            <w:tcW w:w="940" w:type="dxa"/>
            <w:vAlign w:val="bottom"/>
            <w:vMerge w:val="restart"/>
            <w:shd w:val="clear" w:color="auto" w:fill="CCEEFF"/>
          </w:tcPr>
          <w:p>
            <w:pPr>
              <w:jc w:val="right"/>
              <w:ind w:right="51"/>
              <w:spacing w:after="0"/>
              <w:rPr>
                <w:sz w:val="20"/>
                <w:szCs w:val="20"/>
                <w:color w:val="auto"/>
              </w:rPr>
            </w:pPr>
            <w:r>
              <w:rPr>
                <w:rFonts w:ascii="Arial" w:cs="Arial" w:eastAsia="Arial" w:hAnsi="Arial"/>
                <w:sz w:val="18"/>
                <w:szCs w:val="18"/>
                <w:color w:val="auto"/>
                <w:w w:val="86"/>
              </w:rPr>
              <w:t>19,939,293</w:t>
            </w:r>
          </w:p>
        </w:tc>
        <w:tc>
          <w:tcPr>
            <w:tcW w:w="160" w:type="dxa"/>
            <w:vAlign w:val="bottom"/>
            <w:shd w:val="clear" w:color="auto" w:fill="CCEEFF"/>
          </w:tcPr>
          <w:p>
            <w:pPr>
              <w:spacing w:after="0"/>
              <w:rPr>
                <w:sz w:val="16"/>
                <w:szCs w:val="16"/>
                <w:color w:val="auto"/>
              </w:rPr>
            </w:pPr>
          </w:p>
        </w:tc>
        <w:tc>
          <w:tcPr>
            <w:tcW w:w="940" w:type="dxa"/>
            <w:vAlign w:val="bottom"/>
            <w:vMerge w:val="restart"/>
            <w:shd w:val="clear" w:color="auto" w:fill="CCEEFF"/>
          </w:tcPr>
          <w:p>
            <w:pPr>
              <w:jc w:val="right"/>
              <w:ind w:right="31"/>
              <w:spacing w:after="0"/>
              <w:rPr>
                <w:sz w:val="20"/>
                <w:szCs w:val="20"/>
                <w:color w:val="auto"/>
              </w:rPr>
            </w:pPr>
            <w:r>
              <w:rPr>
                <w:rFonts w:ascii="Arial" w:cs="Arial" w:eastAsia="Arial" w:hAnsi="Arial"/>
                <w:sz w:val="18"/>
                <w:szCs w:val="18"/>
                <w:color w:val="auto"/>
                <w:w w:val="88"/>
              </w:rPr>
              <w:t>16,716,825</w:t>
            </w:r>
          </w:p>
        </w:tc>
        <w:tc>
          <w:tcPr>
            <w:tcW w:w="160" w:type="dxa"/>
            <w:vAlign w:val="bottom"/>
            <w:shd w:val="clear" w:color="auto" w:fill="CCEEFF"/>
          </w:tcPr>
          <w:p>
            <w:pPr>
              <w:spacing w:after="0"/>
              <w:rPr>
                <w:sz w:val="16"/>
                <w:szCs w:val="16"/>
                <w:color w:val="auto"/>
              </w:rPr>
            </w:pPr>
          </w:p>
        </w:tc>
        <w:tc>
          <w:tcPr>
            <w:tcW w:w="88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w w:val="88"/>
              </w:rPr>
              <w:t>13,471,308</w:t>
            </w:r>
          </w:p>
        </w:tc>
        <w:tc>
          <w:tcPr>
            <w:tcW w:w="0" w:type="dxa"/>
            <w:vAlign w:val="bottom"/>
          </w:tcPr>
          <w:p>
            <w:pPr>
              <w:spacing w:after="0"/>
              <w:rPr>
                <w:sz w:val="1"/>
                <w:szCs w:val="1"/>
                <w:color w:val="auto"/>
              </w:rPr>
            </w:pPr>
          </w:p>
        </w:tc>
      </w:tr>
      <w:tr>
        <w:trPr>
          <w:trHeight w:val="212"/>
        </w:trPr>
        <w:tc>
          <w:tcPr>
            <w:tcW w:w="278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shares—diluted(3)</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40" w:type="dxa"/>
            <w:vAlign w:val="bottom"/>
            <w:vMerge w:val="continue"/>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40" w:type="dxa"/>
            <w:vAlign w:val="bottom"/>
            <w:vMerge w:val="continue"/>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40" w:type="dxa"/>
            <w:vAlign w:val="bottom"/>
            <w:vMerge w:val="continue"/>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40" w:type="dxa"/>
            <w:vAlign w:val="bottom"/>
            <w:vMerge w:val="continue"/>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80" w:type="dxa"/>
            <w:vAlign w:val="bottom"/>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3"/>
        </w:trPr>
        <w:tc>
          <w:tcPr>
            <w:tcW w:w="2780" w:type="dxa"/>
            <w:vAlign w:val="bottom"/>
            <w:gridSpan w:val="2"/>
          </w:tcPr>
          <w:p>
            <w:pPr>
              <w:spacing w:after="0"/>
              <w:rPr>
                <w:sz w:val="20"/>
                <w:szCs w:val="20"/>
                <w:color w:val="auto"/>
              </w:rPr>
            </w:pPr>
            <w:r>
              <w:rPr>
                <w:rFonts w:ascii="Arial" w:cs="Arial" w:eastAsia="Arial" w:hAnsi="Arial"/>
                <w:sz w:val="16"/>
                <w:szCs w:val="16"/>
                <w:color w:val="auto"/>
              </w:rPr>
              <w:t>Cash dividends declared per common</w:t>
            </w:r>
          </w:p>
        </w:tc>
        <w:tc>
          <w:tcPr>
            <w:tcW w:w="1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940" w:type="dxa"/>
            <w:vAlign w:val="bottom"/>
            <w:vMerge w:val="restart"/>
          </w:tcPr>
          <w:p>
            <w:pPr>
              <w:jc w:val="right"/>
              <w:ind w:right="31"/>
              <w:spacing w:after="0"/>
              <w:rPr>
                <w:sz w:val="20"/>
                <w:szCs w:val="20"/>
                <w:color w:val="auto"/>
              </w:rPr>
            </w:pPr>
            <w:r>
              <w:rPr>
                <w:rFonts w:ascii="Arial" w:cs="Arial" w:eastAsia="Arial" w:hAnsi="Arial"/>
                <w:sz w:val="18"/>
                <w:szCs w:val="18"/>
                <w:color w:val="auto"/>
              </w:rPr>
              <w:t>0.48</w:t>
            </w:r>
          </w:p>
        </w:tc>
        <w:tc>
          <w:tcPr>
            <w:tcW w:w="160" w:type="dxa"/>
            <w:vAlign w:val="bottom"/>
          </w:tcPr>
          <w:p>
            <w:pPr>
              <w:spacing w:after="0"/>
              <w:rPr>
                <w:sz w:val="16"/>
                <w:szCs w:val="16"/>
                <w:color w:val="auto"/>
              </w:rPr>
            </w:pPr>
          </w:p>
        </w:tc>
        <w:tc>
          <w:tcPr>
            <w:tcW w:w="940" w:type="dxa"/>
            <w:vAlign w:val="bottom"/>
            <w:vMerge w:val="restart"/>
          </w:tcPr>
          <w:p>
            <w:pPr>
              <w:jc w:val="right"/>
              <w:ind w:right="32"/>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6"/>
                <w:szCs w:val="16"/>
                <w:color w:val="auto"/>
              </w:rPr>
            </w:pPr>
          </w:p>
        </w:tc>
        <w:tc>
          <w:tcPr>
            <w:tcW w:w="940" w:type="dxa"/>
            <w:vAlign w:val="bottom"/>
            <w:vMerge w:val="restart"/>
          </w:tcPr>
          <w:p>
            <w:pPr>
              <w:jc w:val="right"/>
              <w:ind w:right="51"/>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6"/>
                <w:szCs w:val="16"/>
                <w:color w:val="auto"/>
              </w:rPr>
            </w:pPr>
          </w:p>
        </w:tc>
        <w:tc>
          <w:tcPr>
            <w:tcW w:w="940" w:type="dxa"/>
            <w:vAlign w:val="bottom"/>
            <w:vMerge w:val="restart"/>
          </w:tcPr>
          <w:p>
            <w:pPr>
              <w:jc w:val="right"/>
              <w:ind w:right="31"/>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6"/>
                <w:szCs w:val="16"/>
                <w:color w:val="auto"/>
              </w:rPr>
            </w:pPr>
          </w:p>
        </w:tc>
        <w:tc>
          <w:tcPr>
            <w:tcW w:w="880" w:type="dxa"/>
            <w:vAlign w:val="bottom"/>
            <w:vMerge w:val="restart"/>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2"/>
        </w:trPr>
        <w:tc>
          <w:tcPr>
            <w:tcW w:w="2780" w:type="dxa"/>
            <w:vAlign w:val="bottom"/>
            <w:gridSpan w:val="2"/>
          </w:tcPr>
          <w:p>
            <w:pPr>
              <w:spacing w:after="0"/>
              <w:rPr>
                <w:sz w:val="20"/>
                <w:szCs w:val="20"/>
                <w:color w:val="auto"/>
              </w:rPr>
            </w:pPr>
            <w:r>
              <w:rPr>
                <w:rFonts w:ascii="Arial" w:cs="Arial" w:eastAsia="Arial" w:hAnsi="Arial"/>
                <w:sz w:val="16"/>
                <w:szCs w:val="16"/>
                <w:color w:val="auto"/>
              </w:rPr>
              <w:t>share:</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40" w:type="dxa"/>
            <w:vAlign w:val="bottom"/>
            <w:vMerge w:val="continue"/>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vMerge w:val="continue"/>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vMerge w:val="continue"/>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vMerge w:val="continue"/>
          </w:tcPr>
          <w:p>
            <w:pPr>
              <w:spacing w:after="0"/>
              <w:rPr>
                <w:sz w:val="18"/>
                <w:szCs w:val="18"/>
                <w:color w:val="auto"/>
              </w:rPr>
            </w:pPr>
          </w:p>
        </w:tc>
        <w:tc>
          <w:tcPr>
            <w:tcW w:w="160" w:type="dxa"/>
            <w:vAlign w:val="bottom"/>
          </w:tcPr>
          <w:p>
            <w:pPr>
              <w:spacing w:after="0"/>
              <w:rPr>
                <w:sz w:val="18"/>
                <w:szCs w:val="18"/>
                <w:color w:val="auto"/>
              </w:rPr>
            </w:pPr>
          </w:p>
        </w:tc>
        <w:tc>
          <w:tcPr>
            <w:tcW w:w="88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2780" w:type="dxa"/>
            <w:vAlign w:val="bottom"/>
            <w:gridSpan w:val="2"/>
            <w:shd w:val="clear" w:color="auto" w:fill="CCEEFF"/>
          </w:tcPr>
          <w:p>
            <w:pPr>
              <w:spacing w:after="0"/>
              <w:rPr>
                <w:sz w:val="20"/>
                <w:szCs w:val="20"/>
                <w:color w:val="auto"/>
              </w:rPr>
            </w:pPr>
            <w:r>
              <w:rPr>
                <w:rFonts w:ascii="Arial" w:cs="Arial" w:eastAsia="Arial" w:hAnsi="Arial"/>
                <w:sz w:val="16"/>
                <w:szCs w:val="16"/>
                <w:b w:val="1"/>
                <w:bCs w:val="1"/>
                <w:color w:val="auto"/>
              </w:rPr>
              <w:t>Balance Sheet Data:</w:t>
            </w: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780" w:type="dxa"/>
            <w:vAlign w:val="bottom"/>
            <w:gridSpan w:val="2"/>
          </w:tcPr>
          <w:p>
            <w:pPr>
              <w:spacing w:after="0"/>
              <w:rPr>
                <w:sz w:val="20"/>
                <w:szCs w:val="20"/>
                <w:color w:val="auto"/>
              </w:rPr>
            </w:pPr>
            <w:r>
              <w:rPr>
                <w:rFonts w:ascii="Arial" w:cs="Arial" w:eastAsia="Arial" w:hAnsi="Arial"/>
                <w:sz w:val="16"/>
                <w:szCs w:val="16"/>
                <w:color w:val="auto"/>
              </w:rPr>
              <w:t>Unrestricted Cash(4)</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40" w:type="dxa"/>
            <w:vAlign w:val="bottom"/>
          </w:tcPr>
          <w:p>
            <w:pPr>
              <w:jc w:val="right"/>
              <w:ind w:right="31"/>
              <w:spacing w:after="0"/>
              <w:rPr>
                <w:sz w:val="20"/>
                <w:szCs w:val="20"/>
                <w:color w:val="auto"/>
              </w:rPr>
            </w:pPr>
            <w:r>
              <w:rPr>
                <w:rFonts w:ascii="Arial" w:cs="Arial" w:eastAsia="Arial" w:hAnsi="Arial"/>
                <w:sz w:val="18"/>
                <w:szCs w:val="18"/>
                <w:color w:val="auto"/>
              </w:rPr>
              <w:t>45,411</w:t>
            </w:r>
          </w:p>
        </w:tc>
        <w:tc>
          <w:tcPr>
            <w:tcW w:w="160" w:type="dxa"/>
            <w:vAlign w:val="bottom"/>
          </w:tcPr>
          <w:p>
            <w:pPr>
              <w:jc w:val="right"/>
              <w:spacing w:after="0"/>
              <w:rPr>
                <w:sz w:val="20"/>
                <w:szCs w:val="20"/>
                <w:color w:val="auto"/>
              </w:rPr>
            </w:pPr>
            <w:r>
              <w:rPr>
                <w:rFonts w:ascii="Arial" w:cs="Arial" w:eastAsia="Arial" w:hAnsi="Arial"/>
                <w:sz w:val="18"/>
                <w:szCs w:val="18"/>
                <w:color w:val="auto"/>
              </w:rPr>
              <w:t>$</w:t>
            </w:r>
          </w:p>
        </w:tc>
        <w:tc>
          <w:tcPr>
            <w:tcW w:w="940" w:type="dxa"/>
            <w:vAlign w:val="bottom"/>
          </w:tcPr>
          <w:p>
            <w:pPr>
              <w:jc w:val="right"/>
              <w:ind w:right="32"/>
              <w:spacing w:after="0"/>
              <w:rPr>
                <w:sz w:val="20"/>
                <w:szCs w:val="20"/>
                <w:color w:val="auto"/>
              </w:rPr>
            </w:pPr>
            <w:r>
              <w:rPr>
                <w:rFonts w:ascii="Arial" w:cs="Arial" w:eastAsia="Arial" w:hAnsi="Arial"/>
                <w:sz w:val="18"/>
                <w:szCs w:val="18"/>
                <w:color w:val="auto"/>
              </w:rPr>
              <w:t>76,058</w:t>
            </w:r>
          </w:p>
        </w:tc>
        <w:tc>
          <w:tcPr>
            <w:tcW w:w="180" w:type="dxa"/>
            <w:vAlign w:val="bottom"/>
          </w:tcPr>
          <w:p>
            <w:pPr>
              <w:jc w:val="right"/>
              <w:spacing w:after="0"/>
              <w:rPr>
                <w:sz w:val="20"/>
                <w:szCs w:val="20"/>
                <w:color w:val="auto"/>
              </w:rPr>
            </w:pPr>
            <w:r>
              <w:rPr>
                <w:rFonts w:ascii="Arial" w:cs="Arial" w:eastAsia="Arial" w:hAnsi="Arial"/>
                <w:sz w:val="18"/>
                <w:szCs w:val="18"/>
                <w:color w:val="auto"/>
              </w:rPr>
              <w:t>$</w:t>
            </w:r>
          </w:p>
        </w:tc>
        <w:tc>
          <w:tcPr>
            <w:tcW w:w="940" w:type="dxa"/>
            <w:vAlign w:val="bottom"/>
          </w:tcPr>
          <w:p>
            <w:pPr>
              <w:jc w:val="right"/>
              <w:ind w:right="51"/>
              <w:spacing w:after="0"/>
              <w:rPr>
                <w:sz w:val="20"/>
                <w:szCs w:val="20"/>
                <w:color w:val="auto"/>
              </w:rPr>
            </w:pPr>
            <w:r>
              <w:rPr>
                <w:rFonts w:ascii="Arial" w:cs="Arial" w:eastAsia="Arial" w:hAnsi="Arial"/>
                <w:sz w:val="18"/>
                <w:szCs w:val="18"/>
                <w:color w:val="auto"/>
              </w:rPr>
              <w:t>54,409</w:t>
            </w:r>
          </w:p>
        </w:tc>
        <w:tc>
          <w:tcPr>
            <w:tcW w:w="160" w:type="dxa"/>
            <w:vAlign w:val="bottom"/>
          </w:tcPr>
          <w:p>
            <w:pPr>
              <w:jc w:val="right"/>
              <w:spacing w:after="0"/>
              <w:rPr>
                <w:sz w:val="20"/>
                <w:szCs w:val="20"/>
                <w:color w:val="auto"/>
              </w:rPr>
            </w:pPr>
            <w:r>
              <w:rPr>
                <w:rFonts w:ascii="Arial" w:cs="Arial" w:eastAsia="Arial" w:hAnsi="Arial"/>
                <w:sz w:val="18"/>
                <w:szCs w:val="18"/>
                <w:color w:val="auto"/>
              </w:rPr>
              <w:t>$</w:t>
            </w:r>
          </w:p>
        </w:tc>
        <w:tc>
          <w:tcPr>
            <w:tcW w:w="940" w:type="dxa"/>
            <w:vAlign w:val="bottom"/>
          </w:tcPr>
          <w:p>
            <w:pPr>
              <w:jc w:val="right"/>
              <w:ind w:right="31"/>
              <w:spacing w:after="0"/>
              <w:rPr>
                <w:sz w:val="20"/>
                <w:szCs w:val="20"/>
                <w:color w:val="auto"/>
              </w:rPr>
            </w:pPr>
            <w:r>
              <w:rPr>
                <w:rFonts w:ascii="Arial" w:cs="Arial" w:eastAsia="Arial" w:hAnsi="Arial"/>
                <w:sz w:val="18"/>
                <w:szCs w:val="18"/>
                <w:color w:val="auto"/>
              </w:rPr>
              <w:t>47,667</w:t>
            </w:r>
          </w:p>
        </w:tc>
        <w:tc>
          <w:tcPr>
            <w:tcW w:w="160" w:type="dxa"/>
            <w:vAlign w:val="bottom"/>
          </w:tcPr>
          <w:p>
            <w:pPr>
              <w:jc w:val="right"/>
              <w:spacing w:after="0"/>
              <w:rPr>
                <w:sz w:val="20"/>
                <w:szCs w:val="20"/>
                <w:color w:val="auto"/>
              </w:rPr>
            </w:pPr>
            <w:r>
              <w:rPr>
                <w:rFonts w:ascii="Arial" w:cs="Arial" w:eastAsia="Arial" w:hAnsi="Arial"/>
                <w:sz w:val="18"/>
                <w:szCs w:val="18"/>
                <w:color w:val="auto"/>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49,257</w:t>
            </w:r>
          </w:p>
        </w:tc>
        <w:tc>
          <w:tcPr>
            <w:tcW w:w="0" w:type="dxa"/>
            <w:vAlign w:val="bottom"/>
          </w:tcPr>
          <w:p>
            <w:pPr>
              <w:spacing w:after="0"/>
              <w:rPr>
                <w:sz w:val="1"/>
                <w:szCs w:val="1"/>
                <w:color w:val="auto"/>
              </w:rPr>
            </w:pPr>
          </w:p>
        </w:tc>
      </w:tr>
      <w:tr>
        <w:trPr>
          <w:trHeight w:val="193"/>
        </w:trPr>
        <w:tc>
          <w:tcPr>
            <w:tcW w:w="278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Current assets less current liabilities,</w:t>
            </w:r>
          </w:p>
        </w:tc>
        <w:tc>
          <w:tcPr>
            <w:tcW w:w="1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94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94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4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94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88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2780" w:type="dxa"/>
            <w:vAlign w:val="bottom"/>
            <w:gridSpan w:val="2"/>
            <w:shd w:val="clear" w:color="auto" w:fill="CCEEFF"/>
          </w:tcPr>
          <w:p>
            <w:pPr>
              <w:spacing w:after="0"/>
              <w:rPr>
                <w:sz w:val="20"/>
                <w:szCs w:val="20"/>
                <w:color w:val="auto"/>
              </w:rPr>
            </w:pPr>
            <w:r>
              <w:rPr>
                <w:rFonts w:ascii="Arial" w:cs="Arial" w:eastAsia="Arial" w:hAnsi="Arial"/>
                <w:sz w:val="16"/>
                <w:szCs w:val="16"/>
                <w:color w:val="auto"/>
                <w:w w:val="97"/>
              </w:rPr>
              <w:t>excluding the current portion of our long</w:t>
            </w: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940" w:type="dxa"/>
            <w:vAlign w:val="bottom"/>
            <w:vMerge w:val="restart"/>
            <w:shd w:val="clear" w:color="auto" w:fill="CCEEFF"/>
          </w:tcPr>
          <w:p>
            <w:pPr>
              <w:jc w:val="right"/>
              <w:ind w:right="31"/>
              <w:spacing w:after="0"/>
              <w:rPr>
                <w:sz w:val="20"/>
                <w:szCs w:val="20"/>
                <w:color w:val="auto"/>
              </w:rPr>
            </w:pPr>
            <w:r>
              <w:rPr>
                <w:rFonts w:ascii="Arial" w:cs="Arial" w:eastAsia="Arial" w:hAnsi="Arial"/>
                <w:sz w:val="18"/>
                <w:szCs w:val="18"/>
                <w:color w:val="auto"/>
              </w:rPr>
              <w:t>407,012</w:t>
            </w:r>
          </w:p>
        </w:tc>
        <w:tc>
          <w:tcPr>
            <w:tcW w:w="160" w:type="dxa"/>
            <w:vAlign w:val="bottom"/>
            <w:shd w:val="clear" w:color="auto" w:fill="CCEEFF"/>
          </w:tcPr>
          <w:p>
            <w:pPr>
              <w:spacing w:after="0"/>
              <w:rPr>
                <w:sz w:val="17"/>
                <w:szCs w:val="17"/>
                <w:color w:val="auto"/>
              </w:rPr>
            </w:pPr>
          </w:p>
        </w:tc>
        <w:tc>
          <w:tcPr>
            <w:tcW w:w="940" w:type="dxa"/>
            <w:vAlign w:val="bottom"/>
            <w:vMerge w:val="restart"/>
            <w:shd w:val="clear" w:color="auto" w:fill="CCEEFF"/>
          </w:tcPr>
          <w:p>
            <w:pPr>
              <w:jc w:val="right"/>
              <w:ind w:right="32"/>
              <w:spacing w:after="0"/>
              <w:rPr>
                <w:sz w:val="20"/>
                <w:szCs w:val="20"/>
                <w:color w:val="auto"/>
              </w:rPr>
            </w:pPr>
            <w:r>
              <w:rPr>
                <w:rFonts w:ascii="Arial" w:cs="Arial" w:eastAsia="Arial" w:hAnsi="Arial"/>
                <w:sz w:val="18"/>
                <w:szCs w:val="18"/>
                <w:color w:val="auto"/>
              </w:rPr>
              <w:t>372,684</w:t>
            </w:r>
          </w:p>
        </w:tc>
        <w:tc>
          <w:tcPr>
            <w:tcW w:w="180" w:type="dxa"/>
            <w:vAlign w:val="bottom"/>
            <w:shd w:val="clear" w:color="auto" w:fill="CCEEFF"/>
          </w:tcPr>
          <w:p>
            <w:pPr>
              <w:spacing w:after="0"/>
              <w:rPr>
                <w:sz w:val="17"/>
                <w:szCs w:val="17"/>
                <w:color w:val="auto"/>
              </w:rPr>
            </w:pPr>
          </w:p>
        </w:tc>
        <w:tc>
          <w:tcPr>
            <w:tcW w:w="940" w:type="dxa"/>
            <w:vAlign w:val="bottom"/>
            <w:vMerge w:val="restart"/>
            <w:shd w:val="clear" w:color="auto" w:fill="CCEEFF"/>
          </w:tcPr>
          <w:p>
            <w:pPr>
              <w:jc w:val="right"/>
              <w:ind w:right="51"/>
              <w:spacing w:after="0"/>
              <w:rPr>
                <w:sz w:val="20"/>
                <w:szCs w:val="20"/>
                <w:color w:val="auto"/>
              </w:rPr>
            </w:pPr>
            <w:r>
              <w:rPr>
                <w:rFonts w:ascii="Arial" w:cs="Arial" w:eastAsia="Arial" w:hAnsi="Arial"/>
                <w:sz w:val="18"/>
                <w:szCs w:val="18"/>
                <w:color w:val="auto"/>
              </w:rPr>
              <w:t>345,114</w:t>
            </w:r>
          </w:p>
        </w:tc>
        <w:tc>
          <w:tcPr>
            <w:tcW w:w="160" w:type="dxa"/>
            <w:vAlign w:val="bottom"/>
            <w:shd w:val="clear" w:color="auto" w:fill="CCEEFF"/>
          </w:tcPr>
          <w:p>
            <w:pPr>
              <w:spacing w:after="0"/>
              <w:rPr>
                <w:sz w:val="17"/>
                <w:szCs w:val="17"/>
                <w:color w:val="auto"/>
              </w:rPr>
            </w:pPr>
          </w:p>
        </w:tc>
        <w:tc>
          <w:tcPr>
            <w:tcW w:w="940" w:type="dxa"/>
            <w:vAlign w:val="bottom"/>
            <w:vMerge w:val="restart"/>
            <w:shd w:val="clear" w:color="auto" w:fill="CCEEFF"/>
          </w:tcPr>
          <w:p>
            <w:pPr>
              <w:jc w:val="right"/>
              <w:ind w:right="31"/>
              <w:spacing w:after="0"/>
              <w:rPr>
                <w:sz w:val="20"/>
                <w:szCs w:val="20"/>
                <w:color w:val="auto"/>
              </w:rPr>
            </w:pPr>
            <w:r>
              <w:rPr>
                <w:rFonts w:ascii="Arial" w:cs="Arial" w:eastAsia="Arial" w:hAnsi="Arial"/>
                <w:sz w:val="18"/>
                <w:szCs w:val="18"/>
                <w:color w:val="auto"/>
              </w:rPr>
              <w:t>339,301</w:t>
            </w:r>
          </w:p>
        </w:tc>
        <w:tc>
          <w:tcPr>
            <w:tcW w:w="160" w:type="dxa"/>
            <w:vAlign w:val="bottom"/>
            <w:shd w:val="clear" w:color="auto" w:fill="CCEEFF"/>
          </w:tcPr>
          <w:p>
            <w:pPr>
              <w:spacing w:after="0"/>
              <w:rPr>
                <w:sz w:val="17"/>
                <w:szCs w:val="17"/>
                <w:color w:val="auto"/>
              </w:rPr>
            </w:pPr>
          </w:p>
        </w:tc>
        <w:tc>
          <w:tcPr>
            <w:tcW w:w="88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319,445</w:t>
            </w:r>
          </w:p>
        </w:tc>
        <w:tc>
          <w:tcPr>
            <w:tcW w:w="0" w:type="dxa"/>
            <w:vAlign w:val="bottom"/>
          </w:tcPr>
          <w:p>
            <w:pPr>
              <w:spacing w:after="0"/>
              <w:rPr>
                <w:sz w:val="1"/>
                <w:szCs w:val="1"/>
                <w:color w:val="auto"/>
              </w:rPr>
            </w:pPr>
          </w:p>
        </w:tc>
      </w:tr>
      <w:tr>
        <w:trPr>
          <w:trHeight w:val="212"/>
        </w:trPr>
        <w:tc>
          <w:tcPr>
            <w:tcW w:w="278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term debt and EAR Plan liability</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40" w:type="dxa"/>
            <w:vAlign w:val="bottom"/>
            <w:vMerge w:val="continue"/>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40" w:type="dxa"/>
            <w:vAlign w:val="bottom"/>
            <w:vMerge w:val="continue"/>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40" w:type="dxa"/>
            <w:vAlign w:val="bottom"/>
            <w:vMerge w:val="continue"/>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40" w:type="dxa"/>
            <w:vAlign w:val="bottom"/>
            <w:vMerge w:val="continue"/>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80" w:type="dxa"/>
            <w:vAlign w:val="bottom"/>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780" w:type="dxa"/>
            <w:vAlign w:val="bottom"/>
            <w:gridSpan w:val="2"/>
          </w:tcPr>
          <w:p>
            <w:pPr>
              <w:spacing w:after="0"/>
              <w:rPr>
                <w:sz w:val="20"/>
                <w:szCs w:val="20"/>
                <w:color w:val="auto"/>
              </w:rPr>
            </w:pPr>
            <w:r>
              <w:rPr>
                <w:rFonts w:ascii="Arial" w:cs="Arial" w:eastAsia="Arial" w:hAnsi="Arial"/>
                <w:sz w:val="16"/>
                <w:szCs w:val="16"/>
                <w:color w:val="auto"/>
              </w:rPr>
              <w:t>Total assets</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40" w:type="dxa"/>
            <w:vAlign w:val="bottom"/>
          </w:tcPr>
          <w:p>
            <w:pPr>
              <w:jc w:val="right"/>
              <w:ind w:right="31"/>
              <w:spacing w:after="0"/>
              <w:rPr>
                <w:sz w:val="20"/>
                <w:szCs w:val="20"/>
                <w:color w:val="auto"/>
              </w:rPr>
            </w:pPr>
            <w:r>
              <w:rPr>
                <w:rFonts w:ascii="Arial" w:cs="Arial" w:eastAsia="Arial" w:hAnsi="Arial"/>
                <w:sz w:val="18"/>
                <w:szCs w:val="18"/>
                <w:color w:val="auto"/>
                <w:w w:val="99"/>
              </w:rPr>
              <w:t>1,727,324</w:t>
            </w:r>
          </w:p>
        </w:tc>
        <w:tc>
          <w:tcPr>
            <w:tcW w:w="160" w:type="dxa"/>
            <w:vAlign w:val="bottom"/>
          </w:tcPr>
          <w:p>
            <w:pPr>
              <w:spacing w:after="0"/>
              <w:rPr>
                <w:sz w:val="18"/>
                <w:szCs w:val="18"/>
                <w:color w:val="auto"/>
              </w:rPr>
            </w:pPr>
          </w:p>
        </w:tc>
        <w:tc>
          <w:tcPr>
            <w:tcW w:w="940" w:type="dxa"/>
            <w:vAlign w:val="bottom"/>
          </w:tcPr>
          <w:p>
            <w:pPr>
              <w:jc w:val="right"/>
              <w:ind w:right="32"/>
              <w:spacing w:after="0"/>
              <w:rPr>
                <w:sz w:val="20"/>
                <w:szCs w:val="20"/>
                <w:color w:val="auto"/>
              </w:rPr>
            </w:pPr>
            <w:r>
              <w:rPr>
                <w:rFonts w:ascii="Arial" w:cs="Arial" w:eastAsia="Arial" w:hAnsi="Arial"/>
                <w:sz w:val="18"/>
                <w:szCs w:val="18"/>
                <w:color w:val="auto"/>
                <w:w w:val="99"/>
              </w:rPr>
              <w:t>1,736,171</w:t>
            </w:r>
          </w:p>
        </w:tc>
        <w:tc>
          <w:tcPr>
            <w:tcW w:w="180" w:type="dxa"/>
            <w:vAlign w:val="bottom"/>
          </w:tcPr>
          <w:p>
            <w:pPr>
              <w:spacing w:after="0"/>
              <w:rPr>
                <w:sz w:val="18"/>
                <w:szCs w:val="18"/>
                <w:color w:val="auto"/>
              </w:rPr>
            </w:pPr>
          </w:p>
        </w:tc>
        <w:tc>
          <w:tcPr>
            <w:tcW w:w="940" w:type="dxa"/>
            <w:vAlign w:val="bottom"/>
          </w:tcPr>
          <w:p>
            <w:pPr>
              <w:jc w:val="right"/>
              <w:ind w:right="51"/>
              <w:spacing w:after="0"/>
              <w:rPr>
                <w:sz w:val="20"/>
                <w:szCs w:val="20"/>
                <w:color w:val="auto"/>
              </w:rPr>
            </w:pPr>
            <w:r>
              <w:rPr>
                <w:rFonts w:ascii="Arial" w:cs="Arial" w:eastAsia="Arial" w:hAnsi="Arial"/>
                <w:sz w:val="18"/>
                <w:szCs w:val="18"/>
                <w:color w:val="auto"/>
                <w:w w:val="97"/>
              </w:rPr>
              <w:t>1,758,973</w:t>
            </w:r>
          </w:p>
        </w:tc>
        <w:tc>
          <w:tcPr>
            <w:tcW w:w="160" w:type="dxa"/>
            <w:vAlign w:val="bottom"/>
          </w:tcPr>
          <w:p>
            <w:pPr>
              <w:spacing w:after="0"/>
              <w:rPr>
                <w:sz w:val="18"/>
                <w:szCs w:val="18"/>
                <w:color w:val="auto"/>
              </w:rPr>
            </w:pPr>
          </w:p>
        </w:tc>
        <w:tc>
          <w:tcPr>
            <w:tcW w:w="940" w:type="dxa"/>
            <w:vAlign w:val="bottom"/>
          </w:tcPr>
          <w:p>
            <w:pPr>
              <w:jc w:val="right"/>
              <w:ind w:right="31"/>
              <w:spacing w:after="0"/>
              <w:rPr>
                <w:sz w:val="20"/>
                <w:szCs w:val="20"/>
                <w:color w:val="auto"/>
              </w:rPr>
            </w:pPr>
            <w:r>
              <w:rPr>
                <w:rFonts w:ascii="Arial" w:cs="Arial" w:eastAsia="Arial" w:hAnsi="Arial"/>
                <w:sz w:val="18"/>
                <w:szCs w:val="18"/>
                <w:color w:val="auto"/>
                <w:w w:val="99"/>
              </w:rPr>
              <w:t>1,762,703</w:t>
            </w:r>
          </w:p>
        </w:tc>
        <w:tc>
          <w:tcPr>
            <w:tcW w:w="16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w w:val="99"/>
              </w:rPr>
              <w:t>1,745,038</w:t>
            </w:r>
          </w:p>
        </w:tc>
        <w:tc>
          <w:tcPr>
            <w:tcW w:w="0" w:type="dxa"/>
            <w:vAlign w:val="bottom"/>
          </w:tcPr>
          <w:p>
            <w:pPr>
              <w:spacing w:after="0"/>
              <w:rPr>
                <w:sz w:val="1"/>
                <w:szCs w:val="1"/>
                <w:color w:val="auto"/>
              </w:rPr>
            </w:pPr>
          </w:p>
        </w:tc>
      </w:tr>
      <w:tr>
        <w:trPr>
          <w:trHeight w:val="216"/>
        </w:trPr>
        <w:tc>
          <w:tcPr>
            <w:tcW w:w="278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Common stock warrant liability</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31"/>
              <w:spacing w:after="0"/>
              <w:rPr>
                <w:sz w:val="20"/>
                <w:szCs w:val="20"/>
                <w:color w:val="auto"/>
              </w:rPr>
            </w:pPr>
            <w:r>
              <w:rPr>
                <w:rFonts w:ascii="Arial" w:cs="Arial" w:eastAsia="Arial" w:hAnsi="Arial"/>
                <w:sz w:val="18"/>
                <w:szCs w:val="18"/>
                <w:b w:val="1"/>
                <w:bCs w:val="1"/>
                <w:color w:val="auto"/>
              </w:rPr>
              <w:t>—</w:t>
            </w: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32"/>
              <w:spacing w:after="0"/>
              <w:rPr>
                <w:sz w:val="20"/>
                <w:szCs w:val="20"/>
                <w:color w:val="auto"/>
              </w:rPr>
            </w:pPr>
            <w:r>
              <w:rPr>
                <w:rFonts w:ascii="Arial" w:cs="Arial" w:eastAsia="Arial" w:hAnsi="Arial"/>
                <w:sz w:val="18"/>
                <w:szCs w:val="18"/>
                <w:b w:val="1"/>
                <w:bCs w:val="1"/>
                <w:color w:val="auto"/>
              </w:rPr>
              <w:t>—</w:t>
            </w:r>
          </w:p>
        </w:tc>
        <w:tc>
          <w:tcPr>
            <w:tcW w:w="18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51"/>
              <w:spacing w:after="0"/>
              <w:rPr>
                <w:sz w:val="20"/>
                <w:szCs w:val="20"/>
                <w:color w:val="auto"/>
              </w:rPr>
            </w:pPr>
            <w:r>
              <w:rPr>
                <w:rFonts w:ascii="Arial" w:cs="Arial" w:eastAsia="Arial" w:hAnsi="Arial"/>
                <w:sz w:val="18"/>
                <w:szCs w:val="18"/>
                <w:color w:val="auto"/>
              </w:rPr>
              <w:t>22,884</w:t>
            </w: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31"/>
              <w:spacing w:after="0"/>
              <w:rPr>
                <w:sz w:val="20"/>
                <w:szCs w:val="20"/>
                <w:color w:val="auto"/>
              </w:rPr>
            </w:pPr>
            <w:r>
              <w:rPr>
                <w:rFonts w:ascii="Arial" w:cs="Arial" w:eastAsia="Arial" w:hAnsi="Arial"/>
                <w:sz w:val="18"/>
                <w:szCs w:val="18"/>
                <w:color w:val="auto"/>
              </w:rPr>
              <w:t>1,818</w:t>
            </w:r>
          </w:p>
        </w:tc>
        <w:tc>
          <w:tcPr>
            <w:tcW w:w="16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3,705</w:t>
            </w:r>
          </w:p>
        </w:tc>
        <w:tc>
          <w:tcPr>
            <w:tcW w:w="0" w:type="dxa"/>
            <w:vAlign w:val="bottom"/>
          </w:tcPr>
          <w:p>
            <w:pPr>
              <w:spacing w:after="0"/>
              <w:rPr>
                <w:sz w:val="1"/>
                <w:szCs w:val="1"/>
                <w:color w:val="auto"/>
              </w:rPr>
            </w:pPr>
          </w:p>
        </w:tc>
      </w:tr>
      <w:tr>
        <w:trPr>
          <w:trHeight w:val="193"/>
        </w:trPr>
        <w:tc>
          <w:tcPr>
            <w:tcW w:w="2780" w:type="dxa"/>
            <w:vAlign w:val="bottom"/>
            <w:gridSpan w:val="2"/>
          </w:tcPr>
          <w:p>
            <w:pPr>
              <w:spacing w:after="0"/>
              <w:rPr>
                <w:sz w:val="20"/>
                <w:szCs w:val="20"/>
                <w:color w:val="auto"/>
              </w:rPr>
            </w:pPr>
            <w:r>
              <w:rPr>
                <w:rFonts w:ascii="Arial" w:cs="Arial" w:eastAsia="Arial" w:hAnsi="Arial"/>
                <w:sz w:val="16"/>
                <w:szCs w:val="16"/>
                <w:color w:val="auto"/>
              </w:rPr>
              <w:t>Long term debt, net of discount,</w:t>
            </w:r>
          </w:p>
        </w:tc>
        <w:tc>
          <w:tcPr>
            <w:tcW w:w="1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2780" w:type="dxa"/>
            <w:vAlign w:val="bottom"/>
            <w:gridSpan w:val="2"/>
          </w:tcPr>
          <w:p>
            <w:pPr>
              <w:spacing w:after="0"/>
              <w:rPr>
                <w:sz w:val="20"/>
                <w:szCs w:val="20"/>
                <w:color w:val="auto"/>
              </w:rPr>
            </w:pPr>
            <w:r>
              <w:rPr>
                <w:rFonts w:ascii="Arial" w:cs="Arial" w:eastAsia="Arial" w:hAnsi="Arial"/>
                <w:sz w:val="16"/>
                <w:szCs w:val="16"/>
                <w:color w:val="auto"/>
              </w:rPr>
              <w:t>including current portion, and capital</w:t>
            </w: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940" w:type="dxa"/>
            <w:vAlign w:val="bottom"/>
            <w:vMerge w:val="restart"/>
          </w:tcPr>
          <w:p>
            <w:pPr>
              <w:jc w:val="right"/>
              <w:ind w:right="31"/>
              <w:spacing w:after="0"/>
              <w:rPr>
                <w:sz w:val="20"/>
                <w:szCs w:val="20"/>
                <w:color w:val="auto"/>
              </w:rPr>
            </w:pPr>
            <w:r>
              <w:rPr>
                <w:rFonts w:ascii="Arial" w:cs="Arial" w:eastAsia="Arial" w:hAnsi="Arial"/>
                <w:sz w:val="18"/>
                <w:szCs w:val="18"/>
                <w:color w:val="auto"/>
              </w:rPr>
              <w:t>443,689</w:t>
            </w:r>
          </w:p>
        </w:tc>
        <w:tc>
          <w:tcPr>
            <w:tcW w:w="160" w:type="dxa"/>
            <w:vAlign w:val="bottom"/>
          </w:tcPr>
          <w:p>
            <w:pPr>
              <w:spacing w:after="0"/>
              <w:rPr>
                <w:sz w:val="17"/>
                <w:szCs w:val="17"/>
                <w:color w:val="auto"/>
              </w:rPr>
            </w:pPr>
          </w:p>
        </w:tc>
        <w:tc>
          <w:tcPr>
            <w:tcW w:w="940" w:type="dxa"/>
            <w:vAlign w:val="bottom"/>
            <w:vMerge w:val="restart"/>
          </w:tcPr>
          <w:p>
            <w:pPr>
              <w:jc w:val="right"/>
              <w:ind w:right="32"/>
              <w:spacing w:after="0"/>
              <w:rPr>
                <w:sz w:val="20"/>
                <w:szCs w:val="20"/>
                <w:color w:val="auto"/>
              </w:rPr>
            </w:pPr>
            <w:r>
              <w:rPr>
                <w:rFonts w:ascii="Arial" w:cs="Arial" w:eastAsia="Arial" w:hAnsi="Arial"/>
                <w:sz w:val="18"/>
                <w:szCs w:val="18"/>
                <w:color w:val="auto"/>
              </w:rPr>
              <w:t>367,098</w:t>
            </w:r>
          </w:p>
        </w:tc>
        <w:tc>
          <w:tcPr>
            <w:tcW w:w="180" w:type="dxa"/>
            <w:vAlign w:val="bottom"/>
          </w:tcPr>
          <w:p>
            <w:pPr>
              <w:spacing w:after="0"/>
              <w:rPr>
                <w:sz w:val="17"/>
                <w:szCs w:val="17"/>
                <w:color w:val="auto"/>
              </w:rPr>
            </w:pPr>
          </w:p>
        </w:tc>
        <w:tc>
          <w:tcPr>
            <w:tcW w:w="940" w:type="dxa"/>
            <w:vAlign w:val="bottom"/>
            <w:vMerge w:val="restart"/>
          </w:tcPr>
          <w:p>
            <w:pPr>
              <w:jc w:val="right"/>
              <w:ind w:right="51"/>
              <w:spacing w:after="0"/>
              <w:rPr>
                <w:sz w:val="20"/>
                <w:szCs w:val="20"/>
                <w:color w:val="auto"/>
              </w:rPr>
            </w:pPr>
            <w:r>
              <w:rPr>
                <w:rFonts w:ascii="Arial" w:cs="Arial" w:eastAsia="Arial" w:hAnsi="Arial"/>
                <w:sz w:val="18"/>
                <w:szCs w:val="18"/>
                <w:color w:val="auto"/>
              </w:rPr>
              <w:t>797,151</w:t>
            </w:r>
          </w:p>
        </w:tc>
        <w:tc>
          <w:tcPr>
            <w:tcW w:w="160" w:type="dxa"/>
            <w:vAlign w:val="bottom"/>
          </w:tcPr>
          <w:p>
            <w:pPr>
              <w:spacing w:after="0"/>
              <w:rPr>
                <w:sz w:val="17"/>
                <w:szCs w:val="17"/>
                <w:color w:val="auto"/>
              </w:rPr>
            </w:pPr>
          </w:p>
        </w:tc>
        <w:tc>
          <w:tcPr>
            <w:tcW w:w="940" w:type="dxa"/>
            <w:vAlign w:val="bottom"/>
            <w:vMerge w:val="restart"/>
          </w:tcPr>
          <w:p>
            <w:pPr>
              <w:jc w:val="right"/>
              <w:ind w:right="31"/>
              <w:spacing w:after="0"/>
              <w:rPr>
                <w:sz w:val="20"/>
                <w:szCs w:val="20"/>
                <w:color w:val="auto"/>
              </w:rPr>
            </w:pPr>
            <w:r>
              <w:rPr>
                <w:rFonts w:ascii="Arial" w:cs="Arial" w:eastAsia="Arial" w:hAnsi="Arial"/>
                <w:sz w:val="18"/>
                <w:szCs w:val="18"/>
                <w:color w:val="auto"/>
              </w:rPr>
              <w:t>873,542</w:t>
            </w:r>
          </w:p>
        </w:tc>
        <w:tc>
          <w:tcPr>
            <w:tcW w:w="160" w:type="dxa"/>
            <w:vAlign w:val="bottom"/>
          </w:tcPr>
          <w:p>
            <w:pPr>
              <w:spacing w:after="0"/>
              <w:rPr>
                <w:sz w:val="17"/>
                <w:szCs w:val="17"/>
                <w:color w:val="auto"/>
              </w:rPr>
            </w:pPr>
          </w:p>
        </w:tc>
        <w:tc>
          <w:tcPr>
            <w:tcW w:w="880" w:type="dxa"/>
            <w:vAlign w:val="bottom"/>
            <w:vMerge w:val="restart"/>
          </w:tcPr>
          <w:p>
            <w:pPr>
              <w:jc w:val="right"/>
              <w:spacing w:after="0"/>
              <w:rPr>
                <w:sz w:val="20"/>
                <w:szCs w:val="20"/>
                <w:color w:val="auto"/>
              </w:rPr>
            </w:pPr>
            <w:r>
              <w:rPr>
                <w:rFonts w:ascii="Arial" w:cs="Arial" w:eastAsia="Arial" w:hAnsi="Arial"/>
                <w:sz w:val="18"/>
                <w:szCs w:val="18"/>
                <w:color w:val="auto"/>
              </w:rPr>
              <w:t>929,590</w:t>
            </w:r>
          </w:p>
        </w:tc>
        <w:tc>
          <w:tcPr>
            <w:tcW w:w="0" w:type="dxa"/>
            <w:vAlign w:val="bottom"/>
          </w:tcPr>
          <w:p>
            <w:pPr>
              <w:spacing w:after="0"/>
              <w:rPr>
                <w:sz w:val="1"/>
                <w:szCs w:val="1"/>
                <w:color w:val="auto"/>
              </w:rPr>
            </w:pPr>
          </w:p>
        </w:tc>
      </w:tr>
      <w:tr>
        <w:trPr>
          <w:trHeight w:val="212"/>
        </w:trPr>
        <w:tc>
          <w:tcPr>
            <w:tcW w:w="2780" w:type="dxa"/>
            <w:vAlign w:val="bottom"/>
            <w:gridSpan w:val="2"/>
          </w:tcPr>
          <w:p>
            <w:pPr>
              <w:spacing w:after="0"/>
              <w:rPr>
                <w:sz w:val="20"/>
                <w:szCs w:val="20"/>
                <w:color w:val="auto"/>
              </w:rPr>
            </w:pPr>
            <w:r>
              <w:rPr>
                <w:rFonts w:ascii="Arial" w:cs="Arial" w:eastAsia="Arial" w:hAnsi="Arial"/>
                <w:sz w:val="16"/>
                <w:szCs w:val="16"/>
                <w:color w:val="auto"/>
              </w:rPr>
              <w:t>lease obligations(5)</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40" w:type="dxa"/>
            <w:vAlign w:val="bottom"/>
            <w:vMerge w:val="continue"/>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vMerge w:val="continue"/>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vMerge w:val="continue"/>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vMerge w:val="continue"/>
          </w:tcPr>
          <w:p>
            <w:pPr>
              <w:spacing w:after="0"/>
              <w:rPr>
                <w:sz w:val="18"/>
                <w:szCs w:val="18"/>
                <w:color w:val="auto"/>
              </w:rPr>
            </w:pPr>
          </w:p>
        </w:tc>
        <w:tc>
          <w:tcPr>
            <w:tcW w:w="160" w:type="dxa"/>
            <w:vAlign w:val="bottom"/>
          </w:tcPr>
          <w:p>
            <w:pPr>
              <w:spacing w:after="0"/>
              <w:rPr>
                <w:sz w:val="18"/>
                <w:szCs w:val="18"/>
                <w:color w:val="auto"/>
              </w:rPr>
            </w:pPr>
          </w:p>
        </w:tc>
        <w:tc>
          <w:tcPr>
            <w:tcW w:w="88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93"/>
        </w:trPr>
        <w:tc>
          <w:tcPr>
            <w:tcW w:w="278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EAR Plan liability, including current</w:t>
            </w:r>
          </w:p>
        </w:tc>
        <w:tc>
          <w:tcPr>
            <w:tcW w:w="1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940" w:type="dxa"/>
            <w:vAlign w:val="bottom"/>
            <w:vMerge w:val="restart"/>
            <w:shd w:val="clear" w:color="auto" w:fill="CCEEFF"/>
          </w:tcPr>
          <w:p>
            <w:pPr>
              <w:jc w:val="right"/>
              <w:ind w:right="31"/>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6"/>
                <w:szCs w:val="16"/>
                <w:color w:val="auto"/>
              </w:rPr>
            </w:pPr>
          </w:p>
        </w:tc>
        <w:tc>
          <w:tcPr>
            <w:tcW w:w="940" w:type="dxa"/>
            <w:vAlign w:val="bottom"/>
            <w:vMerge w:val="restart"/>
            <w:shd w:val="clear" w:color="auto" w:fill="CCEEFF"/>
          </w:tcPr>
          <w:p>
            <w:pPr>
              <w:jc w:val="right"/>
              <w:ind w:right="32"/>
              <w:spacing w:after="0"/>
              <w:rPr>
                <w:sz w:val="20"/>
                <w:szCs w:val="20"/>
                <w:color w:val="auto"/>
              </w:rPr>
            </w:pPr>
            <w:r>
              <w:rPr>
                <w:rFonts w:ascii="Arial" w:cs="Arial" w:eastAsia="Arial" w:hAnsi="Arial"/>
                <w:sz w:val="18"/>
                <w:szCs w:val="18"/>
                <w:color w:val="auto"/>
              </w:rPr>
              <w:t>151,511</w:t>
            </w:r>
          </w:p>
        </w:tc>
        <w:tc>
          <w:tcPr>
            <w:tcW w:w="180" w:type="dxa"/>
            <w:vAlign w:val="bottom"/>
            <w:shd w:val="clear" w:color="auto" w:fill="CCEEFF"/>
          </w:tcPr>
          <w:p>
            <w:pPr>
              <w:spacing w:after="0"/>
              <w:rPr>
                <w:sz w:val="16"/>
                <w:szCs w:val="16"/>
                <w:color w:val="auto"/>
              </w:rPr>
            </w:pPr>
          </w:p>
        </w:tc>
        <w:tc>
          <w:tcPr>
            <w:tcW w:w="940" w:type="dxa"/>
            <w:vAlign w:val="bottom"/>
            <w:vMerge w:val="restart"/>
            <w:shd w:val="clear" w:color="auto" w:fill="CCEEFF"/>
          </w:tcPr>
          <w:p>
            <w:pPr>
              <w:jc w:val="right"/>
              <w:ind w:right="51"/>
              <w:spacing w:after="0"/>
              <w:rPr>
                <w:sz w:val="20"/>
                <w:szCs w:val="20"/>
                <w:color w:val="auto"/>
              </w:rPr>
            </w:pPr>
            <w:r>
              <w:rPr>
                <w:rFonts w:ascii="Arial" w:cs="Arial" w:eastAsia="Arial" w:hAnsi="Arial"/>
                <w:sz w:val="18"/>
                <w:szCs w:val="18"/>
                <w:color w:val="auto"/>
              </w:rPr>
              <w:t>169,566</w:t>
            </w:r>
          </w:p>
        </w:tc>
        <w:tc>
          <w:tcPr>
            <w:tcW w:w="160" w:type="dxa"/>
            <w:vAlign w:val="bottom"/>
            <w:shd w:val="clear" w:color="auto" w:fill="CCEEFF"/>
          </w:tcPr>
          <w:p>
            <w:pPr>
              <w:spacing w:after="0"/>
              <w:rPr>
                <w:sz w:val="16"/>
                <w:szCs w:val="16"/>
                <w:color w:val="auto"/>
              </w:rPr>
            </w:pPr>
          </w:p>
        </w:tc>
        <w:tc>
          <w:tcPr>
            <w:tcW w:w="940" w:type="dxa"/>
            <w:vAlign w:val="bottom"/>
            <w:vMerge w:val="restart"/>
            <w:shd w:val="clear" w:color="auto" w:fill="CCEEFF"/>
          </w:tcPr>
          <w:p>
            <w:pPr>
              <w:jc w:val="right"/>
              <w:ind w:right="31"/>
              <w:spacing w:after="0"/>
              <w:rPr>
                <w:sz w:val="20"/>
                <w:szCs w:val="20"/>
                <w:color w:val="auto"/>
              </w:rPr>
            </w:pPr>
            <w:r>
              <w:rPr>
                <w:rFonts w:ascii="Arial" w:cs="Arial" w:eastAsia="Arial" w:hAnsi="Arial"/>
                <w:sz w:val="18"/>
                <w:szCs w:val="18"/>
                <w:color w:val="auto"/>
              </w:rPr>
              <w:t>122,013</w:t>
            </w:r>
          </w:p>
        </w:tc>
        <w:tc>
          <w:tcPr>
            <w:tcW w:w="160" w:type="dxa"/>
            <w:vAlign w:val="bottom"/>
            <w:shd w:val="clear" w:color="auto" w:fill="CCEEFF"/>
          </w:tcPr>
          <w:p>
            <w:pPr>
              <w:spacing w:after="0"/>
              <w:rPr>
                <w:sz w:val="16"/>
                <w:szCs w:val="16"/>
                <w:color w:val="auto"/>
              </w:rPr>
            </w:pPr>
          </w:p>
        </w:tc>
        <w:tc>
          <w:tcPr>
            <w:tcW w:w="88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69,927</w:t>
            </w:r>
          </w:p>
        </w:tc>
        <w:tc>
          <w:tcPr>
            <w:tcW w:w="0" w:type="dxa"/>
            <w:vAlign w:val="bottom"/>
          </w:tcPr>
          <w:p>
            <w:pPr>
              <w:spacing w:after="0"/>
              <w:rPr>
                <w:sz w:val="1"/>
                <w:szCs w:val="1"/>
                <w:color w:val="auto"/>
              </w:rPr>
            </w:pPr>
          </w:p>
        </w:tc>
      </w:tr>
      <w:tr>
        <w:trPr>
          <w:trHeight w:val="212"/>
        </w:trPr>
        <w:tc>
          <w:tcPr>
            <w:tcW w:w="278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portion(6)</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40" w:type="dxa"/>
            <w:vAlign w:val="bottom"/>
            <w:vMerge w:val="continue"/>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40" w:type="dxa"/>
            <w:vAlign w:val="bottom"/>
            <w:vMerge w:val="continue"/>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40" w:type="dxa"/>
            <w:vAlign w:val="bottom"/>
            <w:vMerge w:val="continue"/>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40" w:type="dxa"/>
            <w:vAlign w:val="bottom"/>
            <w:vMerge w:val="continue"/>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80" w:type="dxa"/>
            <w:vAlign w:val="bottom"/>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780" w:type="dxa"/>
            <w:vAlign w:val="bottom"/>
            <w:gridSpan w:val="2"/>
          </w:tcPr>
          <w:p>
            <w:pPr>
              <w:spacing w:after="0"/>
              <w:rPr>
                <w:sz w:val="20"/>
                <w:szCs w:val="20"/>
                <w:color w:val="auto"/>
              </w:rPr>
            </w:pPr>
            <w:r>
              <w:rPr>
                <w:rFonts w:ascii="Arial" w:cs="Arial" w:eastAsia="Arial" w:hAnsi="Arial"/>
                <w:sz w:val="16"/>
                <w:szCs w:val="16"/>
                <w:color w:val="auto"/>
              </w:rPr>
              <w:t>Total liabilities</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40" w:type="dxa"/>
            <w:vAlign w:val="bottom"/>
          </w:tcPr>
          <w:p>
            <w:pPr>
              <w:jc w:val="right"/>
              <w:ind w:right="31"/>
              <w:spacing w:after="0"/>
              <w:rPr>
                <w:sz w:val="20"/>
                <w:szCs w:val="20"/>
                <w:color w:val="auto"/>
              </w:rPr>
            </w:pPr>
            <w:r>
              <w:rPr>
                <w:rFonts w:ascii="Arial" w:cs="Arial" w:eastAsia="Arial" w:hAnsi="Arial"/>
                <w:sz w:val="18"/>
                <w:szCs w:val="18"/>
                <w:color w:val="auto"/>
              </w:rPr>
              <w:t>879,932</w:t>
            </w:r>
          </w:p>
        </w:tc>
        <w:tc>
          <w:tcPr>
            <w:tcW w:w="160" w:type="dxa"/>
            <w:vAlign w:val="bottom"/>
          </w:tcPr>
          <w:p>
            <w:pPr>
              <w:spacing w:after="0"/>
              <w:rPr>
                <w:sz w:val="18"/>
                <w:szCs w:val="18"/>
                <w:color w:val="auto"/>
              </w:rPr>
            </w:pPr>
          </w:p>
        </w:tc>
        <w:tc>
          <w:tcPr>
            <w:tcW w:w="940" w:type="dxa"/>
            <w:vAlign w:val="bottom"/>
          </w:tcPr>
          <w:p>
            <w:pPr>
              <w:jc w:val="right"/>
              <w:ind w:right="32"/>
              <w:spacing w:after="0"/>
              <w:rPr>
                <w:sz w:val="20"/>
                <w:szCs w:val="20"/>
                <w:color w:val="auto"/>
              </w:rPr>
            </w:pPr>
            <w:r>
              <w:rPr>
                <w:rFonts w:ascii="Arial" w:cs="Arial" w:eastAsia="Arial" w:hAnsi="Arial"/>
                <w:sz w:val="18"/>
                <w:szCs w:val="18"/>
                <w:color w:val="auto"/>
              </w:rPr>
              <w:t>967,348</w:t>
            </w:r>
          </w:p>
        </w:tc>
        <w:tc>
          <w:tcPr>
            <w:tcW w:w="180" w:type="dxa"/>
            <w:vAlign w:val="bottom"/>
          </w:tcPr>
          <w:p>
            <w:pPr>
              <w:spacing w:after="0"/>
              <w:rPr>
                <w:sz w:val="18"/>
                <w:szCs w:val="18"/>
                <w:color w:val="auto"/>
              </w:rPr>
            </w:pPr>
          </w:p>
        </w:tc>
        <w:tc>
          <w:tcPr>
            <w:tcW w:w="940" w:type="dxa"/>
            <w:vAlign w:val="bottom"/>
          </w:tcPr>
          <w:p>
            <w:pPr>
              <w:jc w:val="right"/>
              <w:ind w:right="51"/>
              <w:spacing w:after="0"/>
              <w:rPr>
                <w:sz w:val="20"/>
                <w:szCs w:val="20"/>
                <w:color w:val="auto"/>
              </w:rPr>
            </w:pPr>
            <w:r>
              <w:rPr>
                <w:rFonts w:ascii="Arial" w:cs="Arial" w:eastAsia="Arial" w:hAnsi="Arial"/>
                <w:sz w:val="18"/>
                <w:szCs w:val="18"/>
                <w:color w:val="auto"/>
                <w:w w:val="97"/>
              </w:rPr>
              <w:t>1,434,431</w:t>
            </w:r>
          </w:p>
        </w:tc>
        <w:tc>
          <w:tcPr>
            <w:tcW w:w="160" w:type="dxa"/>
            <w:vAlign w:val="bottom"/>
          </w:tcPr>
          <w:p>
            <w:pPr>
              <w:spacing w:after="0"/>
              <w:rPr>
                <w:sz w:val="18"/>
                <w:szCs w:val="18"/>
                <w:color w:val="auto"/>
              </w:rPr>
            </w:pPr>
          </w:p>
        </w:tc>
        <w:tc>
          <w:tcPr>
            <w:tcW w:w="940" w:type="dxa"/>
            <w:vAlign w:val="bottom"/>
          </w:tcPr>
          <w:p>
            <w:pPr>
              <w:jc w:val="right"/>
              <w:ind w:right="31"/>
              <w:spacing w:after="0"/>
              <w:rPr>
                <w:sz w:val="20"/>
                <w:szCs w:val="20"/>
                <w:color w:val="auto"/>
              </w:rPr>
            </w:pPr>
            <w:r>
              <w:rPr>
                <w:rFonts w:ascii="Arial" w:cs="Arial" w:eastAsia="Arial" w:hAnsi="Arial"/>
                <w:sz w:val="18"/>
                <w:szCs w:val="18"/>
                <w:color w:val="auto"/>
                <w:w w:val="99"/>
              </w:rPr>
              <w:t>1,442,747</w:t>
            </w:r>
          </w:p>
        </w:tc>
        <w:tc>
          <w:tcPr>
            <w:tcW w:w="16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w w:val="99"/>
              </w:rPr>
              <w:t>1,438,708</w:t>
            </w:r>
          </w:p>
        </w:tc>
        <w:tc>
          <w:tcPr>
            <w:tcW w:w="0" w:type="dxa"/>
            <w:vAlign w:val="bottom"/>
          </w:tcPr>
          <w:p>
            <w:pPr>
              <w:spacing w:after="0"/>
              <w:rPr>
                <w:sz w:val="1"/>
                <w:szCs w:val="1"/>
                <w:color w:val="auto"/>
              </w:rPr>
            </w:pPr>
          </w:p>
        </w:tc>
      </w:tr>
      <w:tr>
        <w:trPr>
          <w:trHeight w:val="216"/>
        </w:trPr>
        <w:tc>
          <w:tcPr>
            <w:tcW w:w="278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Convertible Preferred Stock</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31"/>
              <w:spacing w:after="0"/>
              <w:rPr>
                <w:sz w:val="20"/>
                <w:szCs w:val="20"/>
                <w:color w:val="auto"/>
              </w:rPr>
            </w:pPr>
            <w:r>
              <w:rPr>
                <w:rFonts w:ascii="Arial" w:cs="Arial" w:eastAsia="Arial" w:hAnsi="Arial"/>
                <w:sz w:val="18"/>
                <w:szCs w:val="18"/>
                <w:b w:val="1"/>
                <w:bCs w:val="1"/>
                <w:color w:val="auto"/>
              </w:rPr>
              <w:t>—</w:t>
            </w: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32"/>
              <w:spacing w:after="0"/>
              <w:rPr>
                <w:sz w:val="20"/>
                <w:szCs w:val="20"/>
                <w:color w:val="auto"/>
              </w:rPr>
            </w:pPr>
            <w:r>
              <w:rPr>
                <w:rFonts w:ascii="Arial" w:cs="Arial" w:eastAsia="Arial" w:hAnsi="Arial"/>
                <w:sz w:val="18"/>
                <w:szCs w:val="18"/>
                <w:b w:val="1"/>
                <w:bCs w:val="1"/>
                <w:color w:val="auto"/>
              </w:rPr>
              <w:t>—</w:t>
            </w:r>
          </w:p>
        </w:tc>
        <w:tc>
          <w:tcPr>
            <w:tcW w:w="18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51"/>
              <w:spacing w:after="0"/>
              <w:rPr>
                <w:sz w:val="20"/>
                <w:szCs w:val="20"/>
                <w:color w:val="auto"/>
              </w:rPr>
            </w:pPr>
            <w:r>
              <w:rPr>
                <w:rFonts w:ascii="Arial" w:cs="Arial" w:eastAsia="Arial" w:hAnsi="Arial"/>
                <w:sz w:val="18"/>
                <w:szCs w:val="18"/>
                <w:color w:val="auto"/>
              </w:rPr>
              <w:t>131,036</w:t>
            </w: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31"/>
              <w:spacing w:after="0"/>
              <w:rPr>
                <w:sz w:val="20"/>
                <w:szCs w:val="20"/>
                <w:color w:val="auto"/>
              </w:rPr>
            </w:pPr>
            <w:r>
              <w:rPr>
                <w:rFonts w:ascii="Arial" w:cs="Arial" w:eastAsia="Arial" w:hAnsi="Arial"/>
                <w:sz w:val="18"/>
                <w:szCs w:val="18"/>
                <w:color w:val="auto"/>
              </w:rPr>
              <w:t>131,036</w:t>
            </w:r>
          </w:p>
        </w:tc>
        <w:tc>
          <w:tcPr>
            <w:tcW w:w="16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131,036</w:t>
            </w:r>
          </w:p>
        </w:tc>
        <w:tc>
          <w:tcPr>
            <w:tcW w:w="0" w:type="dxa"/>
            <w:vAlign w:val="bottom"/>
          </w:tcPr>
          <w:p>
            <w:pPr>
              <w:spacing w:after="0"/>
              <w:rPr>
                <w:sz w:val="1"/>
                <w:szCs w:val="1"/>
                <w:color w:val="auto"/>
              </w:rPr>
            </w:pPr>
          </w:p>
        </w:tc>
      </w:tr>
      <w:tr>
        <w:trPr>
          <w:trHeight w:val="193"/>
        </w:trPr>
        <w:tc>
          <w:tcPr>
            <w:tcW w:w="2780" w:type="dxa"/>
            <w:vAlign w:val="bottom"/>
            <w:gridSpan w:val="2"/>
          </w:tcPr>
          <w:p>
            <w:pPr>
              <w:spacing w:after="0"/>
              <w:rPr>
                <w:sz w:val="20"/>
                <w:szCs w:val="20"/>
                <w:color w:val="auto"/>
              </w:rPr>
            </w:pPr>
            <w:r>
              <w:rPr>
                <w:rFonts w:ascii="Arial" w:cs="Arial" w:eastAsia="Arial" w:hAnsi="Arial"/>
                <w:sz w:val="16"/>
                <w:szCs w:val="16"/>
                <w:color w:val="auto"/>
              </w:rPr>
              <w:t>Total equity attributable to Acushnet</w:t>
            </w:r>
          </w:p>
        </w:tc>
        <w:tc>
          <w:tcPr>
            <w:tcW w:w="1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940" w:type="dxa"/>
            <w:vAlign w:val="bottom"/>
            <w:vMerge w:val="restart"/>
          </w:tcPr>
          <w:p>
            <w:pPr>
              <w:jc w:val="right"/>
              <w:ind w:right="31"/>
              <w:spacing w:after="0"/>
              <w:rPr>
                <w:sz w:val="20"/>
                <w:szCs w:val="20"/>
                <w:color w:val="auto"/>
              </w:rPr>
            </w:pPr>
            <w:r>
              <w:rPr>
                <w:rFonts w:ascii="Arial" w:cs="Arial" w:eastAsia="Arial" w:hAnsi="Arial"/>
                <w:sz w:val="18"/>
                <w:szCs w:val="18"/>
                <w:color w:val="auto"/>
              </w:rPr>
              <w:t>814,728</w:t>
            </w:r>
          </w:p>
        </w:tc>
        <w:tc>
          <w:tcPr>
            <w:tcW w:w="160" w:type="dxa"/>
            <w:vAlign w:val="bottom"/>
          </w:tcPr>
          <w:p>
            <w:pPr>
              <w:spacing w:after="0"/>
              <w:rPr>
                <w:sz w:val="16"/>
                <w:szCs w:val="16"/>
                <w:color w:val="auto"/>
              </w:rPr>
            </w:pPr>
          </w:p>
        </w:tc>
        <w:tc>
          <w:tcPr>
            <w:tcW w:w="940" w:type="dxa"/>
            <w:vAlign w:val="bottom"/>
            <w:vMerge w:val="restart"/>
          </w:tcPr>
          <w:p>
            <w:pPr>
              <w:jc w:val="right"/>
              <w:ind w:right="32"/>
              <w:spacing w:after="0"/>
              <w:rPr>
                <w:sz w:val="20"/>
                <w:szCs w:val="20"/>
                <w:color w:val="auto"/>
              </w:rPr>
            </w:pPr>
            <w:r>
              <w:rPr>
                <w:rFonts w:ascii="Arial" w:cs="Arial" w:eastAsia="Arial" w:hAnsi="Arial"/>
                <w:sz w:val="18"/>
                <w:szCs w:val="18"/>
                <w:color w:val="auto"/>
              </w:rPr>
              <w:t>735,865</w:t>
            </w:r>
          </w:p>
        </w:tc>
        <w:tc>
          <w:tcPr>
            <w:tcW w:w="180" w:type="dxa"/>
            <w:vAlign w:val="bottom"/>
          </w:tcPr>
          <w:p>
            <w:pPr>
              <w:spacing w:after="0"/>
              <w:rPr>
                <w:sz w:val="16"/>
                <w:szCs w:val="16"/>
                <w:color w:val="auto"/>
              </w:rPr>
            </w:pPr>
          </w:p>
        </w:tc>
        <w:tc>
          <w:tcPr>
            <w:tcW w:w="940" w:type="dxa"/>
            <w:vAlign w:val="bottom"/>
            <w:vMerge w:val="restart"/>
          </w:tcPr>
          <w:p>
            <w:pPr>
              <w:jc w:val="right"/>
              <w:ind w:right="51"/>
              <w:spacing w:after="0"/>
              <w:rPr>
                <w:sz w:val="20"/>
                <w:szCs w:val="20"/>
                <w:color w:val="auto"/>
              </w:rPr>
            </w:pPr>
            <w:r>
              <w:rPr>
                <w:rFonts w:ascii="Arial" w:cs="Arial" w:eastAsia="Arial" w:hAnsi="Arial"/>
                <w:sz w:val="18"/>
                <w:szCs w:val="18"/>
                <w:color w:val="auto"/>
              </w:rPr>
              <w:t>160,251</w:t>
            </w:r>
          </w:p>
        </w:tc>
        <w:tc>
          <w:tcPr>
            <w:tcW w:w="160" w:type="dxa"/>
            <w:vAlign w:val="bottom"/>
          </w:tcPr>
          <w:p>
            <w:pPr>
              <w:spacing w:after="0"/>
              <w:rPr>
                <w:sz w:val="16"/>
                <w:szCs w:val="16"/>
                <w:color w:val="auto"/>
              </w:rPr>
            </w:pPr>
          </w:p>
        </w:tc>
        <w:tc>
          <w:tcPr>
            <w:tcW w:w="940" w:type="dxa"/>
            <w:vAlign w:val="bottom"/>
            <w:vMerge w:val="restart"/>
          </w:tcPr>
          <w:p>
            <w:pPr>
              <w:jc w:val="right"/>
              <w:ind w:right="31"/>
              <w:spacing w:after="0"/>
              <w:rPr>
                <w:sz w:val="20"/>
                <w:szCs w:val="20"/>
                <w:color w:val="auto"/>
              </w:rPr>
            </w:pPr>
            <w:r>
              <w:rPr>
                <w:rFonts w:ascii="Arial" w:cs="Arial" w:eastAsia="Arial" w:hAnsi="Arial"/>
                <w:sz w:val="18"/>
                <w:szCs w:val="18"/>
                <w:color w:val="auto"/>
              </w:rPr>
              <w:t>156,587</w:t>
            </w:r>
          </w:p>
        </w:tc>
        <w:tc>
          <w:tcPr>
            <w:tcW w:w="160" w:type="dxa"/>
            <w:vAlign w:val="bottom"/>
          </w:tcPr>
          <w:p>
            <w:pPr>
              <w:spacing w:after="0"/>
              <w:rPr>
                <w:sz w:val="16"/>
                <w:szCs w:val="16"/>
                <w:color w:val="auto"/>
              </w:rPr>
            </w:pPr>
          </w:p>
        </w:tc>
        <w:tc>
          <w:tcPr>
            <w:tcW w:w="880" w:type="dxa"/>
            <w:vAlign w:val="bottom"/>
            <w:vMerge w:val="restart"/>
          </w:tcPr>
          <w:p>
            <w:pPr>
              <w:jc w:val="right"/>
              <w:spacing w:after="0"/>
              <w:rPr>
                <w:sz w:val="20"/>
                <w:szCs w:val="20"/>
                <w:color w:val="auto"/>
              </w:rPr>
            </w:pPr>
            <w:r>
              <w:rPr>
                <w:rFonts w:ascii="Arial" w:cs="Arial" w:eastAsia="Arial" w:hAnsi="Arial"/>
                <w:sz w:val="18"/>
                <w:szCs w:val="18"/>
                <w:color w:val="auto"/>
              </w:rPr>
              <w:t>143,171</w:t>
            </w:r>
          </w:p>
        </w:tc>
        <w:tc>
          <w:tcPr>
            <w:tcW w:w="0" w:type="dxa"/>
            <w:vAlign w:val="bottom"/>
          </w:tcPr>
          <w:p>
            <w:pPr>
              <w:spacing w:after="0"/>
              <w:rPr>
                <w:sz w:val="1"/>
                <w:szCs w:val="1"/>
                <w:color w:val="auto"/>
              </w:rPr>
            </w:pPr>
          </w:p>
        </w:tc>
      </w:tr>
      <w:tr>
        <w:trPr>
          <w:trHeight w:val="212"/>
        </w:trPr>
        <w:tc>
          <w:tcPr>
            <w:tcW w:w="2780" w:type="dxa"/>
            <w:vAlign w:val="bottom"/>
            <w:gridSpan w:val="2"/>
          </w:tcPr>
          <w:p>
            <w:pPr>
              <w:spacing w:after="0"/>
              <w:rPr>
                <w:sz w:val="20"/>
                <w:szCs w:val="20"/>
                <w:color w:val="auto"/>
              </w:rPr>
            </w:pPr>
            <w:r>
              <w:rPr>
                <w:rFonts w:ascii="Arial" w:cs="Arial" w:eastAsia="Arial" w:hAnsi="Arial"/>
                <w:sz w:val="16"/>
                <w:szCs w:val="16"/>
                <w:color w:val="auto"/>
              </w:rPr>
              <w:t>Holdings Corp.</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40" w:type="dxa"/>
            <w:vAlign w:val="bottom"/>
            <w:vMerge w:val="continue"/>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vMerge w:val="continue"/>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vMerge w:val="continue"/>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vMerge w:val="continue"/>
          </w:tcPr>
          <w:p>
            <w:pPr>
              <w:spacing w:after="0"/>
              <w:rPr>
                <w:sz w:val="18"/>
                <w:szCs w:val="18"/>
                <w:color w:val="auto"/>
              </w:rPr>
            </w:pPr>
          </w:p>
        </w:tc>
        <w:tc>
          <w:tcPr>
            <w:tcW w:w="160" w:type="dxa"/>
            <w:vAlign w:val="bottom"/>
          </w:tcPr>
          <w:p>
            <w:pPr>
              <w:spacing w:after="0"/>
              <w:rPr>
                <w:sz w:val="18"/>
                <w:szCs w:val="18"/>
                <w:color w:val="auto"/>
              </w:rPr>
            </w:pPr>
          </w:p>
        </w:tc>
        <w:tc>
          <w:tcPr>
            <w:tcW w:w="88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78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Total shareholders' equity</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31"/>
              <w:spacing w:after="0"/>
              <w:rPr>
                <w:sz w:val="20"/>
                <w:szCs w:val="20"/>
                <w:color w:val="auto"/>
              </w:rPr>
            </w:pPr>
            <w:r>
              <w:rPr>
                <w:rFonts w:ascii="Arial" w:cs="Arial" w:eastAsia="Arial" w:hAnsi="Arial"/>
                <w:sz w:val="18"/>
                <w:szCs w:val="18"/>
                <w:color w:val="auto"/>
              </w:rPr>
              <w:t>847,392</w:t>
            </w: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32"/>
              <w:spacing w:after="0"/>
              <w:rPr>
                <w:sz w:val="20"/>
                <w:szCs w:val="20"/>
                <w:color w:val="auto"/>
              </w:rPr>
            </w:pPr>
            <w:r>
              <w:rPr>
                <w:rFonts w:ascii="Arial" w:cs="Arial" w:eastAsia="Arial" w:hAnsi="Arial"/>
                <w:sz w:val="18"/>
                <w:szCs w:val="18"/>
                <w:color w:val="auto"/>
              </w:rPr>
              <w:t>768,823</w:t>
            </w:r>
          </w:p>
        </w:tc>
        <w:tc>
          <w:tcPr>
            <w:tcW w:w="18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51"/>
              <w:spacing w:after="0"/>
              <w:rPr>
                <w:sz w:val="20"/>
                <w:szCs w:val="20"/>
                <w:color w:val="auto"/>
              </w:rPr>
            </w:pPr>
            <w:r>
              <w:rPr>
                <w:rFonts w:ascii="Arial" w:cs="Arial" w:eastAsia="Arial" w:hAnsi="Arial"/>
                <w:sz w:val="18"/>
                <w:szCs w:val="18"/>
                <w:color w:val="auto"/>
              </w:rPr>
              <w:t>193,506</w:t>
            </w: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31"/>
              <w:spacing w:after="0"/>
              <w:rPr>
                <w:sz w:val="20"/>
                <w:szCs w:val="20"/>
                <w:color w:val="auto"/>
              </w:rPr>
            </w:pPr>
            <w:r>
              <w:rPr>
                <w:rFonts w:ascii="Arial" w:cs="Arial" w:eastAsia="Arial" w:hAnsi="Arial"/>
                <w:sz w:val="18"/>
                <w:szCs w:val="18"/>
                <w:color w:val="auto"/>
              </w:rPr>
              <w:t>188,920</w:t>
            </w:r>
          </w:p>
        </w:tc>
        <w:tc>
          <w:tcPr>
            <w:tcW w:w="16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175,295</w:t>
            </w:r>
          </w:p>
        </w:tc>
        <w:tc>
          <w:tcPr>
            <w:tcW w:w="0" w:type="dxa"/>
            <w:vAlign w:val="bottom"/>
          </w:tcPr>
          <w:p>
            <w:pPr>
              <w:spacing w:after="0"/>
              <w:rPr>
                <w:sz w:val="1"/>
                <w:szCs w:val="1"/>
                <w:color w:val="auto"/>
              </w:rPr>
            </w:pPr>
          </w:p>
        </w:tc>
      </w:tr>
      <w:tr>
        <w:trPr>
          <w:trHeight w:val="108"/>
        </w:trPr>
        <w:tc>
          <w:tcPr>
            <w:tcW w:w="2080" w:type="dxa"/>
            <w:vAlign w:val="bottom"/>
            <w:tcBorders>
              <w:bottom w:val="single" w:sz="8" w:color="auto"/>
            </w:tcBorders>
          </w:tcPr>
          <w:p>
            <w:pPr>
              <w:spacing w:after="0"/>
              <w:rPr>
                <w:sz w:val="9"/>
                <w:szCs w:val="9"/>
                <w:color w:val="auto"/>
              </w:rPr>
            </w:pPr>
          </w:p>
        </w:tc>
        <w:tc>
          <w:tcPr>
            <w:tcW w:w="700" w:type="dxa"/>
            <w:vAlign w:val="bottom"/>
          </w:tcPr>
          <w:p>
            <w:pPr>
              <w:spacing w:after="0"/>
              <w:rPr>
                <w:sz w:val="9"/>
                <w:szCs w:val="9"/>
                <w:color w:val="auto"/>
              </w:rPr>
            </w:pPr>
          </w:p>
        </w:tc>
        <w:tc>
          <w:tcPr>
            <w:tcW w:w="100" w:type="dxa"/>
            <w:vAlign w:val="bottom"/>
          </w:tcPr>
          <w:p>
            <w:pPr>
              <w:spacing w:after="0"/>
              <w:rPr>
                <w:sz w:val="9"/>
                <w:szCs w:val="9"/>
                <w:color w:val="auto"/>
              </w:rPr>
            </w:pPr>
          </w:p>
        </w:tc>
        <w:tc>
          <w:tcPr>
            <w:tcW w:w="80" w:type="dxa"/>
            <w:vAlign w:val="bottom"/>
          </w:tcPr>
          <w:p>
            <w:pPr>
              <w:spacing w:after="0"/>
              <w:rPr>
                <w:sz w:val="9"/>
                <w:szCs w:val="9"/>
                <w:color w:val="auto"/>
              </w:rPr>
            </w:pPr>
          </w:p>
        </w:tc>
        <w:tc>
          <w:tcPr>
            <w:tcW w:w="940" w:type="dxa"/>
            <w:vAlign w:val="bottom"/>
          </w:tcPr>
          <w:p>
            <w:pPr>
              <w:spacing w:after="0"/>
              <w:rPr>
                <w:sz w:val="9"/>
                <w:szCs w:val="9"/>
                <w:color w:val="auto"/>
              </w:rPr>
            </w:pPr>
          </w:p>
        </w:tc>
        <w:tc>
          <w:tcPr>
            <w:tcW w:w="160" w:type="dxa"/>
            <w:vAlign w:val="bottom"/>
          </w:tcPr>
          <w:p>
            <w:pPr>
              <w:spacing w:after="0"/>
              <w:rPr>
                <w:sz w:val="9"/>
                <w:szCs w:val="9"/>
                <w:color w:val="auto"/>
              </w:rPr>
            </w:pPr>
          </w:p>
        </w:tc>
        <w:tc>
          <w:tcPr>
            <w:tcW w:w="940" w:type="dxa"/>
            <w:vAlign w:val="bottom"/>
          </w:tcPr>
          <w:p>
            <w:pPr>
              <w:spacing w:after="0"/>
              <w:rPr>
                <w:sz w:val="9"/>
                <w:szCs w:val="9"/>
                <w:color w:val="auto"/>
              </w:rPr>
            </w:pPr>
          </w:p>
        </w:tc>
        <w:tc>
          <w:tcPr>
            <w:tcW w:w="180" w:type="dxa"/>
            <w:vAlign w:val="bottom"/>
          </w:tcPr>
          <w:p>
            <w:pPr>
              <w:spacing w:after="0"/>
              <w:rPr>
                <w:sz w:val="9"/>
                <w:szCs w:val="9"/>
                <w:color w:val="auto"/>
              </w:rPr>
            </w:pPr>
          </w:p>
        </w:tc>
        <w:tc>
          <w:tcPr>
            <w:tcW w:w="940" w:type="dxa"/>
            <w:vAlign w:val="bottom"/>
          </w:tcPr>
          <w:p>
            <w:pPr>
              <w:spacing w:after="0"/>
              <w:rPr>
                <w:sz w:val="9"/>
                <w:szCs w:val="9"/>
                <w:color w:val="auto"/>
              </w:rPr>
            </w:pPr>
          </w:p>
        </w:tc>
        <w:tc>
          <w:tcPr>
            <w:tcW w:w="160" w:type="dxa"/>
            <w:vAlign w:val="bottom"/>
          </w:tcPr>
          <w:p>
            <w:pPr>
              <w:spacing w:after="0"/>
              <w:rPr>
                <w:sz w:val="9"/>
                <w:szCs w:val="9"/>
                <w:color w:val="auto"/>
              </w:rPr>
            </w:pPr>
          </w:p>
        </w:tc>
        <w:tc>
          <w:tcPr>
            <w:tcW w:w="940" w:type="dxa"/>
            <w:vAlign w:val="bottom"/>
          </w:tcPr>
          <w:p>
            <w:pPr>
              <w:spacing w:after="0"/>
              <w:rPr>
                <w:sz w:val="9"/>
                <w:szCs w:val="9"/>
                <w:color w:val="auto"/>
              </w:rPr>
            </w:pPr>
          </w:p>
        </w:tc>
        <w:tc>
          <w:tcPr>
            <w:tcW w:w="160" w:type="dxa"/>
            <w:vAlign w:val="bottom"/>
          </w:tcPr>
          <w:p>
            <w:pPr>
              <w:spacing w:after="0"/>
              <w:rPr>
                <w:sz w:val="9"/>
                <w:szCs w:val="9"/>
                <w:color w:val="auto"/>
              </w:rPr>
            </w:pPr>
          </w:p>
        </w:tc>
        <w:tc>
          <w:tcPr>
            <w:tcW w:w="88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98" w:lineRule="exact"/>
        <w:rPr>
          <w:sz w:val="20"/>
          <w:szCs w:val="20"/>
          <w:color w:val="auto"/>
        </w:rPr>
      </w:pPr>
    </w:p>
    <w:p>
      <w:pPr>
        <w:ind w:left="700" w:right="519" w:hanging="318"/>
        <w:spacing w:after="0" w:line="270" w:lineRule="auto"/>
        <w:tabs>
          <w:tab w:leader="none" w:pos="700" w:val="left"/>
        </w:tabs>
        <w:numPr>
          <w:ilvl w:val="0"/>
          <w:numId w:val="18"/>
        </w:numPr>
        <w:rPr>
          <w:rFonts w:ascii="Arial" w:cs="Arial" w:eastAsia="Arial" w:hAnsi="Arial"/>
          <w:sz w:val="16"/>
          <w:szCs w:val="16"/>
          <w:color w:val="auto"/>
        </w:rPr>
      </w:pPr>
      <w:r>
        <w:rPr>
          <w:rFonts w:ascii="Arial" w:cs="Arial" w:eastAsia="Arial" w:hAnsi="Arial"/>
          <w:sz w:val="16"/>
          <w:szCs w:val="16"/>
          <w:color w:val="auto"/>
        </w:rPr>
        <w:t>Reflects the impact to net income (loss) attributable to common shareholders of dilutive securities. Diluted net income (loss) attributable to common shareholders for each of the years ended December 31, 2015, 2014, and 2013 does not include the effects of (i) the conversion of our Series A 7.5% redeemable convertible preferred stock (the “Convertible Preferred Stock”) to common shares, which Convertible Preferred Stock automatically converted into an aggregate of 16,542,243 shares of our common stock prior to the closing of our initial public offering, (ii) the conversion of our 7.5% convertible notes due 2021 (the</w:t>
      </w:r>
    </w:p>
    <w:p>
      <w:pPr>
        <w:spacing w:after="0" w:line="399"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52" w:name="page53"/>
    <w:bookmarkEnd w:id="52"/>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54" w:lineRule="exact"/>
        <w:rPr>
          <w:sz w:val="20"/>
          <w:szCs w:val="20"/>
          <w:color w:val="auto"/>
        </w:rPr>
      </w:pPr>
    </w:p>
    <w:p>
      <w:pPr>
        <w:ind w:left="700" w:right="499"/>
        <w:spacing w:after="0" w:line="204" w:lineRule="exact"/>
        <w:rPr>
          <w:sz w:val="20"/>
          <w:szCs w:val="20"/>
          <w:color w:val="auto"/>
        </w:rPr>
      </w:pPr>
      <w:r>
        <w:rPr>
          <w:rFonts w:ascii="Arial" w:cs="Arial" w:eastAsia="Arial" w:hAnsi="Arial"/>
          <w:sz w:val="16"/>
          <w:szCs w:val="16"/>
          <w:color w:val="auto"/>
        </w:rPr>
        <w:t>“Convertible Notes”) to common shares, which Convertible Notes automatically converted into an aggregate of 32,624,820 shares of our common stock prior to the closing of our initial public offering, (iii) the exercise by Fila Korea of our common stock warrants into an aggregate of 3,105,279 shares of our common stock which occurred in July 2016 or (iv) the exercise of then outstanding stock options, as the inclusion of these instruments would have been anti</w:t>
      </w:r>
      <w:r>
        <w:rPr>
          <w:rFonts w:ascii="MS PGothic" w:cs="MS PGothic" w:eastAsia="MS PGothic" w:hAnsi="MS PGothic"/>
          <w:sz w:val="16"/>
          <w:szCs w:val="16"/>
          <w:color w:val="auto"/>
        </w:rPr>
        <w:t>‑</w:t>
      </w:r>
      <w:r>
        <w:rPr>
          <w:rFonts w:ascii="Arial" w:cs="Arial" w:eastAsia="Arial" w:hAnsi="Arial"/>
          <w:sz w:val="16"/>
          <w:szCs w:val="16"/>
          <w:color w:val="auto"/>
        </w:rPr>
        <w:t>dilutive for each of the years ended December 31, 2015, 2014, and 2013.</w:t>
      </w:r>
    </w:p>
    <w:p>
      <w:pPr>
        <w:spacing w:after="0" w:line="213" w:lineRule="exact"/>
        <w:rPr>
          <w:sz w:val="20"/>
          <w:szCs w:val="20"/>
          <w:color w:val="auto"/>
        </w:rPr>
      </w:pPr>
    </w:p>
    <w:p>
      <w:pPr>
        <w:ind w:left="700" w:right="799" w:hanging="318"/>
        <w:spacing w:after="0" w:line="284" w:lineRule="auto"/>
        <w:tabs>
          <w:tab w:leader="none" w:pos="700" w:val="left"/>
        </w:tabs>
        <w:numPr>
          <w:ilvl w:val="0"/>
          <w:numId w:val="19"/>
        </w:numPr>
        <w:rPr>
          <w:rFonts w:ascii="Arial" w:cs="Arial" w:eastAsia="Arial" w:hAnsi="Arial"/>
          <w:sz w:val="15"/>
          <w:szCs w:val="15"/>
          <w:color w:val="auto"/>
        </w:rPr>
      </w:pPr>
      <w:r>
        <w:rPr>
          <w:rFonts w:ascii="Arial" w:cs="Arial" w:eastAsia="Arial" w:hAnsi="Arial"/>
          <w:sz w:val="15"/>
          <w:szCs w:val="15"/>
          <w:color w:val="auto"/>
        </w:rPr>
        <w:t>Basic net income (loss) per common share attributable to Acushnet Holdings Corp. is computed by dividing (A) net income (loss) attributable to Acushnet Holdings Corp. after adjusting for (i) dividends paid and accrued and</w:t>
      </w:r>
    </w:p>
    <w:p>
      <w:pPr>
        <w:ind w:left="700" w:right="939"/>
        <w:spacing w:after="0" w:line="288" w:lineRule="auto"/>
        <w:rPr>
          <w:rFonts w:ascii="Arial" w:cs="Arial" w:eastAsia="Arial" w:hAnsi="Arial"/>
          <w:sz w:val="15"/>
          <w:szCs w:val="15"/>
          <w:color w:val="auto"/>
        </w:rPr>
      </w:pPr>
      <w:r>
        <w:rPr>
          <w:rFonts w:ascii="Arial" w:cs="Arial" w:eastAsia="Arial" w:hAnsi="Arial"/>
          <w:sz w:val="16"/>
          <w:szCs w:val="16"/>
          <w:color w:val="auto"/>
        </w:rPr>
        <w:t>(ii) allocations of undistributed earnings to preferred shareholders, by (B) basic weighted average common shares outstanding.</w:t>
      </w:r>
    </w:p>
    <w:p>
      <w:pPr>
        <w:spacing w:after="0" w:line="175" w:lineRule="exact"/>
        <w:rPr>
          <w:rFonts w:ascii="Arial" w:cs="Arial" w:eastAsia="Arial" w:hAnsi="Arial"/>
          <w:sz w:val="15"/>
          <w:szCs w:val="15"/>
          <w:color w:val="auto"/>
        </w:rPr>
      </w:pPr>
    </w:p>
    <w:p>
      <w:pPr>
        <w:ind w:left="700" w:right="399" w:hanging="318"/>
        <w:spacing w:after="0" w:line="203" w:lineRule="exact"/>
        <w:tabs>
          <w:tab w:leader="none" w:pos="700" w:val="left"/>
        </w:tabs>
        <w:numPr>
          <w:ilvl w:val="0"/>
          <w:numId w:val="19"/>
        </w:numPr>
        <w:rPr>
          <w:rFonts w:ascii="Arial" w:cs="Arial" w:eastAsia="Arial" w:hAnsi="Arial"/>
          <w:sz w:val="15"/>
          <w:szCs w:val="15"/>
          <w:color w:val="auto"/>
        </w:rPr>
      </w:pPr>
      <w:r>
        <w:rPr>
          <w:rFonts w:ascii="Arial" w:cs="Arial" w:eastAsia="Arial" w:hAnsi="Arial"/>
          <w:sz w:val="15"/>
          <w:szCs w:val="15"/>
          <w:color w:val="auto"/>
        </w:rPr>
        <w:t>Diluted net income (loss) per common share attributable to Acushnet Holdings Corp. is computed by dividing (A) net income (loss) attributable to Acushnet Holdings Corp. after adjusting for (i) dividends paid and accrued, (ii) allocations of undistributed earnings to preferred shareholders and (iii) the impact to net income (loss) of any potentially dilutive securities, by (B) the diluted weighted average common shares outstanding, which has been adjusted to include any potentially dilutive securities. Diluted net income (loss) per common share attributable to Acushnet Holdings Corp. for the years ended December 31, 2017 and 2016 includes the potential dilutive securities associated with the Company’s restricted stock units (“RSUs”) and performance stock units (“PSUs”). Diluted net income (loss) per common share attributable to Acushnet Holdings Corp. for each of the years ended December 31, 2015, 2014, and 2013 does not include the effects of (i) the conversion of the Convertible Preferred Stock to common shares, (ii) the conversion of the Convertible Notes to common shares, (iii) the exercise of our then outstanding common stock warrants or (iv) the exercise of then outstanding stock options, as the inclusion of these instruments would have been anti</w:t>
      </w:r>
      <w:r>
        <w:rPr>
          <w:rFonts w:ascii="MS PGothic" w:cs="MS PGothic" w:eastAsia="MS PGothic" w:hAnsi="MS PGothic"/>
          <w:sz w:val="15"/>
          <w:szCs w:val="15"/>
          <w:color w:val="auto"/>
        </w:rPr>
        <w:t>‑</w:t>
      </w:r>
      <w:r>
        <w:rPr>
          <w:rFonts w:ascii="Arial" w:cs="Arial" w:eastAsia="Arial" w:hAnsi="Arial"/>
          <w:sz w:val="15"/>
          <w:szCs w:val="15"/>
          <w:color w:val="auto"/>
        </w:rPr>
        <w:t>dilutive for each of the years ended December 31, 2015, 2014, and 2013.</w:t>
      </w:r>
    </w:p>
    <w:p>
      <w:pPr>
        <w:spacing w:after="0" w:line="215" w:lineRule="exact"/>
        <w:rPr>
          <w:rFonts w:ascii="Arial" w:cs="Arial" w:eastAsia="Arial" w:hAnsi="Arial"/>
          <w:sz w:val="15"/>
          <w:szCs w:val="15"/>
          <w:color w:val="auto"/>
        </w:rPr>
      </w:pPr>
    </w:p>
    <w:p>
      <w:pPr>
        <w:ind w:left="700" w:right="719" w:hanging="318"/>
        <w:spacing w:after="0" w:line="273" w:lineRule="auto"/>
        <w:tabs>
          <w:tab w:leader="none" w:pos="700" w:val="left"/>
        </w:tabs>
        <w:numPr>
          <w:ilvl w:val="0"/>
          <w:numId w:val="19"/>
        </w:numPr>
        <w:rPr>
          <w:rFonts w:ascii="Arial" w:cs="Arial" w:eastAsia="Arial" w:hAnsi="Arial"/>
          <w:sz w:val="16"/>
          <w:szCs w:val="16"/>
          <w:color w:val="auto"/>
        </w:rPr>
      </w:pPr>
      <w:r>
        <w:rPr>
          <w:rFonts w:ascii="Arial" w:cs="Arial" w:eastAsia="Arial" w:hAnsi="Arial"/>
          <w:sz w:val="16"/>
          <w:szCs w:val="16"/>
          <w:color w:val="auto"/>
        </w:rPr>
        <w:t>Includes cash of $12.1 million, $13.0 million, $10.0 million, $7.7 million and $5.7 million as of December 31, 2017, 2016, 2015, 2014 and 2013, respectively, related to our FootJoy golf shoe joint venture. See “Notes to Consolidated Financial Statements – Note 2 – Summary of Significant Accounting Policies” for further details on our FootJoy golf shoe joint venture.</w:t>
      </w:r>
    </w:p>
    <w:p>
      <w:pPr>
        <w:spacing w:after="0" w:line="189" w:lineRule="exact"/>
        <w:rPr>
          <w:rFonts w:ascii="Arial" w:cs="Arial" w:eastAsia="Arial" w:hAnsi="Arial"/>
          <w:sz w:val="16"/>
          <w:szCs w:val="16"/>
          <w:color w:val="auto"/>
        </w:rPr>
      </w:pPr>
    </w:p>
    <w:p>
      <w:pPr>
        <w:ind w:left="700" w:right="439" w:hanging="318"/>
        <w:spacing w:after="0" w:line="204" w:lineRule="exact"/>
        <w:tabs>
          <w:tab w:leader="none" w:pos="700" w:val="left"/>
        </w:tabs>
        <w:numPr>
          <w:ilvl w:val="0"/>
          <w:numId w:val="19"/>
        </w:numPr>
        <w:rPr>
          <w:rFonts w:ascii="Arial" w:cs="Arial" w:eastAsia="Arial" w:hAnsi="Arial"/>
          <w:sz w:val="16"/>
          <w:szCs w:val="16"/>
          <w:color w:val="auto"/>
        </w:rPr>
      </w:pPr>
      <w:r>
        <w:rPr>
          <w:rFonts w:ascii="Arial" w:cs="Arial" w:eastAsia="Arial" w:hAnsi="Arial"/>
          <w:sz w:val="16"/>
          <w:szCs w:val="16"/>
          <w:color w:val="auto"/>
        </w:rPr>
        <w:t>Long</w:t>
      </w:r>
      <w:r>
        <w:rPr>
          <w:rFonts w:ascii="MS PGothic" w:cs="MS PGothic" w:eastAsia="MS PGothic" w:hAnsi="MS PGothic"/>
          <w:sz w:val="16"/>
          <w:szCs w:val="16"/>
          <w:color w:val="auto"/>
        </w:rPr>
        <w:t>‑</w:t>
      </w:r>
      <w:r>
        <w:rPr>
          <w:rFonts w:ascii="Arial" w:cs="Arial" w:eastAsia="Arial" w:hAnsi="Arial"/>
          <w:sz w:val="16"/>
          <w:szCs w:val="16"/>
          <w:color w:val="auto"/>
        </w:rPr>
        <w:t>term debt, net of discount, including current portion, and capital lease obligations consists of (i) long</w:t>
      </w:r>
      <w:r>
        <w:rPr>
          <w:rFonts w:ascii="MS PGothic" w:cs="MS PGothic" w:eastAsia="MS PGothic" w:hAnsi="MS PGothic"/>
          <w:sz w:val="16"/>
          <w:szCs w:val="16"/>
          <w:color w:val="auto"/>
        </w:rPr>
        <w:t>‑</w:t>
      </w:r>
      <w:r>
        <w:rPr>
          <w:rFonts w:ascii="Arial" w:cs="Arial" w:eastAsia="Arial" w:hAnsi="Arial"/>
          <w:sz w:val="16"/>
          <w:szCs w:val="16"/>
          <w:color w:val="auto"/>
        </w:rPr>
        <w:t>term debt and capital lease obligations and (ii) the portion of any long</w:t>
      </w:r>
      <w:r>
        <w:rPr>
          <w:rFonts w:ascii="MS PGothic" w:cs="MS PGothic" w:eastAsia="MS PGothic" w:hAnsi="MS PGothic"/>
          <w:sz w:val="16"/>
          <w:szCs w:val="16"/>
          <w:color w:val="auto"/>
        </w:rPr>
        <w:t>‑</w:t>
      </w:r>
      <w:r>
        <w:rPr>
          <w:rFonts w:ascii="Arial" w:cs="Arial" w:eastAsia="Arial" w:hAnsi="Arial"/>
          <w:sz w:val="16"/>
          <w:szCs w:val="16"/>
          <w:color w:val="auto"/>
        </w:rPr>
        <w:t>term debt that is classified as a current liability on our balance sheet, in each case net of any unamortized discount on such outstanding amounts.</w:t>
      </w:r>
    </w:p>
    <w:p>
      <w:pPr>
        <w:spacing w:after="0" w:line="214" w:lineRule="exact"/>
        <w:rPr>
          <w:rFonts w:ascii="Arial" w:cs="Arial" w:eastAsia="Arial" w:hAnsi="Arial"/>
          <w:sz w:val="16"/>
          <w:szCs w:val="16"/>
          <w:color w:val="auto"/>
        </w:rPr>
      </w:pPr>
    </w:p>
    <w:p>
      <w:pPr>
        <w:ind w:left="700" w:right="459" w:hanging="318"/>
        <w:spacing w:after="0" w:line="204" w:lineRule="exact"/>
        <w:tabs>
          <w:tab w:leader="none" w:pos="700" w:val="left"/>
        </w:tabs>
        <w:numPr>
          <w:ilvl w:val="0"/>
          <w:numId w:val="19"/>
        </w:numPr>
        <w:rPr>
          <w:rFonts w:ascii="Arial" w:cs="Arial" w:eastAsia="Arial" w:hAnsi="Arial"/>
          <w:sz w:val="16"/>
          <w:szCs w:val="16"/>
          <w:color w:val="auto"/>
        </w:rPr>
      </w:pPr>
      <w:r>
        <w:rPr>
          <w:rFonts w:ascii="Arial" w:cs="Arial" w:eastAsia="Arial" w:hAnsi="Arial"/>
          <w:sz w:val="16"/>
          <w:szCs w:val="16"/>
          <w:color w:val="auto"/>
        </w:rPr>
        <w:t>The Equity Appreciation Rights (“EARs”) as structured did not qualify for equity accounting treatment. As such, the liability was re</w:t>
      </w:r>
      <w:r>
        <w:rPr>
          <w:rFonts w:ascii="MS PGothic" w:cs="MS PGothic" w:eastAsia="MS PGothic" w:hAnsi="MS PGothic"/>
          <w:sz w:val="16"/>
          <w:szCs w:val="16"/>
          <w:color w:val="auto"/>
        </w:rPr>
        <w:t>‑</w:t>
      </w:r>
      <w:r>
        <w:rPr>
          <w:rFonts w:ascii="Arial" w:cs="Arial" w:eastAsia="Arial" w:hAnsi="Arial"/>
          <w:sz w:val="16"/>
          <w:szCs w:val="16"/>
          <w:color w:val="auto"/>
        </w:rPr>
        <w:t>measured at each reporting period based on our then</w:t>
      </w:r>
      <w:r>
        <w:rPr>
          <w:rFonts w:ascii="MS PGothic" w:cs="MS PGothic" w:eastAsia="MS PGothic" w:hAnsi="MS PGothic"/>
          <w:sz w:val="16"/>
          <w:szCs w:val="16"/>
          <w:color w:val="auto"/>
        </w:rPr>
        <w:t>‑</w:t>
      </w:r>
      <w:r>
        <w:rPr>
          <w:rFonts w:ascii="Arial" w:cs="Arial" w:eastAsia="Arial" w:hAnsi="Arial"/>
          <w:sz w:val="16"/>
          <w:szCs w:val="16"/>
          <w:color w:val="auto"/>
        </w:rPr>
        <w:t>current projection of our Common Stock Equivalent (“CSE”) value. See “Item 7. – Management’s Discussion and Analysis of Financial Condition and Results of Operations —Critical Accounting Policies and Estimates—Share</w:t>
      </w:r>
      <w:r>
        <w:rPr>
          <w:rFonts w:ascii="MS PGothic" w:cs="MS PGothic" w:eastAsia="MS PGothic" w:hAnsi="MS PGothic"/>
          <w:sz w:val="16"/>
          <w:szCs w:val="16"/>
          <w:color w:val="auto"/>
        </w:rPr>
        <w:t>‑</w:t>
      </w:r>
      <w:r>
        <w:rPr>
          <w:rFonts w:ascii="Arial" w:cs="Arial" w:eastAsia="Arial" w:hAnsi="Arial"/>
          <w:sz w:val="16"/>
          <w:szCs w:val="16"/>
          <w:color w:val="auto"/>
        </w:rPr>
        <w:t>Based Compensation.” The EAR Plan expired on December 31, 2016 and the outstanding EAR liability of $151.5 million was settled in full by a cash payment to participants during the first quarter of 2017.</w:t>
      </w:r>
    </w:p>
    <w:p>
      <w:pPr>
        <w:spacing w:after="0" w:line="204" w:lineRule="exact"/>
        <w:rPr>
          <w:sz w:val="20"/>
          <w:szCs w:val="20"/>
          <w:color w:val="auto"/>
        </w:rPr>
      </w:pPr>
    </w:p>
    <w:p>
      <w:pPr>
        <w:ind w:left="1680" w:right="399" w:hanging="1296"/>
        <w:spacing w:after="0" w:line="282" w:lineRule="auto"/>
        <w:tabs>
          <w:tab w:leader="none" w:pos="1660" w:val="left"/>
        </w:tabs>
        <w:rPr>
          <w:sz w:val="20"/>
          <w:szCs w:val="20"/>
          <w:color w:val="auto"/>
        </w:rPr>
      </w:pPr>
      <w:r>
        <w:rPr>
          <w:rFonts w:ascii="Arial" w:cs="Arial" w:eastAsia="Arial" w:hAnsi="Arial"/>
          <w:sz w:val="18"/>
          <w:szCs w:val="18"/>
          <w:b w:val="1"/>
          <w:bCs w:val="1"/>
          <w:color w:val="auto"/>
        </w:rPr>
        <w:t>ITEM 7.</w:t>
      </w:r>
      <w:r>
        <w:rPr>
          <w:sz w:val="20"/>
          <w:szCs w:val="20"/>
          <w:color w:val="auto"/>
        </w:rPr>
        <w:tab/>
      </w:r>
      <w:r>
        <w:rPr>
          <w:rFonts w:ascii="Arial" w:cs="Arial" w:eastAsia="Arial" w:hAnsi="Arial"/>
          <w:sz w:val="18"/>
          <w:szCs w:val="18"/>
          <w:b w:val="1"/>
          <w:bCs w:val="1"/>
          <w:color w:val="auto"/>
        </w:rPr>
        <w:t>MANAGEMENT’S DISCUSSION AND ANALYSIS OF FINANCIAL CONDITION AND RESULTS OF OPERATIONS</w:t>
      </w:r>
    </w:p>
    <w:p>
      <w:pPr>
        <w:spacing w:after="0" w:line="166" w:lineRule="exact"/>
        <w:rPr>
          <w:sz w:val="20"/>
          <w:szCs w:val="20"/>
          <w:color w:val="auto"/>
        </w:rPr>
      </w:pPr>
    </w:p>
    <w:p>
      <w:pPr>
        <w:ind w:left="380" w:right="539" w:firstLine="648"/>
        <w:spacing w:after="0" w:line="218" w:lineRule="exact"/>
        <w:rPr>
          <w:sz w:val="20"/>
          <w:szCs w:val="20"/>
          <w:color w:val="auto"/>
        </w:rPr>
      </w:pPr>
      <w:r>
        <w:rPr>
          <w:rFonts w:ascii="Arial" w:cs="Arial" w:eastAsia="Arial" w:hAnsi="Arial"/>
          <w:sz w:val="17"/>
          <w:szCs w:val="17"/>
          <w:color w:val="auto"/>
        </w:rPr>
        <w:t>The following discussion contains management’s discussion and analysis of our financial condition and results of operations and should be read together with “Item 1A – Risk Factors” and our audited consolidated financial statements and the notes thereto included elsewhere in this Annual Report. This discussion contains forward</w:t>
      </w:r>
      <w:r>
        <w:rPr>
          <w:rFonts w:ascii="MS PGothic" w:cs="MS PGothic" w:eastAsia="MS PGothic" w:hAnsi="MS PGothic"/>
          <w:sz w:val="17"/>
          <w:szCs w:val="17"/>
          <w:color w:val="auto"/>
        </w:rPr>
        <w:t>‑</w:t>
      </w:r>
      <w:r>
        <w:rPr>
          <w:rFonts w:ascii="Arial" w:cs="Arial" w:eastAsia="Arial" w:hAnsi="Arial"/>
          <w:sz w:val="17"/>
          <w:szCs w:val="17"/>
          <w:color w:val="auto"/>
        </w:rPr>
        <w:t>looking statements that reflect our plans, estimates and beliefs and involve numerous risks and uncertainties, including but not limited to those described in the “Risk Factors” section of this report. Actual results may differ materially from those contained in any forward</w:t>
      </w:r>
      <w:r>
        <w:rPr>
          <w:rFonts w:ascii="MS PGothic" w:cs="MS PGothic" w:eastAsia="MS PGothic" w:hAnsi="MS PGothic"/>
          <w:sz w:val="17"/>
          <w:szCs w:val="17"/>
          <w:color w:val="auto"/>
        </w:rPr>
        <w:t>‑</w:t>
      </w:r>
      <w:r>
        <w:rPr>
          <w:rFonts w:ascii="Arial" w:cs="Arial" w:eastAsia="Arial" w:hAnsi="Arial"/>
          <w:sz w:val="17"/>
          <w:szCs w:val="17"/>
          <w:color w:val="auto"/>
        </w:rPr>
        <w:t>looking statements. You should carefully read “Forward</w:t>
      </w:r>
      <w:r>
        <w:rPr>
          <w:rFonts w:ascii="MS PGothic" w:cs="MS PGothic" w:eastAsia="MS PGothic" w:hAnsi="MS PGothic"/>
          <w:sz w:val="17"/>
          <w:szCs w:val="17"/>
          <w:color w:val="auto"/>
        </w:rPr>
        <w:t>‑</w:t>
      </w:r>
      <w:r>
        <w:rPr>
          <w:rFonts w:ascii="Arial" w:cs="Arial" w:eastAsia="Arial" w:hAnsi="Arial"/>
          <w:sz w:val="17"/>
          <w:szCs w:val="17"/>
          <w:color w:val="auto"/>
        </w:rPr>
        <w:t>Looking Statements” following the Table of Contents.</w:t>
      </w:r>
    </w:p>
    <w:p>
      <w:pPr>
        <w:spacing w:after="0" w:line="202" w:lineRule="exact"/>
        <w:rPr>
          <w:sz w:val="20"/>
          <w:szCs w:val="20"/>
          <w:color w:val="auto"/>
        </w:rPr>
      </w:pPr>
    </w:p>
    <w:p>
      <w:pPr>
        <w:ind w:left="380"/>
        <w:spacing w:after="0"/>
        <w:rPr>
          <w:sz w:val="20"/>
          <w:szCs w:val="20"/>
          <w:color w:val="auto"/>
        </w:rPr>
      </w:pPr>
      <w:r>
        <w:rPr>
          <w:rFonts w:ascii="Arial" w:cs="Arial" w:eastAsia="Arial" w:hAnsi="Arial"/>
          <w:sz w:val="18"/>
          <w:szCs w:val="18"/>
          <w:b w:val="1"/>
          <w:bCs w:val="1"/>
          <w:color w:val="auto"/>
        </w:rPr>
        <w:t>Overview</w:t>
      </w:r>
    </w:p>
    <w:p>
      <w:pPr>
        <w:spacing w:after="0" w:line="229" w:lineRule="exact"/>
        <w:rPr>
          <w:sz w:val="20"/>
          <w:szCs w:val="20"/>
          <w:color w:val="auto"/>
        </w:rPr>
      </w:pPr>
    </w:p>
    <w:p>
      <w:pPr>
        <w:ind w:left="380" w:right="419" w:firstLine="648"/>
        <w:spacing w:after="0" w:line="219" w:lineRule="exact"/>
        <w:rPr>
          <w:sz w:val="20"/>
          <w:szCs w:val="20"/>
          <w:color w:val="auto"/>
        </w:rPr>
      </w:pPr>
      <w:r>
        <w:rPr>
          <w:rFonts w:ascii="Arial" w:cs="Arial" w:eastAsia="Arial" w:hAnsi="Arial"/>
          <w:sz w:val="18"/>
          <w:szCs w:val="18"/>
          <w:color w:val="auto"/>
        </w:rPr>
        <w:t>We are the global leader in the design, development, manufacture and distribution of performance</w:t>
      </w:r>
      <w:r>
        <w:rPr>
          <w:rFonts w:ascii="MS PGothic" w:cs="MS PGothic" w:eastAsia="MS PGothic" w:hAnsi="MS PGothic"/>
          <w:sz w:val="18"/>
          <w:szCs w:val="18"/>
          <w:color w:val="auto"/>
        </w:rPr>
        <w:t>‑</w:t>
      </w:r>
      <w:r>
        <w:rPr>
          <w:rFonts w:ascii="Arial" w:cs="Arial" w:eastAsia="Arial" w:hAnsi="Arial"/>
          <w:sz w:val="18"/>
          <w:szCs w:val="18"/>
          <w:color w:val="auto"/>
        </w:rPr>
        <w:t>driven golf products, which are widely recognized for their quality excellence. Today, we are the steward of two of the most revered brands in golf—Titleist, one of golf’s leading performance equipment brands, and FootJoy, one of golf’s leading performance wear brands. We own or control the design, sourcing, manufacturing, packaging and distribution of our products. In doing so, we are able to exercise control over every step of the manufacturing process.</w:t>
      </w:r>
    </w:p>
    <w:p>
      <w:pPr>
        <w:spacing w:after="0" w:line="203" w:lineRule="exact"/>
        <w:rPr>
          <w:sz w:val="20"/>
          <w:szCs w:val="20"/>
          <w:color w:val="auto"/>
        </w:rPr>
      </w:pPr>
    </w:p>
    <w:p>
      <w:pPr>
        <w:ind w:left="380" w:right="379" w:firstLine="648"/>
        <w:spacing w:after="0" w:line="219" w:lineRule="exact"/>
        <w:rPr>
          <w:sz w:val="20"/>
          <w:szCs w:val="20"/>
          <w:color w:val="auto"/>
        </w:rPr>
      </w:pPr>
      <w:r>
        <w:rPr>
          <w:rFonts w:ascii="Arial" w:cs="Arial" w:eastAsia="Arial" w:hAnsi="Arial"/>
          <w:sz w:val="18"/>
          <w:szCs w:val="18"/>
          <w:color w:val="auto"/>
        </w:rPr>
        <w:t>Our target market is dedicated golfers, who are the cornerstone of the worldwide golf industry. These dedicated golfers are avid and skill</w:t>
      </w:r>
      <w:r>
        <w:rPr>
          <w:rFonts w:ascii="MS PGothic" w:cs="MS PGothic" w:eastAsia="MS PGothic" w:hAnsi="MS PGothic"/>
          <w:sz w:val="18"/>
          <w:szCs w:val="18"/>
          <w:color w:val="auto"/>
        </w:rPr>
        <w:t>‑</w:t>
      </w:r>
      <w:r>
        <w:rPr>
          <w:rFonts w:ascii="Arial" w:cs="Arial" w:eastAsia="Arial" w:hAnsi="Arial"/>
          <w:sz w:val="18"/>
          <w:szCs w:val="18"/>
          <w:color w:val="auto"/>
        </w:rPr>
        <w:t>biased, prioritize performance and commit the time, effort and money to improve their game. We believe our focus on innovation and process excellence yields golf products that represent superior performance and consistent product quality, which are the key attributes sought after by dedicated golfers. Many of the game’s professional players, who represent the most dedicated golfers, prefer our products thereby validating our performance</w:t>
      </w:r>
    </w:p>
    <w:p>
      <w:pPr>
        <w:spacing w:after="0" w:line="201"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146" w:gutter="0" w:footer="0" w:header="0"/>
        </w:sectPr>
      </w:pPr>
    </w:p>
    <w:bookmarkStart w:id="53" w:name="page54"/>
    <w:bookmarkEnd w:id="53"/>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ind w:left="380" w:right="459"/>
        <w:spacing w:after="0" w:line="312" w:lineRule="auto"/>
        <w:rPr>
          <w:sz w:val="20"/>
          <w:szCs w:val="20"/>
          <w:color w:val="auto"/>
        </w:rPr>
      </w:pPr>
      <w:r>
        <w:rPr>
          <w:rFonts w:ascii="Arial" w:cs="Arial" w:eastAsia="Arial" w:hAnsi="Arial"/>
          <w:sz w:val="16"/>
          <w:szCs w:val="16"/>
          <w:color w:val="auto"/>
        </w:rPr>
        <w:t>and quality promise, while also driving brand awareness. We seek to leverage a pyramid of influence product and promotion strategy, whereby our products are the most played by the best players, creating aspirational appeal for a broad range of golfers who want to emulate the performance of the game’s best players.</w:t>
      </w:r>
    </w:p>
    <w:p>
      <w:pPr>
        <w:spacing w:after="0" w:line="147" w:lineRule="exact"/>
        <w:rPr>
          <w:sz w:val="20"/>
          <w:szCs w:val="20"/>
          <w:color w:val="auto"/>
        </w:rPr>
      </w:pPr>
    </w:p>
    <w:p>
      <w:pPr>
        <w:ind w:left="380" w:right="439" w:firstLine="648"/>
        <w:spacing w:after="0" w:line="219" w:lineRule="exact"/>
        <w:rPr>
          <w:sz w:val="20"/>
          <w:szCs w:val="20"/>
          <w:color w:val="auto"/>
        </w:rPr>
      </w:pPr>
      <w:r>
        <w:rPr>
          <w:rFonts w:ascii="Arial" w:cs="Arial" w:eastAsia="Arial" w:hAnsi="Arial"/>
          <w:sz w:val="17"/>
          <w:szCs w:val="17"/>
          <w:color w:val="auto"/>
        </w:rPr>
        <w:t>We have demonstrated resilient and stable revenue and Adjusted EBITDA over the past three years, despite challenges related to demographic, macroeconomic, industry disruptions and weather related conditions. Our differentiated focus on performance and quality excellence, enduring connections with dedicated golfers, and favorable and market</w:t>
      </w:r>
      <w:r>
        <w:rPr>
          <w:rFonts w:ascii="MS PGothic" w:cs="MS PGothic" w:eastAsia="MS PGothic" w:hAnsi="MS PGothic"/>
          <w:sz w:val="17"/>
          <w:szCs w:val="17"/>
          <w:color w:val="auto"/>
        </w:rPr>
        <w:t>‑</w:t>
      </w:r>
      <w:r>
        <w:rPr>
          <w:rFonts w:ascii="Arial" w:cs="Arial" w:eastAsia="Arial" w:hAnsi="Arial"/>
          <w:sz w:val="17"/>
          <w:szCs w:val="17"/>
          <w:color w:val="auto"/>
        </w:rPr>
        <w:t>differentiating mix of consumable and durable products have been the key drivers of our consistent financial performance. We have the following reportable segments: Titleist golf balls; Titleist golf clubs; Titleist golf gear; and FootJoy golf wear.</w:t>
      </w:r>
    </w:p>
    <w:p>
      <w:pPr>
        <w:spacing w:after="0" w:line="203" w:lineRule="exact"/>
        <w:rPr>
          <w:sz w:val="20"/>
          <w:szCs w:val="20"/>
          <w:color w:val="auto"/>
        </w:rPr>
      </w:pPr>
    </w:p>
    <w:p>
      <w:pPr>
        <w:ind w:left="380" w:right="459" w:firstLine="648"/>
        <w:spacing w:after="0" w:line="270" w:lineRule="auto"/>
        <w:rPr>
          <w:sz w:val="20"/>
          <w:szCs w:val="20"/>
          <w:color w:val="auto"/>
        </w:rPr>
      </w:pPr>
      <w:r>
        <w:rPr>
          <w:rFonts w:ascii="Arial" w:cs="Arial" w:eastAsia="Arial" w:hAnsi="Arial"/>
          <w:sz w:val="17"/>
          <w:szCs w:val="17"/>
          <w:color w:val="auto"/>
        </w:rPr>
        <w:t>We were incorporated in Delaware on May 9, 2011 as Alexandria Holdings Corp., an entity owned by Fila Korea Co., Ltd. (“Fila Korea”), a leading sport and leisure apparel and footwear company which is a public company listed on the Korea Exchange, and a consortium of investors (the “Financial Investors”) led by Mirae Asset Global Investments, a global investment management firm. We acquired Acushnet Company, our operating subsidiary, from Beam Suntory, Inc. (at the time known as Fortune Brands, Inc.) (“Beam”) on July 29, 2011 (the “Acquisition”). We completed an initial public offering of our common stock in November 2016. See “Notes to Consolidated Financial Statements– Note 2– Summary of Significant Accounting Policies,” Item 8 of Part II, included elsewhere in this report, for disclosures related to our initial public offering and other related transactions.</w:t>
      </w:r>
    </w:p>
    <w:p>
      <w:pPr>
        <w:spacing w:after="0" w:line="182" w:lineRule="exact"/>
        <w:rPr>
          <w:sz w:val="20"/>
          <w:szCs w:val="20"/>
          <w:color w:val="auto"/>
        </w:rPr>
      </w:pPr>
    </w:p>
    <w:p>
      <w:pPr>
        <w:ind w:left="1040"/>
        <w:spacing w:after="0"/>
        <w:rPr>
          <w:sz w:val="20"/>
          <w:szCs w:val="20"/>
          <w:color w:val="auto"/>
        </w:rPr>
      </w:pPr>
      <w:r>
        <w:rPr>
          <w:rFonts w:ascii="Arial" w:cs="Arial" w:eastAsia="Arial" w:hAnsi="Arial"/>
          <w:sz w:val="18"/>
          <w:szCs w:val="18"/>
          <w:b w:val="1"/>
          <w:bCs w:val="1"/>
          <w:i w:val="1"/>
          <w:iCs w:val="1"/>
          <w:color w:val="auto"/>
        </w:rPr>
        <w:t>Key Factors Affecting Our Results of Operations</w:t>
      </w:r>
    </w:p>
    <w:p>
      <w:pPr>
        <w:spacing w:after="0" w:line="225" w:lineRule="exact"/>
        <w:rPr>
          <w:sz w:val="20"/>
          <w:szCs w:val="20"/>
          <w:color w:val="auto"/>
        </w:rPr>
      </w:pPr>
    </w:p>
    <w:p>
      <w:pPr>
        <w:ind w:left="1040"/>
        <w:spacing w:after="0"/>
        <w:rPr>
          <w:sz w:val="20"/>
          <w:szCs w:val="20"/>
          <w:color w:val="auto"/>
        </w:rPr>
      </w:pPr>
      <w:r>
        <w:rPr>
          <w:rFonts w:ascii="Arial" w:cs="Arial" w:eastAsia="Arial" w:hAnsi="Arial"/>
          <w:sz w:val="18"/>
          <w:szCs w:val="18"/>
          <w:i w:val="1"/>
          <w:iCs w:val="1"/>
          <w:color w:val="auto"/>
        </w:rPr>
        <w:t>Rounds of Play</w:t>
      </w:r>
    </w:p>
    <w:p>
      <w:pPr>
        <w:spacing w:after="0" w:line="225" w:lineRule="exact"/>
        <w:rPr>
          <w:sz w:val="20"/>
          <w:szCs w:val="20"/>
          <w:color w:val="auto"/>
        </w:rPr>
      </w:pPr>
    </w:p>
    <w:p>
      <w:pPr>
        <w:ind w:left="380" w:right="379" w:firstLine="648"/>
        <w:spacing w:after="0" w:line="220" w:lineRule="exact"/>
        <w:rPr>
          <w:sz w:val="20"/>
          <w:szCs w:val="20"/>
          <w:color w:val="auto"/>
        </w:rPr>
      </w:pPr>
      <w:r>
        <w:rPr>
          <w:rFonts w:ascii="Arial" w:cs="Arial" w:eastAsia="Arial" w:hAnsi="Arial"/>
          <w:sz w:val="18"/>
          <w:szCs w:val="18"/>
          <w:color w:val="auto"/>
        </w:rPr>
        <w:t>We generate substantially all of our sales from the sale of golf</w:t>
      </w:r>
      <w:r>
        <w:rPr>
          <w:rFonts w:ascii="MS PGothic" w:cs="MS PGothic" w:eastAsia="MS PGothic" w:hAnsi="MS PGothic"/>
          <w:sz w:val="18"/>
          <w:szCs w:val="18"/>
          <w:color w:val="auto"/>
        </w:rPr>
        <w:t>‑</w:t>
      </w:r>
      <w:r>
        <w:rPr>
          <w:rFonts w:ascii="Arial" w:cs="Arial" w:eastAsia="Arial" w:hAnsi="Arial"/>
          <w:sz w:val="18"/>
          <w:szCs w:val="18"/>
          <w:color w:val="auto"/>
        </w:rPr>
        <w:t>related products, including golf balls, golf clubs, golf shoes, golf gloves, golf gear and golf apparel. The demand for golf</w:t>
      </w:r>
      <w:r>
        <w:rPr>
          <w:rFonts w:ascii="MS PGothic" w:cs="MS PGothic" w:eastAsia="MS PGothic" w:hAnsi="MS PGothic"/>
          <w:sz w:val="18"/>
          <w:szCs w:val="18"/>
          <w:color w:val="auto"/>
        </w:rPr>
        <w:t>‑</w:t>
      </w:r>
      <w:r>
        <w:rPr>
          <w:rFonts w:ascii="Arial" w:cs="Arial" w:eastAsia="Arial" w:hAnsi="Arial"/>
          <w:sz w:val="18"/>
          <w:szCs w:val="18"/>
          <w:color w:val="auto"/>
        </w:rPr>
        <w:t>related products in general, and golf balls in particular, is directly related to the number of golf participants and the number of rounds of golf being played by these participants.</w:t>
      </w:r>
    </w:p>
    <w:p>
      <w:pPr>
        <w:spacing w:after="0" w:line="204" w:lineRule="exact"/>
        <w:rPr>
          <w:sz w:val="20"/>
          <w:szCs w:val="20"/>
          <w:color w:val="auto"/>
        </w:rPr>
      </w:pPr>
    </w:p>
    <w:p>
      <w:pPr>
        <w:ind w:left="1040"/>
        <w:spacing w:after="0"/>
        <w:rPr>
          <w:sz w:val="20"/>
          <w:szCs w:val="20"/>
          <w:color w:val="auto"/>
        </w:rPr>
      </w:pPr>
      <w:r>
        <w:rPr>
          <w:rFonts w:ascii="Arial" w:cs="Arial" w:eastAsia="Arial" w:hAnsi="Arial"/>
          <w:sz w:val="18"/>
          <w:szCs w:val="18"/>
          <w:i w:val="1"/>
          <w:iCs w:val="1"/>
          <w:color w:val="auto"/>
        </w:rPr>
        <w:t>Weather Conditions</w:t>
      </w:r>
    </w:p>
    <w:p>
      <w:pPr>
        <w:spacing w:after="0" w:line="225" w:lineRule="exact"/>
        <w:rPr>
          <w:sz w:val="20"/>
          <w:szCs w:val="20"/>
          <w:color w:val="auto"/>
        </w:rPr>
      </w:pPr>
    </w:p>
    <w:p>
      <w:pPr>
        <w:ind w:left="380" w:right="379" w:firstLine="648"/>
        <w:spacing w:after="0" w:line="217" w:lineRule="exact"/>
        <w:rPr>
          <w:sz w:val="20"/>
          <w:szCs w:val="20"/>
          <w:color w:val="auto"/>
        </w:rPr>
      </w:pPr>
      <w:r>
        <w:rPr>
          <w:rFonts w:ascii="Arial" w:cs="Arial" w:eastAsia="Arial" w:hAnsi="Arial"/>
          <w:sz w:val="16"/>
          <w:szCs w:val="16"/>
          <w:color w:val="auto"/>
        </w:rPr>
        <w:t>Weather conditions in most parts of the world, including our primary geographic markets, generally restrict golf from being played year</w:t>
      </w:r>
      <w:r>
        <w:rPr>
          <w:rFonts w:ascii="MS PGothic" w:cs="MS PGothic" w:eastAsia="MS PGothic" w:hAnsi="MS PGothic"/>
          <w:sz w:val="16"/>
          <w:szCs w:val="16"/>
          <w:color w:val="auto"/>
        </w:rPr>
        <w:t>‑</w:t>
      </w:r>
      <w:r>
        <w:rPr>
          <w:rFonts w:ascii="Arial" w:cs="Arial" w:eastAsia="Arial" w:hAnsi="Arial"/>
          <w:sz w:val="16"/>
          <w:szCs w:val="16"/>
          <w:color w:val="auto"/>
        </w:rPr>
        <w:t>round, with many of our on</w:t>
      </w:r>
      <w:r>
        <w:rPr>
          <w:rFonts w:ascii="MS PGothic" w:cs="MS PGothic" w:eastAsia="MS PGothic" w:hAnsi="MS PGothic"/>
          <w:sz w:val="16"/>
          <w:szCs w:val="16"/>
          <w:color w:val="auto"/>
        </w:rPr>
        <w:t>‑</w:t>
      </w:r>
      <w:r>
        <w:rPr>
          <w:rFonts w:ascii="Arial" w:cs="Arial" w:eastAsia="Arial" w:hAnsi="Arial"/>
          <w:sz w:val="16"/>
          <w:szCs w:val="16"/>
          <w:color w:val="auto"/>
        </w:rPr>
        <w:t>course customers closed during the cold weather months and, to a lesser extent, during the hot weather months. Unfavorable weather conditions in our major markets, such as a particularly long winter, a cold and wet spring, or an extremely hot summer, would reduce the number of playable days and rounds played in a given year, which would result in a decrease in the amount spent by golfers and golf retailers on our products, particularly with respect to consumable products such as golf balls and golf gloves. In addition, unfavorable weather conditions and natural disasters can adversely affect the number of custom club fitting and trial events that we can perform during the key selling period. Unusual or severe weather conditions throughout the year, such as storms or droughts or other water shortages, can negatively affect golf rounds played both during the events and afterward, as weather damaged golf courses are repaired and golfers focus on repairing the damage to their homes, businesses and communities. Consequently, sustained adverse weather conditions, especially during the warm weather months, could impact our sales. Adverse weather conditions may have a greater impact on us than other golf equipment companies as we have a large percentage of consumable products in our product portfolio, and the purchase of consumable products are more dependent on the number of rounds played in a given year.</w:t>
      </w:r>
    </w:p>
    <w:p>
      <w:pPr>
        <w:spacing w:after="0" w:line="203" w:lineRule="exact"/>
        <w:rPr>
          <w:sz w:val="20"/>
          <w:szCs w:val="20"/>
          <w:color w:val="auto"/>
        </w:rPr>
      </w:pPr>
    </w:p>
    <w:p>
      <w:pPr>
        <w:ind w:left="1040"/>
        <w:spacing w:after="0"/>
        <w:rPr>
          <w:sz w:val="20"/>
          <w:szCs w:val="20"/>
          <w:color w:val="auto"/>
        </w:rPr>
      </w:pPr>
      <w:r>
        <w:rPr>
          <w:rFonts w:ascii="Arial" w:cs="Arial" w:eastAsia="Arial" w:hAnsi="Arial"/>
          <w:sz w:val="18"/>
          <w:szCs w:val="18"/>
          <w:i w:val="1"/>
          <w:iCs w:val="1"/>
          <w:color w:val="auto"/>
        </w:rPr>
        <w:t>Economic Conditions</w:t>
      </w:r>
    </w:p>
    <w:p>
      <w:pPr>
        <w:spacing w:after="0" w:line="225" w:lineRule="exact"/>
        <w:rPr>
          <w:sz w:val="20"/>
          <w:szCs w:val="20"/>
          <w:color w:val="auto"/>
        </w:rPr>
      </w:pPr>
    </w:p>
    <w:p>
      <w:pPr>
        <w:ind w:left="380" w:right="479" w:firstLine="648"/>
        <w:spacing w:after="0" w:line="289" w:lineRule="auto"/>
        <w:rPr>
          <w:sz w:val="20"/>
          <w:szCs w:val="20"/>
          <w:color w:val="auto"/>
        </w:rPr>
      </w:pPr>
      <w:r>
        <w:rPr>
          <w:rFonts w:ascii="Arial" w:cs="Arial" w:eastAsia="Arial" w:hAnsi="Arial"/>
          <w:sz w:val="16"/>
          <w:szCs w:val="16"/>
          <w:color w:val="auto"/>
        </w:rPr>
        <w:t>Our products are recreational in nature and are therefore discretionary purchases for consumers. Consumers are generally more willing to spend their time and money to play golf and make discretionary purchases of golf products when economic conditions are favorable and when consumers feel confident and prosperous. Discretionary spending on golf and the golf products we sell is affected by consumer spending habits as well as by many macroeconomic factors, including general business conditions, stock market prices and volatility, corporate spending, housing prices, interest rates, the availability of consumer credit, taxes and consumer confidence in future economic conditions. Consumers may reduce or postpone purchases of our products as a result of shifts in consumer spending habits as well as during periods when economic uncertainty increases, disposable income is lower, or during periods of actual or perceived unfavorable economic conditions.</w:t>
      </w:r>
    </w:p>
    <w:p>
      <w:pPr>
        <w:spacing w:after="0" w:line="164"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54" w:name="page55"/>
    <w:bookmarkEnd w:id="54"/>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1040"/>
        <w:spacing w:after="0"/>
        <w:rPr>
          <w:sz w:val="20"/>
          <w:szCs w:val="20"/>
          <w:color w:val="auto"/>
        </w:rPr>
      </w:pPr>
      <w:r>
        <w:rPr>
          <w:rFonts w:ascii="Arial" w:cs="Arial" w:eastAsia="Arial" w:hAnsi="Arial"/>
          <w:sz w:val="18"/>
          <w:szCs w:val="18"/>
          <w:i w:val="1"/>
          <w:iCs w:val="1"/>
          <w:color w:val="auto"/>
        </w:rPr>
        <w:t>Demographic Factors</w:t>
      </w:r>
    </w:p>
    <w:p>
      <w:pPr>
        <w:spacing w:after="0" w:line="225" w:lineRule="exact"/>
        <w:rPr>
          <w:sz w:val="20"/>
          <w:szCs w:val="20"/>
          <w:color w:val="auto"/>
        </w:rPr>
      </w:pPr>
    </w:p>
    <w:p>
      <w:pPr>
        <w:ind w:left="380" w:right="419" w:firstLine="648"/>
        <w:spacing w:after="0" w:line="218" w:lineRule="exact"/>
        <w:rPr>
          <w:sz w:val="20"/>
          <w:szCs w:val="20"/>
          <w:color w:val="auto"/>
        </w:rPr>
      </w:pPr>
      <w:r>
        <w:rPr>
          <w:rFonts w:ascii="Arial" w:cs="Arial" w:eastAsia="Arial" w:hAnsi="Arial"/>
          <w:sz w:val="16"/>
          <w:szCs w:val="16"/>
          <w:color w:val="auto"/>
        </w:rPr>
        <w:t>Golf is a recreational activity that requires time and money. The golf industry has been principally driven by the age cohort of 30 and above, currently “gen</w:t>
      </w:r>
      <w:r>
        <w:rPr>
          <w:rFonts w:ascii="MS PGothic" w:cs="MS PGothic" w:eastAsia="MS PGothic" w:hAnsi="MS PGothic"/>
          <w:sz w:val="16"/>
          <w:szCs w:val="16"/>
          <w:color w:val="auto"/>
        </w:rPr>
        <w:t>‑</w:t>
      </w:r>
      <w:r>
        <w:rPr>
          <w:rFonts w:ascii="Arial" w:cs="Arial" w:eastAsia="Arial" w:hAnsi="Arial"/>
          <w:sz w:val="16"/>
          <w:szCs w:val="16"/>
          <w:color w:val="auto"/>
        </w:rPr>
        <w:t>x” (age 30 to 49) and “baby boomers” (age 50 to 69), who have the time and money to engage in the sport. Since a significant number of baby boomers have yet to retire, we anticipate growth in spending from this demographic as it has been demonstrated that rounds of play increase significantly as those in this cohort reach retirement. Further, we also believe that the percentage of women golfers will continue to grow, as a higher percentage of new golfers in recent years have been women. Beyond the gen</w:t>
      </w:r>
      <w:r>
        <w:rPr>
          <w:rFonts w:ascii="MS PGothic" w:cs="MS PGothic" w:eastAsia="MS PGothic" w:hAnsi="MS PGothic"/>
          <w:sz w:val="16"/>
          <w:szCs w:val="16"/>
          <w:color w:val="auto"/>
        </w:rPr>
        <w:t>‑</w:t>
      </w:r>
      <w:r>
        <w:rPr>
          <w:rFonts w:ascii="Arial" w:cs="Arial" w:eastAsia="Arial" w:hAnsi="Arial"/>
          <w:sz w:val="16"/>
          <w:szCs w:val="16"/>
          <w:color w:val="auto"/>
        </w:rPr>
        <w:t>x and baby boomer generation, another promising development in golf has been the generational shift with millennial golfers making their marks at both professional and amateur levels.</w:t>
      </w:r>
    </w:p>
    <w:p>
      <w:pPr>
        <w:spacing w:after="0" w:line="203" w:lineRule="exact"/>
        <w:rPr>
          <w:sz w:val="20"/>
          <w:szCs w:val="20"/>
          <w:color w:val="auto"/>
        </w:rPr>
      </w:pPr>
    </w:p>
    <w:p>
      <w:pPr>
        <w:jc w:val="both"/>
        <w:ind w:left="380" w:right="659" w:firstLine="648"/>
        <w:spacing w:after="0" w:line="221" w:lineRule="exact"/>
        <w:rPr>
          <w:sz w:val="20"/>
          <w:szCs w:val="20"/>
          <w:color w:val="auto"/>
        </w:rPr>
      </w:pPr>
      <w:r>
        <w:rPr>
          <w:rFonts w:ascii="Arial" w:cs="Arial" w:eastAsia="Arial" w:hAnsi="Arial"/>
          <w:sz w:val="18"/>
          <w:szCs w:val="18"/>
          <w:color w:val="auto"/>
        </w:rPr>
        <w:t>Golf participation among younger generations and certain socioeconomic and ethnic groups may not prove to be as popular as it is among the current gen</w:t>
      </w:r>
      <w:r>
        <w:rPr>
          <w:rFonts w:ascii="MS PGothic" w:cs="MS PGothic" w:eastAsia="MS PGothic" w:hAnsi="MS PGothic"/>
          <w:sz w:val="18"/>
          <w:szCs w:val="18"/>
          <w:color w:val="auto"/>
        </w:rPr>
        <w:t>‑</w:t>
      </w:r>
      <w:r>
        <w:rPr>
          <w:rFonts w:ascii="Arial" w:cs="Arial" w:eastAsia="Arial" w:hAnsi="Arial"/>
          <w:sz w:val="18"/>
          <w:szCs w:val="18"/>
          <w:color w:val="auto"/>
        </w:rPr>
        <w:t>x and baby boomer generations. In such case, sales of our products could be negatively impacted.</w:t>
      </w:r>
    </w:p>
    <w:p>
      <w:pPr>
        <w:spacing w:after="0" w:line="202" w:lineRule="exact"/>
        <w:rPr>
          <w:sz w:val="20"/>
          <w:szCs w:val="20"/>
          <w:color w:val="auto"/>
        </w:rPr>
      </w:pPr>
    </w:p>
    <w:p>
      <w:pPr>
        <w:ind w:left="1040"/>
        <w:spacing w:after="0"/>
        <w:rPr>
          <w:sz w:val="20"/>
          <w:szCs w:val="20"/>
          <w:color w:val="auto"/>
        </w:rPr>
      </w:pPr>
      <w:r>
        <w:rPr>
          <w:rFonts w:ascii="Arial" w:cs="Arial" w:eastAsia="Arial" w:hAnsi="Arial"/>
          <w:sz w:val="18"/>
          <w:szCs w:val="18"/>
          <w:i w:val="1"/>
          <w:iCs w:val="1"/>
          <w:color w:val="auto"/>
        </w:rPr>
        <w:t>Seasonality</w:t>
      </w:r>
    </w:p>
    <w:p>
      <w:pPr>
        <w:spacing w:after="0" w:line="225" w:lineRule="exact"/>
        <w:rPr>
          <w:sz w:val="20"/>
          <w:szCs w:val="20"/>
          <w:color w:val="auto"/>
        </w:rPr>
      </w:pPr>
    </w:p>
    <w:p>
      <w:pPr>
        <w:ind w:left="1040"/>
        <w:spacing w:after="0"/>
        <w:rPr>
          <w:sz w:val="20"/>
          <w:szCs w:val="20"/>
          <w:color w:val="auto"/>
        </w:rPr>
      </w:pPr>
      <w:r>
        <w:rPr>
          <w:rFonts w:ascii="Arial" w:cs="Arial" w:eastAsia="Arial" w:hAnsi="Arial"/>
          <w:sz w:val="17"/>
          <w:szCs w:val="17"/>
          <w:color w:val="auto"/>
        </w:rPr>
        <w:t>Weather conditions in most parts of the world, including our primary geographic markets, generally</w:t>
      </w:r>
    </w:p>
    <w:p>
      <w:pPr>
        <w:spacing w:after="0" w:line="35" w:lineRule="exact"/>
        <w:rPr>
          <w:sz w:val="20"/>
          <w:szCs w:val="20"/>
          <w:color w:val="auto"/>
        </w:rPr>
      </w:pPr>
    </w:p>
    <w:p>
      <w:pPr>
        <w:ind w:left="380"/>
        <w:spacing w:after="0" w:line="207" w:lineRule="exact"/>
        <w:rPr>
          <w:sz w:val="20"/>
          <w:szCs w:val="20"/>
          <w:color w:val="auto"/>
        </w:rPr>
      </w:pPr>
      <w:r>
        <w:rPr>
          <w:rFonts w:ascii="Arial" w:cs="Arial" w:eastAsia="Arial" w:hAnsi="Arial"/>
          <w:sz w:val="18"/>
          <w:szCs w:val="18"/>
          <w:color w:val="auto"/>
        </w:rPr>
        <w:t>restrict golf from being played year</w:t>
      </w:r>
      <w:r>
        <w:rPr>
          <w:rFonts w:ascii="MS PGothic" w:cs="MS PGothic" w:eastAsia="MS PGothic" w:hAnsi="MS PGothic"/>
          <w:sz w:val="18"/>
          <w:szCs w:val="18"/>
          <w:color w:val="auto"/>
        </w:rPr>
        <w:t>‑</w:t>
      </w:r>
      <w:r>
        <w:rPr>
          <w:rFonts w:ascii="Arial" w:cs="Arial" w:eastAsia="Arial" w:hAnsi="Arial"/>
          <w:sz w:val="18"/>
          <w:szCs w:val="18"/>
          <w:color w:val="auto"/>
        </w:rPr>
        <w:t>round, with many of our on</w:t>
      </w:r>
      <w:r>
        <w:rPr>
          <w:rFonts w:ascii="MS PGothic" w:cs="MS PGothic" w:eastAsia="MS PGothic" w:hAnsi="MS PGothic"/>
          <w:sz w:val="18"/>
          <w:szCs w:val="18"/>
          <w:color w:val="auto"/>
        </w:rPr>
        <w:t>‑</w:t>
      </w:r>
      <w:r>
        <w:rPr>
          <w:rFonts w:ascii="Arial" w:cs="Arial" w:eastAsia="Arial" w:hAnsi="Arial"/>
          <w:sz w:val="18"/>
          <w:szCs w:val="18"/>
          <w:color w:val="auto"/>
        </w:rPr>
        <w:t>course customers closed during the cold</w:t>
      </w:r>
    </w:p>
    <w:p>
      <w:pPr>
        <w:spacing w:after="0" w:line="9" w:lineRule="exact"/>
        <w:rPr>
          <w:sz w:val="20"/>
          <w:szCs w:val="20"/>
          <w:color w:val="auto"/>
        </w:rPr>
      </w:pPr>
    </w:p>
    <w:p>
      <w:pPr>
        <w:ind w:left="380"/>
        <w:spacing w:after="0"/>
        <w:rPr>
          <w:sz w:val="20"/>
          <w:szCs w:val="20"/>
          <w:color w:val="auto"/>
        </w:rPr>
      </w:pPr>
      <w:r>
        <w:rPr>
          <w:rFonts w:ascii="Arial" w:cs="Arial" w:eastAsia="Arial" w:hAnsi="Arial"/>
          <w:sz w:val="16"/>
          <w:szCs w:val="16"/>
          <w:color w:val="auto"/>
        </w:rPr>
        <w:t>weather months. In general, during the first quarter, we begin selling our products into the golf retail channel for</w:t>
      </w:r>
    </w:p>
    <w:p>
      <w:pPr>
        <w:spacing w:after="0" w:line="32" w:lineRule="exact"/>
        <w:rPr>
          <w:sz w:val="20"/>
          <w:szCs w:val="20"/>
          <w:color w:val="auto"/>
        </w:rPr>
      </w:pPr>
    </w:p>
    <w:p>
      <w:pPr>
        <w:ind w:left="380"/>
        <w:spacing w:after="0" w:line="184" w:lineRule="exact"/>
        <w:rPr>
          <w:sz w:val="20"/>
          <w:szCs w:val="20"/>
          <w:color w:val="auto"/>
        </w:rPr>
      </w:pPr>
      <w:r>
        <w:rPr>
          <w:rFonts w:ascii="Arial" w:cs="Arial" w:eastAsia="Arial" w:hAnsi="Arial"/>
          <w:sz w:val="16"/>
          <w:szCs w:val="16"/>
          <w:color w:val="auto"/>
        </w:rPr>
        <w:t>the new golf season. This initial sell</w:t>
      </w:r>
      <w:r>
        <w:rPr>
          <w:rFonts w:ascii="MS PGothic" w:cs="MS PGothic" w:eastAsia="MS PGothic" w:hAnsi="MS PGothic"/>
          <w:sz w:val="16"/>
          <w:szCs w:val="16"/>
          <w:color w:val="auto"/>
        </w:rPr>
        <w:t>‑</w:t>
      </w:r>
      <w:r>
        <w:rPr>
          <w:rFonts w:ascii="Arial" w:cs="Arial" w:eastAsia="Arial" w:hAnsi="Arial"/>
          <w:sz w:val="16"/>
          <w:szCs w:val="16"/>
          <w:color w:val="auto"/>
        </w:rPr>
        <w:t>in generally continues into the second quarter. Our second</w:t>
      </w:r>
      <w:r>
        <w:rPr>
          <w:rFonts w:ascii="MS PGothic" w:cs="MS PGothic" w:eastAsia="MS PGothic" w:hAnsi="MS PGothic"/>
          <w:sz w:val="16"/>
          <w:szCs w:val="16"/>
          <w:color w:val="auto"/>
        </w:rPr>
        <w:t>‑</w:t>
      </w:r>
      <w:r>
        <w:rPr>
          <w:rFonts w:ascii="Arial" w:cs="Arial" w:eastAsia="Arial" w:hAnsi="Arial"/>
          <w:sz w:val="16"/>
          <w:szCs w:val="16"/>
          <w:color w:val="auto"/>
        </w:rPr>
        <w:t>quarter sales are</w:t>
      </w:r>
    </w:p>
    <w:p>
      <w:pPr>
        <w:spacing w:after="0" w:line="32" w:lineRule="exact"/>
        <w:rPr>
          <w:sz w:val="20"/>
          <w:szCs w:val="20"/>
          <w:color w:val="auto"/>
        </w:rPr>
      </w:pPr>
    </w:p>
    <w:p>
      <w:pPr>
        <w:ind w:left="380"/>
        <w:spacing w:after="0" w:line="196" w:lineRule="exact"/>
        <w:rPr>
          <w:sz w:val="20"/>
          <w:szCs w:val="20"/>
          <w:color w:val="auto"/>
        </w:rPr>
      </w:pPr>
      <w:r>
        <w:rPr>
          <w:rFonts w:ascii="Arial" w:cs="Arial" w:eastAsia="Arial" w:hAnsi="Arial"/>
          <w:sz w:val="17"/>
          <w:szCs w:val="17"/>
          <w:color w:val="auto"/>
        </w:rPr>
        <w:t>significantly affected by the amount of sell</w:t>
      </w:r>
      <w:r>
        <w:rPr>
          <w:rFonts w:ascii="MS PGothic" w:cs="MS PGothic" w:eastAsia="MS PGothic" w:hAnsi="MS PGothic"/>
          <w:sz w:val="17"/>
          <w:szCs w:val="17"/>
          <w:color w:val="auto"/>
        </w:rPr>
        <w:t>‑</w:t>
      </w:r>
      <w:r>
        <w:rPr>
          <w:rFonts w:ascii="Arial" w:cs="Arial" w:eastAsia="Arial" w:hAnsi="Arial"/>
          <w:sz w:val="17"/>
          <w:szCs w:val="17"/>
          <w:color w:val="auto"/>
        </w:rPr>
        <w:t>through, in particular the amount of higher value discretionary</w:t>
      </w:r>
    </w:p>
    <w:p>
      <w:pPr>
        <w:spacing w:after="0" w:line="21" w:lineRule="exact"/>
        <w:rPr>
          <w:sz w:val="20"/>
          <w:szCs w:val="20"/>
          <w:color w:val="auto"/>
        </w:rPr>
      </w:pPr>
    </w:p>
    <w:p>
      <w:pPr>
        <w:ind w:left="380"/>
        <w:spacing w:after="0" w:line="184" w:lineRule="exact"/>
        <w:rPr>
          <w:sz w:val="20"/>
          <w:szCs w:val="20"/>
          <w:color w:val="auto"/>
        </w:rPr>
      </w:pPr>
      <w:r>
        <w:rPr>
          <w:rFonts w:ascii="Arial" w:cs="Arial" w:eastAsia="Arial" w:hAnsi="Arial"/>
          <w:sz w:val="16"/>
          <w:szCs w:val="16"/>
          <w:color w:val="auto"/>
        </w:rPr>
        <w:t>purchases made by customers, which drives the level of reorders of our products sold</w:t>
      </w:r>
      <w:r>
        <w:rPr>
          <w:rFonts w:ascii="MS PGothic" w:cs="MS PGothic" w:eastAsia="MS PGothic" w:hAnsi="MS PGothic"/>
          <w:sz w:val="16"/>
          <w:szCs w:val="16"/>
          <w:color w:val="auto"/>
        </w:rPr>
        <w:t>‑</w:t>
      </w:r>
      <w:r>
        <w:rPr>
          <w:rFonts w:ascii="Arial" w:cs="Arial" w:eastAsia="Arial" w:hAnsi="Arial"/>
          <w:sz w:val="16"/>
          <w:szCs w:val="16"/>
          <w:color w:val="auto"/>
        </w:rPr>
        <w:t>in during the first quarter.</w:t>
      </w:r>
    </w:p>
    <w:p>
      <w:pPr>
        <w:spacing w:after="0" w:line="32" w:lineRule="exact"/>
        <w:rPr>
          <w:sz w:val="20"/>
          <w:szCs w:val="20"/>
          <w:color w:val="auto"/>
        </w:rPr>
      </w:pPr>
    </w:p>
    <w:p>
      <w:pPr>
        <w:ind w:left="380"/>
        <w:spacing w:after="0" w:line="184" w:lineRule="exact"/>
        <w:rPr>
          <w:sz w:val="20"/>
          <w:szCs w:val="20"/>
          <w:color w:val="auto"/>
        </w:rPr>
      </w:pPr>
      <w:r>
        <w:rPr>
          <w:rFonts w:ascii="Arial" w:cs="Arial" w:eastAsia="Arial" w:hAnsi="Arial"/>
          <w:sz w:val="16"/>
          <w:szCs w:val="16"/>
          <w:color w:val="auto"/>
        </w:rPr>
        <w:t>Our third</w:t>
      </w:r>
      <w:r>
        <w:rPr>
          <w:rFonts w:ascii="MS PGothic" w:cs="MS PGothic" w:eastAsia="MS PGothic" w:hAnsi="MS PGothic"/>
          <w:sz w:val="16"/>
          <w:szCs w:val="16"/>
          <w:color w:val="auto"/>
        </w:rPr>
        <w:t>‑</w:t>
      </w:r>
      <w:r>
        <w:rPr>
          <w:rFonts w:ascii="Arial" w:cs="Arial" w:eastAsia="Arial" w:hAnsi="Arial"/>
          <w:sz w:val="16"/>
          <w:szCs w:val="16"/>
          <w:color w:val="auto"/>
        </w:rPr>
        <w:t>quarter sales are generally dependent on reorder business, and are generally less than the second quarter</w:t>
      </w:r>
    </w:p>
    <w:p>
      <w:pPr>
        <w:spacing w:after="0" w:line="32" w:lineRule="exact"/>
        <w:rPr>
          <w:sz w:val="20"/>
          <w:szCs w:val="20"/>
          <w:color w:val="auto"/>
        </w:rPr>
      </w:pPr>
    </w:p>
    <w:p>
      <w:pPr>
        <w:ind w:left="380"/>
        <w:spacing w:after="0"/>
        <w:rPr>
          <w:sz w:val="20"/>
          <w:szCs w:val="20"/>
          <w:color w:val="auto"/>
        </w:rPr>
      </w:pPr>
      <w:r>
        <w:rPr>
          <w:rFonts w:ascii="Arial" w:cs="Arial" w:eastAsia="Arial" w:hAnsi="Arial"/>
          <w:sz w:val="17"/>
          <w:szCs w:val="17"/>
          <w:color w:val="auto"/>
        </w:rPr>
        <w:t>as many retailers begin decreasing their inventory levels in anticipation of the end of the golf season. Our</w:t>
      </w:r>
    </w:p>
    <w:p>
      <w:pPr>
        <w:spacing w:after="0" w:line="21" w:lineRule="exact"/>
        <w:rPr>
          <w:sz w:val="20"/>
          <w:szCs w:val="20"/>
          <w:color w:val="auto"/>
        </w:rPr>
      </w:pPr>
    </w:p>
    <w:p>
      <w:pPr>
        <w:ind w:left="380"/>
        <w:spacing w:after="0" w:line="184" w:lineRule="exact"/>
        <w:rPr>
          <w:sz w:val="20"/>
          <w:szCs w:val="20"/>
          <w:color w:val="auto"/>
        </w:rPr>
      </w:pPr>
      <w:r>
        <w:rPr>
          <w:rFonts w:ascii="Arial" w:cs="Arial" w:eastAsia="Arial" w:hAnsi="Arial"/>
          <w:sz w:val="16"/>
          <w:szCs w:val="16"/>
          <w:color w:val="auto"/>
        </w:rPr>
        <w:t>fourth</w:t>
      </w:r>
      <w:r>
        <w:rPr>
          <w:rFonts w:ascii="MS PGothic" w:cs="MS PGothic" w:eastAsia="MS PGothic" w:hAnsi="MS PGothic"/>
          <w:sz w:val="16"/>
          <w:szCs w:val="16"/>
          <w:color w:val="auto"/>
        </w:rPr>
        <w:t>‑</w:t>
      </w:r>
      <w:r>
        <w:rPr>
          <w:rFonts w:ascii="Arial" w:cs="Arial" w:eastAsia="Arial" w:hAnsi="Arial"/>
          <w:sz w:val="16"/>
          <w:szCs w:val="16"/>
          <w:color w:val="auto"/>
        </w:rPr>
        <w:t>quarter sales are generally less than the other quarters due to the end of the golf season in many of our key</w:t>
      </w:r>
    </w:p>
    <w:p>
      <w:pPr>
        <w:spacing w:after="0" w:line="32" w:lineRule="exact"/>
        <w:rPr>
          <w:sz w:val="20"/>
          <w:szCs w:val="20"/>
          <w:color w:val="auto"/>
        </w:rPr>
      </w:pPr>
    </w:p>
    <w:p>
      <w:pPr>
        <w:ind w:left="380"/>
        <w:spacing w:after="0"/>
        <w:rPr>
          <w:sz w:val="20"/>
          <w:szCs w:val="20"/>
          <w:color w:val="auto"/>
        </w:rPr>
      </w:pPr>
      <w:r>
        <w:rPr>
          <w:rFonts w:ascii="Arial" w:cs="Arial" w:eastAsia="Arial" w:hAnsi="Arial"/>
          <w:sz w:val="16"/>
          <w:szCs w:val="16"/>
          <w:color w:val="auto"/>
        </w:rPr>
        <w:t>markets, but can also be affected by key product launches, particularly golf clubs. This seasonality, and therefore</w:t>
      </w:r>
    </w:p>
    <w:p>
      <w:pPr>
        <w:spacing w:after="0" w:line="32" w:lineRule="exact"/>
        <w:rPr>
          <w:sz w:val="20"/>
          <w:szCs w:val="20"/>
          <w:color w:val="auto"/>
        </w:rPr>
      </w:pPr>
    </w:p>
    <w:p>
      <w:pPr>
        <w:ind w:left="380"/>
        <w:spacing w:after="0"/>
        <w:rPr>
          <w:sz w:val="20"/>
          <w:szCs w:val="20"/>
          <w:color w:val="auto"/>
        </w:rPr>
      </w:pPr>
      <w:r>
        <w:rPr>
          <w:rFonts w:ascii="Arial" w:cs="Arial" w:eastAsia="Arial" w:hAnsi="Arial"/>
          <w:sz w:val="16"/>
          <w:szCs w:val="16"/>
          <w:color w:val="auto"/>
        </w:rPr>
        <w:t>quarter to quarter fluctuations, can be affected by many factors, including weather conditions as discussed above</w:t>
      </w:r>
    </w:p>
    <w:p>
      <w:pPr>
        <w:spacing w:after="0" w:line="32" w:lineRule="exact"/>
        <w:rPr>
          <w:sz w:val="20"/>
          <w:szCs w:val="20"/>
          <w:color w:val="auto"/>
        </w:rPr>
      </w:pPr>
    </w:p>
    <w:p>
      <w:pPr>
        <w:ind w:left="380"/>
        <w:spacing w:after="0"/>
        <w:rPr>
          <w:sz w:val="20"/>
          <w:szCs w:val="20"/>
          <w:color w:val="auto"/>
        </w:rPr>
      </w:pPr>
      <w:r>
        <w:rPr>
          <w:rFonts w:ascii="Arial" w:cs="Arial" w:eastAsia="Arial" w:hAnsi="Arial"/>
          <w:sz w:val="17"/>
          <w:szCs w:val="17"/>
          <w:color w:val="auto"/>
        </w:rPr>
        <w:t>under “—Weather Conditions” and the timing of new product introductions as discussed below under “—</w:t>
      </w:r>
    </w:p>
    <w:p>
      <w:pPr>
        <w:spacing w:after="0" w:line="21" w:lineRule="exact"/>
        <w:rPr>
          <w:sz w:val="20"/>
          <w:szCs w:val="20"/>
          <w:color w:val="auto"/>
        </w:rPr>
      </w:pPr>
    </w:p>
    <w:p>
      <w:pPr>
        <w:ind w:left="380"/>
        <w:spacing w:after="0"/>
        <w:rPr>
          <w:sz w:val="20"/>
          <w:szCs w:val="20"/>
          <w:color w:val="auto"/>
        </w:rPr>
      </w:pPr>
      <w:r>
        <w:rPr>
          <w:rFonts w:ascii="Arial" w:cs="Arial" w:eastAsia="Arial" w:hAnsi="Arial"/>
          <w:sz w:val="17"/>
          <w:szCs w:val="17"/>
          <w:color w:val="auto"/>
        </w:rPr>
        <w:t>Cyclicality.” This seasonality affects sales in each of our reportable segments differently. In general, however,</w:t>
      </w:r>
    </w:p>
    <w:p>
      <w:pPr>
        <w:spacing w:after="0" w:line="21" w:lineRule="exact"/>
        <w:rPr>
          <w:sz w:val="20"/>
          <w:szCs w:val="20"/>
          <w:color w:val="auto"/>
        </w:rPr>
      </w:pPr>
    </w:p>
    <w:p>
      <w:pPr>
        <w:ind w:left="380"/>
        <w:spacing w:after="0"/>
        <w:rPr>
          <w:sz w:val="20"/>
          <w:szCs w:val="20"/>
          <w:color w:val="auto"/>
        </w:rPr>
      </w:pPr>
      <w:r>
        <w:rPr>
          <w:rFonts w:ascii="Arial" w:cs="Arial" w:eastAsia="Arial" w:hAnsi="Arial"/>
          <w:sz w:val="16"/>
          <w:szCs w:val="16"/>
          <w:color w:val="auto"/>
        </w:rPr>
        <w:t>because of this seasonality, a majority of our sales and most of our profitability generally occurs during the first</w:t>
      </w:r>
    </w:p>
    <w:p>
      <w:pPr>
        <w:spacing w:after="0" w:line="32" w:lineRule="exact"/>
        <w:rPr>
          <w:sz w:val="20"/>
          <w:szCs w:val="20"/>
          <w:color w:val="auto"/>
        </w:rPr>
      </w:pPr>
    </w:p>
    <w:p>
      <w:pPr>
        <w:ind w:left="380"/>
        <w:spacing w:after="0"/>
        <w:rPr>
          <w:sz w:val="20"/>
          <w:szCs w:val="20"/>
          <w:color w:val="auto"/>
        </w:rPr>
      </w:pPr>
      <w:r>
        <w:rPr>
          <w:rFonts w:ascii="Arial" w:cs="Arial" w:eastAsia="Arial" w:hAnsi="Arial"/>
          <w:sz w:val="18"/>
          <w:szCs w:val="18"/>
          <w:color w:val="auto"/>
        </w:rPr>
        <w:t>half of the year.</w:t>
      </w:r>
    </w:p>
    <w:p>
      <w:pPr>
        <w:spacing w:after="0" w:line="211" w:lineRule="exact"/>
        <w:rPr>
          <w:sz w:val="20"/>
          <w:szCs w:val="20"/>
          <w:color w:val="auto"/>
        </w:rPr>
      </w:pPr>
    </w:p>
    <w:p>
      <w:pPr>
        <w:ind w:left="1040"/>
        <w:spacing w:after="0"/>
        <w:rPr>
          <w:sz w:val="20"/>
          <w:szCs w:val="20"/>
          <w:color w:val="auto"/>
        </w:rPr>
      </w:pPr>
      <w:r>
        <w:rPr>
          <w:rFonts w:ascii="Arial" w:cs="Arial" w:eastAsia="Arial" w:hAnsi="Arial"/>
          <w:sz w:val="18"/>
          <w:szCs w:val="18"/>
          <w:i w:val="1"/>
          <w:iCs w:val="1"/>
          <w:color w:val="auto"/>
        </w:rPr>
        <w:t>Cyclicality</w:t>
      </w:r>
    </w:p>
    <w:p>
      <w:pPr>
        <w:spacing w:after="0" w:line="225" w:lineRule="exact"/>
        <w:rPr>
          <w:sz w:val="20"/>
          <w:szCs w:val="20"/>
          <w:color w:val="auto"/>
        </w:rPr>
      </w:pPr>
    </w:p>
    <w:p>
      <w:pPr>
        <w:ind w:left="380" w:right="399" w:firstLine="648"/>
        <w:spacing w:after="0" w:line="219" w:lineRule="exact"/>
        <w:rPr>
          <w:sz w:val="20"/>
          <w:szCs w:val="20"/>
          <w:color w:val="auto"/>
        </w:rPr>
      </w:pPr>
      <w:r>
        <w:rPr>
          <w:rFonts w:ascii="Arial" w:cs="Arial" w:eastAsia="Arial" w:hAnsi="Arial"/>
          <w:sz w:val="18"/>
          <w:szCs w:val="18"/>
          <w:color w:val="auto"/>
        </w:rPr>
        <w:t>Our sales can also be affected by the launch timing of new products. Product introductions generally stimulate sales as the golf retail channel takes on inventory of new products. Reorders of these new products then depend on the rate of sell</w:t>
      </w:r>
      <w:r>
        <w:rPr>
          <w:rFonts w:ascii="MS PGothic" w:cs="MS PGothic" w:eastAsia="MS PGothic" w:hAnsi="MS PGothic"/>
          <w:sz w:val="18"/>
          <w:szCs w:val="18"/>
          <w:color w:val="auto"/>
        </w:rPr>
        <w:t>‑</w:t>
      </w:r>
      <w:r>
        <w:rPr>
          <w:rFonts w:ascii="Arial" w:cs="Arial" w:eastAsia="Arial" w:hAnsi="Arial"/>
          <w:sz w:val="18"/>
          <w:szCs w:val="18"/>
          <w:color w:val="auto"/>
        </w:rPr>
        <w:t>through. Announcements of new products can often cause our customers to defer purchasing additional golf equipment until our new products are available. The varying product introduction cycles described below may cause our results of operations to fluctuate as each product line has different volumes, prices and margins.</w:t>
      </w:r>
    </w:p>
    <w:p>
      <w:pPr>
        <w:spacing w:after="0" w:line="203" w:lineRule="exact"/>
        <w:rPr>
          <w:sz w:val="20"/>
          <w:szCs w:val="20"/>
          <w:color w:val="auto"/>
        </w:rPr>
      </w:pPr>
    </w:p>
    <w:p>
      <w:pPr>
        <w:ind w:left="1040"/>
        <w:spacing w:after="0"/>
        <w:rPr>
          <w:sz w:val="20"/>
          <w:szCs w:val="20"/>
          <w:color w:val="auto"/>
        </w:rPr>
      </w:pPr>
      <w:r>
        <w:rPr>
          <w:rFonts w:ascii="Arial" w:cs="Arial" w:eastAsia="Arial" w:hAnsi="Arial"/>
          <w:sz w:val="18"/>
          <w:szCs w:val="18"/>
          <w:i w:val="1"/>
          <w:iCs w:val="1"/>
          <w:color w:val="auto"/>
        </w:rPr>
        <w:t>Product Life Cycles</w:t>
      </w:r>
    </w:p>
    <w:p>
      <w:pPr>
        <w:spacing w:after="0" w:line="225" w:lineRule="exact"/>
        <w:rPr>
          <w:sz w:val="20"/>
          <w:szCs w:val="20"/>
          <w:color w:val="auto"/>
        </w:rPr>
      </w:pPr>
    </w:p>
    <w:p>
      <w:pPr>
        <w:ind w:left="1040"/>
        <w:spacing w:after="0"/>
        <w:rPr>
          <w:sz w:val="20"/>
          <w:szCs w:val="20"/>
          <w:color w:val="auto"/>
        </w:rPr>
      </w:pPr>
      <w:r>
        <w:rPr>
          <w:rFonts w:ascii="Arial" w:cs="Arial" w:eastAsia="Arial" w:hAnsi="Arial"/>
          <w:sz w:val="18"/>
          <w:szCs w:val="18"/>
          <w:u w:val="single" w:color="auto"/>
          <w:color w:val="auto"/>
        </w:rPr>
        <w:t>Titleist Golf Balls Segment</w:t>
      </w:r>
    </w:p>
    <w:p>
      <w:pPr>
        <w:spacing w:after="0" w:line="225" w:lineRule="exact"/>
        <w:rPr>
          <w:sz w:val="20"/>
          <w:szCs w:val="20"/>
          <w:color w:val="auto"/>
        </w:rPr>
      </w:pPr>
    </w:p>
    <w:p>
      <w:pPr>
        <w:ind w:left="380" w:right="379" w:firstLine="648"/>
        <w:spacing w:after="0" w:line="218" w:lineRule="exact"/>
        <w:rPr>
          <w:sz w:val="20"/>
          <w:szCs w:val="20"/>
          <w:color w:val="auto"/>
        </w:rPr>
      </w:pPr>
      <w:r>
        <w:rPr>
          <w:rFonts w:ascii="Arial" w:cs="Arial" w:eastAsia="Arial" w:hAnsi="Arial"/>
          <w:sz w:val="16"/>
          <w:szCs w:val="16"/>
          <w:color w:val="auto"/>
        </w:rPr>
        <w:t>We launch new Titleist golf ball models on a two</w:t>
      </w:r>
      <w:r>
        <w:rPr>
          <w:rFonts w:ascii="MS PGothic" w:cs="MS PGothic" w:eastAsia="MS PGothic" w:hAnsi="MS PGothic"/>
          <w:sz w:val="16"/>
          <w:szCs w:val="16"/>
          <w:color w:val="auto"/>
        </w:rPr>
        <w:t>‑</w:t>
      </w:r>
      <w:r>
        <w:rPr>
          <w:rFonts w:ascii="Arial" w:cs="Arial" w:eastAsia="Arial" w:hAnsi="Arial"/>
          <w:sz w:val="16"/>
          <w:szCs w:val="16"/>
          <w:color w:val="auto"/>
        </w:rPr>
        <w:t>year cycle, with new product launches of Pro V1 and Pro V1x, our premium performance models, generally occurring in the first quarter of odd</w:t>
      </w:r>
      <w:r>
        <w:rPr>
          <w:rFonts w:ascii="MS PGothic" w:cs="MS PGothic" w:eastAsia="MS PGothic" w:hAnsi="MS PGothic"/>
          <w:sz w:val="16"/>
          <w:szCs w:val="16"/>
          <w:color w:val="auto"/>
        </w:rPr>
        <w:t>‑</w:t>
      </w:r>
      <w:r>
        <w:rPr>
          <w:rFonts w:ascii="Arial" w:cs="Arial" w:eastAsia="Arial" w:hAnsi="Arial"/>
          <w:sz w:val="16"/>
          <w:szCs w:val="16"/>
          <w:color w:val="auto"/>
        </w:rPr>
        <w:t>numbered years, with new product launches of our performance models that include Tour Soft and Velocity, generally occurring in the first quarter of even</w:t>
      </w:r>
      <w:r>
        <w:rPr>
          <w:rFonts w:ascii="MS PGothic" w:cs="MS PGothic" w:eastAsia="MS PGothic" w:hAnsi="MS PGothic"/>
          <w:sz w:val="16"/>
          <w:szCs w:val="16"/>
          <w:color w:val="auto"/>
        </w:rPr>
        <w:t>‑</w:t>
      </w:r>
      <w:r>
        <w:rPr>
          <w:rFonts w:ascii="Arial" w:cs="Arial" w:eastAsia="Arial" w:hAnsi="Arial"/>
          <w:sz w:val="16"/>
          <w:szCs w:val="16"/>
          <w:color w:val="auto"/>
        </w:rPr>
        <w:t>numbered years, and with the introduction of DT TruSoft performance model occurring in the third quarter in odd-numbered years. For new golf ball models, sales occur at a higher rate in the year of the initial launch than in the second year. Given the Pro V1 franchise is our highest volume and our highest priced product in this product category, we typically have higher net sales in our Titleist golf ball segment in odd</w:t>
      </w:r>
      <w:r>
        <w:rPr>
          <w:rFonts w:ascii="MS PGothic" w:cs="MS PGothic" w:eastAsia="MS PGothic" w:hAnsi="MS PGothic"/>
          <w:sz w:val="16"/>
          <w:szCs w:val="16"/>
          <w:color w:val="auto"/>
        </w:rPr>
        <w:t>‑</w:t>
      </w:r>
      <w:r>
        <w:rPr>
          <w:rFonts w:ascii="Arial" w:cs="Arial" w:eastAsia="Arial" w:hAnsi="Arial"/>
          <w:sz w:val="16"/>
          <w:szCs w:val="16"/>
          <w:color w:val="auto"/>
        </w:rPr>
        <w:t>numbered years.</w:t>
      </w:r>
    </w:p>
    <w:p>
      <w:pPr>
        <w:spacing w:after="0" w:line="202"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55" w:name="page56"/>
    <w:bookmarkEnd w:id="55"/>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1040"/>
        <w:spacing w:after="0"/>
        <w:rPr>
          <w:sz w:val="20"/>
          <w:szCs w:val="20"/>
          <w:color w:val="auto"/>
        </w:rPr>
      </w:pPr>
      <w:r>
        <w:rPr>
          <w:rFonts w:ascii="Arial" w:cs="Arial" w:eastAsia="Arial" w:hAnsi="Arial"/>
          <w:sz w:val="18"/>
          <w:szCs w:val="18"/>
          <w:u w:val="single" w:color="auto"/>
          <w:color w:val="auto"/>
        </w:rPr>
        <w:t>Titleist Golf Clubs Segment</w:t>
      </w:r>
    </w:p>
    <w:p>
      <w:pPr>
        <w:spacing w:after="0" w:line="225" w:lineRule="exact"/>
        <w:rPr>
          <w:sz w:val="20"/>
          <w:szCs w:val="20"/>
          <w:color w:val="auto"/>
        </w:rPr>
      </w:pPr>
    </w:p>
    <w:p>
      <w:pPr>
        <w:ind w:left="380" w:right="579" w:firstLine="648"/>
        <w:spacing w:after="0" w:line="220" w:lineRule="exact"/>
        <w:rPr>
          <w:sz w:val="20"/>
          <w:szCs w:val="20"/>
          <w:color w:val="auto"/>
        </w:rPr>
      </w:pPr>
      <w:r>
        <w:rPr>
          <w:rFonts w:ascii="Arial" w:cs="Arial" w:eastAsia="Arial" w:hAnsi="Arial"/>
          <w:sz w:val="18"/>
          <w:szCs w:val="18"/>
          <w:color w:val="auto"/>
        </w:rPr>
        <w:t>We generally launch new Titleist golf club models on a two</w:t>
      </w:r>
      <w:r>
        <w:rPr>
          <w:rFonts w:ascii="MS PGothic" w:cs="MS PGothic" w:eastAsia="MS PGothic" w:hAnsi="MS PGothic"/>
          <w:sz w:val="18"/>
          <w:szCs w:val="18"/>
          <w:color w:val="auto"/>
        </w:rPr>
        <w:t>‑</w:t>
      </w:r>
      <w:r>
        <w:rPr>
          <w:rFonts w:ascii="Arial" w:cs="Arial" w:eastAsia="Arial" w:hAnsi="Arial"/>
          <w:sz w:val="18"/>
          <w:szCs w:val="18"/>
          <w:color w:val="auto"/>
        </w:rPr>
        <w:t>year cycle. Since the fall of 2014, we have generally used the following product launch cycle, and at present we anticipate continuing to use this product launch cycle going forward because we believe it aligns our launches with the purchase habits of dedicated golfers. In general, we launch:</w:t>
      </w:r>
    </w:p>
    <w:p>
      <w:pPr>
        <w:spacing w:after="0" w:line="204" w:lineRule="exact"/>
        <w:rPr>
          <w:sz w:val="20"/>
          <w:szCs w:val="20"/>
          <w:color w:val="auto"/>
        </w:rPr>
      </w:pPr>
    </w:p>
    <w:p>
      <w:pPr>
        <w:ind w:left="1360" w:right="399" w:hanging="329"/>
        <w:spacing w:after="0" w:line="220" w:lineRule="exact"/>
        <w:tabs>
          <w:tab w:leader="none" w:pos="13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drivers and fairways in the fourth quarter of even</w:t>
      </w:r>
      <w:r>
        <w:rPr>
          <w:rFonts w:ascii="MS PGothic" w:cs="MS PGothic" w:eastAsia="MS PGothic" w:hAnsi="MS PGothic"/>
          <w:sz w:val="18"/>
          <w:szCs w:val="18"/>
          <w:color w:val="auto"/>
        </w:rPr>
        <w:t>‑</w:t>
      </w:r>
      <w:r>
        <w:rPr>
          <w:rFonts w:ascii="Arial" w:cs="Arial" w:eastAsia="Arial" w:hAnsi="Arial"/>
          <w:sz w:val="18"/>
          <w:szCs w:val="18"/>
          <w:color w:val="auto"/>
        </w:rPr>
        <w:t>numbered years, which typically results in an increase in sales of drivers and fairways during such quarter because retailers take on initial supplies of these products as stock inventory, with increased sales generated by such new products continuing the following spring and summer of odd</w:t>
      </w:r>
      <w:r>
        <w:rPr>
          <w:rFonts w:ascii="MS PGothic" w:cs="MS PGothic" w:eastAsia="MS PGothic" w:hAnsi="MS PGothic"/>
          <w:sz w:val="18"/>
          <w:szCs w:val="18"/>
          <w:color w:val="auto"/>
        </w:rPr>
        <w:t>‑</w:t>
      </w:r>
      <w:r>
        <w:rPr>
          <w:rFonts w:ascii="Arial" w:cs="Arial" w:eastAsia="Arial" w:hAnsi="Arial"/>
          <w:sz w:val="18"/>
          <w:szCs w:val="18"/>
          <w:color w:val="auto"/>
        </w:rPr>
        <w:t>numbered years;</w:t>
      </w:r>
    </w:p>
    <w:p>
      <w:pPr>
        <w:spacing w:after="0" w:line="204" w:lineRule="exact"/>
        <w:rPr>
          <w:rFonts w:ascii="Arial" w:cs="Arial" w:eastAsia="Arial" w:hAnsi="Arial"/>
          <w:sz w:val="18"/>
          <w:szCs w:val="18"/>
          <w:color w:val="auto"/>
        </w:rPr>
      </w:pPr>
    </w:p>
    <w:p>
      <w:pPr>
        <w:ind w:left="1360" w:right="479" w:hanging="329"/>
        <w:spacing w:after="0" w:line="219" w:lineRule="exact"/>
        <w:tabs>
          <w:tab w:leader="none" w:pos="13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irons and hybrids in the fourth quarter of odd</w:t>
      </w:r>
      <w:r>
        <w:rPr>
          <w:rFonts w:ascii="MS PGothic" w:cs="MS PGothic" w:eastAsia="MS PGothic" w:hAnsi="MS PGothic"/>
          <w:sz w:val="18"/>
          <w:szCs w:val="18"/>
          <w:color w:val="auto"/>
        </w:rPr>
        <w:t>‑</w:t>
      </w:r>
      <w:r>
        <w:rPr>
          <w:rFonts w:ascii="Arial" w:cs="Arial" w:eastAsia="Arial" w:hAnsi="Arial"/>
          <w:sz w:val="18"/>
          <w:szCs w:val="18"/>
          <w:color w:val="auto"/>
        </w:rPr>
        <w:t>numbered years, with the majority of sales generated by such new products occurring in the following spring and summer of even</w:t>
      </w:r>
      <w:r>
        <w:rPr>
          <w:rFonts w:ascii="MS PGothic" w:cs="MS PGothic" w:eastAsia="MS PGothic" w:hAnsi="MS PGothic"/>
          <w:sz w:val="18"/>
          <w:szCs w:val="18"/>
          <w:color w:val="auto"/>
        </w:rPr>
        <w:t>‑</w:t>
      </w:r>
      <w:r>
        <w:rPr>
          <w:rFonts w:ascii="Arial" w:cs="Arial" w:eastAsia="Arial" w:hAnsi="Arial"/>
          <w:sz w:val="18"/>
          <w:szCs w:val="18"/>
          <w:color w:val="auto"/>
        </w:rPr>
        <w:t>numbered years because a higher percentage of our new irons and hybrids as compared to our drivers and fairways are sold through on a custom fit basis and the spring and summer is when golfers tend to make such custom fit purchases;</w:t>
      </w:r>
    </w:p>
    <w:p>
      <w:pPr>
        <w:spacing w:after="0" w:line="205" w:lineRule="exact"/>
        <w:rPr>
          <w:rFonts w:ascii="Arial" w:cs="Arial" w:eastAsia="Arial" w:hAnsi="Arial"/>
          <w:sz w:val="18"/>
          <w:szCs w:val="18"/>
          <w:color w:val="auto"/>
        </w:rPr>
      </w:pPr>
    </w:p>
    <w:p>
      <w:pPr>
        <w:ind w:left="1360" w:right="539" w:hanging="329"/>
        <w:spacing w:after="0" w:line="221" w:lineRule="exact"/>
        <w:tabs>
          <w:tab w:leader="none" w:pos="13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Vokey Design wedges in the first quarter of even</w:t>
      </w:r>
      <w:r>
        <w:rPr>
          <w:rFonts w:ascii="MS PGothic" w:cs="MS PGothic" w:eastAsia="MS PGothic" w:hAnsi="MS PGothic"/>
          <w:sz w:val="18"/>
          <w:szCs w:val="18"/>
          <w:color w:val="auto"/>
        </w:rPr>
        <w:t>‑</w:t>
      </w:r>
      <w:r>
        <w:rPr>
          <w:rFonts w:ascii="Arial" w:cs="Arial" w:eastAsia="Arial" w:hAnsi="Arial"/>
          <w:sz w:val="18"/>
          <w:szCs w:val="18"/>
          <w:color w:val="auto"/>
        </w:rPr>
        <w:t>numbered years, with the majority of sales generated by such new products occurring in the spring and summer of such even</w:t>
      </w:r>
      <w:r>
        <w:rPr>
          <w:rFonts w:ascii="MS PGothic" w:cs="MS PGothic" w:eastAsia="MS PGothic" w:hAnsi="MS PGothic"/>
          <w:sz w:val="18"/>
          <w:szCs w:val="18"/>
          <w:color w:val="auto"/>
        </w:rPr>
        <w:t>‑</w:t>
      </w:r>
      <w:r>
        <w:rPr>
          <w:rFonts w:ascii="Arial" w:cs="Arial" w:eastAsia="Arial" w:hAnsi="Arial"/>
          <w:sz w:val="18"/>
          <w:szCs w:val="18"/>
          <w:color w:val="auto"/>
        </w:rPr>
        <w:t>numbered years; and</w:t>
      </w:r>
    </w:p>
    <w:p>
      <w:pPr>
        <w:spacing w:after="0" w:line="201" w:lineRule="exact"/>
        <w:rPr>
          <w:rFonts w:ascii="Arial" w:cs="Arial" w:eastAsia="Arial" w:hAnsi="Arial"/>
          <w:sz w:val="18"/>
          <w:szCs w:val="18"/>
          <w:color w:val="auto"/>
        </w:rPr>
      </w:pPr>
    </w:p>
    <w:p>
      <w:pPr>
        <w:jc w:val="both"/>
        <w:ind w:left="1360" w:right="399" w:hanging="329"/>
        <w:spacing w:after="0" w:line="221" w:lineRule="exact"/>
        <w:tabs>
          <w:tab w:leader="none" w:pos="1360" w:val="left"/>
        </w:tabs>
        <w:numPr>
          <w:ilvl w:val="0"/>
          <w:numId w:val="20"/>
        </w:numPr>
        <w:rPr>
          <w:rFonts w:ascii="Arial" w:cs="Arial" w:eastAsia="Arial" w:hAnsi="Arial"/>
          <w:sz w:val="16"/>
          <w:szCs w:val="16"/>
          <w:color w:val="auto"/>
        </w:rPr>
      </w:pPr>
      <w:r>
        <w:rPr>
          <w:rFonts w:ascii="Arial" w:cs="Arial" w:eastAsia="Arial" w:hAnsi="Arial"/>
          <w:sz w:val="16"/>
          <w:szCs w:val="16"/>
          <w:color w:val="auto"/>
        </w:rPr>
        <w:t>Scotty Cameron putters in the first quarter, with the Select models launched in even</w:t>
      </w:r>
      <w:r>
        <w:rPr>
          <w:rFonts w:ascii="MS PGothic" w:cs="MS PGothic" w:eastAsia="MS PGothic" w:hAnsi="MS PGothic"/>
          <w:sz w:val="16"/>
          <w:szCs w:val="16"/>
          <w:color w:val="auto"/>
        </w:rPr>
        <w:t>‑</w:t>
      </w:r>
      <w:r>
        <w:rPr>
          <w:rFonts w:ascii="Arial" w:cs="Arial" w:eastAsia="Arial" w:hAnsi="Arial"/>
          <w:sz w:val="16"/>
          <w:szCs w:val="16"/>
          <w:color w:val="auto"/>
        </w:rPr>
        <w:t>numbered years and the Futura models launched in odd</w:t>
      </w:r>
      <w:r>
        <w:rPr>
          <w:rFonts w:ascii="MS PGothic" w:cs="MS PGothic" w:eastAsia="MS PGothic" w:hAnsi="MS PGothic"/>
          <w:sz w:val="16"/>
          <w:szCs w:val="16"/>
          <w:color w:val="auto"/>
        </w:rPr>
        <w:t>‑</w:t>
      </w:r>
      <w:r>
        <w:rPr>
          <w:rFonts w:ascii="Arial" w:cs="Arial" w:eastAsia="Arial" w:hAnsi="Arial"/>
          <w:sz w:val="16"/>
          <w:szCs w:val="16"/>
          <w:color w:val="auto"/>
        </w:rPr>
        <w:t>numbered years, with the majority of sales generated by such new products occurring in the spring and summer of the year in which they are launched.</w:t>
      </w:r>
    </w:p>
    <w:p>
      <w:pPr>
        <w:spacing w:after="0" w:line="202" w:lineRule="exact"/>
        <w:rPr>
          <w:sz w:val="20"/>
          <w:szCs w:val="20"/>
          <w:color w:val="auto"/>
        </w:rPr>
      </w:pPr>
    </w:p>
    <w:p>
      <w:pPr>
        <w:ind w:left="380" w:right="559" w:firstLine="648"/>
        <w:spacing w:after="0" w:line="223" w:lineRule="exact"/>
        <w:rPr>
          <w:sz w:val="20"/>
          <w:szCs w:val="20"/>
          <w:color w:val="auto"/>
        </w:rPr>
      </w:pPr>
      <w:r>
        <w:rPr>
          <w:rFonts w:ascii="Arial" w:cs="Arial" w:eastAsia="Arial" w:hAnsi="Arial"/>
          <w:sz w:val="18"/>
          <w:szCs w:val="18"/>
          <w:color w:val="auto"/>
        </w:rPr>
        <w:t>As a result of this product launch cycle, we generally expect to have higher net sales in our Titleist golf clubs segment in even</w:t>
      </w:r>
      <w:r>
        <w:rPr>
          <w:rFonts w:ascii="MS PGothic" w:cs="MS PGothic" w:eastAsia="MS PGothic" w:hAnsi="MS PGothic"/>
          <w:sz w:val="18"/>
          <w:szCs w:val="18"/>
          <w:color w:val="auto"/>
        </w:rPr>
        <w:t>‑</w:t>
      </w:r>
      <w:r>
        <w:rPr>
          <w:rFonts w:ascii="Arial" w:cs="Arial" w:eastAsia="Arial" w:hAnsi="Arial"/>
          <w:sz w:val="18"/>
          <w:szCs w:val="18"/>
          <w:color w:val="auto"/>
        </w:rPr>
        <w:t>numbered years due to the following factors:</w:t>
      </w:r>
    </w:p>
    <w:p>
      <w:pPr>
        <w:spacing w:after="0" w:line="203" w:lineRule="exact"/>
        <w:rPr>
          <w:sz w:val="20"/>
          <w:szCs w:val="20"/>
          <w:color w:val="auto"/>
        </w:rPr>
      </w:pPr>
    </w:p>
    <w:p>
      <w:pPr>
        <w:ind w:left="1360" w:right="1219" w:hanging="329"/>
        <w:spacing w:after="0" w:line="221" w:lineRule="exact"/>
        <w:tabs>
          <w:tab w:leader="none" w:pos="13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 majority of sales generated by new irons and hybrids launched in the fourth quarter of odd</w:t>
      </w:r>
      <w:r>
        <w:rPr>
          <w:rFonts w:ascii="MS PGothic" w:cs="MS PGothic" w:eastAsia="MS PGothic" w:hAnsi="MS PGothic"/>
          <w:sz w:val="18"/>
          <w:szCs w:val="18"/>
          <w:color w:val="auto"/>
        </w:rPr>
        <w:t>‑</w:t>
      </w:r>
      <w:r>
        <w:rPr>
          <w:rFonts w:ascii="Arial" w:cs="Arial" w:eastAsia="Arial" w:hAnsi="Arial"/>
          <w:sz w:val="18"/>
          <w:szCs w:val="18"/>
          <w:color w:val="auto"/>
        </w:rPr>
        <w:t>numbered years is expected to occur in the spring and summer of the following even</w:t>
      </w:r>
      <w:r>
        <w:rPr>
          <w:rFonts w:ascii="MS PGothic" w:cs="MS PGothic" w:eastAsia="MS PGothic" w:hAnsi="MS PGothic"/>
          <w:sz w:val="18"/>
          <w:szCs w:val="18"/>
          <w:color w:val="auto"/>
        </w:rPr>
        <w:t>‑</w:t>
      </w:r>
      <w:r>
        <w:rPr>
          <w:rFonts w:ascii="Arial" w:cs="Arial" w:eastAsia="Arial" w:hAnsi="Arial"/>
          <w:sz w:val="18"/>
          <w:szCs w:val="18"/>
          <w:color w:val="auto"/>
        </w:rPr>
        <w:t>numbered years;</w:t>
      </w:r>
    </w:p>
    <w:p>
      <w:pPr>
        <w:spacing w:after="0" w:line="201" w:lineRule="exact"/>
        <w:rPr>
          <w:rFonts w:ascii="Arial" w:cs="Arial" w:eastAsia="Arial" w:hAnsi="Arial"/>
          <w:sz w:val="18"/>
          <w:szCs w:val="18"/>
          <w:color w:val="auto"/>
        </w:rPr>
      </w:pPr>
    </w:p>
    <w:p>
      <w:pPr>
        <w:ind w:left="1360" w:right="1019" w:hanging="329"/>
        <w:spacing w:after="0" w:line="224" w:lineRule="exact"/>
        <w:tabs>
          <w:tab w:leader="none" w:pos="1360" w:val="left"/>
        </w:tabs>
        <w:numPr>
          <w:ilvl w:val="0"/>
          <w:numId w:val="21"/>
        </w:numPr>
        <w:rPr>
          <w:rFonts w:ascii="Arial" w:cs="Arial" w:eastAsia="Arial" w:hAnsi="Arial"/>
          <w:sz w:val="17"/>
          <w:szCs w:val="17"/>
          <w:color w:val="auto"/>
        </w:rPr>
      </w:pPr>
      <w:r>
        <w:rPr>
          <w:rFonts w:ascii="Arial" w:cs="Arial" w:eastAsia="Arial" w:hAnsi="Arial"/>
          <w:sz w:val="17"/>
          <w:szCs w:val="17"/>
          <w:color w:val="auto"/>
        </w:rPr>
        <w:t>the majority of sales generated by new Vokey Design wedges launched in the first quarter of even</w:t>
      </w:r>
      <w:r>
        <w:rPr>
          <w:rFonts w:ascii="MS PGothic" w:cs="MS PGothic" w:eastAsia="MS PGothic" w:hAnsi="MS PGothic"/>
          <w:sz w:val="17"/>
          <w:szCs w:val="17"/>
          <w:color w:val="auto"/>
        </w:rPr>
        <w:t>‑</w:t>
      </w:r>
      <w:r>
        <w:rPr>
          <w:rFonts w:ascii="Arial" w:cs="Arial" w:eastAsia="Arial" w:hAnsi="Arial"/>
          <w:sz w:val="17"/>
          <w:szCs w:val="17"/>
          <w:color w:val="auto"/>
        </w:rPr>
        <w:t>numbered years is expected to occur in such even</w:t>
      </w:r>
      <w:r>
        <w:rPr>
          <w:rFonts w:ascii="MS PGothic" w:cs="MS PGothic" w:eastAsia="MS PGothic" w:hAnsi="MS PGothic"/>
          <w:sz w:val="17"/>
          <w:szCs w:val="17"/>
          <w:color w:val="auto"/>
        </w:rPr>
        <w:t>‑</w:t>
      </w:r>
      <w:r>
        <w:rPr>
          <w:rFonts w:ascii="Arial" w:cs="Arial" w:eastAsia="Arial" w:hAnsi="Arial"/>
          <w:sz w:val="17"/>
          <w:szCs w:val="17"/>
          <w:color w:val="auto"/>
        </w:rPr>
        <w:t>numbered years;</w:t>
      </w:r>
    </w:p>
    <w:p>
      <w:pPr>
        <w:spacing w:after="0" w:line="201" w:lineRule="exact"/>
        <w:rPr>
          <w:rFonts w:ascii="Arial" w:cs="Arial" w:eastAsia="Arial" w:hAnsi="Arial"/>
          <w:sz w:val="17"/>
          <w:szCs w:val="17"/>
          <w:color w:val="auto"/>
        </w:rPr>
      </w:pPr>
    </w:p>
    <w:p>
      <w:pPr>
        <w:ind w:left="1360" w:right="659" w:hanging="329"/>
        <w:spacing w:after="0" w:line="224" w:lineRule="exact"/>
        <w:tabs>
          <w:tab w:leader="none" w:pos="1360" w:val="left"/>
        </w:tabs>
        <w:numPr>
          <w:ilvl w:val="0"/>
          <w:numId w:val="21"/>
        </w:numPr>
        <w:rPr>
          <w:rFonts w:ascii="Arial" w:cs="Arial" w:eastAsia="Arial" w:hAnsi="Arial"/>
          <w:sz w:val="17"/>
          <w:szCs w:val="17"/>
          <w:color w:val="auto"/>
        </w:rPr>
      </w:pPr>
      <w:r>
        <w:rPr>
          <w:rFonts w:ascii="Arial" w:cs="Arial" w:eastAsia="Arial" w:hAnsi="Arial"/>
          <w:sz w:val="17"/>
          <w:szCs w:val="17"/>
          <w:color w:val="auto"/>
        </w:rPr>
        <w:t>the majority of sales generated by new Scotty Cameron Select line of putters launched in the first quarter of even</w:t>
      </w:r>
      <w:r>
        <w:rPr>
          <w:rFonts w:ascii="MS PGothic" w:cs="MS PGothic" w:eastAsia="MS PGothic" w:hAnsi="MS PGothic"/>
          <w:sz w:val="17"/>
          <w:szCs w:val="17"/>
          <w:color w:val="auto"/>
        </w:rPr>
        <w:t>‑</w:t>
      </w:r>
      <w:r>
        <w:rPr>
          <w:rFonts w:ascii="Arial" w:cs="Arial" w:eastAsia="Arial" w:hAnsi="Arial"/>
          <w:sz w:val="17"/>
          <w:szCs w:val="17"/>
          <w:color w:val="auto"/>
        </w:rPr>
        <w:t>numbered years is expected to occur in such even</w:t>
      </w:r>
      <w:r>
        <w:rPr>
          <w:rFonts w:ascii="MS PGothic" w:cs="MS PGothic" w:eastAsia="MS PGothic" w:hAnsi="MS PGothic"/>
          <w:sz w:val="17"/>
          <w:szCs w:val="17"/>
          <w:color w:val="auto"/>
        </w:rPr>
        <w:t>‑</w:t>
      </w:r>
      <w:r>
        <w:rPr>
          <w:rFonts w:ascii="Arial" w:cs="Arial" w:eastAsia="Arial" w:hAnsi="Arial"/>
          <w:sz w:val="17"/>
          <w:szCs w:val="17"/>
          <w:color w:val="auto"/>
        </w:rPr>
        <w:t>numbered years; and</w:t>
      </w:r>
    </w:p>
    <w:p>
      <w:pPr>
        <w:spacing w:after="0" w:line="201" w:lineRule="exact"/>
        <w:rPr>
          <w:rFonts w:ascii="Arial" w:cs="Arial" w:eastAsia="Arial" w:hAnsi="Arial"/>
          <w:sz w:val="17"/>
          <w:szCs w:val="17"/>
          <w:color w:val="auto"/>
        </w:rPr>
      </w:pPr>
    </w:p>
    <w:p>
      <w:pPr>
        <w:ind w:left="1360" w:right="1659" w:hanging="329"/>
        <w:spacing w:after="0" w:line="224" w:lineRule="exact"/>
        <w:tabs>
          <w:tab w:leader="none" w:pos="1360" w:val="left"/>
        </w:tabs>
        <w:numPr>
          <w:ilvl w:val="0"/>
          <w:numId w:val="21"/>
        </w:numPr>
        <w:rPr>
          <w:rFonts w:ascii="Arial" w:cs="Arial" w:eastAsia="Arial" w:hAnsi="Arial"/>
          <w:sz w:val="16"/>
          <w:szCs w:val="16"/>
          <w:color w:val="auto"/>
        </w:rPr>
      </w:pPr>
      <w:r>
        <w:rPr>
          <w:rFonts w:ascii="Arial" w:cs="Arial" w:eastAsia="Arial" w:hAnsi="Arial"/>
          <w:sz w:val="16"/>
          <w:szCs w:val="16"/>
          <w:color w:val="auto"/>
        </w:rPr>
        <w:t>the increase in sales of new drivers and fairways launched in the fourth quarter of even</w:t>
      </w:r>
      <w:r>
        <w:rPr>
          <w:rFonts w:ascii="MS PGothic" w:cs="MS PGothic" w:eastAsia="MS PGothic" w:hAnsi="MS PGothic"/>
          <w:sz w:val="16"/>
          <w:szCs w:val="16"/>
          <w:color w:val="auto"/>
        </w:rPr>
        <w:t>‑</w:t>
      </w:r>
      <w:r>
        <w:rPr>
          <w:rFonts w:ascii="Arial" w:cs="Arial" w:eastAsia="Arial" w:hAnsi="Arial"/>
          <w:sz w:val="16"/>
          <w:szCs w:val="16"/>
          <w:color w:val="auto"/>
        </w:rPr>
        <w:t>numbered years due to the initial sell</w:t>
      </w:r>
      <w:r>
        <w:rPr>
          <w:rFonts w:ascii="MS PGothic" w:cs="MS PGothic" w:eastAsia="MS PGothic" w:hAnsi="MS PGothic"/>
          <w:sz w:val="16"/>
          <w:szCs w:val="16"/>
          <w:color w:val="auto"/>
        </w:rPr>
        <w:t>‑</w:t>
      </w:r>
      <w:r>
        <w:rPr>
          <w:rFonts w:ascii="Arial" w:cs="Arial" w:eastAsia="Arial" w:hAnsi="Arial"/>
          <w:sz w:val="16"/>
          <w:szCs w:val="16"/>
          <w:color w:val="auto"/>
        </w:rPr>
        <w:t>in of these products during such quarter.</w:t>
      </w:r>
    </w:p>
    <w:p>
      <w:pPr>
        <w:spacing w:after="0" w:line="200" w:lineRule="exact"/>
        <w:rPr>
          <w:sz w:val="20"/>
          <w:szCs w:val="20"/>
          <w:color w:val="auto"/>
        </w:rPr>
      </w:pPr>
    </w:p>
    <w:p>
      <w:pPr>
        <w:spacing w:after="0" w:line="21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56" w:name="page57"/>
    <w:bookmarkEnd w:id="56"/>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701040</wp:posOffset>
            </wp:positionH>
            <wp:positionV relativeFrom="paragraph">
              <wp:posOffset>358140</wp:posOffset>
            </wp:positionV>
            <wp:extent cx="4330700" cy="414210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4330700" cy="41421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ind w:left="1040"/>
        <w:spacing w:after="0"/>
        <w:rPr>
          <w:sz w:val="20"/>
          <w:szCs w:val="20"/>
          <w:color w:val="auto"/>
        </w:rPr>
      </w:pPr>
      <w:r>
        <w:rPr>
          <w:rFonts w:ascii="Arial" w:cs="Arial" w:eastAsia="Arial" w:hAnsi="Arial"/>
          <w:sz w:val="18"/>
          <w:szCs w:val="18"/>
          <w:u w:val="single" w:color="auto"/>
          <w:color w:val="auto"/>
        </w:rPr>
        <w:t>Titleist Golf Gear and FootJoy Golf Wear Segments</w:t>
      </w:r>
    </w:p>
    <w:p>
      <w:pPr>
        <w:spacing w:after="0" w:line="225" w:lineRule="exact"/>
        <w:rPr>
          <w:sz w:val="20"/>
          <w:szCs w:val="20"/>
          <w:color w:val="auto"/>
        </w:rPr>
      </w:pPr>
    </w:p>
    <w:p>
      <w:pPr>
        <w:ind w:left="380" w:right="539" w:firstLine="648"/>
        <w:spacing w:after="0" w:line="264" w:lineRule="auto"/>
        <w:rPr>
          <w:sz w:val="20"/>
          <w:szCs w:val="20"/>
          <w:color w:val="auto"/>
        </w:rPr>
      </w:pPr>
      <w:r>
        <w:rPr>
          <w:rFonts w:ascii="Arial" w:cs="Arial" w:eastAsia="Arial" w:hAnsi="Arial"/>
          <w:sz w:val="18"/>
          <w:szCs w:val="18"/>
          <w:color w:val="auto"/>
        </w:rPr>
        <w:t>Our FootJoy golf wear and Titleist golf gear businesses are not subject to the same degree of cyclical fluctuation as our golf ball and golf club businesses as new product offerings and styles are generally introduced each year and at different times during the year.</w:t>
      </w:r>
    </w:p>
    <w:p>
      <w:pPr>
        <w:spacing w:after="0" w:line="179"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57" w:name="page58"/>
    <w:bookmarkEnd w:id="57"/>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1040"/>
        <w:spacing w:after="0"/>
        <w:rPr>
          <w:sz w:val="20"/>
          <w:szCs w:val="20"/>
          <w:color w:val="auto"/>
        </w:rPr>
      </w:pPr>
      <w:r>
        <w:rPr>
          <w:rFonts w:ascii="Arial" w:cs="Arial" w:eastAsia="Arial" w:hAnsi="Arial"/>
          <w:sz w:val="18"/>
          <w:szCs w:val="18"/>
          <w:i w:val="1"/>
          <w:iCs w:val="1"/>
          <w:color w:val="auto"/>
        </w:rPr>
        <w:t>Foreign Currency</w:t>
      </w:r>
    </w:p>
    <w:p>
      <w:pPr>
        <w:spacing w:after="0" w:line="225" w:lineRule="exact"/>
        <w:rPr>
          <w:sz w:val="20"/>
          <w:szCs w:val="20"/>
          <w:color w:val="auto"/>
        </w:rPr>
      </w:pPr>
    </w:p>
    <w:p>
      <w:pPr>
        <w:ind w:left="380" w:right="399" w:firstLine="648"/>
        <w:spacing w:after="0" w:line="217" w:lineRule="exact"/>
        <w:rPr>
          <w:sz w:val="20"/>
          <w:szCs w:val="20"/>
          <w:color w:val="auto"/>
        </w:rPr>
      </w:pPr>
      <w:r>
        <w:rPr>
          <w:rFonts w:ascii="Arial" w:cs="Arial" w:eastAsia="Arial" w:hAnsi="Arial"/>
          <w:sz w:val="16"/>
          <w:szCs w:val="16"/>
          <w:color w:val="auto"/>
        </w:rPr>
        <w:t>For the years ended December 31, 2017, 2016 and 2015, 49%, 49% and 46% of our net sales were generated outside of the United States by our non</w:t>
      </w:r>
      <w:r>
        <w:rPr>
          <w:rFonts w:ascii="MS PGothic" w:cs="MS PGothic" w:eastAsia="MS PGothic" w:hAnsi="MS PGothic"/>
          <w:sz w:val="16"/>
          <w:szCs w:val="16"/>
          <w:color w:val="auto"/>
        </w:rPr>
        <w:t>‑</w:t>
      </w:r>
      <w:r>
        <w:rPr>
          <w:rFonts w:ascii="Arial" w:cs="Arial" w:eastAsia="Arial" w:hAnsi="Arial"/>
          <w:sz w:val="16"/>
          <w:szCs w:val="16"/>
          <w:color w:val="auto"/>
        </w:rPr>
        <w:t>U.S. subsidiaries. Substantially all of these net sales generated outside of the United States were generated in the applicable local currency, which include, but are not limited to, the Japanese yen, the Korean won, the British pound sterling, the euro and the Canadian dollar. In contrast, substantially all of the purchases of inventory, raw materials or components by our non</w:t>
      </w:r>
      <w:r>
        <w:rPr>
          <w:rFonts w:ascii="MS PGothic" w:cs="MS PGothic" w:eastAsia="MS PGothic" w:hAnsi="MS PGothic"/>
          <w:sz w:val="16"/>
          <w:szCs w:val="16"/>
          <w:color w:val="auto"/>
        </w:rPr>
        <w:t>‑</w:t>
      </w:r>
      <w:r>
        <w:rPr>
          <w:rFonts w:ascii="Arial" w:cs="Arial" w:eastAsia="Arial" w:hAnsi="Arial"/>
          <w:sz w:val="16"/>
          <w:szCs w:val="16"/>
          <w:color w:val="auto"/>
        </w:rPr>
        <w:t>U.S. subsidiaries are made in U.S. dollars. For the year ended December 31, 2017, approximately 88% of our cost of goods sold incurred by our non</w:t>
      </w:r>
      <w:r>
        <w:rPr>
          <w:rFonts w:ascii="MS PGothic" w:cs="MS PGothic" w:eastAsia="MS PGothic" w:hAnsi="MS PGothic"/>
          <w:sz w:val="16"/>
          <w:szCs w:val="16"/>
          <w:color w:val="auto"/>
        </w:rPr>
        <w:t>‑</w:t>
      </w:r>
      <w:r>
        <w:rPr>
          <w:rFonts w:ascii="Arial" w:cs="Arial" w:eastAsia="Arial" w:hAnsi="Arial"/>
          <w:sz w:val="16"/>
          <w:szCs w:val="16"/>
          <w:color w:val="auto"/>
        </w:rPr>
        <w:t>U.S. subsidiaries was denominated in U.S. dollars. Because our non</w:t>
      </w:r>
      <w:r>
        <w:rPr>
          <w:rFonts w:ascii="MS PGothic" w:cs="MS PGothic" w:eastAsia="MS PGothic" w:hAnsi="MS PGothic"/>
          <w:sz w:val="16"/>
          <w:szCs w:val="16"/>
          <w:color w:val="auto"/>
        </w:rPr>
        <w:t>‑</w:t>
      </w:r>
      <w:r>
        <w:rPr>
          <w:rFonts w:ascii="Arial" w:cs="Arial" w:eastAsia="Arial" w:hAnsi="Arial"/>
          <w:sz w:val="16"/>
          <w:szCs w:val="16"/>
          <w:color w:val="auto"/>
        </w:rPr>
        <w:t>U.S. subsidiaries incur substantially all of their cost of goods sold in currencies that are different from the currencies in which they generate substantially all of their sales, we are exposed to transaction risk attributable to fluctuations in such exchange rates, which can impact the gross profit of our non</w:t>
      </w:r>
      <w:r>
        <w:rPr>
          <w:rFonts w:ascii="MS PGothic" w:cs="MS PGothic" w:eastAsia="MS PGothic" w:hAnsi="MS PGothic"/>
          <w:sz w:val="16"/>
          <w:szCs w:val="16"/>
          <w:color w:val="auto"/>
        </w:rPr>
        <w:t>‑</w:t>
      </w:r>
      <w:r>
        <w:rPr>
          <w:rFonts w:ascii="Arial" w:cs="Arial" w:eastAsia="Arial" w:hAnsi="Arial"/>
          <w:sz w:val="16"/>
          <w:szCs w:val="16"/>
          <w:color w:val="auto"/>
        </w:rPr>
        <w:t>U.S. subsidiaries.</w:t>
      </w:r>
    </w:p>
    <w:p>
      <w:pPr>
        <w:spacing w:after="0" w:line="207" w:lineRule="exact"/>
        <w:rPr>
          <w:sz w:val="20"/>
          <w:szCs w:val="20"/>
          <w:color w:val="auto"/>
        </w:rPr>
      </w:pPr>
    </w:p>
    <w:p>
      <w:pPr>
        <w:ind w:left="380" w:right="399" w:firstLine="648"/>
        <w:spacing w:after="0" w:line="218" w:lineRule="exact"/>
        <w:rPr>
          <w:sz w:val="20"/>
          <w:szCs w:val="20"/>
          <w:color w:val="auto"/>
        </w:rPr>
      </w:pPr>
      <w:r>
        <w:rPr>
          <w:rFonts w:ascii="Arial" w:cs="Arial" w:eastAsia="Arial" w:hAnsi="Arial"/>
          <w:sz w:val="17"/>
          <w:szCs w:val="17"/>
          <w:color w:val="auto"/>
        </w:rPr>
        <w:t>In an effort to protect against adverse fluctuations in foreign exchange rates and minimize foreign currency transaction risk, we take an active approach to currency hedging, which includes among other things, entering into various foreign currency exchange contracts, with the primary goal of providing earnings and cash flow stability. As a result of our active approach to currency hedging, we are able to take a longer term view and more flexible approach towards pricing our products and making cost</w:t>
      </w:r>
      <w:r>
        <w:rPr>
          <w:rFonts w:ascii="MS PGothic" w:cs="MS PGothic" w:eastAsia="MS PGothic" w:hAnsi="MS PGothic"/>
          <w:sz w:val="17"/>
          <w:szCs w:val="17"/>
          <w:color w:val="auto"/>
        </w:rPr>
        <w:t>‑</w:t>
      </w:r>
      <w:r>
        <w:rPr>
          <w:rFonts w:ascii="Arial" w:cs="Arial" w:eastAsia="Arial" w:hAnsi="Arial"/>
          <w:sz w:val="17"/>
          <w:szCs w:val="17"/>
          <w:color w:val="auto"/>
        </w:rPr>
        <w:t>related decisions. In taking this active approach, we coordinate with the management teams of our key non</w:t>
      </w:r>
      <w:r>
        <w:rPr>
          <w:rFonts w:ascii="MS PGothic" w:cs="MS PGothic" w:eastAsia="MS PGothic" w:hAnsi="MS PGothic"/>
          <w:sz w:val="17"/>
          <w:szCs w:val="17"/>
          <w:color w:val="auto"/>
        </w:rPr>
        <w:t>‑</w:t>
      </w:r>
      <w:r>
        <w:rPr>
          <w:rFonts w:ascii="Arial" w:cs="Arial" w:eastAsia="Arial" w:hAnsi="Arial"/>
          <w:sz w:val="17"/>
          <w:szCs w:val="17"/>
          <w:color w:val="auto"/>
        </w:rPr>
        <w:t>U.S. subsidiaries on an ongoing basis to share our views on anticipated currency movements and make decisions on securing foreign currency exchange contract positions that are incorporated into our business planning and forecasting processes. Because our hedging activities are designed to reduce volatility, they reduce not only the negative impact of a stronger U.S. dollar but could also reduce the positive impact of a weaker U.S. dollar.</w:t>
      </w:r>
    </w:p>
    <w:p>
      <w:pPr>
        <w:spacing w:after="0" w:line="202" w:lineRule="exact"/>
        <w:rPr>
          <w:sz w:val="20"/>
          <w:szCs w:val="20"/>
          <w:color w:val="auto"/>
        </w:rPr>
      </w:pPr>
    </w:p>
    <w:p>
      <w:pPr>
        <w:ind w:left="380" w:right="459" w:firstLine="648"/>
        <w:spacing w:after="0" w:line="218" w:lineRule="exact"/>
        <w:rPr>
          <w:sz w:val="20"/>
          <w:szCs w:val="20"/>
          <w:color w:val="auto"/>
        </w:rPr>
      </w:pPr>
      <w:r>
        <w:rPr>
          <w:rFonts w:ascii="Arial" w:cs="Arial" w:eastAsia="Arial" w:hAnsi="Arial"/>
          <w:sz w:val="17"/>
          <w:szCs w:val="17"/>
          <w:color w:val="auto"/>
        </w:rPr>
        <w:t>Because our consolidated accounts are reported in U.S. dollars, we are also exposed to currency translation risk when we translate the financial results of our consolidated non</w:t>
      </w:r>
      <w:r>
        <w:rPr>
          <w:rFonts w:ascii="MS PGothic" w:cs="MS PGothic" w:eastAsia="MS PGothic" w:hAnsi="MS PGothic"/>
          <w:sz w:val="17"/>
          <w:szCs w:val="17"/>
          <w:color w:val="auto"/>
        </w:rPr>
        <w:t>‑</w:t>
      </w:r>
      <w:r>
        <w:rPr>
          <w:rFonts w:ascii="Arial" w:cs="Arial" w:eastAsia="Arial" w:hAnsi="Arial"/>
          <w:sz w:val="17"/>
          <w:szCs w:val="17"/>
          <w:color w:val="auto"/>
        </w:rPr>
        <w:t>U.S. subsidiaries from their local currency into U.S. dollars. For the year ended December 31, 2017, 49% of our sales were denominated in foreign currencies. In addition, for the year ended December 31, 2017, 31% of our total operating expenses were denominated in foreign currencies (which amounts represent substantially all of the operating expenses incurred by our non</w:t>
      </w:r>
      <w:r>
        <w:rPr>
          <w:rFonts w:ascii="MS PGothic" w:cs="MS PGothic" w:eastAsia="MS PGothic" w:hAnsi="MS PGothic"/>
          <w:sz w:val="17"/>
          <w:szCs w:val="17"/>
          <w:color w:val="auto"/>
        </w:rPr>
        <w:t>‑</w:t>
      </w:r>
      <w:r>
        <w:rPr>
          <w:rFonts w:ascii="Arial" w:cs="Arial" w:eastAsia="Arial" w:hAnsi="Arial"/>
          <w:sz w:val="17"/>
          <w:szCs w:val="17"/>
          <w:color w:val="auto"/>
        </w:rPr>
        <w:t>U.S. subsidiaries). Fluctuations in foreign currency exchange rates may positively or negatively affect our reported financial results and can significantly affect period</w:t>
      </w:r>
      <w:r>
        <w:rPr>
          <w:rFonts w:ascii="MS PGothic" w:cs="MS PGothic" w:eastAsia="MS PGothic" w:hAnsi="MS PGothic"/>
          <w:sz w:val="17"/>
          <w:szCs w:val="17"/>
          <w:color w:val="auto"/>
        </w:rPr>
        <w:t>‑</w:t>
      </w:r>
      <w:r>
        <w:rPr>
          <w:rFonts w:ascii="Arial" w:cs="Arial" w:eastAsia="Arial" w:hAnsi="Arial"/>
          <w:sz w:val="17"/>
          <w:szCs w:val="17"/>
          <w:color w:val="auto"/>
        </w:rPr>
        <w:t>over</w:t>
      </w:r>
      <w:r>
        <w:rPr>
          <w:rFonts w:ascii="MS PGothic" w:cs="MS PGothic" w:eastAsia="MS PGothic" w:hAnsi="MS PGothic"/>
          <w:sz w:val="17"/>
          <w:szCs w:val="17"/>
          <w:color w:val="auto"/>
        </w:rPr>
        <w:t>‑</w:t>
      </w:r>
      <w:r>
        <w:rPr>
          <w:rFonts w:ascii="Arial" w:cs="Arial" w:eastAsia="Arial" w:hAnsi="Arial"/>
          <w:sz w:val="17"/>
          <w:szCs w:val="17"/>
          <w:color w:val="auto"/>
        </w:rPr>
        <w:t>period comparisons. A strengthening of the U.S. dollar relative to our foreign currencies could materially adversely affect our business, financial condition and results of operations.</w:t>
      </w:r>
    </w:p>
    <w:p>
      <w:pPr>
        <w:spacing w:after="0" w:line="204" w:lineRule="exact"/>
        <w:rPr>
          <w:sz w:val="20"/>
          <w:szCs w:val="20"/>
          <w:color w:val="auto"/>
        </w:rPr>
      </w:pPr>
    </w:p>
    <w:p>
      <w:pPr>
        <w:ind w:left="1040"/>
        <w:spacing w:after="0"/>
        <w:rPr>
          <w:sz w:val="20"/>
          <w:szCs w:val="20"/>
          <w:color w:val="auto"/>
        </w:rPr>
      </w:pPr>
      <w:r>
        <w:rPr>
          <w:rFonts w:ascii="Arial" w:cs="Arial" w:eastAsia="Arial" w:hAnsi="Arial"/>
          <w:sz w:val="18"/>
          <w:szCs w:val="18"/>
          <w:b w:val="1"/>
          <w:bCs w:val="1"/>
          <w:i w:val="1"/>
          <w:iCs w:val="1"/>
          <w:color w:val="auto"/>
        </w:rPr>
        <w:t>2016 Customer Event</w:t>
      </w:r>
    </w:p>
    <w:p>
      <w:pPr>
        <w:spacing w:after="0" w:line="225" w:lineRule="exact"/>
        <w:rPr>
          <w:sz w:val="20"/>
          <w:szCs w:val="20"/>
          <w:color w:val="auto"/>
        </w:rPr>
      </w:pPr>
    </w:p>
    <w:p>
      <w:pPr>
        <w:ind w:left="380" w:right="439" w:firstLine="648"/>
        <w:spacing w:after="0" w:line="276" w:lineRule="auto"/>
        <w:rPr>
          <w:sz w:val="20"/>
          <w:szCs w:val="20"/>
          <w:color w:val="auto"/>
        </w:rPr>
      </w:pPr>
      <w:r>
        <w:rPr>
          <w:rFonts w:ascii="Arial" w:cs="Arial" w:eastAsia="Arial" w:hAnsi="Arial"/>
          <w:sz w:val="17"/>
          <w:szCs w:val="17"/>
          <w:color w:val="auto"/>
        </w:rPr>
        <w:t>In September 2016, Golfsmith International Holdings LP, a specialty golf retailer and one of our largest customers in recent years, announced bankruptcy proceedings. The Golfsmith bankruptcy resulted in a significant disruption to our business in the third and fourth quarters of 2016, with the reorganization activities and store closures resulting in less product sell-in to retail. In addition, our 2017 sales were also impacted as a result of liquidation activities and lower retail sell-in resulting from the reduced store count.</w:t>
      </w:r>
    </w:p>
    <w:p>
      <w:pPr>
        <w:spacing w:after="0" w:line="173" w:lineRule="exact"/>
        <w:rPr>
          <w:sz w:val="20"/>
          <w:szCs w:val="20"/>
          <w:color w:val="auto"/>
        </w:rPr>
      </w:pPr>
    </w:p>
    <w:p>
      <w:pPr>
        <w:ind w:left="1040"/>
        <w:spacing w:after="0"/>
        <w:rPr>
          <w:sz w:val="20"/>
          <w:szCs w:val="20"/>
          <w:color w:val="auto"/>
        </w:rPr>
      </w:pPr>
      <w:r>
        <w:rPr>
          <w:rFonts w:ascii="Arial" w:cs="Arial" w:eastAsia="Arial" w:hAnsi="Arial"/>
          <w:sz w:val="18"/>
          <w:szCs w:val="18"/>
          <w:b w:val="1"/>
          <w:bCs w:val="1"/>
          <w:i w:val="1"/>
          <w:iCs w:val="1"/>
          <w:color w:val="auto"/>
        </w:rPr>
        <w:t>Key Performance Measures</w:t>
      </w:r>
    </w:p>
    <w:p>
      <w:pPr>
        <w:spacing w:after="0" w:line="225" w:lineRule="exact"/>
        <w:rPr>
          <w:sz w:val="20"/>
          <w:szCs w:val="20"/>
          <w:color w:val="auto"/>
        </w:rPr>
      </w:pPr>
    </w:p>
    <w:p>
      <w:pPr>
        <w:jc w:val="both"/>
        <w:ind w:left="380" w:right="499" w:firstLine="648"/>
        <w:spacing w:after="0" w:line="264" w:lineRule="auto"/>
        <w:rPr>
          <w:sz w:val="20"/>
          <w:szCs w:val="20"/>
          <w:color w:val="auto"/>
        </w:rPr>
      </w:pPr>
      <w:r>
        <w:rPr>
          <w:rFonts w:ascii="Arial" w:cs="Arial" w:eastAsia="Arial" w:hAnsi="Arial"/>
          <w:sz w:val="18"/>
          <w:szCs w:val="18"/>
          <w:color w:val="auto"/>
        </w:rPr>
        <w:t>We use various financial metrics to measure and evaluate our business, including, among others: (i) net sales on a constant currency basis, (ii) Adjusted EBITDA on a consolidated basis, (iii) Adjusted EBITDA margin on a consolidated basis and (iv) segment operating income.</w:t>
      </w:r>
    </w:p>
    <w:p>
      <w:pPr>
        <w:spacing w:after="0" w:line="181" w:lineRule="exact"/>
        <w:rPr>
          <w:sz w:val="20"/>
          <w:szCs w:val="20"/>
          <w:color w:val="auto"/>
        </w:rPr>
      </w:pPr>
    </w:p>
    <w:p>
      <w:pPr>
        <w:ind w:left="380" w:right="379" w:firstLine="648"/>
        <w:spacing w:after="0" w:line="270" w:lineRule="auto"/>
        <w:rPr>
          <w:sz w:val="20"/>
          <w:szCs w:val="20"/>
          <w:color w:val="auto"/>
        </w:rPr>
      </w:pPr>
      <w:r>
        <w:rPr>
          <w:rFonts w:ascii="Arial" w:cs="Arial" w:eastAsia="Arial" w:hAnsi="Arial"/>
          <w:sz w:val="17"/>
          <w:szCs w:val="17"/>
          <w:color w:val="auto"/>
        </w:rPr>
        <w:t>Since a significant percentage of our net sales are generated outside of the United States (49%, 49% and 46% for the years ended December 31, 2017, 2016 and 2015, respectively), we use net sales on a constant currency basis to evaluate the sales performance of our business in period over period comparisons and for forecasting our business going forward. Constant currency information allows us to estimate what our sales performance would have been without changes in foreign currency exchange rates. This information is calculated by taking the current period local currency sales and translating them into U.S. dollars based upon the foreign currency exchange rates for the applicable comparable prior period. This constant currency information should not be considered in isolation or as a substitute for any measure derived in accordance with GAAP. Our presentation of constant currency information may not be consistent with the manner in which similar measures are derived or used by other companies.</w:t>
      </w:r>
    </w:p>
    <w:p>
      <w:pPr>
        <w:spacing w:after="0" w:line="175"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58" w:name="page59"/>
    <w:bookmarkEnd w:id="58"/>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380" w:right="379" w:firstLine="648"/>
        <w:spacing w:after="0" w:line="219" w:lineRule="exact"/>
        <w:rPr>
          <w:sz w:val="20"/>
          <w:szCs w:val="20"/>
          <w:color w:val="auto"/>
        </w:rPr>
      </w:pPr>
      <w:r>
        <w:rPr>
          <w:rFonts w:ascii="Arial" w:cs="Arial" w:eastAsia="Arial" w:hAnsi="Arial"/>
          <w:sz w:val="16"/>
          <w:szCs w:val="16"/>
          <w:color w:val="auto"/>
        </w:rPr>
        <w:t>We primarily use Adjusted EBITDA on a consolidated basis to evaluate the effectiveness of our business strategies, assess our consolidated operating performance and make decisions regarding pricing of our products, go to market execution and costs to incur across our business. We present Adjusted EBITDA as a supplemental measure of our operating performance because it excludes the impact of certain items that we do not consider indicative of our ongoing operating performance. We define Adjusted EBITDA in a manner consistent with the term “Consolidated EBITDA” as it is defined in our credit agreement. Adjusted EBITDA represents net income (loss) attributable to Acushnet Holdings Corp. plus interest expense, income tax expense, depreciation and amortization, the expenses relating to the Acushnet Company Equity Appreciation Rights Plan, as amended (the “EAR Plan”), share-based compensation expense, a one-time executive bonus, restructuring charges, certain transaction fees, indemnification expense (income) from Beam, (gains) losses on the fair value of our common stock warrants, certain other non-cash (gains) losses, net and the net income relating to noncontrolling interests in our FootJoy golf shoe joint venture. Adjusted EBITDA is not a measurement of financial performance under GAAP. It should not be considered an alternative to net income (loss) attributable to Acushnet Holdings Corp. as a measure of our operating performance or any other measure of performance derived in accordance with GAAP. In addition, Adjusted EBITDA should not be construed as an inference that our future results will be unaffected by unusual or non</w:t>
      </w:r>
      <w:r>
        <w:rPr>
          <w:rFonts w:ascii="MS PGothic" w:cs="MS PGothic" w:eastAsia="MS PGothic" w:hAnsi="MS PGothic"/>
          <w:sz w:val="16"/>
          <w:szCs w:val="16"/>
          <w:color w:val="auto"/>
        </w:rPr>
        <w:t>‑</w:t>
      </w:r>
      <w:r>
        <w:rPr>
          <w:rFonts w:ascii="Arial" w:cs="Arial" w:eastAsia="Arial" w:hAnsi="Arial"/>
          <w:sz w:val="16"/>
          <w:szCs w:val="16"/>
          <w:color w:val="auto"/>
        </w:rPr>
        <w:t>recurring items, or affected by similar non</w:t>
      </w:r>
      <w:r>
        <w:rPr>
          <w:rFonts w:ascii="MS PGothic" w:cs="MS PGothic" w:eastAsia="MS PGothic" w:hAnsi="MS PGothic"/>
          <w:sz w:val="16"/>
          <w:szCs w:val="16"/>
          <w:color w:val="auto"/>
        </w:rPr>
        <w:t>‑</w:t>
      </w:r>
      <w:r>
        <w:rPr>
          <w:rFonts w:ascii="Arial" w:cs="Arial" w:eastAsia="Arial" w:hAnsi="Arial"/>
          <w:sz w:val="16"/>
          <w:szCs w:val="16"/>
          <w:color w:val="auto"/>
        </w:rPr>
        <w:t>recurring items. Adjusted EBITDA has limitations as an analytical tool, and you should not consider such measure either in isolation or as a substitute for analyzing our results as reported under GAAP. Our definition and calculation of Adjusted EBITDA is not necessarily comparable to other similarly titled measures used by other companies due to different methods of calculation. For a reconciliation of Adjusted EBITDA to net income (loss) attributable to Acushnet Holdings Corp., see “—Results of Operations” below.</w:t>
      </w:r>
    </w:p>
    <w:p>
      <w:pPr>
        <w:spacing w:after="0" w:line="384" w:lineRule="exact"/>
        <w:rPr>
          <w:sz w:val="20"/>
          <w:szCs w:val="20"/>
          <w:color w:val="auto"/>
        </w:rPr>
      </w:pPr>
    </w:p>
    <w:p>
      <w:pPr>
        <w:ind w:left="380" w:right="399" w:firstLine="648"/>
        <w:spacing w:after="0" w:line="217" w:lineRule="exact"/>
        <w:rPr>
          <w:sz w:val="20"/>
          <w:szCs w:val="20"/>
          <w:color w:val="auto"/>
        </w:rPr>
      </w:pPr>
      <w:r>
        <w:rPr>
          <w:rFonts w:ascii="Arial" w:cs="Arial" w:eastAsia="Arial" w:hAnsi="Arial"/>
          <w:sz w:val="17"/>
          <w:szCs w:val="17"/>
          <w:color w:val="auto"/>
        </w:rPr>
        <w:t>We also use Adjusted EBITDA margin on a consolidated basis, which measures our Adjusted EBITDA as a percentage of net sales, because our management uses it to evaluate the effectiveness of our business strategies, assess our consolidated operating performance and make decisions regarding pricing of our products, go to market execution and costs to incur across our business. We present Adjusted EBITDA margin as a supplemental measure of our operating performance because it excludes the impact of certain items that we do not consider indicative of our ongoing operating performance. Adjusted EBITDA margin is not a measurement of financial performance under GAAP. It should not be considered an alternative to any measure of performance derived in accordance with GAAP. In addition, Adjusted EBITDA margin should not be construed as an inference that our future results will be unaffected by unusual or non</w:t>
      </w:r>
      <w:r>
        <w:rPr>
          <w:rFonts w:ascii="MS PGothic" w:cs="MS PGothic" w:eastAsia="MS PGothic" w:hAnsi="MS PGothic"/>
          <w:sz w:val="17"/>
          <w:szCs w:val="17"/>
          <w:color w:val="auto"/>
        </w:rPr>
        <w:t>‑</w:t>
      </w:r>
      <w:r>
        <w:rPr>
          <w:rFonts w:ascii="Arial" w:cs="Arial" w:eastAsia="Arial" w:hAnsi="Arial"/>
          <w:sz w:val="17"/>
          <w:szCs w:val="17"/>
          <w:color w:val="auto"/>
        </w:rPr>
        <w:t>recurring items, or affected by similar non</w:t>
      </w:r>
      <w:r>
        <w:rPr>
          <w:rFonts w:ascii="MS PGothic" w:cs="MS PGothic" w:eastAsia="MS PGothic" w:hAnsi="MS PGothic"/>
          <w:sz w:val="17"/>
          <w:szCs w:val="17"/>
          <w:color w:val="auto"/>
        </w:rPr>
        <w:t>‑</w:t>
      </w:r>
      <w:r>
        <w:rPr>
          <w:rFonts w:ascii="Arial" w:cs="Arial" w:eastAsia="Arial" w:hAnsi="Arial"/>
          <w:sz w:val="17"/>
          <w:szCs w:val="17"/>
          <w:color w:val="auto"/>
        </w:rPr>
        <w:t>recurring items. Adjusted EBITDA margin has limitations as an analytical tool, and you should not consider such measure either in isolation or as a substitute for analyzing our results as reported under GAAP. Our definition and calculation of Adjusted EBITDA margin is not necessarily comparable to other similarly titled measures used by other companies due to different methods of calculation.</w:t>
      </w:r>
    </w:p>
    <w:p>
      <w:pPr>
        <w:spacing w:after="0" w:line="209" w:lineRule="exact"/>
        <w:rPr>
          <w:sz w:val="20"/>
          <w:szCs w:val="20"/>
          <w:color w:val="auto"/>
        </w:rPr>
      </w:pPr>
    </w:p>
    <w:p>
      <w:pPr>
        <w:ind w:left="380" w:right="1139" w:firstLine="648"/>
        <w:spacing w:after="0" w:line="277" w:lineRule="auto"/>
        <w:rPr>
          <w:sz w:val="20"/>
          <w:szCs w:val="20"/>
          <w:color w:val="auto"/>
        </w:rPr>
      </w:pPr>
      <w:r>
        <w:rPr>
          <w:rFonts w:ascii="Arial" w:cs="Arial" w:eastAsia="Arial" w:hAnsi="Arial"/>
          <w:sz w:val="18"/>
          <w:szCs w:val="18"/>
          <w:color w:val="auto"/>
        </w:rPr>
        <w:t>Lastly, we use segment operating income to evaluate and assess the performance of each of our reportable segments and to make budgeting decisions.</w:t>
      </w:r>
    </w:p>
    <w:p>
      <w:pPr>
        <w:spacing w:after="0" w:line="168"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59" w:name="page60"/>
    <w:bookmarkEnd w:id="59"/>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ind w:left="380"/>
        <w:spacing w:after="0"/>
        <w:rPr>
          <w:sz w:val="20"/>
          <w:szCs w:val="20"/>
          <w:color w:val="auto"/>
        </w:rPr>
      </w:pPr>
      <w:r>
        <w:rPr>
          <w:rFonts w:ascii="Arial" w:cs="Arial" w:eastAsia="Arial" w:hAnsi="Arial"/>
          <w:sz w:val="18"/>
          <w:szCs w:val="18"/>
          <w:b w:val="1"/>
          <w:bCs w:val="1"/>
          <w:color w:val="auto"/>
        </w:rPr>
        <w:t>Results of Operations</w:t>
      </w:r>
    </w:p>
    <w:p>
      <w:pPr>
        <w:spacing w:after="0" w:line="229" w:lineRule="exact"/>
        <w:rPr>
          <w:sz w:val="20"/>
          <w:szCs w:val="20"/>
          <w:color w:val="auto"/>
        </w:rPr>
      </w:pPr>
    </w:p>
    <w:p>
      <w:pPr>
        <w:ind w:left="1040"/>
        <w:spacing w:after="0"/>
        <w:rPr>
          <w:sz w:val="20"/>
          <w:szCs w:val="20"/>
          <w:color w:val="auto"/>
        </w:rPr>
      </w:pPr>
      <w:r>
        <w:rPr>
          <w:rFonts w:ascii="Arial" w:cs="Arial" w:eastAsia="Arial" w:hAnsi="Arial"/>
          <w:sz w:val="18"/>
          <w:szCs w:val="18"/>
          <w:color w:val="auto"/>
        </w:rPr>
        <w:t>The following table sets forth, for the periods indicated, our results of operations.</w:t>
      </w:r>
    </w:p>
    <w:p>
      <w:pPr>
        <w:spacing w:after="0" w:line="271" w:lineRule="exact"/>
        <w:rPr>
          <w:sz w:val="20"/>
          <w:szCs w:val="20"/>
          <w:color w:val="auto"/>
        </w:rPr>
      </w:pPr>
    </w:p>
    <w:tbl>
      <w:tblPr>
        <w:tblLayout w:type="fixed"/>
        <w:tblInd w:w="38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47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120" w:type="dxa"/>
            <w:vAlign w:val="bottom"/>
            <w:gridSpan w:val="10"/>
          </w:tcPr>
          <w:p>
            <w:pPr>
              <w:jc w:val="right"/>
              <w:ind w:right="830"/>
              <w:spacing w:after="0"/>
              <w:rPr>
                <w:sz w:val="20"/>
                <w:szCs w:val="20"/>
                <w:color w:val="auto"/>
              </w:rPr>
            </w:pPr>
            <w:r>
              <w:rPr>
                <w:rFonts w:ascii="Arial" w:cs="Arial" w:eastAsia="Arial" w:hAnsi="Arial"/>
                <w:sz w:val="14"/>
                <w:szCs w:val="14"/>
                <w:b w:val="1"/>
                <w:bCs w:val="1"/>
                <w:color w:val="auto"/>
              </w:rPr>
              <w:t>Year ended December 31,</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7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800" w:type="dxa"/>
            <w:vAlign w:val="bottom"/>
            <w:tcBorders>
              <w:top w:val="single" w:sz="8" w:color="auto"/>
              <w:bottom w:val="single" w:sz="8" w:color="auto"/>
            </w:tcBorders>
          </w:tcPr>
          <w:p>
            <w:pPr>
              <w:jc w:val="right"/>
              <w:ind w:right="231"/>
              <w:spacing w:after="0" w:line="142" w:lineRule="exact"/>
              <w:rPr>
                <w:sz w:val="20"/>
                <w:szCs w:val="20"/>
                <w:color w:val="auto"/>
              </w:rPr>
            </w:pPr>
            <w:r>
              <w:rPr>
                <w:rFonts w:ascii="Arial" w:cs="Arial" w:eastAsia="Arial" w:hAnsi="Arial"/>
                <w:sz w:val="14"/>
                <w:szCs w:val="14"/>
                <w:b w:val="1"/>
                <w:bCs w:val="1"/>
                <w:color w:val="auto"/>
              </w:rPr>
              <w:t>2017</w:t>
            </w:r>
          </w:p>
        </w:tc>
        <w:tc>
          <w:tcPr>
            <w:tcW w:w="160" w:type="dxa"/>
            <w:vAlign w:val="bottom"/>
            <w:tcBorders>
              <w:top w:val="single" w:sz="8" w:color="auto"/>
              <w:bottom w:val="single" w:sz="8" w:color="auto"/>
            </w:tcBorders>
          </w:tcPr>
          <w:p>
            <w:pPr>
              <w:spacing w:after="0"/>
              <w:rPr>
                <w:sz w:val="12"/>
                <w:szCs w:val="12"/>
                <w:color w:val="auto"/>
              </w:rPr>
            </w:pPr>
          </w:p>
        </w:tc>
        <w:tc>
          <w:tcPr>
            <w:tcW w:w="20" w:type="dxa"/>
            <w:vAlign w:val="bottom"/>
            <w:tcBorders>
              <w:top w:val="single" w:sz="8" w:color="auto"/>
              <w:bottom w:val="single" w:sz="8" w:color="auto"/>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800" w:type="dxa"/>
            <w:vAlign w:val="bottom"/>
            <w:tcBorders>
              <w:top w:val="single" w:sz="8" w:color="auto"/>
              <w:bottom w:val="single" w:sz="8" w:color="auto"/>
            </w:tcBorders>
          </w:tcPr>
          <w:p>
            <w:pPr>
              <w:jc w:val="right"/>
              <w:ind w:right="211"/>
              <w:spacing w:after="0" w:line="142" w:lineRule="exact"/>
              <w:rPr>
                <w:sz w:val="20"/>
                <w:szCs w:val="20"/>
                <w:color w:val="auto"/>
              </w:rPr>
            </w:pPr>
            <w:r>
              <w:rPr>
                <w:rFonts w:ascii="Arial" w:cs="Arial" w:eastAsia="Arial" w:hAnsi="Arial"/>
                <w:sz w:val="14"/>
                <w:szCs w:val="14"/>
                <w:b w:val="1"/>
                <w:bCs w:val="1"/>
                <w:color w:val="auto"/>
              </w:rPr>
              <w:t>2016</w:t>
            </w:r>
          </w:p>
        </w:tc>
        <w:tc>
          <w:tcPr>
            <w:tcW w:w="160" w:type="dxa"/>
            <w:vAlign w:val="bottom"/>
            <w:tcBorders>
              <w:top w:val="single" w:sz="8" w:color="auto"/>
              <w:bottom w:val="single" w:sz="8" w:color="auto"/>
            </w:tcBorders>
          </w:tcPr>
          <w:p>
            <w:pPr>
              <w:spacing w:after="0"/>
              <w:rPr>
                <w:sz w:val="12"/>
                <w:szCs w:val="12"/>
                <w:color w:val="auto"/>
              </w:rPr>
            </w:pPr>
          </w:p>
        </w:tc>
        <w:tc>
          <w:tcPr>
            <w:tcW w:w="20" w:type="dxa"/>
            <w:vAlign w:val="bottom"/>
            <w:tcBorders>
              <w:top w:val="single" w:sz="8" w:color="auto"/>
              <w:bottom w:val="single" w:sz="8" w:color="auto"/>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800" w:type="dxa"/>
            <w:vAlign w:val="bottom"/>
            <w:tcBorders>
              <w:top w:val="single" w:sz="8" w:color="auto"/>
              <w:bottom w:val="single" w:sz="8" w:color="auto"/>
            </w:tcBorders>
          </w:tcPr>
          <w:p>
            <w:pPr>
              <w:jc w:val="right"/>
              <w:ind w:right="211"/>
              <w:spacing w:after="0" w:line="142" w:lineRule="exact"/>
              <w:rPr>
                <w:sz w:val="20"/>
                <w:szCs w:val="20"/>
                <w:color w:val="auto"/>
              </w:rPr>
            </w:pPr>
            <w:r>
              <w:rPr>
                <w:rFonts w:ascii="Arial" w:cs="Arial" w:eastAsia="Arial" w:hAnsi="Arial"/>
                <w:sz w:val="14"/>
                <w:szCs w:val="14"/>
                <w:b w:val="1"/>
                <w:bCs w:val="1"/>
                <w:color w:val="auto"/>
              </w:rPr>
              <w:t>2015</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47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60" w:type="dxa"/>
            <w:vAlign w:val="bottom"/>
            <w:gridSpan w:val="3"/>
          </w:tcPr>
          <w:p>
            <w:pPr>
              <w:spacing w:after="0"/>
              <w:rPr>
                <w:sz w:val="20"/>
                <w:szCs w:val="20"/>
                <w:color w:val="auto"/>
              </w:rPr>
            </w:pPr>
            <w:r>
              <w:rPr>
                <w:rFonts w:ascii="Arial" w:cs="Arial" w:eastAsia="Arial" w:hAnsi="Arial"/>
                <w:sz w:val="14"/>
                <w:szCs w:val="14"/>
                <w:b w:val="1"/>
                <w:bCs w:val="1"/>
                <w:color w:val="auto"/>
              </w:rPr>
              <w:t>(in thousands)</w:t>
            </w: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20" w:type="dxa"/>
            <w:vAlign w:val="bottom"/>
            <w:shd w:val="clear" w:color="auto" w:fill="CCEEFF"/>
          </w:tcPr>
          <w:p>
            <w:pPr>
              <w:spacing w:after="0"/>
              <w:rPr>
                <w:sz w:val="20"/>
                <w:szCs w:val="20"/>
                <w:color w:val="auto"/>
              </w:rPr>
            </w:pPr>
            <w:r>
              <w:rPr>
                <w:rFonts w:ascii="Arial" w:cs="Arial" w:eastAsia="Arial" w:hAnsi="Arial"/>
                <w:sz w:val="18"/>
                <w:szCs w:val="18"/>
                <w:color w:val="auto"/>
              </w:rPr>
              <w:t>Net sales</w:t>
            </w:r>
          </w:p>
        </w:tc>
        <w:tc>
          <w:tcPr>
            <w:tcW w:w="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1,560,258</w:t>
            </w:r>
          </w:p>
        </w:tc>
        <w:tc>
          <w:tcPr>
            <w:tcW w:w="160" w:type="dxa"/>
            <w:vAlign w:val="bottom"/>
            <w:shd w:val="clear" w:color="auto" w:fill="CCEEFF"/>
          </w:tcPr>
          <w:p>
            <w:pPr>
              <w:spacing w:after="0"/>
              <w:rPr>
                <w:sz w:val="18"/>
                <w:szCs w:val="18"/>
                <w:color w:val="auto"/>
              </w:rPr>
            </w:pPr>
          </w:p>
        </w:tc>
        <w:tc>
          <w:tcPr>
            <w:tcW w:w="12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w w:val="79"/>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1,572,275</w:t>
            </w:r>
          </w:p>
        </w:tc>
        <w:tc>
          <w:tcPr>
            <w:tcW w:w="160" w:type="dxa"/>
            <w:vAlign w:val="bottom"/>
            <w:shd w:val="clear" w:color="auto" w:fill="CCEEFF"/>
          </w:tcPr>
          <w:p>
            <w:pPr>
              <w:spacing w:after="0"/>
              <w:rPr>
                <w:sz w:val="18"/>
                <w:szCs w:val="18"/>
                <w:color w:val="auto"/>
              </w:rPr>
            </w:pP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1,502,958</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2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Cost of goods sold</w:t>
            </w:r>
          </w:p>
        </w:tc>
        <w:tc>
          <w:tcPr>
            <w:tcW w:w="30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759,466</w:t>
            </w:r>
          </w:p>
        </w:tc>
        <w:tc>
          <w:tcPr>
            <w:tcW w:w="160" w:type="dxa"/>
            <w:vAlign w:val="bottom"/>
            <w:tcBorders>
              <w:bottom w:val="single" w:sz="8" w:color="CCEEFF"/>
            </w:tcBorders>
          </w:tcPr>
          <w:p>
            <w:pPr>
              <w:spacing w:after="0"/>
              <w:rPr>
                <w:sz w:val="18"/>
                <w:szCs w:val="18"/>
                <w:color w:val="auto"/>
              </w:rPr>
            </w:pPr>
          </w:p>
        </w:tc>
        <w:tc>
          <w:tcPr>
            <w:tcW w:w="2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773,550</w:t>
            </w:r>
          </w:p>
        </w:tc>
        <w:tc>
          <w:tcPr>
            <w:tcW w:w="160" w:type="dxa"/>
            <w:vAlign w:val="bottom"/>
            <w:tcBorders>
              <w:bottom w:val="single" w:sz="8" w:color="CCEEFF"/>
            </w:tcBorders>
          </w:tcPr>
          <w:p>
            <w:pPr>
              <w:spacing w:after="0"/>
              <w:rPr>
                <w:sz w:val="18"/>
                <w:szCs w:val="18"/>
                <w:color w:val="auto"/>
              </w:rPr>
            </w:pPr>
          </w:p>
        </w:tc>
        <w:tc>
          <w:tcPr>
            <w:tcW w:w="2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727,120</w:t>
            </w:r>
          </w:p>
        </w:tc>
        <w:tc>
          <w:tcPr>
            <w:tcW w:w="16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720" w:type="dxa"/>
            <w:vAlign w:val="bottom"/>
            <w:shd w:val="clear" w:color="auto" w:fill="CCEEFF"/>
          </w:tcPr>
          <w:p>
            <w:pPr>
              <w:spacing w:after="0"/>
              <w:rPr>
                <w:sz w:val="20"/>
                <w:szCs w:val="20"/>
                <w:color w:val="auto"/>
              </w:rPr>
            </w:pPr>
            <w:r>
              <w:rPr>
                <w:rFonts w:ascii="Arial" w:cs="Arial" w:eastAsia="Arial" w:hAnsi="Arial"/>
                <w:sz w:val="18"/>
                <w:szCs w:val="18"/>
                <w:color w:val="auto"/>
              </w:rPr>
              <w:t>Gross profit</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800,792</w:t>
            </w:r>
          </w:p>
        </w:tc>
        <w:tc>
          <w:tcPr>
            <w:tcW w:w="1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798,725</w:t>
            </w:r>
          </w:p>
        </w:tc>
        <w:tc>
          <w:tcPr>
            <w:tcW w:w="1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775,838</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20" w:type="dxa"/>
            <w:vAlign w:val="bottom"/>
          </w:tcPr>
          <w:p>
            <w:pPr>
              <w:spacing w:after="0"/>
              <w:rPr>
                <w:sz w:val="20"/>
                <w:szCs w:val="20"/>
                <w:color w:val="auto"/>
              </w:rPr>
            </w:pPr>
            <w:r>
              <w:rPr>
                <w:rFonts w:ascii="Arial" w:cs="Arial" w:eastAsia="Arial" w:hAnsi="Arial"/>
                <w:sz w:val="18"/>
                <w:szCs w:val="18"/>
                <w:color w:val="auto"/>
              </w:rPr>
              <w:t>Operating expenses:</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Selling, general and administrative</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579,837</w:t>
            </w:r>
          </w:p>
        </w:tc>
        <w:tc>
          <w:tcPr>
            <w:tcW w:w="1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600,804</w:t>
            </w:r>
          </w:p>
        </w:tc>
        <w:tc>
          <w:tcPr>
            <w:tcW w:w="1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604,018</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20" w:type="dxa"/>
            <w:vAlign w:val="bottom"/>
          </w:tcPr>
          <w:p>
            <w:pPr>
              <w:ind w:left="200"/>
              <w:spacing w:after="0"/>
              <w:rPr>
                <w:sz w:val="20"/>
                <w:szCs w:val="20"/>
                <w:color w:val="auto"/>
              </w:rPr>
            </w:pPr>
            <w:r>
              <w:rPr>
                <w:rFonts w:ascii="Arial" w:cs="Arial" w:eastAsia="Arial" w:hAnsi="Arial"/>
                <w:sz w:val="18"/>
                <w:szCs w:val="18"/>
                <w:color w:val="auto"/>
              </w:rPr>
              <w:t>Research and development</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48,148</w:t>
            </w: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48,804</w:t>
            </w: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45,977</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Intangible amortization</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6,499</w:t>
            </w:r>
          </w:p>
        </w:tc>
        <w:tc>
          <w:tcPr>
            <w:tcW w:w="1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6,608</w:t>
            </w:r>
          </w:p>
        </w:tc>
        <w:tc>
          <w:tcPr>
            <w:tcW w:w="1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6,617</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20" w:type="dxa"/>
            <w:vAlign w:val="bottom"/>
          </w:tcPr>
          <w:p>
            <w:pPr>
              <w:ind w:left="200"/>
              <w:spacing w:after="0"/>
              <w:rPr>
                <w:sz w:val="20"/>
                <w:szCs w:val="20"/>
                <w:color w:val="auto"/>
              </w:rPr>
            </w:pPr>
            <w:r>
              <w:rPr>
                <w:rFonts w:ascii="Arial" w:cs="Arial" w:eastAsia="Arial" w:hAnsi="Arial"/>
                <w:sz w:val="18"/>
                <w:szCs w:val="18"/>
                <w:color w:val="auto"/>
              </w:rPr>
              <w:t>Restructuring charges</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13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1,673</w:t>
            </w: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1,643</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720" w:type="dxa"/>
            <w:vAlign w:val="bottom"/>
            <w:tcBorders>
              <w:top w:val="single" w:sz="8" w:color="CCEEFF"/>
            </w:tcBorders>
            <w:shd w:val="clear" w:color="auto" w:fill="CCEEFF"/>
          </w:tcPr>
          <w:p>
            <w:pPr>
              <w:ind w:left="300"/>
              <w:spacing w:after="0"/>
              <w:rPr>
                <w:sz w:val="20"/>
                <w:szCs w:val="20"/>
                <w:color w:val="auto"/>
              </w:rPr>
            </w:pPr>
            <w:r>
              <w:rPr>
                <w:rFonts w:ascii="Arial" w:cs="Arial" w:eastAsia="Arial" w:hAnsi="Arial"/>
                <w:sz w:val="18"/>
                <w:szCs w:val="18"/>
                <w:color w:val="auto"/>
              </w:rPr>
              <w:t>Income from operations</w:t>
            </w:r>
          </w:p>
        </w:tc>
        <w:tc>
          <w:tcPr>
            <w:tcW w:w="30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166,308</w:t>
            </w:r>
          </w:p>
        </w:tc>
        <w:tc>
          <w:tcPr>
            <w:tcW w:w="16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140,836</w:t>
            </w:r>
          </w:p>
        </w:tc>
        <w:tc>
          <w:tcPr>
            <w:tcW w:w="16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117,583</w:t>
            </w:r>
          </w:p>
        </w:tc>
        <w:tc>
          <w:tcPr>
            <w:tcW w:w="16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720" w:type="dxa"/>
            <w:vAlign w:val="bottom"/>
          </w:tcPr>
          <w:p>
            <w:pPr>
              <w:spacing w:after="0"/>
              <w:rPr>
                <w:sz w:val="20"/>
                <w:szCs w:val="20"/>
                <w:color w:val="auto"/>
              </w:rPr>
            </w:pPr>
            <w:r>
              <w:rPr>
                <w:rFonts w:ascii="Arial" w:cs="Arial" w:eastAsia="Arial" w:hAnsi="Arial"/>
                <w:sz w:val="18"/>
                <w:szCs w:val="18"/>
                <w:color w:val="auto"/>
              </w:rPr>
              <w:t>Interest expense, net</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15,709</w:t>
            </w: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49,908</w:t>
            </w: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60,294</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20" w:type="dxa"/>
            <w:vAlign w:val="bottom"/>
            <w:shd w:val="clear" w:color="auto" w:fill="CCEEFF"/>
          </w:tcPr>
          <w:p>
            <w:pPr>
              <w:spacing w:after="0"/>
              <w:rPr>
                <w:sz w:val="20"/>
                <w:szCs w:val="20"/>
                <w:color w:val="auto"/>
              </w:rPr>
            </w:pPr>
            <w:r>
              <w:rPr>
                <w:rFonts w:ascii="Arial" w:cs="Arial" w:eastAsia="Arial" w:hAnsi="Arial"/>
                <w:sz w:val="18"/>
                <w:szCs w:val="18"/>
                <w:color w:val="auto"/>
              </w:rPr>
              <w:t>Other (income) expense, net</w:t>
            </w:r>
          </w:p>
        </w:tc>
        <w:tc>
          <w:tcPr>
            <w:tcW w:w="30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(1,077)</w:t>
            </w:r>
          </w:p>
        </w:tc>
        <w:tc>
          <w:tcPr>
            <w:tcW w:w="1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1,706</w:t>
            </w:r>
          </w:p>
        </w:tc>
        <w:tc>
          <w:tcPr>
            <w:tcW w:w="1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25,139</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720" w:type="dxa"/>
            <w:vAlign w:val="bottom"/>
          </w:tcPr>
          <w:p>
            <w:pPr>
              <w:ind w:left="200"/>
              <w:spacing w:after="0"/>
              <w:rPr>
                <w:sz w:val="20"/>
                <w:szCs w:val="20"/>
                <w:color w:val="auto"/>
              </w:rPr>
            </w:pPr>
            <w:r>
              <w:rPr>
                <w:rFonts w:ascii="Arial" w:cs="Arial" w:eastAsia="Arial" w:hAnsi="Arial"/>
                <w:sz w:val="18"/>
                <w:szCs w:val="18"/>
                <w:color w:val="auto"/>
              </w:rPr>
              <w:t>Income before income taxes</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151,676</w:t>
            </w: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89,222</w:t>
            </w: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32,150</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20" w:type="dxa"/>
            <w:vAlign w:val="bottom"/>
            <w:shd w:val="clear" w:color="auto" w:fill="CCEEFF"/>
          </w:tcPr>
          <w:p>
            <w:pPr>
              <w:spacing w:after="0"/>
              <w:rPr>
                <w:sz w:val="20"/>
                <w:szCs w:val="20"/>
                <w:color w:val="auto"/>
              </w:rPr>
            </w:pPr>
            <w:r>
              <w:rPr>
                <w:rFonts w:ascii="Arial" w:cs="Arial" w:eastAsia="Arial" w:hAnsi="Arial"/>
                <w:sz w:val="18"/>
                <w:szCs w:val="18"/>
                <w:color w:val="auto"/>
              </w:rPr>
              <w:t>Income tax expense</w:t>
            </w:r>
          </w:p>
        </w:tc>
        <w:tc>
          <w:tcPr>
            <w:tcW w:w="30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55,056</w:t>
            </w:r>
          </w:p>
        </w:tc>
        <w:tc>
          <w:tcPr>
            <w:tcW w:w="1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39,707</w:t>
            </w:r>
          </w:p>
        </w:tc>
        <w:tc>
          <w:tcPr>
            <w:tcW w:w="1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27,994</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720" w:type="dxa"/>
            <w:vAlign w:val="bottom"/>
          </w:tcPr>
          <w:p>
            <w:pPr>
              <w:ind w:left="200"/>
              <w:spacing w:after="0"/>
              <w:rPr>
                <w:sz w:val="20"/>
                <w:szCs w:val="20"/>
                <w:color w:val="auto"/>
              </w:rPr>
            </w:pPr>
            <w:r>
              <w:rPr>
                <w:rFonts w:ascii="Arial" w:cs="Arial" w:eastAsia="Arial" w:hAnsi="Arial"/>
                <w:sz w:val="18"/>
                <w:szCs w:val="18"/>
                <w:color w:val="auto"/>
              </w:rPr>
              <w:t>Net income</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96,620</w:t>
            </w: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49,515</w:t>
            </w: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4,156</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20" w:type="dxa"/>
            <w:vAlign w:val="bottom"/>
            <w:shd w:val="clear" w:color="auto" w:fill="CCEEFF"/>
          </w:tcPr>
          <w:p>
            <w:pPr>
              <w:spacing w:after="0"/>
              <w:rPr>
                <w:sz w:val="20"/>
                <w:szCs w:val="20"/>
                <w:color w:val="auto"/>
              </w:rPr>
            </w:pPr>
            <w:r>
              <w:rPr>
                <w:rFonts w:ascii="Arial" w:cs="Arial" w:eastAsia="Arial" w:hAnsi="Arial"/>
                <w:sz w:val="18"/>
                <w:szCs w:val="18"/>
                <w:color w:val="auto"/>
              </w:rPr>
              <w:t>Less: Net income attributable to noncontrolling interests</w:t>
            </w:r>
          </w:p>
        </w:tc>
        <w:tc>
          <w:tcPr>
            <w:tcW w:w="30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(4,506)</w:t>
            </w:r>
          </w:p>
        </w:tc>
        <w:tc>
          <w:tcPr>
            <w:tcW w:w="1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(4,503)</w:t>
            </w:r>
          </w:p>
        </w:tc>
        <w:tc>
          <w:tcPr>
            <w:tcW w:w="1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(5,122)</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4720" w:type="dxa"/>
            <w:vAlign w:val="bottom"/>
            <w:tcBorders>
              <w:bottom w:val="single" w:sz="8" w:color="CCEEFF"/>
            </w:tcBorders>
          </w:tcPr>
          <w:p>
            <w:pPr>
              <w:ind w:left="200"/>
              <w:spacing w:after="0"/>
              <w:rPr>
                <w:sz w:val="20"/>
                <w:szCs w:val="20"/>
                <w:color w:val="auto"/>
              </w:rPr>
            </w:pPr>
            <w:r>
              <w:rPr>
                <w:rFonts w:ascii="Arial" w:cs="Arial" w:eastAsia="Arial" w:hAnsi="Arial"/>
                <w:sz w:val="18"/>
                <w:szCs w:val="18"/>
                <w:color w:val="auto"/>
                <w:w w:val="98"/>
              </w:rPr>
              <w:t>Net income (loss) attributable to Acushnet Holdings Corp.</w:t>
            </w:r>
          </w:p>
        </w:tc>
        <w:tc>
          <w:tcPr>
            <w:tcW w:w="30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92,114</w:t>
            </w:r>
          </w:p>
        </w:tc>
        <w:tc>
          <w:tcPr>
            <w:tcW w:w="160" w:type="dxa"/>
            <w:vAlign w:val="bottom"/>
            <w:tcBorders>
              <w:bottom w:val="single" w:sz="8" w:color="CCEEFF"/>
            </w:tcBorders>
          </w:tcPr>
          <w:p>
            <w:pPr>
              <w:spacing w:after="0"/>
              <w:rPr>
                <w:sz w:val="18"/>
                <w:szCs w:val="18"/>
                <w:color w:val="auto"/>
              </w:rPr>
            </w:pPr>
          </w:p>
        </w:tc>
        <w:tc>
          <w:tcPr>
            <w:tcW w:w="2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20"/>
                <w:szCs w:val="20"/>
                <w:color w:val="auto"/>
              </w:rPr>
            </w:pPr>
            <w:r>
              <w:rPr>
                <w:rFonts w:ascii="Arial" w:cs="Arial" w:eastAsia="Arial" w:hAnsi="Arial"/>
                <w:sz w:val="18"/>
                <w:szCs w:val="18"/>
                <w:color w:val="auto"/>
                <w:w w:val="79"/>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45,012</w:t>
            </w:r>
          </w:p>
        </w:tc>
        <w:tc>
          <w:tcPr>
            <w:tcW w:w="160" w:type="dxa"/>
            <w:vAlign w:val="bottom"/>
            <w:tcBorders>
              <w:bottom w:val="single" w:sz="8" w:color="CCEEFF"/>
            </w:tcBorders>
          </w:tcPr>
          <w:p>
            <w:pPr>
              <w:spacing w:after="0"/>
              <w:rPr>
                <w:sz w:val="18"/>
                <w:szCs w:val="18"/>
                <w:color w:val="auto"/>
              </w:rPr>
            </w:pPr>
          </w:p>
        </w:tc>
        <w:tc>
          <w:tcPr>
            <w:tcW w:w="2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(966)</w:t>
            </w:r>
          </w:p>
        </w:tc>
        <w:tc>
          <w:tcPr>
            <w:tcW w:w="16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20" w:type="dxa"/>
            <w:vAlign w:val="bottom"/>
            <w:vMerge w:val="restart"/>
          </w:tcPr>
          <w:p>
            <w:pPr>
              <w:spacing w:after="0"/>
              <w:rPr>
                <w:sz w:val="17"/>
                <w:szCs w:val="17"/>
                <w:color w:val="auto"/>
              </w:rPr>
            </w:pPr>
          </w:p>
        </w:tc>
        <w:tc>
          <w:tcPr>
            <w:tcW w:w="47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720" w:type="dxa"/>
            <w:vAlign w:val="bottom"/>
          </w:tcPr>
          <w:p>
            <w:pPr>
              <w:spacing w:after="0"/>
              <w:rPr>
                <w:sz w:val="20"/>
                <w:szCs w:val="20"/>
                <w:color w:val="auto"/>
              </w:rPr>
            </w:pPr>
            <w:r>
              <w:rPr>
                <w:rFonts w:ascii="Arial" w:cs="Arial" w:eastAsia="Arial" w:hAnsi="Arial"/>
                <w:sz w:val="18"/>
                <w:szCs w:val="18"/>
                <w:b w:val="1"/>
                <w:bCs w:val="1"/>
                <w:color w:val="auto"/>
              </w:rPr>
              <w:t>Adjusted EBITDA:</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20" w:type="dxa"/>
            <w:vAlign w:val="bottom"/>
            <w:shd w:val="clear" w:color="auto" w:fill="CCEEFF"/>
          </w:tcPr>
          <w:p>
            <w:pPr>
              <w:ind w:left="200"/>
              <w:spacing w:after="0"/>
              <w:rPr>
                <w:sz w:val="20"/>
                <w:szCs w:val="20"/>
                <w:color w:val="auto"/>
              </w:rPr>
            </w:pPr>
            <w:r>
              <w:rPr>
                <w:rFonts w:ascii="Arial" w:cs="Arial" w:eastAsia="Arial" w:hAnsi="Arial"/>
                <w:sz w:val="18"/>
                <w:szCs w:val="18"/>
                <w:color w:val="auto"/>
                <w:w w:val="98"/>
              </w:rPr>
              <w:t>Net income (loss) attributable to Acushnet Holdings Corp.</w:t>
            </w:r>
          </w:p>
        </w:tc>
        <w:tc>
          <w:tcPr>
            <w:tcW w:w="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92,114</w:t>
            </w:r>
          </w:p>
        </w:tc>
        <w:tc>
          <w:tcPr>
            <w:tcW w:w="160" w:type="dxa"/>
            <w:vAlign w:val="bottom"/>
            <w:shd w:val="clear" w:color="auto" w:fill="CCEEFF"/>
          </w:tcPr>
          <w:p>
            <w:pPr>
              <w:spacing w:after="0"/>
              <w:rPr>
                <w:sz w:val="18"/>
                <w:szCs w:val="18"/>
                <w:color w:val="auto"/>
              </w:rPr>
            </w:pPr>
          </w:p>
        </w:tc>
        <w:tc>
          <w:tcPr>
            <w:tcW w:w="12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w w:val="79"/>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45,012</w:t>
            </w:r>
          </w:p>
        </w:tc>
        <w:tc>
          <w:tcPr>
            <w:tcW w:w="160" w:type="dxa"/>
            <w:vAlign w:val="bottom"/>
            <w:shd w:val="clear" w:color="auto" w:fill="CCEEFF"/>
          </w:tcPr>
          <w:p>
            <w:pPr>
              <w:spacing w:after="0"/>
              <w:rPr>
                <w:sz w:val="18"/>
                <w:szCs w:val="18"/>
                <w:color w:val="auto"/>
              </w:rPr>
            </w:pP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(966)</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20" w:type="dxa"/>
            <w:vAlign w:val="bottom"/>
          </w:tcPr>
          <w:p>
            <w:pPr>
              <w:ind w:left="200"/>
              <w:spacing w:after="0"/>
              <w:rPr>
                <w:sz w:val="20"/>
                <w:szCs w:val="20"/>
                <w:color w:val="auto"/>
              </w:rPr>
            </w:pPr>
            <w:r>
              <w:rPr>
                <w:rFonts w:ascii="Arial" w:cs="Arial" w:eastAsia="Arial" w:hAnsi="Arial"/>
                <w:sz w:val="18"/>
                <w:szCs w:val="18"/>
                <w:color w:val="auto"/>
              </w:rPr>
              <w:t>Income tax expense</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55,056</w:t>
            </w: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39,707</w:t>
            </w: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27,994</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Interest expense, net</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15,709</w:t>
            </w:r>
          </w:p>
        </w:tc>
        <w:tc>
          <w:tcPr>
            <w:tcW w:w="1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49,908</w:t>
            </w:r>
          </w:p>
        </w:tc>
        <w:tc>
          <w:tcPr>
            <w:tcW w:w="1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60,294</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20" w:type="dxa"/>
            <w:vAlign w:val="bottom"/>
          </w:tcPr>
          <w:p>
            <w:pPr>
              <w:ind w:left="200"/>
              <w:spacing w:after="0"/>
              <w:rPr>
                <w:sz w:val="20"/>
                <w:szCs w:val="20"/>
                <w:color w:val="auto"/>
              </w:rPr>
            </w:pPr>
            <w:r>
              <w:rPr>
                <w:rFonts w:ascii="Arial" w:cs="Arial" w:eastAsia="Arial" w:hAnsi="Arial"/>
                <w:sz w:val="18"/>
                <w:szCs w:val="18"/>
                <w:color w:val="auto"/>
              </w:rPr>
              <w:t>Depreciation and amortization</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40,871</w:t>
            </w: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40,834</w:t>
            </w: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41,702</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EAR Plan(a)</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30"/>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6,047</w:t>
            </w:r>
          </w:p>
        </w:tc>
        <w:tc>
          <w:tcPr>
            <w:tcW w:w="1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45,814</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20" w:type="dxa"/>
            <w:vAlign w:val="bottom"/>
          </w:tcPr>
          <w:p>
            <w:pPr>
              <w:ind w:left="200"/>
              <w:spacing w:after="0"/>
              <w:rPr>
                <w:sz w:val="20"/>
                <w:szCs w:val="20"/>
                <w:color w:val="auto"/>
              </w:rPr>
            </w:pPr>
            <w:r>
              <w:rPr>
                <w:rFonts w:ascii="Arial" w:cs="Arial" w:eastAsia="Arial" w:hAnsi="Arial"/>
                <w:sz w:val="18"/>
                <w:szCs w:val="18"/>
                <w:color w:val="auto"/>
              </w:rPr>
              <w:t>Shared-based compensation(b)</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15,285</w:t>
            </w: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14,494</w:t>
            </w: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5,789</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One-time executive bonus(c)</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7,500</w:t>
            </w:r>
          </w:p>
        </w:tc>
        <w:tc>
          <w:tcPr>
            <w:tcW w:w="1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20" w:type="dxa"/>
            <w:vAlign w:val="bottom"/>
          </w:tcPr>
          <w:p>
            <w:pPr>
              <w:ind w:left="200"/>
              <w:spacing w:after="0"/>
              <w:rPr>
                <w:sz w:val="20"/>
                <w:szCs w:val="20"/>
                <w:color w:val="auto"/>
              </w:rPr>
            </w:pPr>
            <w:r>
              <w:rPr>
                <w:rFonts w:ascii="Arial" w:cs="Arial" w:eastAsia="Arial" w:hAnsi="Arial"/>
                <w:sz w:val="18"/>
                <w:szCs w:val="18"/>
                <w:color w:val="auto"/>
              </w:rPr>
              <w:t>Restructuring charges(d)</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13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1,673</w:t>
            </w: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1,643</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Transaction fees(e)</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686</w:t>
            </w:r>
          </w:p>
        </w:tc>
        <w:tc>
          <w:tcPr>
            <w:tcW w:w="1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16,817</w:t>
            </w:r>
          </w:p>
        </w:tc>
        <w:tc>
          <w:tcPr>
            <w:tcW w:w="1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2,141</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20" w:type="dxa"/>
            <w:vAlign w:val="bottom"/>
          </w:tcPr>
          <w:p>
            <w:pPr>
              <w:ind w:left="200"/>
              <w:spacing w:after="0"/>
              <w:rPr>
                <w:sz w:val="20"/>
                <w:szCs w:val="20"/>
                <w:color w:val="auto"/>
              </w:rPr>
            </w:pPr>
            <w:r>
              <w:rPr>
                <w:rFonts w:ascii="Arial" w:cs="Arial" w:eastAsia="Arial" w:hAnsi="Arial"/>
                <w:sz w:val="18"/>
                <w:szCs w:val="18"/>
                <w:color w:val="auto"/>
              </w:rPr>
              <w:t>Beam indemnification expense (income)(f)</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177</w:t>
            </w: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(2,174)</w:t>
            </w: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(3,007)</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20" w:type="dxa"/>
            <w:vAlign w:val="bottom"/>
            <w:shd w:val="clear" w:color="auto" w:fill="CCEEFF"/>
          </w:tcPr>
          <w:p>
            <w:pPr>
              <w:ind w:left="200"/>
              <w:spacing w:after="0"/>
              <w:rPr>
                <w:sz w:val="20"/>
                <w:szCs w:val="20"/>
                <w:color w:val="auto"/>
              </w:rPr>
            </w:pPr>
            <w:r>
              <w:rPr>
                <w:rFonts w:ascii="Arial" w:cs="Arial" w:eastAsia="Arial" w:hAnsi="Arial"/>
                <w:sz w:val="18"/>
                <w:szCs w:val="18"/>
                <w:color w:val="auto"/>
                <w:w w:val="98"/>
              </w:rPr>
              <w:t>Losses on the fair value of our common stock warrants(g)</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6,112</w:t>
            </w:r>
          </w:p>
        </w:tc>
        <w:tc>
          <w:tcPr>
            <w:tcW w:w="1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28,364</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20" w:type="dxa"/>
            <w:vAlign w:val="bottom"/>
          </w:tcPr>
          <w:p>
            <w:pPr>
              <w:ind w:left="200"/>
              <w:spacing w:after="0"/>
              <w:rPr>
                <w:sz w:val="20"/>
                <w:szCs w:val="20"/>
                <w:color w:val="auto"/>
              </w:rPr>
            </w:pPr>
            <w:r>
              <w:rPr>
                <w:rFonts w:ascii="Arial" w:cs="Arial" w:eastAsia="Arial" w:hAnsi="Arial"/>
                <w:sz w:val="18"/>
                <w:szCs w:val="18"/>
                <w:color w:val="auto"/>
              </w:rPr>
              <w:t>Other non-cash gains, net</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(1,036)</w:t>
            </w: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(592)</w:t>
            </w: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(169)</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Nonrecurring income(h)</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(1,467)</w:t>
            </w:r>
          </w:p>
        </w:tc>
        <w:tc>
          <w:tcPr>
            <w:tcW w:w="1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20" w:type="dxa"/>
            <w:vAlign w:val="bottom"/>
            <w:tcBorders>
              <w:bottom w:val="single" w:sz="8" w:color="CCEEFF"/>
            </w:tcBorders>
          </w:tcPr>
          <w:p>
            <w:pPr>
              <w:ind w:left="200"/>
              <w:spacing w:after="0"/>
              <w:rPr>
                <w:sz w:val="20"/>
                <w:szCs w:val="20"/>
                <w:color w:val="auto"/>
              </w:rPr>
            </w:pPr>
            <w:r>
              <w:rPr>
                <w:rFonts w:ascii="Arial" w:cs="Arial" w:eastAsia="Arial" w:hAnsi="Arial"/>
                <w:sz w:val="18"/>
                <w:szCs w:val="18"/>
                <w:color w:val="auto"/>
              </w:rPr>
              <w:t>Net income attributable to noncontrolling interests(i)</w:t>
            </w:r>
          </w:p>
        </w:tc>
        <w:tc>
          <w:tcPr>
            <w:tcW w:w="30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4,506</w:t>
            </w:r>
          </w:p>
        </w:tc>
        <w:tc>
          <w:tcPr>
            <w:tcW w:w="160" w:type="dxa"/>
            <w:vAlign w:val="bottom"/>
            <w:tcBorders>
              <w:bottom w:val="single" w:sz="8" w:color="CCEEFF"/>
            </w:tcBorders>
          </w:tcPr>
          <w:p>
            <w:pPr>
              <w:spacing w:after="0"/>
              <w:rPr>
                <w:sz w:val="18"/>
                <w:szCs w:val="18"/>
                <w:color w:val="auto"/>
              </w:rPr>
            </w:pPr>
          </w:p>
        </w:tc>
        <w:tc>
          <w:tcPr>
            <w:tcW w:w="2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4,503</w:t>
            </w:r>
          </w:p>
        </w:tc>
        <w:tc>
          <w:tcPr>
            <w:tcW w:w="160" w:type="dxa"/>
            <w:vAlign w:val="bottom"/>
            <w:tcBorders>
              <w:bottom w:val="single" w:sz="8" w:color="CCEEFF"/>
            </w:tcBorders>
          </w:tcPr>
          <w:p>
            <w:pPr>
              <w:spacing w:after="0"/>
              <w:rPr>
                <w:sz w:val="18"/>
                <w:szCs w:val="18"/>
                <w:color w:val="auto"/>
              </w:rPr>
            </w:pPr>
          </w:p>
        </w:tc>
        <w:tc>
          <w:tcPr>
            <w:tcW w:w="2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5,122</w:t>
            </w:r>
          </w:p>
        </w:tc>
        <w:tc>
          <w:tcPr>
            <w:tcW w:w="16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7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Adjusted EBITDA</w:t>
            </w:r>
          </w:p>
        </w:tc>
        <w:tc>
          <w:tcPr>
            <w:tcW w:w="30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223,368</w:t>
            </w:r>
          </w:p>
        </w:tc>
        <w:tc>
          <w:tcPr>
            <w:tcW w:w="160" w:type="dxa"/>
            <w:vAlign w:val="bottom"/>
            <w:tcBorders>
              <w:bottom w:val="single" w:sz="8" w:color="CCEEFF"/>
            </w:tcBorders>
            <w:shd w:val="clear" w:color="auto" w:fill="CCEEFF"/>
          </w:tcPr>
          <w:p>
            <w:pPr>
              <w:spacing w:after="0"/>
              <w:rPr>
                <w:sz w:val="19"/>
                <w:szCs w:val="19"/>
                <w:color w:val="auto"/>
              </w:rPr>
            </w:pPr>
          </w:p>
        </w:tc>
        <w:tc>
          <w:tcPr>
            <w:tcW w:w="2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w w:val="79"/>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228,374</w:t>
            </w:r>
          </w:p>
        </w:tc>
        <w:tc>
          <w:tcPr>
            <w:tcW w:w="160" w:type="dxa"/>
            <w:vAlign w:val="bottom"/>
            <w:tcBorders>
              <w:bottom w:val="single" w:sz="8" w:color="CCEEFF"/>
            </w:tcBorders>
            <w:shd w:val="clear" w:color="auto" w:fill="CCEEFF"/>
          </w:tcPr>
          <w:p>
            <w:pPr>
              <w:spacing w:after="0"/>
              <w:rPr>
                <w:sz w:val="19"/>
                <w:szCs w:val="19"/>
                <w:color w:val="auto"/>
              </w:rPr>
            </w:pPr>
          </w:p>
        </w:tc>
        <w:tc>
          <w:tcPr>
            <w:tcW w:w="2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214,721</w:t>
            </w:r>
          </w:p>
        </w:tc>
        <w:tc>
          <w:tcPr>
            <w:tcW w:w="160" w:type="dxa"/>
            <w:vAlign w:val="bottom"/>
            <w:tcBorders>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4720" w:type="dxa"/>
            <w:vAlign w:val="bottom"/>
          </w:tcPr>
          <w:p>
            <w:pPr>
              <w:spacing w:after="0"/>
              <w:rPr>
                <w:sz w:val="20"/>
                <w:szCs w:val="20"/>
                <w:color w:val="auto"/>
              </w:rPr>
            </w:pPr>
            <w:r>
              <w:rPr>
                <w:rFonts w:ascii="Arial" w:cs="Arial" w:eastAsia="Arial" w:hAnsi="Arial"/>
                <w:sz w:val="18"/>
                <w:szCs w:val="18"/>
                <w:color w:val="auto"/>
              </w:rPr>
              <w:t>Adjusted EBITDA margin</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14.3</w:t>
            </w:r>
          </w:p>
        </w:tc>
        <w:tc>
          <w:tcPr>
            <w:tcW w:w="160" w:type="dxa"/>
            <w:vAlign w:val="bottom"/>
          </w:tcPr>
          <w:p>
            <w:pPr>
              <w:jc w:val="right"/>
              <w:spacing w:after="0"/>
              <w:rPr>
                <w:sz w:val="20"/>
                <w:szCs w:val="20"/>
                <w:color w:val="auto"/>
              </w:rPr>
            </w:pPr>
            <w:r>
              <w:rPr>
                <w:rFonts w:ascii="Arial" w:cs="Arial" w:eastAsia="Arial" w:hAnsi="Arial"/>
                <w:sz w:val="18"/>
                <w:szCs w:val="18"/>
                <w:color w:val="auto"/>
                <w:w w:val="74"/>
              </w:rPr>
              <w:t>%</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14.5</w:t>
            </w:r>
          </w:p>
        </w:tc>
        <w:tc>
          <w:tcPr>
            <w:tcW w:w="160" w:type="dxa"/>
            <w:vAlign w:val="bottom"/>
          </w:tcPr>
          <w:p>
            <w:pPr>
              <w:jc w:val="right"/>
              <w:spacing w:after="0"/>
              <w:rPr>
                <w:sz w:val="20"/>
                <w:szCs w:val="20"/>
                <w:color w:val="auto"/>
              </w:rPr>
            </w:pPr>
            <w:r>
              <w:rPr>
                <w:rFonts w:ascii="Arial" w:cs="Arial" w:eastAsia="Arial" w:hAnsi="Arial"/>
                <w:sz w:val="18"/>
                <w:szCs w:val="18"/>
                <w:color w:val="auto"/>
                <w:w w:val="74"/>
              </w:rPr>
              <w:t>%</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14.3</w:t>
            </w:r>
          </w:p>
        </w:tc>
        <w:tc>
          <w:tcPr>
            <w:tcW w:w="160" w:type="dxa"/>
            <w:vAlign w:val="bottom"/>
          </w:tcPr>
          <w:p>
            <w:pPr>
              <w:jc w:val="right"/>
              <w:spacing w:after="0"/>
              <w:rPr>
                <w:sz w:val="20"/>
                <w:szCs w:val="20"/>
                <w:color w:val="auto"/>
              </w:rPr>
            </w:pPr>
            <w:r>
              <w:rPr>
                <w:rFonts w:ascii="Arial" w:cs="Arial" w:eastAsia="Arial" w:hAnsi="Arial"/>
                <w:sz w:val="18"/>
                <w:szCs w:val="18"/>
                <w:color w:val="auto"/>
                <w:w w:val="74"/>
              </w:rPr>
              <w:t>%</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187960</wp:posOffset>
            </wp:positionV>
            <wp:extent cx="1311910" cy="889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1311910" cy="8890"/>
                    </a:xfrm>
                    <a:prstGeom prst="rect">
                      <a:avLst/>
                    </a:prstGeom>
                    <a:noFill/>
                  </pic:spPr>
                </pic:pic>
              </a:graphicData>
            </a:graphic>
          </wp:anchor>
        </w:drawing>
      </w:r>
    </w:p>
    <w:p>
      <w:pPr>
        <w:spacing w:after="0" w:line="384" w:lineRule="exact"/>
        <w:rPr>
          <w:sz w:val="20"/>
          <w:szCs w:val="20"/>
          <w:color w:val="auto"/>
        </w:rPr>
      </w:pPr>
    </w:p>
    <w:p>
      <w:pPr>
        <w:ind w:left="700" w:right="479" w:hanging="318"/>
        <w:spacing w:after="0" w:line="259" w:lineRule="auto"/>
        <w:tabs>
          <w:tab w:leader="none" w:pos="7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Reflects expenses related to the EARs granted under our EAR Plan and the remeasurement of the liability at each reporting period based on the then-current projection of our common stock equivalent value (as defined in the EAR Plan). See “—Critical Accounting Policies and Estimates—Share-Based Compensation.” The EAR Plan expired on December 31, 2016.</w:t>
      </w:r>
    </w:p>
    <w:p>
      <w:pPr>
        <w:spacing w:after="0" w:line="186" w:lineRule="exact"/>
        <w:rPr>
          <w:rFonts w:ascii="Arial" w:cs="Arial" w:eastAsia="Arial" w:hAnsi="Arial"/>
          <w:sz w:val="18"/>
          <w:szCs w:val="18"/>
          <w:color w:val="auto"/>
        </w:rPr>
      </w:pPr>
    </w:p>
    <w:p>
      <w:pPr>
        <w:ind w:left="700" w:right="399" w:hanging="318"/>
        <w:spacing w:after="0" w:line="257" w:lineRule="auto"/>
        <w:tabs>
          <w:tab w:leader="none" w:pos="7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For the years ended December 31, 2017 and December 31, 2016, reflects compensation expenses with respect to equity-based grants under the Acushnet Holdings Corp. 2015 Omnibus Incentive Plan. For the year ended December 31, 2015, reflects compensation expense associated with the exercise of substitute stock options by an executive, which were granted in connection with the Acquisition. All such stock options have been exercised.</w:t>
      </w:r>
    </w:p>
    <w:p>
      <w:pPr>
        <w:spacing w:after="0" w:line="188" w:lineRule="exact"/>
        <w:rPr>
          <w:rFonts w:ascii="Arial" w:cs="Arial" w:eastAsia="Arial" w:hAnsi="Arial"/>
          <w:sz w:val="18"/>
          <w:szCs w:val="18"/>
          <w:color w:val="auto"/>
        </w:rPr>
      </w:pPr>
    </w:p>
    <w:p>
      <w:pPr>
        <w:ind w:left="700" w:right="539" w:hanging="318"/>
        <w:spacing w:after="0" w:line="277" w:lineRule="auto"/>
        <w:tabs>
          <w:tab w:leader="none" w:pos="7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In the first quarter of 2016, our then President and Chief Executive Officer was awarded a cash bonus in the amount of $7.5 million as consideration for past performance.</w:t>
      </w:r>
    </w:p>
    <w:p>
      <w:pPr>
        <w:spacing w:after="0" w:line="384"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60" w:name="page61"/>
    <w:bookmarkEnd w:id="60"/>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700" w:right="599" w:hanging="318"/>
        <w:spacing w:after="0" w:line="277" w:lineRule="auto"/>
        <w:tabs>
          <w:tab w:leader="none" w:pos="7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Reflects restructuring charges incurred in connection with the reorganization of certain of our operations in 2016 and 2015.</w:t>
      </w:r>
    </w:p>
    <w:p>
      <w:pPr>
        <w:spacing w:after="0" w:line="170" w:lineRule="exact"/>
        <w:rPr>
          <w:rFonts w:ascii="Arial" w:cs="Arial" w:eastAsia="Arial" w:hAnsi="Arial"/>
          <w:sz w:val="18"/>
          <w:szCs w:val="18"/>
          <w:color w:val="auto"/>
        </w:rPr>
      </w:pPr>
    </w:p>
    <w:p>
      <w:pPr>
        <w:ind w:left="700" w:right="419" w:hanging="318"/>
        <w:spacing w:after="0" w:line="264" w:lineRule="auto"/>
        <w:tabs>
          <w:tab w:leader="none" w:pos="7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Reflects certain fees and expenses we incurred in 2017, 2016 and 2015 in connection with our public offerings and legal fees relating to a dispute arising from the indemnification obligations owed to us by Beam in connection with the Acquisition.</w:t>
      </w:r>
    </w:p>
    <w:p>
      <w:pPr>
        <w:spacing w:after="0" w:line="181" w:lineRule="exact"/>
        <w:rPr>
          <w:rFonts w:ascii="Arial" w:cs="Arial" w:eastAsia="Arial" w:hAnsi="Arial"/>
          <w:sz w:val="18"/>
          <w:szCs w:val="18"/>
          <w:color w:val="auto"/>
        </w:rPr>
      </w:pPr>
    </w:p>
    <w:p>
      <w:pPr>
        <w:ind w:left="700" w:right="399" w:hanging="318"/>
        <w:spacing w:after="0" w:line="223" w:lineRule="exact"/>
        <w:tabs>
          <w:tab w:leader="none" w:pos="7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Reflects the non</w:t>
      </w:r>
      <w:r>
        <w:rPr>
          <w:rFonts w:ascii="MS PGothic" w:cs="MS PGothic" w:eastAsia="MS PGothic" w:hAnsi="MS PGothic"/>
          <w:sz w:val="18"/>
          <w:szCs w:val="18"/>
          <w:color w:val="auto"/>
        </w:rPr>
        <w:t>‑</w:t>
      </w:r>
      <w:r>
        <w:rPr>
          <w:rFonts w:ascii="Arial" w:cs="Arial" w:eastAsia="Arial" w:hAnsi="Arial"/>
          <w:sz w:val="18"/>
          <w:szCs w:val="18"/>
          <w:color w:val="auto"/>
        </w:rPr>
        <w:t>cash charges related to the indemnification obligations owed to us by Beam that are included when calculating net income (loss) attributable to Acushnet Holdings Corp.</w:t>
      </w:r>
    </w:p>
    <w:p>
      <w:pPr>
        <w:spacing w:after="0" w:line="203" w:lineRule="exact"/>
        <w:rPr>
          <w:rFonts w:ascii="Arial" w:cs="Arial" w:eastAsia="Arial" w:hAnsi="Arial"/>
          <w:sz w:val="18"/>
          <w:szCs w:val="18"/>
          <w:color w:val="auto"/>
        </w:rPr>
      </w:pPr>
    </w:p>
    <w:p>
      <w:pPr>
        <w:ind w:left="700" w:right="659" w:hanging="318"/>
        <w:spacing w:after="0" w:line="277" w:lineRule="auto"/>
        <w:tabs>
          <w:tab w:leader="none" w:pos="7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Fila Korea exercised all of our outstanding common stock warrants in July 2016 and we used the proceeds from such exercise to redeem all of our outstanding 7.5% bonds due 2021.</w:t>
      </w:r>
    </w:p>
    <w:p>
      <w:pPr>
        <w:spacing w:after="0" w:line="170" w:lineRule="exact"/>
        <w:rPr>
          <w:rFonts w:ascii="Arial" w:cs="Arial" w:eastAsia="Arial" w:hAnsi="Arial"/>
          <w:sz w:val="18"/>
          <w:szCs w:val="18"/>
          <w:color w:val="auto"/>
        </w:rPr>
      </w:pPr>
    </w:p>
    <w:p>
      <w:pPr>
        <w:ind w:left="700" w:right="679" w:hanging="318"/>
        <w:spacing w:after="0" w:line="223" w:lineRule="exact"/>
        <w:tabs>
          <w:tab w:leader="none" w:pos="7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Reflects legal judgment in favor of us associated with the Beam value</w:t>
      </w:r>
      <w:r>
        <w:rPr>
          <w:rFonts w:ascii="MS PGothic" w:cs="MS PGothic" w:eastAsia="MS PGothic" w:hAnsi="MS PGothic"/>
          <w:sz w:val="18"/>
          <w:szCs w:val="18"/>
          <w:color w:val="auto"/>
        </w:rPr>
        <w:t>‑</w:t>
      </w:r>
      <w:r>
        <w:rPr>
          <w:rFonts w:ascii="Arial" w:cs="Arial" w:eastAsia="Arial" w:hAnsi="Arial"/>
          <w:sz w:val="18"/>
          <w:szCs w:val="18"/>
          <w:color w:val="auto"/>
        </w:rPr>
        <w:t>added tax dispute recorded in other (income) expense.</w:t>
      </w:r>
    </w:p>
    <w:p>
      <w:pPr>
        <w:spacing w:after="0" w:line="203" w:lineRule="exact"/>
        <w:rPr>
          <w:rFonts w:ascii="Arial" w:cs="Arial" w:eastAsia="Arial" w:hAnsi="Arial"/>
          <w:sz w:val="18"/>
          <w:szCs w:val="18"/>
          <w:color w:val="auto"/>
        </w:rPr>
      </w:pPr>
    </w:p>
    <w:p>
      <w:pPr>
        <w:ind w:left="700" w:hanging="318"/>
        <w:spacing w:after="0"/>
        <w:tabs>
          <w:tab w:leader="none" w:pos="700" w:val="left"/>
        </w:tabs>
        <w:numPr>
          <w:ilvl w:val="0"/>
          <w:numId w:val="23"/>
        </w:numPr>
        <w:rPr>
          <w:rFonts w:ascii="Arial" w:cs="Arial" w:eastAsia="Arial" w:hAnsi="Arial"/>
          <w:sz w:val="16"/>
          <w:szCs w:val="16"/>
          <w:color w:val="auto"/>
        </w:rPr>
      </w:pPr>
      <w:r>
        <w:rPr>
          <w:rFonts w:ascii="Arial" w:cs="Arial" w:eastAsia="Arial" w:hAnsi="Arial"/>
          <w:sz w:val="16"/>
          <w:szCs w:val="16"/>
          <w:color w:val="auto"/>
        </w:rPr>
        <w:t>Reflects the net income attributable to the interest that we do not own in our FootJoy golf shoe joint venture.</w:t>
      </w:r>
    </w:p>
    <w:p>
      <w:pPr>
        <w:spacing w:after="0" w:line="248" w:lineRule="exact"/>
        <w:rPr>
          <w:sz w:val="20"/>
          <w:szCs w:val="20"/>
          <w:color w:val="auto"/>
        </w:rPr>
      </w:pPr>
    </w:p>
    <w:p>
      <w:pPr>
        <w:ind w:left="1040"/>
        <w:spacing w:after="0"/>
        <w:rPr>
          <w:sz w:val="20"/>
          <w:szCs w:val="20"/>
          <w:color w:val="auto"/>
        </w:rPr>
      </w:pPr>
      <w:r>
        <w:rPr>
          <w:rFonts w:ascii="Arial" w:cs="Arial" w:eastAsia="Arial" w:hAnsi="Arial"/>
          <w:sz w:val="18"/>
          <w:szCs w:val="18"/>
          <w:b w:val="1"/>
          <w:bCs w:val="1"/>
          <w:i w:val="1"/>
          <w:iCs w:val="1"/>
          <w:color w:val="auto"/>
        </w:rPr>
        <w:t>Year Ended December 31, 2017 Compared to the Year Ended December 31, 2016</w:t>
      </w:r>
    </w:p>
    <w:p>
      <w:pPr>
        <w:spacing w:after="0" w:line="225" w:lineRule="exact"/>
        <w:rPr>
          <w:sz w:val="20"/>
          <w:szCs w:val="20"/>
          <w:color w:val="auto"/>
        </w:rPr>
      </w:pPr>
    </w:p>
    <w:p>
      <w:pPr>
        <w:ind w:left="1040"/>
        <w:spacing w:after="0"/>
        <w:rPr>
          <w:sz w:val="20"/>
          <w:szCs w:val="20"/>
          <w:color w:val="auto"/>
        </w:rPr>
      </w:pPr>
      <w:r>
        <w:rPr>
          <w:rFonts w:ascii="Arial" w:cs="Arial" w:eastAsia="Arial" w:hAnsi="Arial"/>
          <w:sz w:val="18"/>
          <w:szCs w:val="18"/>
          <w:i w:val="1"/>
          <w:iCs w:val="1"/>
          <w:color w:val="auto"/>
        </w:rPr>
        <w:t>Net Sales</w:t>
      </w:r>
    </w:p>
    <w:p>
      <w:pPr>
        <w:spacing w:after="0" w:line="225" w:lineRule="exact"/>
        <w:rPr>
          <w:sz w:val="20"/>
          <w:szCs w:val="20"/>
          <w:color w:val="auto"/>
        </w:rPr>
      </w:pPr>
    </w:p>
    <w:p>
      <w:pPr>
        <w:ind w:left="380" w:right="399" w:firstLine="648"/>
        <w:spacing w:after="0" w:line="270" w:lineRule="auto"/>
        <w:rPr>
          <w:sz w:val="20"/>
          <w:szCs w:val="20"/>
          <w:color w:val="auto"/>
        </w:rPr>
      </w:pPr>
      <w:r>
        <w:rPr>
          <w:rFonts w:ascii="Arial" w:cs="Arial" w:eastAsia="Arial" w:hAnsi="Arial"/>
          <w:sz w:val="17"/>
          <w:szCs w:val="17"/>
          <w:color w:val="auto"/>
        </w:rPr>
        <w:t>Net sales decreased by $12.0 million, or 0.8%, to $1,560.3 million for the year ended December 31, 2017 compared to $1,572.3 million for the year ended December 31, 2016. On a constant currency basis, net sales would have decreased by $3.1 million, or 0.2%, to $1,569.2 million. The decrease in net sales on a constant currency basis resulted from a decrease of $29.8 million in net sales of Titleist golf clubs primarily resulting from lower sales volumes of drivers and fairways, coupled with wedges which were in their second model year. These net sales decreases were partially offset by an increase of $8.6 million in FootJoy golf wear driven by sales volume increases in FootJoy apparel and an increase of $7.1 million in net sales of Titleist golf gear primarily due to higher average selling prices across all product categories. The remaining change in net sales was primarily due to sales volume growth of products sold in regions outside the United States and that are not allocated to one of our four reportable segments.</w:t>
      </w:r>
    </w:p>
    <w:p>
      <w:pPr>
        <w:spacing w:after="0" w:line="178" w:lineRule="exact"/>
        <w:rPr>
          <w:sz w:val="20"/>
          <w:szCs w:val="20"/>
          <w:color w:val="auto"/>
        </w:rPr>
      </w:pPr>
    </w:p>
    <w:p>
      <w:pPr>
        <w:ind w:left="1040"/>
        <w:spacing w:after="0"/>
        <w:rPr>
          <w:sz w:val="20"/>
          <w:szCs w:val="20"/>
          <w:color w:val="auto"/>
        </w:rPr>
      </w:pPr>
      <w:r>
        <w:rPr>
          <w:rFonts w:ascii="Arial" w:cs="Arial" w:eastAsia="Arial" w:hAnsi="Arial"/>
          <w:sz w:val="18"/>
          <w:szCs w:val="18"/>
          <w:color w:val="auto"/>
        </w:rPr>
        <w:t>Net sales information by region is summarized as follows:</w:t>
      </w:r>
    </w:p>
    <w:p>
      <w:pPr>
        <w:spacing w:after="0" w:line="244" w:lineRule="exact"/>
        <w:rPr>
          <w:sz w:val="20"/>
          <w:szCs w:val="20"/>
          <w:color w:val="auto"/>
        </w:rPr>
      </w:pPr>
    </w:p>
    <w:tbl>
      <w:tblPr>
        <w:tblLayout w:type="fixed"/>
        <w:tblInd w:w="380" w:type="dxa"/>
        <w:tblCellMar>
          <w:top w:w="0" w:type="dxa"/>
          <w:left w:w="0" w:type="dxa"/>
          <w:bottom w:w="0" w:type="dxa"/>
          <w:right w:w="0" w:type="dxa"/>
        </w:tblCellMar>
      </w:tblPr>
      <w:tr>
        <w:trPr>
          <w:trHeight w:val="162"/>
        </w:trPr>
        <w:tc>
          <w:tcPr>
            <w:tcW w:w="190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20" w:type="dxa"/>
            <w:vAlign w:val="bottom"/>
            <w:gridSpan w:val="4"/>
          </w:tcPr>
          <w:p>
            <w:pPr>
              <w:jc w:val="right"/>
              <w:ind w:right="533"/>
              <w:spacing w:after="0"/>
              <w:rPr>
                <w:sz w:val="20"/>
                <w:szCs w:val="20"/>
                <w:color w:val="auto"/>
              </w:rPr>
            </w:pPr>
            <w:r>
              <w:rPr>
                <w:rFonts w:ascii="Arial" w:cs="Arial" w:eastAsia="Arial" w:hAnsi="Arial"/>
                <w:sz w:val="14"/>
                <w:szCs w:val="14"/>
                <w:b w:val="1"/>
                <w:bCs w:val="1"/>
                <w:color w:val="auto"/>
              </w:rPr>
              <w:t>Year ended</w:t>
            </w:r>
          </w:p>
        </w:tc>
        <w:tc>
          <w:tcPr>
            <w:tcW w:w="1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40" w:type="dxa"/>
            <w:vAlign w:val="bottom"/>
            <w:gridSpan w:val="3"/>
          </w:tcPr>
          <w:p>
            <w:pPr>
              <w:jc w:val="right"/>
              <w:ind w:right="320"/>
              <w:spacing w:after="0"/>
              <w:rPr>
                <w:sz w:val="20"/>
                <w:szCs w:val="20"/>
                <w:color w:val="auto"/>
              </w:rPr>
            </w:pPr>
            <w:r>
              <w:rPr>
                <w:rFonts w:ascii="Arial" w:cs="Arial" w:eastAsia="Arial" w:hAnsi="Arial"/>
                <w:sz w:val="14"/>
                <w:szCs w:val="14"/>
                <w:b w:val="1"/>
                <w:bCs w:val="1"/>
                <w:color w:val="auto"/>
              </w:rPr>
              <w:t>Constant Currency</w:t>
            </w:r>
          </w:p>
        </w:tc>
      </w:tr>
      <w:tr>
        <w:trPr>
          <w:trHeight w:val="171"/>
        </w:trPr>
        <w:tc>
          <w:tcPr>
            <w:tcW w:w="190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20" w:type="dxa"/>
            <w:vAlign w:val="bottom"/>
            <w:gridSpan w:val="4"/>
          </w:tcPr>
          <w:p>
            <w:pPr>
              <w:jc w:val="right"/>
              <w:ind w:right="473"/>
              <w:spacing w:after="0"/>
              <w:rPr>
                <w:sz w:val="20"/>
                <w:szCs w:val="20"/>
                <w:color w:val="auto"/>
              </w:rPr>
            </w:pPr>
            <w:r>
              <w:rPr>
                <w:rFonts w:ascii="Arial" w:cs="Arial" w:eastAsia="Arial" w:hAnsi="Arial"/>
                <w:sz w:val="14"/>
                <w:szCs w:val="14"/>
                <w:b w:val="1"/>
                <w:bCs w:val="1"/>
                <w:color w:val="auto"/>
              </w:rPr>
              <w:t>December 31,</w:t>
            </w:r>
          </w:p>
        </w:tc>
        <w:tc>
          <w:tcPr>
            <w:tcW w:w="140" w:type="dxa"/>
            <w:vAlign w:val="bottom"/>
          </w:tcPr>
          <w:p>
            <w:pPr>
              <w:spacing w:after="0"/>
              <w:rPr>
                <w:sz w:val="14"/>
                <w:szCs w:val="14"/>
                <w:color w:val="auto"/>
              </w:rPr>
            </w:pPr>
          </w:p>
        </w:tc>
        <w:tc>
          <w:tcPr>
            <w:tcW w:w="1720" w:type="dxa"/>
            <w:vAlign w:val="bottom"/>
            <w:gridSpan w:val="3"/>
          </w:tcPr>
          <w:p>
            <w:pPr>
              <w:ind w:left="140"/>
              <w:spacing w:after="0"/>
              <w:rPr>
                <w:sz w:val="20"/>
                <w:szCs w:val="20"/>
                <w:color w:val="auto"/>
              </w:rPr>
            </w:pPr>
            <w:r>
              <w:rPr>
                <w:rFonts w:ascii="Arial" w:cs="Arial" w:eastAsia="Arial" w:hAnsi="Arial"/>
                <w:sz w:val="14"/>
                <w:szCs w:val="14"/>
                <w:b w:val="1"/>
                <w:bCs w:val="1"/>
                <w:color w:val="auto"/>
              </w:rPr>
              <w:t>Increase/(Decrease)</w:t>
            </w:r>
          </w:p>
        </w:tc>
        <w:tc>
          <w:tcPr>
            <w:tcW w:w="20" w:type="dxa"/>
            <w:vAlign w:val="bottom"/>
          </w:tcPr>
          <w:p>
            <w:pPr>
              <w:spacing w:after="0"/>
              <w:rPr>
                <w:sz w:val="14"/>
                <w:szCs w:val="14"/>
                <w:color w:val="auto"/>
              </w:rPr>
            </w:pPr>
          </w:p>
        </w:tc>
        <w:tc>
          <w:tcPr>
            <w:tcW w:w="1640" w:type="dxa"/>
            <w:vAlign w:val="bottom"/>
            <w:gridSpan w:val="3"/>
          </w:tcPr>
          <w:p>
            <w:pPr>
              <w:jc w:val="right"/>
              <w:ind w:right="300"/>
              <w:spacing w:after="0"/>
              <w:rPr>
                <w:sz w:val="20"/>
                <w:szCs w:val="20"/>
                <w:color w:val="auto"/>
              </w:rPr>
            </w:pPr>
            <w:r>
              <w:rPr>
                <w:rFonts w:ascii="Arial" w:cs="Arial" w:eastAsia="Arial" w:hAnsi="Arial"/>
                <w:sz w:val="14"/>
                <w:szCs w:val="14"/>
                <w:b w:val="1"/>
                <w:bCs w:val="1"/>
                <w:color w:val="auto"/>
                <w:w w:val="99"/>
              </w:rPr>
              <w:t>Increase/(Decrease)</w:t>
            </w:r>
          </w:p>
        </w:tc>
      </w:tr>
      <w:tr>
        <w:trPr>
          <w:trHeight w:val="142"/>
        </w:trPr>
        <w:tc>
          <w:tcPr>
            <w:tcW w:w="190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780" w:type="dxa"/>
            <w:vAlign w:val="bottom"/>
            <w:tcBorders>
              <w:top w:val="single" w:sz="8" w:color="auto"/>
              <w:bottom w:val="single" w:sz="8" w:color="auto"/>
            </w:tcBorders>
          </w:tcPr>
          <w:p>
            <w:pPr>
              <w:jc w:val="right"/>
              <w:ind w:right="216"/>
              <w:spacing w:after="0" w:line="142" w:lineRule="exact"/>
              <w:rPr>
                <w:sz w:val="20"/>
                <w:szCs w:val="20"/>
                <w:color w:val="auto"/>
              </w:rPr>
            </w:pPr>
            <w:r>
              <w:rPr>
                <w:rFonts w:ascii="Arial" w:cs="Arial" w:eastAsia="Arial" w:hAnsi="Arial"/>
                <w:sz w:val="14"/>
                <w:szCs w:val="14"/>
                <w:b w:val="1"/>
                <w:bCs w:val="1"/>
                <w:color w:val="auto"/>
              </w:rPr>
              <w:t>2017</w:t>
            </w:r>
          </w:p>
        </w:tc>
        <w:tc>
          <w:tcPr>
            <w:tcW w:w="160" w:type="dxa"/>
            <w:vAlign w:val="bottom"/>
            <w:tcBorders>
              <w:top w:val="single" w:sz="8" w:color="auto"/>
              <w:bottom w:val="single" w:sz="8" w:color="auto"/>
            </w:tcBorders>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800" w:type="dxa"/>
            <w:vAlign w:val="bottom"/>
            <w:tcBorders>
              <w:top w:val="single" w:sz="8" w:color="auto"/>
              <w:bottom w:val="single" w:sz="8" w:color="auto"/>
            </w:tcBorders>
          </w:tcPr>
          <w:p>
            <w:pPr>
              <w:jc w:val="right"/>
              <w:ind w:right="213"/>
              <w:spacing w:after="0" w:line="142" w:lineRule="exact"/>
              <w:rPr>
                <w:sz w:val="20"/>
                <w:szCs w:val="20"/>
                <w:color w:val="auto"/>
              </w:rPr>
            </w:pPr>
            <w:r>
              <w:rPr>
                <w:rFonts w:ascii="Arial" w:cs="Arial" w:eastAsia="Arial" w:hAnsi="Arial"/>
                <w:sz w:val="14"/>
                <w:szCs w:val="14"/>
                <w:b w:val="1"/>
                <w:bCs w:val="1"/>
                <w:color w:val="auto"/>
              </w:rPr>
              <w:t>2016</w:t>
            </w:r>
          </w:p>
        </w:tc>
        <w:tc>
          <w:tcPr>
            <w:tcW w:w="140" w:type="dxa"/>
            <w:vAlign w:val="bottom"/>
            <w:tcBorders>
              <w:bottom w:val="single" w:sz="8" w:color="auto"/>
            </w:tcBorders>
          </w:tcPr>
          <w:p>
            <w:pPr>
              <w:spacing w:after="0"/>
              <w:rPr>
                <w:sz w:val="12"/>
                <w:szCs w:val="12"/>
                <w:color w:val="auto"/>
              </w:rPr>
            </w:pPr>
          </w:p>
        </w:tc>
        <w:tc>
          <w:tcPr>
            <w:tcW w:w="720" w:type="dxa"/>
            <w:vAlign w:val="bottom"/>
            <w:tcBorders>
              <w:top w:val="single" w:sz="8" w:color="auto"/>
              <w:bottom w:val="single" w:sz="8" w:color="auto"/>
            </w:tcBorders>
          </w:tcPr>
          <w:p>
            <w:pPr>
              <w:jc w:val="right"/>
              <w:ind w:right="24"/>
              <w:spacing w:after="0" w:line="142" w:lineRule="exact"/>
              <w:rPr>
                <w:sz w:val="20"/>
                <w:szCs w:val="20"/>
                <w:color w:val="auto"/>
              </w:rPr>
            </w:pPr>
            <w:r>
              <w:rPr>
                <w:rFonts w:ascii="Arial" w:cs="Arial" w:eastAsia="Arial" w:hAnsi="Arial"/>
                <w:sz w:val="14"/>
                <w:szCs w:val="14"/>
                <w:b w:val="1"/>
                <w:bCs w:val="1"/>
                <w:color w:val="auto"/>
                <w:w w:val="98"/>
              </w:rPr>
              <w:t>$ change</w:t>
            </w:r>
          </w:p>
        </w:tc>
        <w:tc>
          <w:tcPr>
            <w:tcW w:w="760" w:type="dxa"/>
            <w:vAlign w:val="bottom"/>
            <w:tcBorders>
              <w:top w:val="single" w:sz="8" w:color="auto"/>
              <w:bottom w:val="single" w:sz="8" w:color="auto"/>
            </w:tcBorders>
          </w:tcPr>
          <w:p>
            <w:pPr>
              <w:ind w:left="140"/>
              <w:spacing w:after="0" w:line="142" w:lineRule="exact"/>
              <w:rPr>
                <w:sz w:val="20"/>
                <w:szCs w:val="20"/>
                <w:color w:val="auto"/>
              </w:rPr>
            </w:pPr>
            <w:r>
              <w:rPr>
                <w:rFonts w:ascii="Arial" w:cs="Arial" w:eastAsia="Arial" w:hAnsi="Arial"/>
                <w:sz w:val="14"/>
                <w:szCs w:val="14"/>
                <w:b w:val="1"/>
                <w:bCs w:val="1"/>
                <w:color w:val="auto"/>
                <w:w w:val="91"/>
              </w:rPr>
              <w:t>% change</w:t>
            </w:r>
          </w:p>
        </w:tc>
        <w:tc>
          <w:tcPr>
            <w:tcW w:w="240" w:type="dxa"/>
            <w:vAlign w:val="bottom"/>
            <w:tcBorders>
              <w:bottom w:val="single" w:sz="8" w:color="auto"/>
            </w:tcBorders>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700" w:type="dxa"/>
            <w:vAlign w:val="bottom"/>
            <w:tcBorders>
              <w:top w:val="single" w:sz="8" w:color="auto"/>
              <w:bottom w:val="single" w:sz="8" w:color="auto"/>
            </w:tcBorders>
          </w:tcPr>
          <w:p>
            <w:pPr>
              <w:jc w:val="right"/>
              <w:ind w:right="4"/>
              <w:spacing w:after="0" w:line="142" w:lineRule="exact"/>
              <w:rPr>
                <w:sz w:val="20"/>
                <w:szCs w:val="20"/>
                <w:color w:val="auto"/>
              </w:rPr>
            </w:pPr>
            <w:r>
              <w:rPr>
                <w:rFonts w:ascii="Arial" w:cs="Arial" w:eastAsia="Arial" w:hAnsi="Arial"/>
                <w:sz w:val="14"/>
                <w:szCs w:val="14"/>
                <w:b w:val="1"/>
                <w:bCs w:val="1"/>
                <w:color w:val="auto"/>
                <w:w w:val="98"/>
              </w:rPr>
              <w:t>$ change</w:t>
            </w:r>
          </w:p>
        </w:tc>
        <w:tc>
          <w:tcPr>
            <w:tcW w:w="7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 change</w:t>
            </w:r>
          </w:p>
        </w:tc>
        <w:tc>
          <w:tcPr>
            <w:tcW w:w="160" w:type="dxa"/>
            <w:vAlign w:val="bottom"/>
          </w:tcPr>
          <w:p>
            <w:pPr>
              <w:spacing w:after="0"/>
              <w:rPr>
                <w:sz w:val="12"/>
                <w:szCs w:val="12"/>
                <w:color w:val="auto"/>
              </w:rPr>
            </w:pPr>
          </w:p>
        </w:tc>
      </w:tr>
      <w:tr>
        <w:trPr>
          <w:trHeight w:val="142"/>
        </w:trPr>
        <w:tc>
          <w:tcPr>
            <w:tcW w:w="190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720" w:type="dxa"/>
            <w:vAlign w:val="bottom"/>
            <w:gridSpan w:val="3"/>
          </w:tcPr>
          <w:p>
            <w:pPr>
              <w:ind w:left="140"/>
              <w:spacing w:after="0" w:line="142" w:lineRule="exact"/>
              <w:rPr>
                <w:sz w:val="20"/>
                <w:szCs w:val="20"/>
                <w:color w:val="auto"/>
              </w:rPr>
            </w:pPr>
            <w:r>
              <w:rPr>
                <w:rFonts w:ascii="Arial" w:cs="Arial" w:eastAsia="Arial" w:hAnsi="Arial"/>
                <w:sz w:val="14"/>
                <w:szCs w:val="14"/>
                <w:b w:val="1"/>
                <w:bCs w:val="1"/>
                <w:color w:val="auto"/>
              </w:rPr>
              <w:t>(in thousands)</w:t>
            </w:r>
          </w:p>
        </w:tc>
        <w:tc>
          <w:tcPr>
            <w:tcW w:w="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216"/>
        </w:trPr>
        <w:tc>
          <w:tcPr>
            <w:tcW w:w="1900" w:type="dxa"/>
            <w:vAlign w:val="bottom"/>
            <w:shd w:val="clear" w:color="auto" w:fill="CCEEFF"/>
          </w:tcPr>
          <w:p>
            <w:pPr>
              <w:spacing w:after="0"/>
              <w:rPr>
                <w:sz w:val="20"/>
                <w:szCs w:val="20"/>
                <w:color w:val="auto"/>
              </w:rPr>
            </w:pPr>
            <w:r>
              <w:rPr>
                <w:rFonts w:ascii="Arial" w:cs="Arial" w:eastAsia="Arial" w:hAnsi="Arial"/>
                <w:sz w:val="18"/>
                <w:szCs w:val="18"/>
                <w:color w:val="auto"/>
              </w:rPr>
              <w:t>United States</w:t>
            </w:r>
          </w:p>
        </w:tc>
        <w:tc>
          <w:tcPr>
            <w:tcW w:w="10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789,879</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804,516</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$(14,637)</w:t>
            </w:r>
          </w:p>
        </w:tc>
        <w:tc>
          <w:tcPr>
            <w:tcW w:w="10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(1.8)%</w:t>
            </w: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0"/>
              </w:rPr>
              <w:t>$(14,637)</w:t>
            </w:r>
          </w:p>
        </w:tc>
        <w:tc>
          <w:tcPr>
            <w:tcW w:w="9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(1.8)%</w:t>
            </w:r>
          </w:p>
        </w:tc>
      </w:tr>
      <w:tr>
        <w:trPr>
          <w:trHeight w:val="216"/>
        </w:trPr>
        <w:tc>
          <w:tcPr>
            <w:tcW w:w="1900" w:type="dxa"/>
            <w:vAlign w:val="bottom"/>
          </w:tcPr>
          <w:p>
            <w:pPr>
              <w:spacing w:after="0"/>
              <w:rPr>
                <w:sz w:val="20"/>
                <w:szCs w:val="20"/>
                <w:color w:val="auto"/>
              </w:rPr>
            </w:pPr>
            <w:r>
              <w:rPr>
                <w:rFonts w:ascii="Arial" w:cs="Arial" w:eastAsia="Arial" w:hAnsi="Arial"/>
                <w:sz w:val="18"/>
                <w:szCs w:val="18"/>
                <w:color w:val="auto"/>
              </w:rPr>
              <w:t>EMEA</w:t>
            </w:r>
          </w:p>
        </w:tc>
        <w:tc>
          <w:tcPr>
            <w:tcW w:w="9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205,200</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210,088</w:t>
            </w:r>
          </w:p>
        </w:tc>
        <w:tc>
          <w:tcPr>
            <w:tcW w:w="860" w:type="dxa"/>
            <w:vAlign w:val="bottom"/>
            <w:gridSpan w:val="2"/>
          </w:tcPr>
          <w:p>
            <w:pPr>
              <w:jc w:val="right"/>
              <w:spacing w:after="0"/>
              <w:rPr>
                <w:sz w:val="20"/>
                <w:szCs w:val="20"/>
                <w:color w:val="auto"/>
              </w:rPr>
            </w:pPr>
            <w:r>
              <w:rPr>
                <w:rFonts w:ascii="Arial" w:cs="Arial" w:eastAsia="Arial" w:hAnsi="Arial"/>
                <w:sz w:val="18"/>
                <w:szCs w:val="18"/>
                <w:color w:val="auto"/>
              </w:rPr>
              <w:t>(4,888)</w:t>
            </w:r>
          </w:p>
        </w:tc>
        <w:tc>
          <w:tcPr>
            <w:tcW w:w="1000" w:type="dxa"/>
            <w:vAlign w:val="bottom"/>
            <w:gridSpan w:val="2"/>
          </w:tcPr>
          <w:p>
            <w:pPr>
              <w:jc w:val="right"/>
              <w:ind w:right="80"/>
              <w:spacing w:after="0"/>
              <w:rPr>
                <w:sz w:val="20"/>
                <w:szCs w:val="20"/>
                <w:color w:val="auto"/>
              </w:rPr>
            </w:pPr>
            <w:r>
              <w:rPr>
                <w:rFonts w:ascii="Arial" w:cs="Arial" w:eastAsia="Arial" w:hAnsi="Arial"/>
                <w:sz w:val="18"/>
                <w:szCs w:val="18"/>
                <w:color w:val="auto"/>
              </w:rPr>
              <w:t>(2.3)%</w:t>
            </w:r>
          </w:p>
        </w:tc>
        <w:tc>
          <w:tcPr>
            <w:tcW w:w="720" w:type="dxa"/>
            <w:vAlign w:val="bottom"/>
            <w:gridSpan w:val="2"/>
          </w:tcPr>
          <w:p>
            <w:pPr>
              <w:jc w:val="right"/>
              <w:spacing w:after="0"/>
              <w:rPr>
                <w:sz w:val="20"/>
                <w:szCs w:val="20"/>
                <w:color w:val="auto"/>
              </w:rPr>
            </w:pPr>
            <w:r>
              <w:rPr>
                <w:rFonts w:ascii="Arial" w:cs="Arial" w:eastAsia="Arial" w:hAnsi="Arial"/>
                <w:sz w:val="18"/>
                <w:szCs w:val="18"/>
                <w:color w:val="auto"/>
              </w:rPr>
              <w:t>2,003</w:t>
            </w:r>
          </w:p>
        </w:tc>
        <w:tc>
          <w:tcPr>
            <w:tcW w:w="940" w:type="dxa"/>
            <w:vAlign w:val="bottom"/>
            <w:gridSpan w:val="2"/>
          </w:tcPr>
          <w:p>
            <w:pPr>
              <w:jc w:val="right"/>
              <w:ind w:right="20"/>
              <w:spacing w:after="0"/>
              <w:rPr>
                <w:sz w:val="20"/>
                <w:szCs w:val="20"/>
                <w:color w:val="auto"/>
              </w:rPr>
            </w:pPr>
            <w:r>
              <w:rPr>
                <w:rFonts w:ascii="Arial" w:cs="Arial" w:eastAsia="Arial" w:hAnsi="Arial"/>
                <w:sz w:val="18"/>
                <w:szCs w:val="18"/>
                <w:color w:val="auto"/>
              </w:rPr>
              <w:t>1.0 %</w:t>
            </w:r>
          </w:p>
        </w:tc>
      </w:tr>
      <w:tr>
        <w:trPr>
          <w:trHeight w:val="216"/>
        </w:trPr>
        <w:tc>
          <w:tcPr>
            <w:tcW w:w="1900" w:type="dxa"/>
            <w:vAlign w:val="bottom"/>
            <w:shd w:val="clear" w:color="auto" w:fill="CCEEFF"/>
          </w:tcPr>
          <w:p>
            <w:pPr>
              <w:spacing w:after="0"/>
              <w:rPr>
                <w:sz w:val="20"/>
                <w:szCs w:val="20"/>
                <w:color w:val="auto"/>
              </w:rPr>
            </w:pPr>
            <w:r>
              <w:rPr>
                <w:rFonts w:ascii="Arial" w:cs="Arial" w:eastAsia="Arial" w:hAnsi="Arial"/>
                <w:sz w:val="18"/>
                <w:szCs w:val="18"/>
                <w:color w:val="auto"/>
              </w:rPr>
              <w:t>Japan</w:t>
            </w:r>
          </w:p>
        </w:tc>
        <w:tc>
          <w:tcPr>
            <w:tcW w:w="9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201,264</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219,021</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(17,757)</w:t>
            </w:r>
          </w:p>
        </w:tc>
        <w:tc>
          <w:tcPr>
            <w:tcW w:w="10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(8.1)%</w:t>
            </w: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(10,007)</w:t>
            </w:r>
          </w:p>
        </w:tc>
        <w:tc>
          <w:tcPr>
            <w:tcW w:w="9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(4.6)%</w:t>
            </w:r>
          </w:p>
        </w:tc>
      </w:tr>
      <w:tr>
        <w:trPr>
          <w:trHeight w:val="216"/>
        </w:trPr>
        <w:tc>
          <w:tcPr>
            <w:tcW w:w="1900" w:type="dxa"/>
            <w:vAlign w:val="bottom"/>
          </w:tcPr>
          <w:p>
            <w:pPr>
              <w:spacing w:after="0"/>
              <w:rPr>
                <w:sz w:val="20"/>
                <w:szCs w:val="20"/>
                <w:color w:val="auto"/>
              </w:rPr>
            </w:pPr>
            <w:r>
              <w:rPr>
                <w:rFonts w:ascii="Arial" w:cs="Arial" w:eastAsia="Arial" w:hAnsi="Arial"/>
                <w:sz w:val="18"/>
                <w:szCs w:val="18"/>
                <w:color w:val="auto"/>
              </w:rPr>
              <w:t>Korea</w:t>
            </w:r>
          </w:p>
        </w:tc>
        <w:tc>
          <w:tcPr>
            <w:tcW w:w="9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200,394</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175,956</w:t>
            </w:r>
          </w:p>
        </w:tc>
        <w:tc>
          <w:tcPr>
            <w:tcW w:w="860" w:type="dxa"/>
            <w:vAlign w:val="bottom"/>
            <w:gridSpan w:val="2"/>
          </w:tcPr>
          <w:p>
            <w:pPr>
              <w:jc w:val="right"/>
              <w:spacing w:after="0"/>
              <w:rPr>
                <w:sz w:val="20"/>
                <w:szCs w:val="20"/>
                <w:color w:val="auto"/>
              </w:rPr>
            </w:pPr>
            <w:r>
              <w:rPr>
                <w:rFonts w:ascii="Arial" w:cs="Arial" w:eastAsia="Arial" w:hAnsi="Arial"/>
                <w:sz w:val="18"/>
                <w:szCs w:val="18"/>
                <w:color w:val="auto"/>
              </w:rPr>
              <w:t>24,438</w:t>
            </w:r>
          </w:p>
        </w:tc>
        <w:tc>
          <w:tcPr>
            <w:tcW w:w="1000" w:type="dxa"/>
            <w:vAlign w:val="bottom"/>
            <w:gridSpan w:val="2"/>
          </w:tcPr>
          <w:p>
            <w:pPr>
              <w:jc w:val="right"/>
              <w:ind w:right="80"/>
              <w:spacing w:after="0"/>
              <w:rPr>
                <w:sz w:val="20"/>
                <w:szCs w:val="20"/>
                <w:color w:val="auto"/>
              </w:rPr>
            </w:pPr>
            <w:r>
              <w:rPr>
                <w:rFonts w:ascii="Arial" w:cs="Arial" w:eastAsia="Arial" w:hAnsi="Arial"/>
                <w:sz w:val="18"/>
                <w:szCs w:val="18"/>
                <w:color w:val="auto"/>
              </w:rPr>
              <w:t>13.9 %</w:t>
            </w:r>
          </w:p>
        </w:tc>
        <w:tc>
          <w:tcPr>
            <w:tcW w:w="720" w:type="dxa"/>
            <w:vAlign w:val="bottom"/>
            <w:gridSpan w:val="2"/>
          </w:tcPr>
          <w:p>
            <w:pPr>
              <w:jc w:val="right"/>
              <w:spacing w:after="0"/>
              <w:rPr>
                <w:sz w:val="20"/>
                <w:szCs w:val="20"/>
                <w:color w:val="auto"/>
              </w:rPr>
            </w:pPr>
            <w:r>
              <w:rPr>
                <w:rFonts w:ascii="Arial" w:cs="Arial" w:eastAsia="Arial" w:hAnsi="Arial"/>
                <w:sz w:val="18"/>
                <w:szCs w:val="18"/>
                <w:color w:val="auto"/>
              </w:rPr>
              <w:t>19,919</w:t>
            </w:r>
          </w:p>
        </w:tc>
        <w:tc>
          <w:tcPr>
            <w:tcW w:w="940" w:type="dxa"/>
            <w:vAlign w:val="bottom"/>
            <w:gridSpan w:val="2"/>
          </w:tcPr>
          <w:p>
            <w:pPr>
              <w:jc w:val="right"/>
              <w:ind w:right="20"/>
              <w:spacing w:after="0"/>
              <w:rPr>
                <w:sz w:val="20"/>
                <w:szCs w:val="20"/>
                <w:color w:val="auto"/>
              </w:rPr>
            </w:pPr>
            <w:r>
              <w:rPr>
                <w:rFonts w:ascii="Arial" w:cs="Arial" w:eastAsia="Arial" w:hAnsi="Arial"/>
                <w:sz w:val="18"/>
                <w:szCs w:val="18"/>
                <w:color w:val="auto"/>
              </w:rPr>
              <w:t>11.3 %</w:t>
            </w:r>
          </w:p>
        </w:tc>
      </w:tr>
      <w:tr>
        <w:trPr>
          <w:trHeight w:val="216"/>
        </w:trPr>
        <w:tc>
          <w:tcPr>
            <w:tcW w:w="1900" w:type="dxa"/>
            <w:vAlign w:val="bottom"/>
            <w:shd w:val="clear" w:color="auto" w:fill="CCEEFF"/>
          </w:tcPr>
          <w:p>
            <w:pPr>
              <w:spacing w:after="0"/>
              <w:rPr>
                <w:sz w:val="20"/>
                <w:szCs w:val="20"/>
                <w:color w:val="auto"/>
              </w:rPr>
            </w:pPr>
            <w:r>
              <w:rPr>
                <w:rFonts w:ascii="Arial" w:cs="Arial" w:eastAsia="Arial" w:hAnsi="Arial"/>
                <w:sz w:val="18"/>
                <w:szCs w:val="18"/>
                <w:color w:val="auto"/>
              </w:rPr>
              <w:t>Rest of world</w:t>
            </w:r>
          </w:p>
        </w:tc>
        <w:tc>
          <w:tcPr>
            <w:tcW w:w="9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163,521</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162,694</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827</w:t>
            </w:r>
          </w:p>
        </w:tc>
        <w:tc>
          <w:tcPr>
            <w:tcW w:w="10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0.5 %</w:t>
            </w: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(410)</w:t>
            </w:r>
          </w:p>
        </w:tc>
        <w:tc>
          <w:tcPr>
            <w:tcW w:w="9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(0.3)%</w:t>
            </w:r>
          </w:p>
        </w:tc>
      </w:tr>
      <w:tr>
        <w:trPr>
          <w:trHeight w:val="217"/>
        </w:trPr>
        <w:tc>
          <w:tcPr>
            <w:tcW w:w="1900" w:type="dxa"/>
            <w:vAlign w:val="bottom"/>
          </w:tcPr>
          <w:p>
            <w:pPr>
              <w:ind w:left="220"/>
              <w:spacing w:after="0"/>
              <w:rPr>
                <w:sz w:val="20"/>
                <w:szCs w:val="20"/>
                <w:color w:val="auto"/>
              </w:rPr>
            </w:pPr>
            <w:r>
              <w:rPr>
                <w:rFonts w:ascii="Arial" w:cs="Arial" w:eastAsia="Arial" w:hAnsi="Arial"/>
                <w:sz w:val="18"/>
                <w:szCs w:val="18"/>
                <w:color w:val="auto"/>
              </w:rPr>
              <w:t>Total sales</w:t>
            </w:r>
          </w:p>
        </w:tc>
        <w:tc>
          <w:tcPr>
            <w:tcW w:w="940" w:type="dxa"/>
            <w:vAlign w:val="bottom"/>
          </w:tcPr>
          <w:p>
            <w:pPr>
              <w:spacing w:after="0"/>
              <w:rPr>
                <w:sz w:val="18"/>
                <w:szCs w:val="18"/>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u w:val="single" w:color="auto"/>
                <w:color w:val="auto"/>
                <w:w w:val="71"/>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7"/>
              </w:rPr>
              <w:t>1,560,258</w:t>
            </w:r>
          </w:p>
        </w:tc>
        <w:tc>
          <w:tcPr>
            <w:tcW w:w="160" w:type="dxa"/>
            <w:vAlign w:val="bottom"/>
          </w:tcPr>
          <w:p>
            <w:pPr>
              <w:spacing w:after="0"/>
              <w:rPr>
                <w:sz w:val="18"/>
                <w:szCs w:val="18"/>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u w:val="single" w:color="auto"/>
                <w:color w:val="auto"/>
                <w:w w:val="71"/>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1,572,275</w:t>
            </w:r>
          </w:p>
        </w:tc>
        <w:tc>
          <w:tcPr>
            <w:tcW w:w="140" w:type="dxa"/>
            <w:vAlign w:val="bottom"/>
          </w:tcPr>
          <w:p>
            <w:pPr>
              <w:spacing w:after="0"/>
              <w:rPr>
                <w:sz w:val="18"/>
                <w:szCs w:val="18"/>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90"/>
              </w:rPr>
              <w:t>$</w:t>
            </w:r>
            <w:r>
              <w:rPr>
                <w:rFonts w:ascii="Arial" w:cs="Arial" w:eastAsia="Arial" w:hAnsi="Arial"/>
                <w:sz w:val="18"/>
                <w:szCs w:val="18"/>
                <w:color w:val="auto"/>
                <w:w w:val="90"/>
              </w:rPr>
              <w:t>(12,017)</w:t>
            </w:r>
          </w:p>
        </w:tc>
        <w:tc>
          <w:tcPr>
            <w:tcW w:w="1000" w:type="dxa"/>
            <w:vAlign w:val="bottom"/>
            <w:gridSpan w:val="2"/>
          </w:tcPr>
          <w:p>
            <w:pPr>
              <w:jc w:val="right"/>
              <w:ind w:right="80"/>
              <w:spacing w:after="0"/>
              <w:rPr>
                <w:sz w:val="20"/>
                <w:szCs w:val="20"/>
                <w:color w:val="auto"/>
              </w:rPr>
            </w:pPr>
            <w:r>
              <w:rPr>
                <w:rFonts w:ascii="Arial" w:cs="Arial" w:eastAsia="Arial" w:hAnsi="Arial"/>
                <w:sz w:val="18"/>
                <w:szCs w:val="18"/>
                <w:color w:val="auto"/>
              </w:rPr>
              <w:t>(0.8)%</w:t>
            </w:r>
          </w:p>
        </w:tc>
        <w:tc>
          <w:tcPr>
            <w:tcW w:w="20" w:type="dxa"/>
            <w:vAlign w:val="bottom"/>
            <w:tcBorders>
              <w:bottom w:val="single" w:sz="8" w:color="auto"/>
            </w:tcBorders>
          </w:tcPr>
          <w:p>
            <w:pPr>
              <w:spacing w:after="0"/>
              <w:rPr>
                <w:sz w:val="18"/>
                <w:szCs w:val="18"/>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4"/>
              </w:rPr>
              <w:t>$ (3,132)</w:t>
            </w:r>
          </w:p>
        </w:tc>
        <w:tc>
          <w:tcPr>
            <w:tcW w:w="940" w:type="dxa"/>
            <w:vAlign w:val="bottom"/>
            <w:gridSpan w:val="2"/>
          </w:tcPr>
          <w:p>
            <w:pPr>
              <w:jc w:val="right"/>
              <w:ind w:right="20"/>
              <w:spacing w:after="0"/>
              <w:rPr>
                <w:sz w:val="20"/>
                <w:szCs w:val="20"/>
                <w:color w:val="auto"/>
              </w:rPr>
            </w:pPr>
            <w:r>
              <w:rPr>
                <w:rFonts w:ascii="Arial" w:cs="Arial" w:eastAsia="Arial" w:hAnsi="Arial"/>
                <w:sz w:val="18"/>
                <w:szCs w:val="18"/>
                <w:color w:val="auto"/>
              </w:rPr>
              <w:t>(0.2)%</w:t>
            </w:r>
          </w:p>
        </w:tc>
      </w:tr>
    </w:tbl>
    <w:p>
      <w:pPr>
        <w:spacing w:after="0" w:line="202" w:lineRule="exact"/>
        <w:rPr>
          <w:sz w:val="20"/>
          <w:szCs w:val="20"/>
          <w:color w:val="auto"/>
        </w:rPr>
      </w:pPr>
    </w:p>
    <w:p>
      <w:pPr>
        <w:ind w:left="380" w:right="439" w:firstLine="648"/>
        <w:spacing w:after="0" w:line="293" w:lineRule="auto"/>
        <w:rPr>
          <w:sz w:val="20"/>
          <w:szCs w:val="20"/>
          <w:color w:val="auto"/>
        </w:rPr>
      </w:pPr>
      <w:r>
        <w:rPr>
          <w:rFonts w:ascii="Arial" w:cs="Arial" w:eastAsia="Arial" w:hAnsi="Arial"/>
          <w:sz w:val="16"/>
          <w:szCs w:val="16"/>
          <w:color w:val="auto"/>
        </w:rPr>
        <w:t>Net sales in the United States decreased by $14.6 million, or 1.8%, to $789.9 million for the year ended December 31, 2017 compared to $804.5 million for the year ended December 31, 2016. This decrease in net sales in the United States resulted from a decrease of $10.5 million in net sales of Titleist golf clubs and a decrease of $3.3 million in net sales of Titleist golf balls. Net sales in the United States were impacted by a reduced store count as a result of the continued impact of retail channel disruptions that occurred in 2016 as well as unfavorable weather conditions which negatively impacted both rounds of play and golf club fitting and trial activities.</w:t>
      </w:r>
    </w:p>
    <w:p>
      <w:pPr>
        <w:spacing w:after="0" w:line="165" w:lineRule="exact"/>
        <w:rPr>
          <w:sz w:val="20"/>
          <w:szCs w:val="20"/>
          <w:color w:val="auto"/>
        </w:rPr>
      </w:pPr>
    </w:p>
    <w:p>
      <w:pPr>
        <w:ind w:left="380" w:right="399" w:firstLine="648"/>
        <w:spacing w:after="0" w:line="255" w:lineRule="auto"/>
        <w:rPr>
          <w:sz w:val="20"/>
          <w:szCs w:val="20"/>
          <w:color w:val="auto"/>
        </w:rPr>
      </w:pPr>
      <w:r>
        <w:rPr>
          <w:rFonts w:ascii="Arial" w:cs="Arial" w:eastAsia="Arial" w:hAnsi="Arial"/>
          <w:sz w:val="18"/>
          <w:szCs w:val="18"/>
          <w:color w:val="auto"/>
        </w:rPr>
        <w:t>Our sales in regions outside of the United States increased by $2.6 million, or 0.3%, to $770.4 million for the year ended December 31, 2017 compared to $767.8 million for the year ended December 31, 2016. On a constant currency basis, net sales in such regions would have increased by $11.5 million, or 1.5%, to $779.3 million, driven by an increase of $10.4 million in net sales of FootJoy golf wear, an increase of $6.2 million in net sales of Titleist golf gear, and an increase of $3.0 million in net sales of Titleist golf balls, largely offset by a decrease of $19.3 million in net sales</w:t>
      </w:r>
    </w:p>
    <w:p>
      <w:pPr>
        <w:spacing w:after="0" w:line="191"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61" w:name="page62"/>
    <w:bookmarkEnd w:id="61"/>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380" w:right="419"/>
        <w:spacing w:after="0" w:line="308" w:lineRule="auto"/>
        <w:rPr>
          <w:sz w:val="20"/>
          <w:szCs w:val="20"/>
          <w:color w:val="auto"/>
        </w:rPr>
      </w:pPr>
      <w:r>
        <w:rPr>
          <w:rFonts w:ascii="Arial" w:cs="Arial" w:eastAsia="Arial" w:hAnsi="Arial"/>
          <w:sz w:val="17"/>
          <w:szCs w:val="17"/>
          <w:color w:val="auto"/>
        </w:rPr>
        <w:t>of Titleist golf clubs. The remaining increase in net sales was due to sales volume growth of products that are sold in regions outside the United States and that are not allocated to one of our four reportable segments.</w:t>
      </w:r>
    </w:p>
    <w:p>
      <w:pPr>
        <w:spacing w:after="0" w:line="147" w:lineRule="exact"/>
        <w:rPr>
          <w:sz w:val="20"/>
          <w:szCs w:val="20"/>
          <w:color w:val="auto"/>
        </w:rPr>
      </w:pPr>
    </w:p>
    <w:p>
      <w:pPr>
        <w:ind w:left="380" w:right="959" w:firstLine="648"/>
        <w:spacing w:after="0" w:line="277" w:lineRule="auto"/>
        <w:rPr>
          <w:sz w:val="20"/>
          <w:szCs w:val="20"/>
          <w:color w:val="auto"/>
        </w:rPr>
      </w:pPr>
      <w:r>
        <w:rPr>
          <w:rFonts w:ascii="Arial" w:cs="Arial" w:eastAsia="Arial" w:hAnsi="Arial"/>
          <w:sz w:val="18"/>
          <w:szCs w:val="18"/>
          <w:color w:val="auto"/>
        </w:rPr>
        <w:t>More information on our net sales by reportable segment and by region can be found in “Notes to Consolidated Financial Statements – Note 20—Segment Information.”</w:t>
      </w:r>
    </w:p>
    <w:p>
      <w:pPr>
        <w:spacing w:after="0" w:line="170" w:lineRule="exact"/>
        <w:rPr>
          <w:sz w:val="20"/>
          <w:szCs w:val="20"/>
          <w:color w:val="auto"/>
        </w:rPr>
      </w:pPr>
    </w:p>
    <w:p>
      <w:pPr>
        <w:ind w:left="1040"/>
        <w:spacing w:after="0"/>
        <w:rPr>
          <w:sz w:val="20"/>
          <w:szCs w:val="20"/>
          <w:color w:val="auto"/>
        </w:rPr>
      </w:pPr>
      <w:r>
        <w:rPr>
          <w:rFonts w:ascii="Arial" w:cs="Arial" w:eastAsia="Arial" w:hAnsi="Arial"/>
          <w:sz w:val="18"/>
          <w:szCs w:val="18"/>
          <w:i w:val="1"/>
          <w:iCs w:val="1"/>
          <w:color w:val="auto"/>
        </w:rPr>
        <w:t>Gross Profit</w:t>
      </w:r>
    </w:p>
    <w:p>
      <w:pPr>
        <w:spacing w:after="0" w:line="225" w:lineRule="exact"/>
        <w:rPr>
          <w:sz w:val="20"/>
          <w:szCs w:val="20"/>
          <w:color w:val="auto"/>
        </w:rPr>
      </w:pPr>
    </w:p>
    <w:p>
      <w:pPr>
        <w:ind w:left="380" w:right="379" w:firstLine="648"/>
        <w:spacing w:after="0" w:line="270" w:lineRule="auto"/>
        <w:rPr>
          <w:sz w:val="20"/>
          <w:szCs w:val="20"/>
          <w:color w:val="auto"/>
        </w:rPr>
      </w:pPr>
      <w:r>
        <w:rPr>
          <w:rFonts w:ascii="Arial" w:cs="Arial" w:eastAsia="Arial" w:hAnsi="Arial"/>
          <w:sz w:val="17"/>
          <w:szCs w:val="17"/>
          <w:color w:val="auto"/>
        </w:rPr>
        <w:t>Gross profit increased by $2.1 million to $800.8 million for the year ended December 31, 2017 compared to $798.7 million for the year ended December 31, 2016. Gross margin increased to 51.3% for the year ended December 31, 2017 compared to 50.8% for the year ended December 31, 2016. The increase in gross profit was largely driven by an increase in gross profit from our products not allocated to one of our four reportable segments and a $5.4 million increase in gross profit in FootJoy golf wear primarily due to sales volume increase in apparel. These increases were largely offset by a decrease of $18.1 million in Titleist golf clubs primarily resulting from lower sales volumes of drivers and fairways, coupled with wedges which were in their second model year. The increase in gross margin was primarily driven by a gross margin increase in the FootJoy golf wear segment and from our products not allocated to one of our four reportable segments.</w:t>
      </w:r>
    </w:p>
    <w:p>
      <w:pPr>
        <w:spacing w:after="0" w:line="182" w:lineRule="exact"/>
        <w:rPr>
          <w:sz w:val="20"/>
          <w:szCs w:val="20"/>
          <w:color w:val="auto"/>
        </w:rPr>
      </w:pPr>
    </w:p>
    <w:p>
      <w:pPr>
        <w:ind w:left="1040"/>
        <w:spacing w:after="0"/>
        <w:rPr>
          <w:sz w:val="20"/>
          <w:szCs w:val="20"/>
          <w:color w:val="auto"/>
        </w:rPr>
      </w:pPr>
      <w:r>
        <w:rPr>
          <w:rFonts w:ascii="Arial" w:cs="Arial" w:eastAsia="Arial" w:hAnsi="Arial"/>
          <w:sz w:val="18"/>
          <w:szCs w:val="18"/>
          <w:i w:val="1"/>
          <w:iCs w:val="1"/>
          <w:color w:val="auto"/>
        </w:rPr>
        <w:t>Selling, General and Administrative Expenses</w:t>
      </w:r>
    </w:p>
    <w:p>
      <w:pPr>
        <w:spacing w:after="0" w:line="225" w:lineRule="exact"/>
        <w:rPr>
          <w:sz w:val="20"/>
          <w:szCs w:val="20"/>
          <w:color w:val="auto"/>
        </w:rPr>
      </w:pPr>
    </w:p>
    <w:p>
      <w:pPr>
        <w:ind w:left="380" w:right="399" w:firstLine="648"/>
        <w:spacing w:after="0" w:line="290" w:lineRule="auto"/>
        <w:rPr>
          <w:sz w:val="20"/>
          <w:szCs w:val="20"/>
          <w:color w:val="auto"/>
        </w:rPr>
      </w:pPr>
      <w:r>
        <w:rPr>
          <w:rFonts w:ascii="Arial" w:cs="Arial" w:eastAsia="Arial" w:hAnsi="Arial"/>
          <w:sz w:val="16"/>
          <w:szCs w:val="16"/>
          <w:color w:val="auto"/>
        </w:rPr>
        <w:t>Selling, general and administrative expenses decreased by $21.0 million to $579.8 million for the year ended December 31, 2017 compared to $600.8 million for the year ended December 31, 2016. This decrease primarily resulted from $16.8 million in transaction costs primarily related to our initial public offering recorded in the year ended December 31, 2016, the absence of a $7.5 million one-time executive bonus recorded in the first quarter of 2016, a $6.2 million reduction in bad debt expense and the absence of a $5.6 million expense associated with our EAR plan. This was partially offset by an increase of $9.2 million driven by higher consulting, legal and administrative costs and an increase of $6.2 million in selling expenses primarily due to our products not allocated to one of our four reportable segments and from FootJoy golf wear.</w:t>
      </w:r>
    </w:p>
    <w:p>
      <w:pPr>
        <w:spacing w:after="0" w:line="166" w:lineRule="exact"/>
        <w:rPr>
          <w:sz w:val="20"/>
          <w:szCs w:val="20"/>
          <w:color w:val="auto"/>
        </w:rPr>
      </w:pPr>
    </w:p>
    <w:p>
      <w:pPr>
        <w:ind w:left="1040"/>
        <w:spacing w:after="0"/>
        <w:rPr>
          <w:sz w:val="20"/>
          <w:szCs w:val="20"/>
          <w:color w:val="auto"/>
        </w:rPr>
      </w:pPr>
      <w:r>
        <w:rPr>
          <w:rFonts w:ascii="Arial" w:cs="Arial" w:eastAsia="Arial" w:hAnsi="Arial"/>
          <w:sz w:val="18"/>
          <w:szCs w:val="18"/>
          <w:i w:val="1"/>
          <w:iCs w:val="1"/>
          <w:color w:val="auto"/>
        </w:rPr>
        <w:t>Research and Development</w:t>
      </w:r>
    </w:p>
    <w:p>
      <w:pPr>
        <w:spacing w:after="0" w:line="225" w:lineRule="exact"/>
        <w:rPr>
          <w:sz w:val="20"/>
          <w:szCs w:val="20"/>
          <w:color w:val="auto"/>
        </w:rPr>
      </w:pPr>
    </w:p>
    <w:p>
      <w:pPr>
        <w:ind w:left="380" w:right="479" w:firstLine="648"/>
        <w:spacing w:after="0" w:line="279" w:lineRule="auto"/>
        <w:rPr>
          <w:sz w:val="20"/>
          <w:szCs w:val="20"/>
          <w:color w:val="auto"/>
        </w:rPr>
      </w:pPr>
      <w:r>
        <w:rPr>
          <w:rFonts w:ascii="Arial" w:cs="Arial" w:eastAsia="Arial" w:hAnsi="Arial"/>
          <w:sz w:val="17"/>
          <w:szCs w:val="17"/>
          <w:color w:val="auto"/>
        </w:rPr>
        <w:t>R&amp;D expenses decreased by $0.7 million to $48.1 million for the year ended December 31, 2017 compared to $48.8 million for the year ended December 31, 2016. This decrease primarily resulted from the absence of a $0.3 million expense associated with our EAR plan. As a percentage of consolidated net sales, R&amp;D expenses were 3.1%, unchanged from the year ended December 31, 2016.</w:t>
      </w:r>
    </w:p>
    <w:p>
      <w:pPr>
        <w:spacing w:after="0" w:line="171" w:lineRule="exact"/>
        <w:rPr>
          <w:sz w:val="20"/>
          <w:szCs w:val="20"/>
          <w:color w:val="auto"/>
        </w:rPr>
      </w:pPr>
    </w:p>
    <w:p>
      <w:pPr>
        <w:ind w:left="1040"/>
        <w:spacing w:after="0"/>
        <w:rPr>
          <w:sz w:val="20"/>
          <w:szCs w:val="20"/>
          <w:color w:val="auto"/>
        </w:rPr>
      </w:pPr>
      <w:r>
        <w:rPr>
          <w:rFonts w:ascii="Arial" w:cs="Arial" w:eastAsia="Arial" w:hAnsi="Arial"/>
          <w:sz w:val="18"/>
          <w:szCs w:val="18"/>
          <w:i w:val="1"/>
          <w:iCs w:val="1"/>
          <w:color w:val="auto"/>
        </w:rPr>
        <w:t>Intangible Amortization</w:t>
      </w:r>
    </w:p>
    <w:p>
      <w:pPr>
        <w:spacing w:after="0" w:line="225" w:lineRule="exact"/>
        <w:rPr>
          <w:sz w:val="20"/>
          <w:szCs w:val="20"/>
          <w:color w:val="auto"/>
        </w:rPr>
      </w:pPr>
    </w:p>
    <w:p>
      <w:pPr>
        <w:ind w:left="380" w:right="499" w:firstLine="648"/>
        <w:spacing w:after="0" w:line="277" w:lineRule="auto"/>
        <w:rPr>
          <w:sz w:val="20"/>
          <w:szCs w:val="20"/>
          <w:color w:val="auto"/>
        </w:rPr>
      </w:pPr>
      <w:r>
        <w:rPr>
          <w:rFonts w:ascii="Arial" w:cs="Arial" w:eastAsia="Arial" w:hAnsi="Arial"/>
          <w:sz w:val="18"/>
          <w:szCs w:val="18"/>
          <w:color w:val="auto"/>
        </w:rPr>
        <w:t>Intangible amortization expenses were $6.5 million for the year ended December 31, 2017, compared to $6.6 million for the year ended December 31, 2016.</w:t>
      </w:r>
    </w:p>
    <w:p>
      <w:pPr>
        <w:spacing w:after="0" w:line="170" w:lineRule="exact"/>
        <w:rPr>
          <w:sz w:val="20"/>
          <w:szCs w:val="20"/>
          <w:color w:val="auto"/>
        </w:rPr>
      </w:pPr>
    </w:p>
    <w:p>
      <w:pPr>
        <w:ind w:left="1040"/>
        <w:spacing w:after="0"/>
        <w:rPr>
          <w:sz w:val="20"/>
          <w:szCs w:val="20"/>
          <w:color w:val="auto"/>
        </w:rPr>
      </w:pPr>
      <w:r>
        <w:rPr>
          <w:rFonts w:ascii="Arial" w:cs="Arial" w:eastAsia="Arial" w:hAnsi="Arial"/>
          <w:sz w:val="18"/>
          <w:szCs w:val="18"/>
          <w:i w:val="1"/>
          <w:iCs w:val="1"/>
          <w:color w:val="auto"/>
        </w:rPr>
        <w:t>Restructuring Charges</w:t>
      </w:r>
    </w:p>
    <w:p>
      <w:pPr>
        <w:spacing w:after="0" w:line="225" w:lineRule="exact"/>
        <w:rPr>
          <w:sz w:val="20"/>
          <w:szCs w:val="20"/>
          <w:color w:val="auto"/>
        </w:rPr>
      </w:pPr>
    </w:p>
    <w:p>
      <w:pPr>
        <w:ind w:left="380" w:right="639" w:firstLine="648"/>
        <w:spacing w:after="0" w:line="277" w:lineRule="auto"/>
        <w:rPr>
          <w:sz w:val="20"/>
          <w:szCs w:val="20"/>
          <w:color w:val="auto"/>
        </w:rPr>
      </w:pPr>
      <w:r>
        <w:rPr>
          <w:rFonts w:ascii="Arial" w:cs="Arial" w:eastAsia="Arial" w:hAnsi="Arial"/>
          <w:sz w:val="18"/>
          <w:szCs w:val="18"/>
          <w:color w:val="auto"/>
        </w:rPr>
        <w:t>There were no restructuring charges for the year ended December 31, 2017, compared to restructuring charges of $1.7 million for the year ended December 31, 2016.</w:t>
      </w:r>
    </w:p>
    <w:p>
      <w:pPr>
        <w:spacing w:after="0" w:line="170" w:lineRule="exact"/>
        <w:rPr>
          <w:sz w:val="20"/>
          <w:szCs w:val="20"/>
          <w:color w:val="auto"/>
        </w:rPr>
      </w:pPr>
    </w:p>
    <w:p>
      <w:pPr>
        <w:ind w:left="1040"/>
        <w:spacing w:after="0"/>
        <w:rPr>
          <w:sz w:val="20"/>
          <w:szCs w:val="20"/>
          <w:color w:val="auto"/>
        </w:rPr>
      </w:pPr>
      <w:r>
        <w:rPr>
          <w:rFonts w:ascii="Arial" w:cs="Arial" w:eastAsia="Arial" w:hAnsi="Arial"/>
          <w:sz w:val="18"/>
          <w:szCs w:val="18"/>
          <w:i w:val="1"/>
          <w:iCs w:val="1"/>
          <w:color w:val="auto"/>
        </w:rPr>
        <w:t>Interest Expense, net</w:t>
      </w:r>
    </w:p>
    <w:p>
      <w:pPr>
        <w:spacing w:after="0" w:line="225" w:lineRule="exact"/>
        <w:rPr>
          <w:sz w:val="20"/>
          <w:szCs w:val="20"/>
          <w:color w:val="auto"/>
        </w:rPr>
      </w:pPr>
    </w:p>
    <w:p>
      <w:pPr>
        <w:ind w:left="380" w:right="659" w:firstLine="648"/>
        <w:spacing w:after="0" w:line="288" w:lineRule="auto"/>
        <w:rPr>
          <w:sz w:val="20"/>
          <w:szCs w:val="20"/>
          <w:color w:val="auto"/>
        </w:rPr>
      </w:pPr>
      <w:r>
        <w:rPr>
          <w:rFonts w:ascii="Arial" w:cs="Arial" w:eastAsia="Arial" w:hAnsi="Arial"/>
          <w:sz w:val="16"/>
          <w:szCs w:val="16"/>
          <w:color w:val="auto"/>
        </w:rPr>
        <w:t>Interest expense decreased by $34.2 million to $15.7 million for the year ended December 31, 2017 compared to $49.9 million for the year ended December 31, 2016. This decrease primarily resulted from lower average outstanding borrowings during the year ended December 31, 2017 as a result of the conversion of our</w:t>
      </w:r>
    </w:p>
    <w:p>
      <w:pPr>
        <w:jc w:val="both"/>
        <w:ind w:left="380" w:right="419"/>
        <w:spacing w:after="0" w:line="254" w:lineRule="auto"/>
        <w:rPr>
          <w:sz w:val="20"/>
          <w:szCs w:val="20"/>
          <w:color w:val="auto"/>
        </w:rPr>
      </w:pPr>
      <w:r>
        <w:rPr>
          <w:rFonts w:ascii="Arial" w:cs="Arial" w:eastAsia="Arial" w:hAnsi="Arial"/>
          <w:sz w:val="18"/>
          <w:szCs w:val="18"/>
          <w:color w:val="auto"/>
        </w:rPr>
        <w:t>7.5% Convertible Notes to common shares prior to the closing of our initial public offering and the redemption of $34.5 million of the principal of our outstanding 7.5% bonds using the proceeds of the exercise of a portion of our outstanding common stock warrants in July 2016. In addition, the average interest rate on outstanding borrowings was lower during the year ended December 31, 2017.</w:t>
      </w:r>
    </w:p>
    <w:p>
      <w:pPr>
        <w:spacing w:after="0" w:line="187"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62" w:name="page63"/>
    <w:bookmarkEnd w:id="62"/>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1040"/>
        <w:spacing w:after="0"/>
        <w:rPr>
          <w:sz w:val="20"/>
          <w:szCs w:val="20"/>
          <w:color w:val="auto"/>
        </w:rPr>
      </w:pPr>
      <w:r>
        <w:rPr>
          <w:rFonts w:ascii="Arial" w:cs="Arial" w:eastAsia="Arial" w:hAnsi="Arial"/>
          <w:sz w:val="18"/>
          <w:szCs w:val="18"/>
          <w:i w:val="1"/>
          <w:iCs w:val="1"/>
          <w:color w:val="auto"/>
        </w:rPr>
        <w:t>Other (Income) Expense, net</w:t>
      </w:r>
    </w:p>
    <w:p>
      <w:pPr>
        <w:spacing w:after="0" w:line="225" w:lineRule="exact"/>
        <w:rPr>
          <w:sz w:val="20"/>
          <w:szCs w:val="20"/>
          <w:color w:val="auto"/>
        </w:rPr>
      </w:pPr>
    </w:p>
    <w:p>
      <w:pPr>
        <w:ind w:left="380" w:right="419" w:firstLine="648"/>
        <w:spacing w:after="0" w:line="291" w:lineRule="auto"/>
        <w:rPr>
          <w:sz w:val="20"/>
          <w:szCs w:val="20"/>
          <w:color w:val="auto"/>
        </w:rPr>
      </w:pPr>
      <w:r>
        <w:rPr>
          <w:rFonts w:ascii="Arial" w:cs="Arial" w:eastAsia="Arial" w:hAnsi="Arial"/>
          <w:sz w:val="16"/>
          <w:szCs w:val="16"/>
          <w:color w:val="auto"/>
        </w:rPr>
        <w:t>Other (income) expense, net increased by $2.8 million to other income of $1.1 million for the year ended December 31, 2017 compared to other expense of $1.7 million for the year ended December 31, 2016. This change primarily resulted from the recognition of a loss of $6.1 million on the fair value measurement of common stock warrants during the year ended December 31, 2016. The warrants were fully exercised in July 2016 and no warrants were outstanding during the year ended December 31, 2017. This was partially offset by a decrease in income recorded of $2.4 million related to a change in income tax indemnifications and a $1.5 million decrease related to income recorded during the year ended December 31, 2016 to recognize a favorable legal judgment.</w:t>
      </w:r>
    </w:p>
    <w:p>
      <w:pPr>
        <w:spacing w:after="0" w:line="167" w:lineRule="exact"/>
        <w:rPr>
          <w:sz w:val="20"/>
          <w:szCs w:val="20"/>
          <w:color w:val="auto"/>
        </w:rPr>
      </w:pPr>
    </w:p>
    <w:p>
      <w:pPr>
        <w:ind w:left="1040"/>
        <w:spacing w:after="0"/>
        <w:rPr>
          <w:sz w:val="20"/>
          <w:szCs w:val="20"/>
          <w:color w:val="auto"/>
        </w:rPr>
      </w:pPr>
      <w:r>
        <w:rPr>
          <w:rFonts w:ascii="Arial" w:cs="Arial" w:eastAsia="Arial" w:hAnsi="Arial"/>
          <w:sz w:val="18"/>
          <w:szCs w:val="18"/>
          <w:i w:val="1"/>
          <w:iCs w:val="1"/>
          <w:color w:val="auto"/>
        </w:rPr>
        <w:t>Income Tax Expense</w:t>
      </w:r>
    </w:p>
    <w:p>
      <w:pPr>
        <w:spacing w:after="0" w:line="225" w:lineRule="exact"/>
        <w:rPr>
          <w:sz w:val="20"/>
          <w:szCs w:val="20"/>
          <w:color w:val="auto"/>
        </w:rPr>
      </w:pPr>
    </w:p>
    <w:p>
      <w:pPr>
        <w:ind w:left="380" w:right="379" w:firstLine="648"/>
        <w:spacing w:after="0" w:line="291" w:lineRule="auto"/>
        <w:rPr>
          <w:sz w:val="20"/>
          <w:szCs w:val="20"/>
          <w:color w:val="auto"/>
        </w:rPr>
      </w:pPr>
      <w:r>
        <w:rPr>
          <w:rFonts w:ascii="Arial" w:cs="Arial" w:eastAsia="Arial" w:hAnsi="Arial"/>
          <w:sz w:val="16"/>
          <w:szCs w:val="16"/>
          <w:color w:val="auto"/>
        </w:rPr>
        <w:t>Income tax expense increased by $15.4 million to $55.1 million for the year ended December 31, 2017 compared to $39.7 million for the year ended December 31, 2016. Our ETR was 36.3% for the year ended December 31, 2017, compared to 44.5% for the year ended December 31, 2016. The decrease in ETR primarily resulted from decreases in non-deductible transaction costs, non-cash fair value losses on common stock warrants which are not tax effected, and indemnified tax obligations, offset by the impact due to the reduced US Federal tax rate on deferred tax assets and liabilities and the impact of the US transition tax, both as provided for by the US Tax Cuts and Jobs Act of 2017 (the “2017 Tax Act”) and changes to the geographical mix of earnings.</w:t>
      </w:r>
    </w:p>
    <w:p>
      <w:pPr>
        <w:spacing w:after="0" w:line="167" w:lineRule="exact"/>
        <w:rPr>
          <w:sz w:val="20"/>
          <w:szCs w:val="20"/>
          <w:color w:val="auto"/>
        </w:rPr>
      </w:pPr>
    </w:p>
    <w:p>
      <w:pPr>
        <w:ind w:left="1040"/>
        <w:spacing w:after="0"/>
        <w:rPr>
          <w:sz w:val="20"/>
          <w:szCs w:val="20"/>
          <w:color w:val="auto"/>
        </w:rPr>
      </w:pPr>
      <w:r>
        <w:rPr>
          <w:rFonts w:ascii="Arial" w:cs="Arial" w:eastAsia="Arial" w:hAnsi="Arial"/>
          <w:sz w:val="18"/>
          <w:szCs w:val="18"/>
          <w:i w:val="1"/>
          <w:iCs w:val="1"/>
          <w:color w:val="auto"/>
        </w:rPr>
        <w:t>Net Income Attributable to Acushnet Holdings Corp.</w:t>
      </w:r>
    </w:p>
    <w:p>
      <w:pPr>
        <w:spacing w:after="0" w:line="225" w:lineRule="exact"/>
        <w:rPr>
          <w:sz w:val="20"/>
          <w:szCs w:val="20"/>
          <w:color w:val="auto"/>
        </w:rPr>
      </w:pPr>
    </w:p>
    <w:p>
      <w:pPr>
        <w:ind w:left="380" w:right="539" w:firstLine="648"/>
        <w:spacing w:after="0" w:line="259" w:lineRule="auto"/>
        <w:rPr>
          <w:sz w:val="20"/>
          <w:szCs w:val="20"/>
          <w:color w:val="auto"/>
        </w:rPr>
      </w:pPr>
      <w:r>
        <w:rPr>
          <w:rFonts w:ascii="Arial" w:cs="Arial" w:eastAsia="Arial" w:hAnsi="Arial"/>
          <w:sz w:val="18"/>
          <w:szCs w:val="18"/>
          <w:color w:val="auto"/>
        </w:rPr>
        <w:t>Net income attributable to Acushnet Holdings Corp. increased by $47.1 million to $92.1 million for the year ended December 31, 2017 compared to $45.0 million for the year ended December 31, 2016. This change was primarily a result of lower interest expense and higher income from operations partially offset by higher income tax expense, as discussed in more detail above.</w:t>
      </w:r>
    </w:p>
    <w:p>
      <w:pPr>
        <w:spacing w:after="0" w:line="187" w:lineRule="exact"/>
        <w:rPr>
          <w:sz w:val="20"/>
          <w:szCs w:val="20"/>
          <w:color w:val="auto"/>
        </w:rPr>
      </w:pPr>
    </w:p>
    <w:p>
      <w:pPr>
        <w:ind w:left="1040"/>
        <w:spacing w:after="0"/>
        <w:rPr>
          <w:sz w:val="20"/>
          <w:szCs w:val="20"/>
          <w:color w:val="auto"/>
        </w:rPr>
      </w:pPr>
      <w:r>
        <w:rPr>
          <w:rFonts w:ascii="Arial" w:cs="Arial" w:eastAsia="Arial" w:hAnsi="Arial"/>
          <w:sz w:val="18"/>
          <w:szCs w:val="18"/>
          <w:i w:val="1"/>
          <w:iCs w:val="1"/>
          <w:color w:val="auto"/>
        </w:rPr>
        <w:t>Adjusted EBITDA</w:t>
      </w:r>
    </w:p>
    <w:p>
      <w:pPr>
        <w:spacing w:after="0" w:line="225" w:lineRule="exact"/>
        <w:rPr>
          <w:sz w:val="20"/>
          <w:szCs w:val="20"/>
          <w:color w:val="auto"/>
        </w:rPr>
      </w:pPr>
    </w:p>
    <w:p>
      <w:pPr>
        <w:ind w:left="380" w:right="379" w:firstLine="648"/>
        <w:spacing w:after="0" w:line="286" w:lineRule="auto"/>
        <w:rPr>
          <w:sz w:val="20"/>
          <w:szCs w:val="20"/>
          <w:color w:val="auto"/>
        </w:rPr>
      </w:pPr>
      <w:r>
        <w:rPr>
          <w:rFonts w:ascii="Arial" w:cs="Arial" w:eastAsia="Arial" w:hAnsi="Arial"/>
          <w:sz w:val="17"/>
          <w:szCs w:val="17"/>
          <w:color w:val="auto"/>
        </w:rPr>
        <w:t>Adjusted EBITDA decreased by $5.0 million to $223.4 million for the year ended December 31, 2017 compared to $228.4 million for the year ended December 31, 2016. Adjusted EBITDA margin decreased to 14.3% for the year ended December 31, 2017 compared to 14.5% for the year ended December 31, 2016.</w:t>
      </w:r>
    </w:p>
    <w:p>
      <w:pPr>
        <w:spacing w:after="0" w:line="163"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63" w:name="page64"/>
    <w:bookmarkEnd w:id="63"/>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1040"/>
        <w:spacing w:after="0"/>
        <w:rPr>
          <w:sz w:val="20"/>
          <w:szCs w:val="20"/>
          <w:color w:val="auto"/>
        </w:rPr>
      </w:pPr>
      <w:r>
        <w:rPr>
          <w:rFonts w:ascii="Arial" w:cs="Arial" w:eastAsia="Arial" w:hAnsi="Arial"/>
          <w:sz w:val="18"/>
          <w:szCs w:val="18"/>
          <w:i w:val="1"/>
          <w:iCs w:val="1"/>
          <w:color w:val="auto"/>
        </w:rPr>
        <w:t>Segment Results</w:t>
      </w:r>
    </w:p>
    <w:p>
      <w:pPr>
        <w:spacing w:after="0" w:line="225" w:lineRule="exact"/>
        <w:rPr>
          <w:sz w:val="20"/>
          <w:szCs w:val="20"/>
          <w:color w:val="auto"/>
        </w:rPr>
      </w:pPr>
    </w:p>
    <w:p>
      <w:pPr>
        <w:ind w:left="1040"/>
        <w:spacing w:after="0"/>
        <w:rPr>
          <w:sz w:val="20"/>
          <w:szCs w:val="20"/>
          <w:color w:val="auto"/>
        </w:rPr>
      </w:pPr>
      <w:r>
        <w:rPr>
          <w:rFonts w:ascii="Arial" w:cs="Arial" w:eastAsia="Arial" w:hAnsi="Arial"/>
          <w:sz w:val="18"/>
          <w:szCs w:val="18"/>
          <w:color w:val="auto"/>
        </w:rPr>
        <w:t>Net sales by reportable segment is summarized as follows:</w:t>
      </w:r>
    </w:p>
    <w:p>
      <w:pPr>
        <w:spacing w:after="0" w:line="244" w:lineRule="exact"/>
        <w:rPr>
          <w:sz w:val="20"/>
          <w:szCs w:val="20"/>
          <w:color w:val="auto"/>
        </w:rPr>
      </w:pPr>
    </w:p>
    <w:tbl>
      <w:tblPr>
        <w:tblLayout w:type="fixed"/>
        <w:tblInd w:w="380" w:type="dxa"/>
        <w:tblCellMar>
          <w:top w:w="0" w:type="dxa"/>
          <w:left w:w="0" w:type="dxa"/>
          <w:bottom w:w="0" w:type="dxa"/>
          <w:right w:w="0" w:type="dxa"/>
        </w:tblCellMar>
      </w:tblPr>
      <w:tr>
        <w:trPr>
          <w:trHeight w:val="162"/>
        </w:trPr>
        <w:tc>
          <w:tcPr>
            <w:tcW w:w="22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640" w:type="dxa"/>
            <w:vAlign w:val="bottom"/>
            <w:gridSpan w:val="2"/>
          </w:tcPr>
          <w:p>
            <w:pPr>
              <w:jc w:val="right"/>
              <w:ind w:right="394"/>
              <w:spacing w:after="0"/>
              <w:rPr>
                <w:sz w:val="20"/>
                <w:szCs w:val="20"/>
                <w:color w:val="auto"/>
              </w:rPr>
            </w:pPr>
            <w:r>
              <w:rPr>
                <w:rFonts w:ascii="Arial" w:cs="Arial" w:eastAsia="Arial" w:hAnsi="Arial"/>
                <w:sz w:val="14"/>
                <w:szCs w:val="14"/>
                <w:b w:val="1"/>
                <w:bCs w:val="1"/>
                <w:color w:val="auto"/>
              </w:rPr>
              <w:t>Year ended</w:t>
            </w:r>
          </w:p>
        </w:tc>
        <w:tc>
          <w:tcPr>
            <w:tcW w:w="1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40" w:type="dxa"/>
            <w:vAlign w:val="bottom"/>
            <w:gridSpan w:val="3"/>
          </w:tcPr>
          <w:p>
            <w:pPr>
              <w:jc w:val="right"/>
              <w:ind w:right="320"/>
              <w:spacing w:after="0"/>
              <w:rPr>
                <w:sz w:val="20"/>
                <w:szCs w:val="20"/>
                <w:color w:val="auto"/>
              </w:rPr>
            </w:pPr>
            <w:r>
              <w:rPr>
                <w:rFonts w:ascii="Arial" w:cs="Arial" w:eastAsia="Arial" w:hAnsi="Arial"/>
                <w:sz w:val="14"/>
                <w:szCs w:val="14"/>
                <w:b w:val="1"/>
                <w:bCs w:val="1"/>
                <w:color w:val="auto"/>
              </w:rPr>
              <w:t>Constant Currency</w:t>
            </w:r>
          </w:p>
        </w:tc>
      </w:tr>
      <w:tr>
        <w:trPr>
          <w:trHeight w:val="171"/>
        </w:trPr>
        <w:tc>
          <w:tcPr>
            <w:tcW w:w="22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640" w:type="dxa"/>
            <w:vAlign w:val="bottom"/>
            <w:gridSpan w:val="2"/>
          </w:tcPr>
          <w:p>
            <w:pPr>
              <w:jc w:val="right"/>
              <w:ind w:right="334"/>
              <w:spacing w:after="0"/>
              <w:rPr>
                <w:sz w:val="20"/>
                <w:szCs w:val="20"/>
                <w:color w:val="auto"/>
              </w:rPr>
            </w:pPr>
            <w:r>
              <w:rPr>
                <w:rFonts w:ascii="Arial" w:cs="Arial" w:eastAsia="Arial" w:hAnsi="Arial"/>
                <w:sz w:val="14"/>
                <w:szCs w:val="14"/>
                <w:b w:val="1"/>
                <w:bCs w:val="1"/>
                <w:color w:val="auto"/>
              </w:rPr>
              <w:t>December 31,</w:t>
            </w:r>
          </w:p>
        </w:tc>
        <w:tc>
          <w:tcPr>
            <w:tcW w:w="140" w:type="dxa"/>
            <w:vAlign w:val="bottom"/>
          </w:tcPr>
          <w:p>
            <w:pPr>
              <w:spacing w:after="0"/>
              <w:rPr>
                <w:sz w:val="14"/>
                <w:szCs w:val="14"/>
                <w:color w:val="auto"/>
              </w:rPr>
            </w:pPr>
          </w:p>
        </w:tc>
        <w:tc>
          <w:tcPr>
            <w:tcW w:w="1680" w:type="dxa"/>
            <w:vAlign w:val="bottom"/>
            <w:gridSpan w:val="3"/>
          </w:tcPr>
          <w:p>
            <w:pPr>
              <w:jc w:val="right"/>
              <w:ind w:right="340"/>
              <w:spacing w:after="0"/>
              <w:rPr>
                <w:sz w:val="20"/>
                <w:szCs w:val="20"/>
                <w:color w:val="auto"/>
              </w:rPr>
            </w:pPr>
            <w:r>
              <w:rPr>
                <w:rFonts w:ascii="Arial" w:cs="Arial" w:eastAsia="Arial" w:hAnsi="Arial"/>
                <w:sz w:val="14"/>
                <w:szCs w:val="14"/>
                <w:b w:val="1"/>
                <w:bCs w:val="1"/>
                <w:color w:val="auto"/>
                <w:w w:val="99"/>
              </w:rPr>
              <w:t>Increase/(Decrease)</w:t>
            </w:r>
          </w:p>
        </w:tc>
        <w:tc>
          <w:tcPr>
            <w:tcW w:w="60" w:type="dxa"/>
            <w:vAlign w:val="bottom"/>
          </w:tcPr>
          <w:p>
            <w:pPr>
              <w:spacing w:after="0"/>
              <w:rPr>
                <w:sz w:val="14"/>
                <w:szCs w:val="14"/>
                <w:color w:val="auto"/>
              </w:rPr>
            </w:pPr>
          </w:p>
        </w:tc>
        <w:tc>
          <w:tcPr>
            <w:tcW w:w="1640" w:type="dxa"/>
            <w:vAlign w:val="bottom"/>
            <w:gridSpan w:val="3"/>
          </w:tcPr>
          <w:p>
            <w:pPr>
              <w:jc w:val="right"/>
              <w:ind w:right="300"/>
              <w:spacing w:after="0"/>
              <w:rPr>
                <w:sz w:val="20"/>
                <w:szCs w:val="20"/>
                <w:color w:val="auto"/>
              </w:rPr>
            </w:pPr>
            <w:r>
              <w:rPr>
                <w:rFonts w:ascii="Arial" w:cs="Arial" w:eastAsia="Arial" w:hAnsi="Arial"/>
                <w:sz w:val="14"/>
                <w:szCs w:val="14"/>
                <w:b w:val="1"/>
                <w:bCs w:val="1"/>
                <w:color w:val="auto"/>
                <w:w w:val="99"/>
              </w:rPr>
              <w:t>Increase/(Decrease)</w:t>
            </w:r>
          </w:p>
        </w:tc>
      </w:tr>
      <w:tr>
        <w:trPr>
          <w:trHeight w:val="142"/>
        </w:trPr>
        <w:tc>
          <w:tcPr>
            <w:tcW w:w="22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780" w:type="dxa"/>
            <w:vAlign w:val="bottom"/>
            <w:tcBorders>
              <w:top w:val="single" w:sz="8" w:color="auto"/>
              <w:bottom w:val="single" w:sz="8" w:color="auto"/>
            </w:tcBorders>
          </w:tcPr>
          <w:p>
            <w:pPr>
              <w:jc w:val="right"/>
              <w:ind w:right="188"/>
              <w:spacing w:after="0" w:line="142" w:lineRule="exact"/>
              <w:rPr>
                <w:sz w:val="20"/>
                <w:szCs w:val="20"/>
                <w:color w:val="auto"/>
              </w:rPr>
            </w:pPr>
            <w:r>
              <w:rPr>
                <w:rFonts w:ascii="Arial" w:cs="Arial" w:eastAsia="Arial" w:hAnsi="Arial"/>
                <w:sz w:val="14"/>
                <w:szCs w:val="14"/>
                <w:b w:val="1"/>
                <w:bCs w:val="1"/>
                <w:color w:val="auto"/>
              </w:rPr>
              <w:t>2017</w:t>
            </w:r>
          </w:p>
        </w:tc>
        <w:tc>
          <w:tcPr>
            <w:tcW w:w="860" w:type="dxa"/>
            <w:vAlign w:val="bottom"/>
            <w:tcBorders>
              <w:top w:val="single" w:sz="8" w:color="auto"/>
              <w:bottom w:val="single" w:sz="8" w:color="auto"/>
            </w:tcBorders>
          </w:tcPr>
          <w:p>
            <w:pPr>
              <w:jc w:val="right"/>
              <w:ind w:right="154"/>
              <w:spacing w:after="0" w:line="142" w:lineRule="exact"/>
              <w:rPr>
                <w:sz w:val="20"/>
                <w:szCs w:val="20"/>
                <w:color w:val="auto"/>
              </w:rPr>
            </w:pPr>
            <w:r>
              <w:rPr>
                <w:rFonts w:ascii="Arial" w:cs="Arial" w:eastAsia="Arial" w:hAnsi="Arial"/>
                <w:sz w:val="14"/>
                <w:szCs w:val="14"/>
                <w:b w:val="1"/>
                <w:bCs w:val="1"/>
                <w:color w:val="auto"/>
              </w:rPr>
              <w:t>2016</w:t>
            </w:r>
          </w:p>
        </w:tc>
        <w:tc>
          <w:tcPr>
            <w:tcW w:w="140" w:type="dxa"/>
            <w:vAlign w:val="bottom"/>
            <w:tcBorders>
              <w:bottom w:val="single" w:sz="8" w:color="auto"/>
            </w:tcBorders>
          </w:tcPr>
          <w:p>
            <w:pPr>
              <w:spacing w:after="0"/>
              <w:rPr>
                <w:sz w:val="12"/>
                <w:szCs w:val="12"/>
                <w:color w:val="auto"/>
              </w:rPr>
            </w:pPr>
          </w:p>
        </w:tc>
        <w:tc>
          <w:tcPr>
            <w:tcW w:w="800" w:type="dxa"/>
            <w:vAlign w:val="bottom"/>
            <w:tcBorders>
              <w:top w:val="single" w:sz="8" w:color="auto"/>
              <w:bottom w:val="single" w:sz="8" w:color="auto"/>
            </w:tcBorders>
          </w:tcPr>
          <w:p>
            <w:pPr>
              <w:jc w:val="right"/>
              <w:ind w:right="108"/>
              <w:spacing w:after="0" w:line="142" w:lineRule="exact"/>
              <w:rPr>
                <w:sz w:val="20"/>
                <w:szCs w:val="20"/>
                <w:color w:val="auto"/>
              </w:rPr>
            </w:pPr>
            <w:r>
              <w:rPr>
                <w:rFonts w:ascii="Arial" w:cs="Arial" w:eastAsia="Arial" w:hAnsi="Arial"/>
                <w:sz w:val="14"/>
                <w:szCs w:val="14"/>
                <w:b w:val="1"/>
                <w:bCs w:val="1"/>
                <w:color w:val="auto"/>
                <w:w w:val="98"/>
              </w:rPr>
              <w:t>$ change</w:t>
            </w:r>
          </w:p>
        </w:tc>
        <w:tc>
          <w:tcPr>
            <w:tcW w:w="6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 change</w:t>
            </w:r>
          </w:p>
        </w:tc>
        <w:tc>
          <w:tcPr>
            <w:tcW w:w="200" w:type="dxa"/>
            <w:vAlign w:val="bottom"/>
            <w:tcBorders>
              <w:bottom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780" w:type="dxa"/>
            <w:vAlign w:val="bottom"/>
            <w:tcBorders>
              <w:top w:val="single" w:sz="8" w:color="auto"/>
              <w:bottom w:val="single" w:sz="8" w:color="auto"/>
            </w:tcBorders>
          </w:tcPr>
          <w:p>
            <w:pPr>
              <w:jc w:val="right"/>
              <w:ind w:right="88"/>
              <w:spacing w:after="0" w:line="142" w:lineRule="exact"/>
              <w:rPr>
                <w:sz w:val="20"/>
                <w:szCs w:val="20"/>
                <w:color w:val="auto"/>
              </w:rPr>
            </w:pPr>
            <w:r>
              <w:rPr>
                <w:rFonts w:ascii="Arial" w:cs="Arial" w:eastAsia="Arial" w:hAnsi="Arial"/>
                <w:sz w:val="14"/>
                <w:szCs w:val="14"/>
                <w:b w:val="1"/>
                <w:bCs w:val="1"/>
                <w:color w:val="auto"/>
                <w:w w:val="98"/>
              </w:rPr>
              <w:t>$ change</w:t>
            </w:r>
          </w:p>
        </w:tc>
        <w:tc>
          <w:tcPr>
            <w:tcW w:w="7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 change</w:t>
            </w:r>
          </w:p>
        </w:tc>
        <w:tc>
          <w:tcPr>
            <w:tcW w:w="160" w:type="dxa"/>
            <w:vAlign w:val="bottom"/>
          </w:tcPr>
          <w:p>
            <w:pPr>
              <w:spacing w:after="0"/>
              <w:rPr>
                <w:sz w:val="12"/>
                <w:szCs w:val="12"/>
                <w:color w:val="auto"/>
              </w:rPr>
            </w:pPr>
          </w:p>
        </w:tc>
      </w:tr>
      <w:tr>
        <w:trPr>
          <w:trHeight w:val="142"/>
        </w:trPr>
        <w:tc>
          <w:tcPr>
            <w:tcW w:w="22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680" w:type="dxa"/>
            <w:vAlign w:val="bottom"/>
            <w:gridSpan w:val="3"/>
          </w:tcPr>
          <w:p>
            <w:pPr>
              <w:jc w:val="right"/>
              <w:ind w:right="520"/>
              <w:spacing w:after="0" w:line="142" w:lineRule="exact"/>
              <w:rPr>
                <w:sz w:val="20"/>
                <w:szCs w:val="20"/>
                <w:color w:val="auto"/>
              </w:rPr>
            </w:pPr>
            <w:r>
              <w:rPr>
                <w:rFonts w:ascii="Arial" w:cs="Arial" w:eastAsia="Arial" w:hAnsi="Arial"/>
                <w:sz w:val="14"/>
                <w:szCs w:val="14"/>
                <w:b w:val="1"/>
                <w:bCs w:val="1"/>
                <w:color w:val="auto"/>
              </w:rPr>
              <w:t>(in thousands)</w:t>
            </w:r>
          </w:p>
        </w:tc>
        <w:tc>
          <w:tcPr>
            <w:tcW w:w="6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216"/>
        </w:trPr>
        <w:tc>
          <w:tcPr>
            <w:tcW w:w="2200" w:type="dxa"/>
            <w:vAlign w:val="bottom"/>
            <w:shd w:val="clear" w:color="auto" w:fill="CCEEFF"/>
          </w:tcPr>
          <w:p>
            <w:pPr>
              <w:spacing w:after="0"/>
              <w:rPr>
                <w:sz w:val="20"/>
                <w:szCs w:val="20"/>
                <w:color w:val="auto"/>
              </w:rPr>
            </w:pPr>
            <w:r>
              <w:rPr>
                <w:rFonts w:ascii="Arial" w:cs="Arial" w:eastAsia="Arial" w:hAnsi="Arial"/>
                <w:sz w:val="18"/>
                <w:szCs w:val="18"/>
                <w:color w:val="auto"/>
              </w:rPr>
              <w:t>Titleist golf balls</w:t>
            </w:r>
          </w:p>
        </w:tc>
        <w:tc>
          <w:tcPr>
            <w:tcW w:w="1680" w:type="dxa"/>
            <w:vAlign w:val="bottom"/>
            <w:gridSpan w:val="2"/>
            <w:shd w:val="clear" w:color="auto" w:fill="CCEEFF"/>
          </w:tcPr>
          <w:p>
            <w:pPr>
              <w:jc w:val="right"/>
              <w:ind w:right="28"/>
              <w:spacing w:after="0"/>
              <w:rPr>
                <w:sz w:val="20"/>
                <w:szCs w:val="20"/>
                <w:color w:val="auto"/>
              </w:rPr>
            </w:pPr>
            <w:r>
              <w:rPr>
                <w:rFonts w:ascii="Arial" w:cs="Arial" w:eastAsia="Arial" w:hAnsi="Arial"/>
                <w:sz w:val="18"/>
                <w:szCs w:val="18"/>
                <w:color w:val="auto"/>
              </w:rPr>
              <w:t>$512,041</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$513,899</w:t>
            </w:r>
          </w:p>
        </w:tc>
        <w:tc>
          <w:tcPr>
            <w:tcW w:w="940" w:type="dxa"/>
            <w:vAlign w:val="bottom"/>
            <w:gridSpan w:val="2"/>
            <w:shd w:val="clear" w:color="auto" w:fill="CCEEFF"/>
          </w:tcPr>
          <w:p>
            <w:pPr>
              <w:jc w:val="right"/>
              <w:ind w:right="8"/>
              <w:spacing w:after="0"/>
              <w:rPr>
                <w:sz w:val="20"/>
                <w:szCs w:val="20"/>
                <w:color w:val="auto"/>
              </w:rPr>
            </w:pPr>
            <w:r>
              <w:rPr>
                <w:rFonts w:ascii="Arial" w:cs="Arial" w:eastAsia="Arial" w:hAnsi="Arial"/>
                <w:sz w:val="18"/>
                <w:szCs w:val="18"/>
                <w:color w:val="auto"/>
              </w:rPr>
              <w:t>$ (1,858)</w:t>
            </w:r>
          </w:p>
        </w:tc>
        <w:tc>
          <w:tcPr>
            <w:tcW w:w="8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(0.4)%</w:t>
            </w:r>
          </w:p>
        </w:tc>
        <w:tc>
          <w:tcPr>
            <w:tcW w:w="840" w:type="dxa"/>
            <w:vAlign w:val="bottom"/>
            <w:gridSpan w:val="2"/>
            <w:shd w:val="clear" w:color="auto" w:fill="CCEEFF"/>
          </w:tcPr>
          <w:p>
            <w:pPr>
              <w:jc w:val="right"/>
              <w:ind w:right="8"/>
              <w:spacing w:after="0"/>
              <w:rPr>
                <w:sz w:val="20"/>
                <w:szCs w:val="20"/>
                <w:color w:val="auto"/>
              </w:rPr>
            </w:pPr>
            <w:r>
              <w:rPr>
                <w:rFonts w:ascii="Arial" w:cs="Arial" w:eastAsia="Arial" w:hAnsi="Arial"/>
                <w:sz w:val="18"/>
                <w:szCs w:val="18"/>
                <w:color w:val="auto"/>
              </w:rPr>
              <w:t>$   (310)</w:t>
            </w:r>
          </w:p>
        </w:tc>
        <w:tc>
          <w:tcPr>
            <w:tcW w:w="8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(0.1)%</w:t>
            </w:r>
          </w:p>
        </w:tc>
      </w:tr>
      <w:tr>
        <w:trPr>
          <w:trHeight w:val="216"/>
        </w:trPr>
        <w:tc>
          <w:tcPr>
            <w:tcW w:w="2200" w:type="dxa"/>
            <w:vAlign w:val="bottom"/>
          </w:tcPr>
          <w:p>
            <w:pPr>
              <w:spacing w:after="0"/>
              <w:rPr>
                <w:sz w:val="20"/>
                <w:szCs w:val="20"/>
                <w:color w:val="auto"/>
              </w:rPr>
            </w:pPr>
            <w:r>
              <w:rPr>
                <w:rFonts w:ascii="Arial" w:cs="Arial" w:eastAsia="Arial" w:hAnsi="Arial"/>
                <w:sz w:val="18"/>
                <w:szCs w:val="18"/>
                <w:color w:val="auto"/>
              </w:rPr>
              <w:t>Titleist golf clubs</w:t>
            </w:r>
          </w:p>
        </w:tc>
        <w:tc>
          <w:tcPr>
            <w:tcW w:w="1680" w:type="dxa"/>
            <w:vAlign w:val="bottom"/>
            <w:gridSpan w:val="2"/>
          </w:tcPr>
          <w:p>
            <w:pPr>
              <w:jc w:val="right"/>
              <w:ind w:right="28"/>
              <w:spacing w:after="0"/>
              <w:rPr>
                <w:sz w:val="20"/>
                <w:szCs w:val="20"/>
                <w:color w:val="auto"/>
              </w:rPr>
            </w:pPr>
            <w:r>
              <w:rPr>
                <w:rFonts w:ascii="Arial" w:cs="Arial" w:eastAsia="Arial" w:hAnsi="Arial"/>
                <w:sz w:val="18"/>
                <w:szCs w:val="18"/>
                <w:color w:val="auto"/>
              </w:rPr>
              <w:t>397,987</w:t>
            </w:r>
          </w:p>
        </w:tc>
        <w:tc>
          <w:tcPr>
            <w:tcW w:w="860" w:type="dxa"/>
            <w:vAlign w:val="bottom"/>
          </w:tcPr>
          <w:p>
            <w:pPr>
              <w:jc w:val="right"/>
              <w:spacing w:after="0"/>
              <w:rPr>
                <w:sz w:val="20"/>
                <w:szCs w:val="20"/>
                <w:color w:val="auto"/>
              </w:rPr>
            </w:pPr>
            <w:r>
              <w:rPr>
                <w:rFonts w:ascii="Arial" w:cs="Arial" w:eastAsia="Arial" w:hAnsi="Arial"/>
                <w:sz w:val="18"/>
                <w:szCs w:val="18"/>
                <w:color w:val="auto"/>
              </w:rPr>
              <w:t>430,966</w:t>
            </w:r>
          </w:p>
        </w:tc>
        <w:tc>
          <w:tcPr>
            <w:tcW w:w="940" w:type="dxa"/>
            <w:vAlign w:val="bottom"/>
            <w:gridSpan w:val="2"/>
          </w:tcPr>
          <w:p>
            <w:pPr>
              <w:jc w:val="right"/>
              <w:ind w:right="8"/>
              <w:spacing w:after="0"/>
              <w:rPr>
                <w:sz w:val="20"/>
                <w:szCs w:val="20"/>
                <w:color w:val="auto"/>
              </w:rPr>
            </w:pPr>
            <w:r>
              <w:rPr>
                <w:rFonts w:ascii="Arial" w:cs="Arial" w:eastAsia="Arial" w:hAnsi="Arial"/>
                <w:sz w:val="18"/>
                <w:szCs w:val="18"/>
                <w:color w:val="auto"/>
              </w:rPr>
              <w:t>(32,979)</w:t>
            </w:r>
          </w:p>
        </w:tc>
        <w:tc>
          <w:tcPr>
            <w:tcW w:w="880" w:type="dxa"/>
            <w:vAlign w:val="bottom"/>
            <w:gridSpan w:val="2"/>
          </w:tcPr>
          <w:p>
            <w:pPr>
              <w:jc w:val="right"/>
              <w:ind w:right="40"/>
              <w:spacing w:after="0"/>
              <w:rPr>
                <w:sz w:val="20"/>
                <w:szCs w:val="20"/>
                <w:color w:val="auto"/>
              </w:rPr>
            </w:pPr>
            <w:r>
              <w:rPr>
                <w:rFonts w:ascii="Arial" w:cs="Arial" w:eastAsia="Arial" w:hAnsi="Arial"/>
                <w:sz w:val="18"/>
                <w:szCs w:val="18"/>
                <w:color w:val="auto"/>
              </w:rPr>
              <w:t>(7.7)%</w:t>
            </w:r>
          </w:p>
        </w:tc>
        <w:tc>
          <w:tcPr>
            <w:tcW w:w="840" w:type="dxa"/>
            <w:vAlign w:val="bottom"/>
            <w:gridSpan w:val="2"/>
          </w:tcPr>
          <w:p>
            <w:pPr>
              <w:jc w:val="right"/>
              <w:ind w:right="8"/>
              <w:spacing w:after="0"/>
              <w:rPr>
                <w:sz w:val="20"/>
                <w:szCs w:val="20"/>
                <w:color w:val="auto"/>
              </w:rPr>
            </w:pPr>
            <w:r>
              <w:rPr>
                <w:rFonts w:ascii="Arial" w:cs="Arial" w:eastAsia="Arial" w:hAnsi="Arial"/>
                <w:sz w:val="18"/>
                <w:szCs w:val="18"/>
                <w:color w:val="auto"/>
              </w:rPr>
              <w:t>(29,805)</w:t>
            </w:r>
          </w:p>
        </w:tc>
        <w:tc>
          <w:tcPr>
            <w:tcW w:w="860" w:type="dxa"/>
            <w:vAlign w:val="bottom"/>
            <w:gridSpan w:val="2"/>
          </w:tcPr>
          <w:p>
            <w:pPr>
              <w:jc w:val="right"/>
              <w:ind w:right="20"/>
              <w:spacing w:after="0"/>
              <w:rPr>
                <w:sz w:val="20"/>
                <w:szCs w:val="20"/>
                <w:color w:val="auto"/>
              </w:rPr>
            </w:pPr>
            <w:r>
              <w:rPr>
                <w:rFonts w:ascii="Arial" w:cs="Arial" w:eastAsia="Arial" w:hAnsi="Arial"/>
                <w:sz w:val="18"/>
                <w:szCs w:val="18"/>
                <w:color w:val="auto"/>
              </w:rPr>
              <w:t>(6.9)%</w:t>
            </w:r>
          </w:p>
        </w:tc>
      </w:tr>
      <w:tr>
        <w:trPr>
          <w:trHeight w:val="216"/>
        </w:trPr>
        <w:tc>
          <w:tcPr>
            <w:tcW w:w="2200" w:type="dxa"/>
            <w:vAlign w:val="bottom"/>
            <w:shd w:val="clear" w:color="auto" w:fill="CCEEFF"/>
          </w:tcPr>
          <w:p>
            <w:pPr>
              <w:spacing w:after="0"/>
              <w:rPr>
                <w:sz w:val="20"/>
                <w:szCs w:val="20"/>
                <w:color w:val="auto"/>
              </w:rPr>
            </w:pPr>
            <w:r>
              <w:rPr>
                <w:rFonts w:ascii="Arial" w:cs="Arial" w:eastAsia="Arial" w:hAnsi="Arial"/>
                <w:sz w:val="18"/>
                <w:szCs w:val="18"/>
                <w:color w:val="auto"/>
              </w:rPr>
              <w:t>Titleist golf gear</w:t>
            </w:r>
          </w:p>
        </w:tc>
        <w:tc>
          <w:tcPr>
            <w:tcW w:w="1680" w:type="dxa"/>
            <w:vAlign w:val="bottom"/>
            <w:gridSpan w:val="2"/>
            <w:shd w:val="clear" w:color="auto" w:fill="CCEEFF"/>
          </w:tcPr>
          <w:p>
            <w:pPr>
              <w:jc w:val="right"/>
              <w:ind w:right="28"/>
              <w:spacing w:after="0"/>
              <w:rPr>
                <w:sz w:val="20"/>
                <w:szCs w:val="20"/>
                <w:color w:val="auto"/>
              </w:rPr>
            </w:pPr>
            <w:r>
              <w:rPr>
                <w:rFonts w:ascii="Arial" w:cs="Arial" w:eastAsia="Arial" w:hAnsi="Arial"/>
                <w:sz w:val="18"/>
                <w:szCs w:val="18"/>
                <w:color w:val="auto"/>
              </w:rPr>
              <w:t>142,911</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136,208</w:t>
            </w:r>
          </w:p>
        </w:tc>
        <w:tc>
          <w:tcPr>
            <w:tcW w:w="940" w:type="dxa"/>
            <w:vAlign w:val="bottom"/>
            <w:gridSpan w:val="2"/>
            <w:shd w:val="clear" w:color="auto" w:fill="CCEEFF"/>
          </w:tcPr>
          <w:p>
            <w:pPr>
              <w:jc w:val="right"/>
              <w:ind w:right="68"/>
              <w:spacing w:after="0"/>
              <w:rPr>
                <w:sz w:val="20"/>
                <w:szCs w:val="20"/>
                <w:color w:val="auto"/>
              </w:rPr>
            </w:pPr>
            <w:r>
              <w:rPr>
                <w:rFonts w:ascii="Arial" w:cs="Arial" w:eastAsia="Arial" w:hAnsi="Arial"/>
                <w:sz w:val="18"/>
                <w:szCs w:val="18"/>
                <w:color w:val="auto"/>
              </w:rPr>
              <w:t>6,703</w:t>
            </w:r>
          </w:p>
        </w:tc>
        <w:tc>
          <w:tcPr>
            <w:tcW w:w="8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4.9 %</w:t>
            </w:r>
          </w:p>
        </w:tc>
        <w:tc>
          <w:tcPr>
            <w:tcW w:w="840" w:type="dxa"/>
            <w:vAlign w:val="bottom"/>
            <w:gridSpan w:val="2"/>
            <w:shd w:val="clear" w:color="auto" w:fill="CCEEFF"/>
          </w:tcPr>
          <w:p>
            <w:pPr>
              <w:jc w:val="right"/>
              <w:ind w:right="68"/>
              <w:spacing w:after="0"/>
              <w:rPr>
                <w:sz w:val="20"/>
                <w:szCs w:val="20"/>
                <w:color w:val="auto"/>
              </w:rPr>
            </w:pPr>
            <w:r>
              <w:rPr>
                <w:rFonts w:ascii="Arial" w:cs="Arial" w:eastAsia="Arial" w:hAnsi="Arial"/>
                <w:sz w:val="18"/>
                <w:szCs w:val="18"/>
                <w:color w:val="auto"/>
              </w:rPr>
              <w:t>7,120</w:t>
            </w:r>
          </w:p>
        </w:tc>
        <w:tc>
          <w:tcPr>
            <w:tcW w:w="8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5.2 %</w:t>
            </w:r>
          </w:p>
        </w:tc>
      </w:tr>
      <w:tr>
        <w:trPr>
          <w:trHeight w:val="230"/>
        </w:trPr>
        <w:tc>
          <w:tcPr>
            <w:tcW w:w="2200" w:type="dxa"/>
            <w:vAlign w:val="bottom"/>
          </w:tcPr>
          <w:p>
            <w:pPr>
              <w:spacing w:after="0"/>
              <w:rPr>
                <w:sz w:val="20"/>
                <w:szCs w:val="20"/>
                <w:color w:val="auto"/>
              </w:rPr>
            </w:pPr>
            <w:r>
              <w:rPr>
                <w:rFonts w:ascii="Arial" w:cs="Arial" w:eastAsia="Arial" w:hAnsi="Arial"/>
                <w:sz w:val="18"/>
                <w:szCs w:val="18"/>
                <w:color w:val="auto"/>
              </w:rPr>
              <w:t>FootJoy golf wear</w:t>
            </w:r>
          </w:p>
        </w:tc>
        <w:tc>
          <w:tcPr>
            <w:tcW w:w="1680" w:type="dxa"/>
            <w:vAlign w:val="bottom"/>
            <w:gridSpan w:val="2"/>
          </w:tcPr>
          <w:p>
            <w:pPr>
              <w:jc w:val="right"/>
              <w:ind w:right="28"/>
              <w:spacing w:after="0"/>
              <w:rPr>
                <w:sz w:val="20"/>
                <w:szCs w:val="20"/>
                <w:color w:val="auto"/>
              </w:rPr>
            </w:pPr>
            <w:r>
              <w:rPr>
                <w:rFonts w:ascii="Arial" w:cs="Arial" w:eastAsia="Arial" w:hAnsi="Arial"/>
                <w:sz w:val="18"/>
                <w:szCs w:val="18"/>
                <w:color w:val="auto"/>
              </w:rPr>
              <w:t>437,455</w:t>
            </w:r>
          </w:p>
        </w:tc>
        <w:tc>
          <w:tcPr>
            <w:tcW w:w="860" w:type="dxa"/>
            <w:vAlign w:val="bottom"/>
          </w:tcPr>
          <w:p>
            <w:pPr>
              <w:jc w:val="right"/>
              <w:spacing w:after="0"/>
              <w:rPr>
                <w:sz w:val="20"/>
                <w:szCs w:val="20"/>
                <w:color w:val="auto"/>
              </w:rPr>
            </w:pPr>
            <w:r>
              <w:rPr>
                <w:rFonts w:ascii="Arial" w:cs="Arial" w:eastAsia="Arial" w:hAnsi="Arial"/>
                <w:sz w:val="18"/>
                <w:szCs w:val="18"/>
                <w:color w:val="auto"/>
              </w:rPr>
              <w:t>433,061</w:t>
            </w:r>
          </w:p>
        </w:tc>
        <w:tc>
          <w:tcPr>
            <w:tcW w:w="940" w:type="dxa"/>
            <w:vAlign w:val="bottom"/>
            <w:gridSpan w:val="2"/>
          </w:tcPr>
          <w:p>
            <w:pPr>
              <w:jc w:val="right"/>
              <w:ind w:right="68"/>
              <w:spacing w:after="0"/>
              <w:rPr>
                <w:sz w:val="20"/>
                <w:szCs w:val="20"/>
                <w:color w:val="auto"/>
              </w:rPr>
            </w:pPr>
            <w:r>
              <w:rPr>
                <w:rFonts w:ascii="Arial" w:cs="Arial" w:eastAsia="Arial" w:hAnsi="Arial"/>
                <w:sz w:val="18"/>
                <w:szCs w:val="18"/>
                <w:color w:val="auto"/>
              </w:rPr>
              <w:t>4,394</w:t>
            </w:r>
          </w:p>
        </w:tc>
        <w:tc>
          <w:tcPr>
            <w:tcW w:w="880" w:type="dxa"/>
            <w:vAlign w:val="bottom"/>
            <w:gridSpan w:val="2"/>
          </w:tcPr>
          <w:p>
            <w:pPr>
              <w:jc w:val="right"/>
              <w:ind w:right="40"/>
              <w:spacing w:after="0"/>
              <w:rPr>
                <w:sz w:val="20"/>
                <w:szCs w:val="20"/>
                <w:color w:val="auto"/>
              </w:rPr>
            </w:pPr>
            <w:r>
              <w:rPr>
                <w:rFonts w:ascii="Arial" w:cs="Arial" w:eastAsia="Arial" w:hAnsi="Arial"/>
                <w:sz w:val="18"/>
                <w:szCs w:val="18"/>
                <w:color w:val="auto"/>
              </w:rPr>
              <w:t>1.0 %</w:t>
            </w:r>
          </w:p>
        </w:tc>
        <w:tc>
          <w:tcPr>
            <w:tcW w:w="840" w:type="dxa"/>
            <w:vAlign w:val="bottom"/>
            <w:gridSpan w:val="2"/>
          </w:tcPr>
          <w:p>
            <w:pPr>
              <w:jc w:val="right"/>
              <w:ind w:right="68"/>
              <w:spacing w:after="0"/>
              <w:rPr>
                <w:sz w:val="20"/>
                <w:szCs w:val="20"/>
                <w:color w:val="auto"/>
              </w:rPr>
            </w:pPr>
            <w:r>
              <w:rPr>
                <w:rFonts w:ascii="Arial" w:cs="Arial" w:eastAsia="Arial" w:hAnsi="Arial"/>
                <w:sz w:val="18"/>
                <w:szCs w:val="18"/>
                <w:color w:val="auto"/>
              </w:rPr>
              <w:t>8,643</w:t>
            </w:r>
          </w:p>
        </w:tc>
        <w:tc>
          <w:tcPr>
            <w:tcW w:w="860" w:type="dxa"/>
            <w:vAlign w:val="bottom"/>
            <w:gridSpan w:val="2"/>
          </w:tcPr>
          <w:p>
            <w:pPr>
              <w:jc w:val="right"/>
              <w:ind w:right="20"/>
              <w:spacing w:after="0"/>
              <w:rPr>
                <w:sz w:val="20"/>
                <w:szCs w:val="20"/>
                <w:color w:val="auto"/>
              </w:rPr>
            </w:pPr>
            <w:r>
              <w:rPr>
                <w:rFonts w:ascii="Arial" w:cs="Arial" w:eastAsia="Arial" w:hAnsi="Arial"/>
                <w:sz w:val="18"/>
                <w:szCs w:val="18"/>
                <w:color w:val="auto"/>
              </w:rPr>
              <w:t>2.0 %</w:t>
            </w:r>
          </w:p>
        </w:tc>
      </w:tr>
    </w:tbl>
    <w:p>
      <w:pPr>
        <w:spacing w:after="0" w:line="187" w:lineRule="exact"/>
        <w:rPr>
          <w:sz w:val="20"/>
          <w:szCs w:val="20"/>
          <w:color w:val="auto"/>
        </w:rPr>
      </w:pPr>
    </w:p>
    <w:p>
      <w:pPr>
        <w:ind w:left="1040"/>
        <w:spacing w:after="0"/>
        <w:rPr>
          <w:sz w:val="20"/>
          <w:szCs w:val="20"/>
          <w:color w:val="auto"/>
        </w:rPr>
      </w:pPr>
      <w:r>
        <w:rPr>
          <w:rFonts w:ascii="Arial" w:cs="Arial" w:eastAsia="Arial" w:hAnsi="Arial"/>
          <w:sz w:val="18"/>
          <w:szCs w:val="18"/>
          <w:color w:val="auto"/>
        </w:rPr>
        <w:t>Segment operating income by reportable segment is summarized as follows:</w:t>
      </w:r>
    </w:p>
    <w:p>
      <w:pPr>
        <w:spacing w:after="0" w:line="244" w:lineRule="exact"/>
        <w:rPr>
          <w:sz w:val="20"/>
          <w:szCs w:val="20"/>
          <w:color w:val="auto"/>
        </w:rPr>
      </w:pPr>
    </w:p>
    <w:tbl>
      <w:tblPr>
        <w:tblLayout w:type="fixed"/>
        <w:tblInd w:w="380" w:type="dxa"/>
        <w:tblCellMar>
          <w:top w:w="0" w:type="dxa"/>
          <w:left w:w="0" w:type="dxa"/>
          <w:bottom w:w="0" w:type="dxa"/>
          <w:right w:w="0" w:type="dxa"/>
        </w:tblCellMar>
      </w:tblPr>
      <w:tr>
        <w:trPr>
          <w:trHeight w:val="162"/>
        </w:trPr>
        <w:tc>
          <w:tcPr>
            <w:tcW w:w="208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740" w:type="dxa"/>
            <w:vAlign w:val="bottom"/>
            <w:gridSpan w:val="2"/>
          </w:tcPr>
          <w:p>
            <w:pPr>
              <w:jc w:val="right"/>
              <w:ind w:right="436"/>
              <w:spacing w:after="0"/>
              <w:rPr>
                <w:sz w:val="20"/>
                <w:szCs w:val="20"/>
                <w:color w:val="auto"/>
              </w:rPr>
            </w:pPr>
            <w:r>
              <w:rPr>
                <w:rFonts w:ascii="Arial" w:cs="Arial" w:eastAsia="Arial" w:hAnsi="Arial"/>
                <w:sz w:val="14"/>
                <w:szCs w:val="14"/>
                <w:b w:val="1"/>
                <w:bCs w:val="1"/>
                <w:color w:val="auto"/>
              </w:rPr>
              <w:t>Year ended</w:t>
            </w: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80" w:type="dxa"/>
            <w:vAlign w:val="bottom"/>
          </w:tcPr>
          <w:p>
            <w:pPr>
              <w:spacing w:after="0"/>
              <w:rPr>
                <w:sz w:val="14"/>
                <w:szCs w:val="14"/>
                <w:color w:val="auto"/>
              </w:rPr>
            </w:pPr>
          </w:p>
        </w:tc>
      </w:tr>
      <w:tr>
        <w:trPr>
          <w:trHeight w:val="171"/>
        </w:trPr>
        <w:tc>
          <w:tcPr>
            <w:tcW w:w="208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740" w:type="dxa"/>
            <w:vAlign w:val="bottom"/>
            <w:gridSpan w:val="2"/>
          </w:tcPr>
          <w:p>
            <w:pPr>
              <w:jc w:val="right"/>
              <w:ind w:right="396"/>
              <w:spacing w:after="0"/>
              <w:rPr>
                <w:sz w:val="20"/>
                <w:szCs w:val="20"/>
                <w:color w:val="auto"/>
              </w:rPr>
            </w:pPr>
            <w:r>
              <w:rPr>
                <w:rFonts w:ascii="Arial" w:cs="Arial" w:eastAsia="Arial" w:hAnsi="Arial"/>
                <w:sz w:val="14"/>
                <w:szCs w:val="14"/>
                <w:b w:val="1"/>
                <w:bCs w:val="1"/>
                <w:color w:val="auto"/>
              </w:rPr>
              <w:t>December 31,</w:t>
            </w: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840" w:type="dxa"/>
            <w:vAlign w:val="bottom"/>
            <w:gridSpan w:val="3"/>
          </w:tcPr>
          <w:p>
            <w:pPr>
              <w:jc w:val="right"/>
              <w:ind w:right="480"/>
              <w:spacing w:after="0"/>
              <w:rPr>
                <w:sz w:val="20"/>
                <w:szCs w:val="20"/>
                <w:color w:val="auto"/>
              </w:rPr>
            </w:pPr>
            <w:r>
              <w:rPr>
                <w:rFonts w:ascii="Arial" w:cs="Arial" w:eastAsia="Arial" w:hAnsi="Arial"/>
                <w:sz w:val="14"/>
                <w:szCs w:val="14"/>
                <w:b w:val="1"/>
                <w:bCs w:val="1"/>
                <w:color w:val="auto"/>
              </w:rPr>
              <w:t>Increase/(Decrease)</w:t>
            </w:r>
          </w:p>
        </w:tc>
      </w:tr>
      <w:tr>
        <w:trPr>
          <w:trHeight w:val="142"/>
        </w:trPr>
        <w:tc>
          <w:tcPr>
            <w:tcW w:w="208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840" w:type="dxa"/>
            <w:vAlign w:val="bottom"/>
            <w:tcBorders>
              <w:top w:val="single" w:sz="8" w:color="auto"/>
              <w:bottom w:val="single" w:sz="8" w:color="auto"/>
            </w:tcBorders>
          </w:tcPr>
          <w:p>
            <w:pPr>
              <w:jc w:val="right"/>
              <w:ind w:right="228"/>
              <w:spacing w:after="0" w:line="142" w:lineRule="exact"/>
              <w:rPr>
                <w:sz w:val="20"/>
                <w:szCs w:val="20"/>
                <w:color w:val="auto"/>
              </w:rPr>
            </w:pPr>
            <w:r>
              <w:rPr>
                <w:rFonts w:ascii="Arial" w:cs="Arial" w:eastAsia="Arial" w:hAnsi="Arial"/>
                <w:sz w:val="14"/>
                <w:szCs w:val="14"/>
                <w:b w:val="1"/>
                <w:bCs w:val="1"/>
                <w:color w:val="auto"/>
              </w:rPr>
              <w:t>2017</w:t>
            </w:r>
          </w:p>
        </w:tc>
        <w:tc>
          <w:tcPr>
            <w:tcW w:w="900" w:type="dxa"/>
            <w:vAlign w:val="bottom"/>
            <w:tcBorders>
              <w:top w:val="single" w:sz="8" w:color="auto"/>
              <w:bottom w:val="single" w:sz="8" w:color="auto"/>
            </w:tcBorders>
          </w:tcPr>
          <w:p>
            <w:pPr>
              <w:jc w:val="right"/>
              <w:ind w:right="176"/>
              <w:spacing w:after="0" w:line="142" w:lineRule="exact"/>
              <w:rPr>
                <w:sz w:val="20"/>
                <w:szCs w:val="20"/>
                <w:color w:val="auto"/>
              </w:rPr>
            </w:pPr>
            <w:r>
              <w:rPr>
                <w:rFonts w:ascii="Arial" w:cs="Arial" w:eastAsia="Arial" w:hAnsi="Arial"/>
                <w:sz w:val="14"/>
                <w:szCs w:val="14"/>
                <w:b w:val="1"/>
                <w:bCs w:val="1"/>
                <w:color w:val="auto"/>
              </w:rPr>
              <w:t>2016</w:t>
            </w:r>
          </w:p>
        </w:tc>
        <w:tc>
          <w:tcPr>
            <w:tcW w:w="160" w:type="dxa"/>
            <w:vAlign w:val="bottom"/>
            <w:tcBorders>
              <w:bottom w:val="single" w:sz="8" w:color="auto"/>
            </w:tcBorders>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860" w:type="dxa"/>
            <w:vAlign w:val="bottom"/>
            <w:tcBorders>
              <w:top w:val="single" w:sz="8" w:color="auto"/>
              <w:bottom w:val="single" w:sz="8" w:color="auto"/>
            </w:tcBorders>
          </w:tcPr>
          <w:p>
            <w:pPr>
              <w:jc w:val="right"/>
              <w:ind w:right="196"/>
              <w:spacing w:after="0" w:line="142" w:lineRule="exact"/>
              <w:rPr>
                <w:sz w:val="20"/>
                <w:szCs w:val="20"/>
                <w:color w:val="auto"/>
              </w:rPr>
            </w:pPr>
            <w:r>
              <w:rPr>
                <w:rFonts w:ascii="Arial" w:cs="Arial" w:eastAsia="Arial" w:hAnsi="Arial"/>
                <w:sz w:val="14"/>
                <w:szCs w:val="14"/>
                <w:b w:val="1"/>
                <w:bCs w:val="1"/>
                <w:color w:val="auto"/>
                <w:w w:val="92"/>
              </w:rPr>
              <w:t>$ change</w:t>
            </w:r>
          </w:p>
        </w:tc>
        <w:tc>
          <w:tcPr>
            <w:tcW w:w="8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 change</w:t>
            </w:r>
          </w:p>
        </w:tc>
        <w:tc>
          <w:tcPr>
            <w:tcW w:w="180" w:type="dxa"/>
            <w:vAlign w:val="bottom"/>
          </w:tcPr>
          <w:p>
            <w:pPr>
              <w:spacing w:after="0"/>
              <w:rPr>
                <w:sz w:val="12"/>
                <w:szCs w:val="12"/>
                <w:color w:val="auto"/>
              </w:rPr>
            </w:pPr>
          </w:p>
        </w:tc>
      </w:tr>
      <w:tr>
        <w:trPr>
          <w:trHeight w:val="142"/>
        </w:trPr>
        <w:tc>
          <w:tcPr>
            <w:tcW w:w="208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060" w:type="dxa"/>
            <w:vAlign w:val="bottom"/>
            <w:gridSpan w:val="4"/>
          </w:tcPr>
          <w:p>
            <w:pPr>
              <w:jc w:val="right"/>
              <w:ind w:right="536"/>
              <w:spacing w:after="0" w:line="142" w:lineRule="exact"/>
              <w:rPr>
                <w:sz w:val="20"/>
                <w:szCs w:val="20"/>
                <w:color w:val="auto"/>
              </w:rPr>
            </w:pPr>
            <w:r>
              <w:rPr>
                <w:rFonts w:ascii="Arial" w:cs="Arial" w:eastAsia="Arial" w:hAnsi="Arial"/>
                <w:sz w:val="14"/>
                <w:szCs w:val="14"/>
                <w:b w:val="1"/>
                <w:bCs w:val="1"/>
                <w:color w:val="auto"/>
              </w:rPr>
              <w:t>(in thousands)</w:t>
            </w:r>
          </w:p>
        </w:tc>
        <w:tc>
          <w:tcPr>
            <w:tcW w:w="800" w:type="dxa"/>
            <w:vAlign w:val="bottom"/>
          </w:tcPr>
          <w:p>
            <w:pPr>
              <w:spacing w:after="0"/>
              <w:rPr>
                <w:sz w:val="12"/>
                <w:szCs w:val="12"/>
                <w:color w:val="auto"/>
              </w:rPr>
            </w:pPr>
          </w:p>
        </w:tc>
        <w:tc>
          <w:tcPr>
            <w:tcW w:w="180" w:type="dxa"/>
            <w:vAlign w:val="bottom"/>
          </w:tcPr>
          <w:p>
            <w:pPr>
              <w:spacing w:after="0"/>
              <w:rPr>
                <w:sz w:val="12"/>
                <w:szCs w:val="12"/>
                <w:color w:val="auto"/>
              </w:rPr>
            </w:pPr>
          </w:p>
        </w:tc>
      </w:tr>
      <w:tr>
        <w:trPr>
          <w:trHeight w:val="216"/>
        </w:trPr>
        <w:tc>
          <w:tcPr>
            <w:tcW w:w="33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Segment operating income(1)</w:t>
            </w:r>
          </w:p>
        </w:tc>
        <w:tc>
          <w:tcPr>
            <w:tcW w:w="106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r>
      <w:tr>
        <w:trPr>
          <w:trHeight w:val="216"/>
        </w:trPr>
        <w:tc>
          <w:tcPr>
            <w:tcW w:w="3320" w:type="dxa"/>
            <w:vAlign w:val="bottom"/>
            <w:gridSpan w:val="2"/>
          </w:tcPr>
          <w:p>
            <w:pPr>
              <w:spacing w:after="0"/>
              <w:rPr>
                <w:sz w:val="20"/>
                <w:szCs w:val="20"/>
                <w:color w:val="auto"/>
              </w:rPr>
            </w:pPr>
            <w:r>
              <w:rPr>
                <w:rFonts w:ascii="Arial" w:cs="Arial" w:eastAsia="Arial" w:hAnsi="Arial"/>
                <w:sz w:val="18"/>
                <w:szCs w:val="18"/>
                <w:color w:val="auto"/>
              </w:rPr>
              <w:t>Titleist golf balls</w:t>
            </w:r>
          </w:p>
        </w:tc>
        <w:tc>
          <w:tcPr>
            <w:tcW w:w="1900" w:type="dxa"/>
            <w:vAlign w:val="bottom"/>
            <w:gridSpan w:val="2"/>
          </w:tcPr>
          <w:p>
            <w:pPr>
              <w:jc w:val="right"/>
              <w:ind w:right="48"/>
              <w:spacing w:after="0"/>
              <w:rPr>
                <w:sz w:val="20"/>
                <w:szCs w:val="20"/>
                <w:color w:val="auto"/>
              </w:rPr>
            </w:pPr>
            <w:r>
              <w:rPr>
                <w:rFonts w:ascii="Arial" w:cs="Arial" w:eastAsia="Arial" w:hAnsi="Arial"/>
                <w:sz w:val="18"/>
                <w:szCs w:val="18"/>
                <w:color w:val="auto"/>
              </w:rPr>
              <w:t>$  76,870</w:t>
            </w:r>
          </w:p>
        </w:tc>
        <w:tc>
          <w:tcPr>
            <w:tcW w:w="900" w:type="dxa"/>
            <w:vAlign w:val="bottom"/>
          </w:tcPr>
          <w:p>
            <w:pPr>
              <w:jc w:val="right"/>
              <w:spacing w:after="0"/>
              <w:rPr>
                <w:sz w:val="20"/>
                <w:szCs w:val="20"/>
                <w:color w:val="auto"/>
              </w:rPr>
            </w:pPr>
            <w:r>
              <w:rPr>
                <w:rFonts w:ascii="Arial" w:cs="Arial" w:eastAsia="Arial" w:hAnsi="Arial"/>
                <w:sz w:val="18"/>
                <w:szCs w:val="18"/>
                <w:color w:val="auto"/>
              </w:rPr>
              <w:t>$  76,236</w:t>
            </w:r>
          </w:p>
        </w:tc>
        <w:tc>
          <w:tcPr>
            <w:tcW w:w="30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860" w:type="dxa"/>
            <w:vAlign w:val="bottom"/>
          </w:tcPr>
          <w:p>
            <w:pPr>
              <w:jc w:val="right"/>
              <w:ind w:right="96"/>
              <w:spacing w:after="0"/>
              <w:rPr>
                <w:sz w:val="20"/>
                <w:szCs w:val="20"/>
                <w:color w:val="auto"/>
              </w:rPr>
            </w:pPr>
            <w:r>
              <w:rPr>
                <w:rFonts w:ascii="Arial" w:cs="Arial" w:eastAsia="Arial" w:hAnsi="Arial"/>
                <w:sz w:val="18"/>
                <w:szCs w:val="18"/>
                <w:color w:val="auto"/>
              </w:rPr>
              <w:t>634</w:t>
            </w: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0.8 %</w:t>
            </w:r>
          </w:p>
        </w:tc>
      </w:tr>
      <w:tr>
        <w:trPr>
          <w:trHeight w:val="216"/>
        </w:trPr>
        <w:tc>
          <w:tcPr>
            <w:tcW w:w="33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Titleist golf clubs</w:t>
            </w:r>
          </w:p>
        </w:tc>
        <w:tc>
          <w:tcPr>
            <w:tcW w:w="1900" w:type="dxa"/>
            <w:vAlign w:val="bottom"/>
            <w:gridSpan w:val="2"/>
            <w:shd w:val="clear" w:color="auto" w:fill="CCEEFF"/>
          </w:tcPr>
          <w:p>
            <w:pPr>
              <w:jc w:val="right"/>
              <w:ind w:right="48"/>
              <w:spacing w:after="0"/>
              <w:rPr>
                <w:sz w:val="20"/>
                <w:szCs w:val="20"/>
                <w:color w:val="auto"/>
              </w:rPr>
            </w:pPr>
            <w:r>
              <w:rPr>
                <w:rFonts w:ascii="Arial" w:cs="Arial" w:eastAsia="Arial" w:hAnsi="Arial"/>
                <w:sz w:val="18"/>
                <w:szCs w:val="18"/>
                <w:color w:val="auto"/>
              </w:rPr>
              <w:t>31,031</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50,500</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60" w:type="dxa"/>
            <w:vAlign w:val="bottom"/>
            <w:shd w:val="clear" w:color="auto" w:fill="CCEEFF"/>
          </w:tcPr>
          <w:p>
            <w:pPr>
              <w:jc w:val="right"/>
              <w:ind w:right="36"/>
              <w:spacing w:after="0"/>
              <w:rPr>
                <w:sz w:val="20"/>
                <w:szCs w:val="20"/>
                <w:color w:val="auto"/>
              </w:rPr>
            </w:pPr>
            <w:r>
              <w:rPr>
                <w:rFonts w:ascii="Arial" w:cs="Arial" w:eastAsia="Arial" w:hAnsi="Arial"/>
                <w:sz w:val="18"/>
                <w:szCs w:val="18"/>
                <w:color w:val="auto"/>
              </w:rPr>
              <w:t>(19,469)</w:t>
            </w:r>
          </w:p>
        </w:tc>
        <w:tc>
          <w:tcPr>
            <w:tcW w:w="9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(38.6)%</w:t>
            </w:r>
          </w:p>
        </w:tc>
      </w:tr>
      <w:tr>
        <w:trPr>
          <w:trHeight w:val="216"/>
        </w:trPr>
        <w:tc>
          <w:tcPr>
            <w:tcW w:w="3320" w:type="dxa"/>
            <w:vAlign w:val="bottom"/>
            <w:gridSpan w:val="2"/>
          </w:tcPr>
          <w:p>
            <w:pPr>
              <w:spacing w:after="0"/>
              <w:rPr>
                <w:sz w:val="20"/>
                <w:szCs w:val="20"/>
                <w:color w:val="auto"/>
              </w:rPr>
            </w:pPr>
            <w:r>
              <w:rPr>
                <w:rFonts w:ascii="Arial" w:cs="Arial" w:eastAsia="Arial" w:hAnsi="Arial"/>
                <w:sz w:val="18"/>
                <w:szCs w:val="18"/>
                <w:color w:val="auto"/>
              </w:rPr>
              <w:t>Titleist golf gear</w:t>
            </w:r>
          </w:p>
        </w:tc>
        <w:tc>
          <w:tcPr>
            <w:tcW w:w="1900" w:type="dxa"/>
            <w:vAlign w:val="bottom"/>
            <w:gridSpan w:val="2"/>
          </w:tcPr>
          <w:p>
            <w:pPr>
              <w:jc w:val="right"/>
              <w:ind w:right="48"/>
              <w:spacing w:after="0"/>
              <w:rPr>
                <w:sz w:val="20"/>
                <w:szCs w:val="20"/>
                <w:color w:val="auto"/>
              </w:rPr>
            </w:pPr>
            <w:r>
              <w:rPr>
                <w:rFonts w:ascii="Arial" w:cs="Arial" w:eastAsia="Arial" w:hAnsi="Arial"/>
                <w:sz w:val="18"/>
                <w:szCs w:val="18"/>
                <w:color w:val="auto"/>
              </w:rPr>
              <w:t>16,584</w:t>
            </w:r>
          </w:p>
        </w:tc>
        <w:tc>
          <w:tcPr>
            <w:tcW w:w="900" w:type="dxa"/>
            <w:vAlign w:val="bottom"/>
          </w:tcPr>
          <w:p>
            <w:pPr>
              <w:jc w:val="right"/>
              <w:spacing w:after="0"/>
              <w:rPr>
                <w:sz w:val="20"/>
                <w:szCs w:val="20"/>
                <w:color w:val="auto"/>
              </w:rPr>
            </w:pPr>
            <w:r>
              <w:rPr>
                <w:rFonts w:ascii="Arial" w:cs="Arial" w:eastAsia="Arial" w:hAnsi="Arial"/>
                <w:sz w:val="18"/>
                <w:szCs w:val="18"/>
                <w:color w:val="auto"/>
              </w:rPr>
              <w:t>12,119</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60" w:type="dxa"/>
            <w:vAlign w:val="bottom"/>
          </w:tcPr>
          <w:p>
            <w:pPr>
              <w:jc w:val="right"/>
              <w:ind w:right="96"/>
              <w:spacing w:after="0"/>
              <w:rPr>
                <w:sz w:val="20"/>
                <w:szCs w:val="20"/>
                <w:color w:val="auto"/>
              </w:rPr>
            </w:pPr>
            <w:r>
              <w:rPr>
                <w:rFonts w:ascii="Arial" w:cs="Arial" w:eastAsia="Arial" w:hAnsi="Arial"/>
                <w:sz w:val="18"/>
                <w:szCs w:val="18"/>
                <w:color w:val="auto"/>
              </w:rPr>
              <w:t>4,465</w:t>
            </w: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36.8 %</w:t>
            </w:r>
          </w:p>
        </w:tc>
      </w:tr>
      <w:tr>
        <w:trPr>
          <w:trHeight w:val="216"/>
        </w:trPr>
        <w:tc>
          <w:tcPr>
            <w:tcW w:w="33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FootJoy golf wear</w:t>
            </w:r>
          </w:p>
        </w:tc>
        <w:tc>
          <w:tcPr>
            <w:tcW w:w="1900" w:type="dxa"/>
            <w:vAlign w:val="bottom"/>
            <w:gridSpan w:val="2"/>
            <w:shd w:val="clear" w:color="auto" w:fill="CCEEFF"/>
          </w:tcPr>
          <w:p>
            <w:pPr>
              <w:jc w:val="right"/>
              <w:ind w:right="48"/>
              <w:spacing w:after="0"/>
              <w:rPr>
                <w:sz w:val="20"/>
                <w:szCs w:val="20"/>
                <w:color w:val="auto"/>
              </w:rPr>
            </w:pPr>
            <w:r>
              <w:rPr>
                <w:rFonts w:ascii="Arial" w:cs="Arial" w:eastAsia="Arial" w:hAnsi="Arial"/>
                <w:sz w:val="18"/>
                <w:szCs w:val="18"/>
                <w:color w:val="auto"/>
              </w:rPr>
              <w:t>26,380</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18,979</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60" w:type="dxa"/>
            <w:vAlign w:val="bottom"/>
            <w:shd w:val="clear" w:color="auto" w:fill="CCEEFF"/>
          </w:tcPr>
          <w:p>
            <w:pPr>
              <w:jc w:val="right"/>
              <w:ind w:right="96"/>
              <w:spacing w:after="0"/>
              <w:rPr>
                <w:sz w:val="20"/>
                <w:szCs w:val="20"/>
                <w:color w:val="auto"/>
              </w:rPr>
            </w:pPr>
            <w:r>
              <w:rPr>
                <w:rFonts w:ascii="Arial" w:cs="Arial" w:eastAsia="Arial" w:hAnsi="Arial"/>
                <w:sz w:val="18"/>
                <w:szCs w:val="18"/>
                <w:color w:val="auto"/>
              </w:rPr>
              <w:t>7,401</w:t>
            </w:r>
          </w:p>
        </w:tc>
        <w:tc>
          <w:tcPr>
            <w:tcW w:w="9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39.0 %</w:t>
            </w:r>
          </w:p>
        </w:tc>
      </w:tr>
      <w:tr>
        <w:trPr>
          <w:trHeight w:val="108"/>
        </w:trPr>
        <w:tc>
          <w:tcPr>
            <w:tcW w:w="2080" w:type="dxa"/>
            <w:vAlign w:val="bottom"/>
            <w:tcBorders>
              <w:bottom w:val="single" w:sz="8" w:color="auto"/>
            </w:tcBorders>
          </w:tcPr>
          <w:p>
            <w:pPr>
              <w:spacing w:after="0"/>
              <w:rPr>
                <w:sz w:val="9"/>
                <w:szCs w:val="9"/>
                <w:color w:val="auto"/>
              </w:rPr>
            </w:pPr>
          </w:p>
        </w:tc>
        <w:tc>
          <w:tcPr>
            <w:tcW w:w="1240" w:type="dxa"/>
            <w:vAlign w:val="bottom"/>
          </w:tcPr>
          <w:p>
            <w:pPr>
              <w:spacing w:after="0"/>
              <w:rPr>
                <w:sz w:val="9"/>
                <w:szCs w:val="9"/>
                <w:color w:val="auto"/>
              </w:rPr>
            </w:pPr>
          </w:p>
        </w:tc>
        <w:tc>
          <w:tcPr>
            <w:tcW w:w="1060" w:type="dxa"/>
            <w:vAlign w:val="bottom"/>
          </w:tcPr>
          <w:p>
            <w:pPr>
              <w:spacing w:after="0"/>
              <w:rPr>
                <w:sz w:val="9"/>
                <w:szCs w:val="9"/>
                <w:color w:val="auto"/>
              </w:rPr>
            </w:pPr>
          </w:p>
        </w:tc>
        <w:tc>
          <w:tcPr>
            <w:tcW w:w="840" w:type="dxa"/>
            <w:vAlign w:val="bottom"/>
          </w:tcPr>
          <w:p>
            <w:pPr>
              <w:spacing w:after="0"/>
              <w:rPr>
                <w:sz w:val="9"/>
                <w:szCs w:val="9"/>
                <w:color w:val="auto"/>
              </w:rPr>
            </w:pPr>
          </w:p>
        </w:tc>
        <w:tc>
          <w:tcPr>
            <w:tcW w:w="900" w:type="dxa"/>
            <w:vAlign w:val="bottom"/>
          </w:tcPr>
          <w:p>
            <w:pPr>
              <w:spacing w:after="0"/>
              <w:rPr>
                <w:sz w:val="9"/>
                <w:szCs w:val="9"/>
                <w:color w:val="auto"/>
              </w:rPr>
            </w:pPr>
          </w:p>
        </w:tc>
        <w:tc>
          <w:tcPr>
            <w:tcW w:w="160" w:type="dxa"/>
            <w:vAlign w:val="bottom"/>
          </w:tcPr>
          <w:p>
            <w:pPr>
              <w:spacing w:after="0"/>
              <w:rPr>
                <w:sz w:val="9"/>
                <w:szCs w:val="9"/>
                <w:color w:val="auto"/>
              </w:rPr>
            </w:pPr>
          </w:p>
        </w:tc>
        <w:tc>
          <w:tcPr>
            <w:tcW w:w="140" w:type="dxa"/>
            <w:vAlign w:val="bottom"/>
          </w:tcPr>
          <w:p>
            <w:pPr>
              <w:spacing w:after="0"/>
              <w:rPr>
                <w:sz w:val="9"/>
                <w:szCs w:val="9"/>
                <w:color w:val="auto"/>
              </w:rPr>
            </w:pPr>
          </w:p>
        </w:tc>
        <w:tc>
          <w:tcPr>
            <w:tcW w:w="860" w:type="dxa"/>
            <w:vAlign w:val="bottom"/>
          </w:tcPr>
          <w:p>
            <w:pPr>
              <w:spacing w:after="0"/>
              <w:rPr>
                <w:sz w:val="9"/>
                <w:szCs w:val="9"/>
                <w:color w:val="auto"/>
              </w:rPr>
            </w:pPr>
          </w:p>
        </w:tc>
        <w:tc>
          <w:tcPr>
            <w:tcW w:w="800" w:type="dxa"/>
            <w:vAlign w:val="bottom"/>
          </w:tcPr>
          <w:p>
            <w:pPr>
              <w:spacing w:after="0"/>
              <w:rPr>
                <w:sz w:val="9"/>
                <w:szCs w:val="9"/>
                <w:color w:val="auto"/>
              </w:rPr>
            </w:pPr>
          </w:p>
        </w:tc>
        <w:tc>
          <w:tcPr>
            <w:tcW w:w="180" w:type="dxa"/>
            <w:vAlign w:val="bottom"/>
          </w:tcPr>
          <w:p>
            <w:pPr>
              <w:spacing w:after="0"/>
              <w:rPr>
                <w:sz w:val="9"/>
                <w:szCs w:val="9"/>
                <w:color w:val="auto"/>
              </w:rPr>
            </w:pPr>
          </w:p>
        </w:tc>
      </w:tr>
    </w:tbl>
    <w:p>
      <w:pPr>
        <w:spacing w:after="0" w:line="94" w:lineRule="exact"/>
        <w:rPr>
          <w:sz w:val="20"/>
          <w:szCs w:val="20"/>
          <w:color w:val="auto"/>
        </w:rPr>
      </w:pPr>
    </w:p>
    <w:p>
      <w:pPr>
        <w:ind w:left="700" w:right="539" w:hanging="318"/>
        <w:spacing w:after="0" w:line="342" w:lineRule="auto"/>
        <w:tabs>
          <w:tab w:leader="none" w:pos="700" w:val="left"/>
        </w:tabs>
        <w:numPr>
          <w:ilvl w:val="0"/>
          <w:numId w:val="24"/>
        </w:numPr>
        <w:rPr>
          <w:rFonts w:ascii="Arial" w:cs="Arial" w:eastAsia="Arial" w:hAnsi="Arial"/>
          <w:sz w:val="16"/>
          <w:szCs w:val="16"/>
          <w:color w:val="auto"/>
        </w:rPr>
      </w:pPr>
      <w:r>
        <w:rPr>
          <w:rFonts w:ascii="Arial" w:cs="Arial" w:eastAsia="Arial" w:hAnsi="Arial"/>
          <w:sz w:val="16"/>
          <w:szCs w:val="16"/>
          <w:color w:val="auto"/>
        </w:rPr>
        <w:t>Expenses relating to the EAR Plan, transaction fees and restructuring charges and other non-operating gains and losses, to the extent incurred in the applicable period, are not reflected in segment operating income.</w:t>
      </w:r>
    </w:p>
    <w:p>
      <w:pPr>
        <w:spacing w:after="0" w:line="124" w:lineRule="exact"/>
        <w:rPr>
          <w:sz w:val="20"/>
          <w:szCs w:val="20"/>
          <w:color w:val="auto"/>
        </w:rPr>
      </w:pPr>
    </w:p>
    <w:p>
      <w:pPr>
        <w:ind w:left="380" w:right="479" w:firstLine="648"/>
        <w:spacing w:after="0" w:line="277" w:lineRule="auto"/>
        <w:rPr>
          <w:sz w:val="20"/>
          <w:szCs w:val="20"/>
          <w:color w:val="auto"/>
        </w:rPr>
      </w:pPr>
      <w:r>
        <w:rPr>
          <w:rFonts w:ascii="Arial" w:cs="Arial" w:eastAsia="Arial" w:hAnsi="Arial"/>
          <w:sz w:val="18"/>
          <w:szCs w:val="18"/>
          <w:color w:val="auto"/>
        </w:rPr>
        <w:t>More information on our net sales by reportable segment and segment operating income can be found in “Notes to Consolidated Financial Statements – Note 20—Segment Information.”</w:t>
      </w:r>
    </w:p>
    <w:p>
      <w:pPr>
        <w:spacing w:after="0" w:line="166" w:lineRule="exact"/>
        <w:rPr>
          <w:sz w:val="20"/>
          <w:szCs w:val="20"/>
          <w:color w:val="auto"/>
        </w:rPr>
      </w:pPr>
    </w:p>
    <w:p>
      <w:pPr>
        <w:ind w:left="1040"/>
        <w:spacing w:after="0"/>
        <w:rPr>
          <w:sz w:val="20"/>
          <w:szCs w:val="20"/>
          <w:color w:val="auto"/>
        </w:rPr>
      </w:pPr>
      <w:r>
        <w:rPr>
          <w:rFonts w:ascii="Arial" w:cs="Arial" w:eastAsia="Arial" w:hAnsi="Arial"/>
          <w:sz w:val="18"/>
          <w:szCs w:val="18"/>
          <w:b w:val="1"/>
          <w:bCs w:val="1"/>
          <w:color w:val="auto"/>
        </w:rPr>
        <w:t>Titleist Golf Balls Segment</w:t>
      </w:r>
    </w:p>
    <w:p>
      <w:pPr>
        <w:spacing w:after="0" w:line="229" w:lineRule="exact"/>
        <w:rPr>
          <w:sz w:val="20"/>
          <w:szCs w:val="20"/>
          <w:color w:val="auto"/>
        </w:rPr>
      </w:pPr>
    </w:p>
    <w:p>
      <w:pPr>
        <w:ind w:left="1040"/>
        <w:spacing w:after="0"/>
        <w:rPr>
          <w:sz w:val="20"/>
          <w:szCs w:val="20"/>
          <w:color w:val="auto"/>
        </w:rPr>
      </w:pPr>
      <w:r>
        <w:rPr>
          <w:rFonts w:ascii="Arial" w:cs="Arial" w:eastAsia="Arial" w:hAnsi="Arial"/>
          <w:sz w:val="16"/>
          <w:szCs w:val="16"/>
          <w:color w:val="auto"/>
        </w:rPr>
        <w:t>Net sales in our Titleist golf balls segment decreased by $1.9 million, or 0.4%, to $512.0 million for the</w:t>
      </w:r>
    </w:p>
    <w:p>
      <w:pPr>
        <w:spacing w:after="0" w:line="46" w:lineRule="exact"/>
        <w:rPr>
          <w:sz w:val="20"/>
          <w:szCs w:val="20"/>
          <w:color w:val="auto"/>
        </w:rPr>
      </w:pPr>
    </w:p>
    <w:p>
      <w:pPr>
        <w:ind w:left="380"/>
        <w:spacing w:after="0"/>
        <w:rPr>
          <w:sz w:val="20"/>
          <w:szCs w:val="20"/>
          <w:color w:val="auto"/>
        </w:rPr>
      </w:pPr>
      <w:r>
        <w:rPr>
          <w:rFonts w:ascii="Arial" w:cs="Arial" w:eastAsia="Arial" w:hAnsi="Arial"/>
          <w:sz w:val="16"/>
          <w:szCs w:val="16"/>
          <w:color w:val="auto"/>
        </w:rPr>
        <w:t>year ended December 31, 2017 compared to $513.9 million for the year ended December 31, 2016. On a constant</w:t>
      </w:r>
    </w:p>
    <w:p>
      <w:pPr>
        <w:spacing w:after="0" w:line="32" w:lineRule="exact"/>
        <w:rPr>
          <w:sz w:val="20"/>
          <w:szCs w:val="20"/>
          <w:color w:val="auto"/>
        </w:rPr>
      </w:pPr>
    </w:p>
    <w:p>
      <w:pPr>
        <w:ind w:left="380"/>
        <w:spacing w:after="0"/>
        <w:rPr>
          <w:sz w:val="20"/>
          <w:szCs w:val="20"/>
          <w:color w:val="auto"/>
        </w:rPr>
      </w:pPr>
      <w:r>
        <w:rPr>
          <w:rFonts w:ascii="Arial" w:cs="Arial" w:eastAsia="Arial" w:hAnsi="Arial"/>
          <w:sz w:val="17"/>
          <w:szCs w:val="17"/>
          <w:color w:val="auto"/>
        </w:rPr>
        <w:t>currency basis, net sales in our Titleist golf balls segment would have decreased by $0.3 million, or 0.1%, to</w:t>
      </w:r>
    </w:p>
    <w:p>
      <w:pPr>
        <w:spacing w:after="0" w:line="21" w:lineRule="exact"/>
        <w:rPr>
          <w:sz w:val="20"/>
          <w:szCs w:val="20"/>
          <w:color w:val="auto"/>
        </w:rPr>
      </w:pPr>
    </w:p>
    <w:p>
      <w:pPr>
        <w:ind w:left="380"/>
        <w:spacing w:after="0"/>
        <w:rPr>
          <w:sz w:val="20"/>
          <w:szCs w:val="20"/>
          <w:color w:val="auto"/>
        </w:rPr>
      </w:pPr>
      <w:r>
        <w:rPr>
          <w:rFonts w:ascii="Arial" w:cs="Arial" w:eastAsia="Arial" w:hAnsi="Arial"/>
          <w:sz w:val="16"/>
          <w:szCs w:val="16"/>
          <w:color w:val="auto"/>
        </w:rPr>
        <w:t>$513.6 million. This decrease primarily resulted from a sales volume decline of our performance golf ball models</w:t>
      </w:r>
    </w:p>
    <w:p>
      <w:pPr>
        <w:spacing w:after="0" w:line="32" w:lineRule="exact"/>
        <w:rPr>
          <w:sz w:val="20"/>
          <w:szCs w:val="20"/>
          <w:color w:val="auto"/>
        </w:rPr>
      </w:pPr>
    </w:p>
    <w:p>
      <w:pPr>
        <w:ind w:left="380"/>
        <w:spacing w:after="0"/>
        <w:rPr>
          <w:sz w:val="20"/>
          <w:szCs w:val="20"/>
          <w:color w:val="auto"/>
        </w:rPr>
      </w:pPr>
      <w:r>
        <w:rPr>
          <w:rFonts w:ascii="Arial" w:cs="Arial" w:eastAsia="Arial" w:hAnsi="Arial"/>
          <w:sz w:val="17"/>
          <w:szCs w:val="17"/>
          <w:color w:val="auto"/>
        </w:rPr>
        <w:t>which were in their second year of the two-year product life cycle and was largely offset by a sales volume</w:t>
      </w:r>
    </w:p>
    <w:p>
      <w:pPr>
        <w:spacing w:after="0" w:line="21" w:lineRule="exact"/>
        <w:rPr>
          <w:sz w:val="20"/>
          <w:szCs w:val="20"/>
          <w:color w:val="auto"/>
        </w:rPr>
      </w:pPr>
    </w:p>
    <w:p>
      <w:pPr>
        <w:ind w:left="380"/>
        <w:spacing w:after="0"/>
        <w:rPr>
          <w:sz w:val="20"/>
          <w:szCs w:val="20"/>
          <w:color w:val="auto"/>
        </w:rPr>
      </w:pPr>
      <w:r>
        <w:rPr>
          <w:rFonts w:ascii="Arial" w:cs="Arial" w:eastAsia="Arial" w:hAnsi="Arial"/>
          <w:sz w:val="17"/>
          <w:szCs w:val="17"/>
          <w:color w:val="auto"/>
        </w:rPr>
        <w:t>increase of our newly introduced Pro V1 and Pro V1x golf balls. In the United States, sales volumes were</w:t>
      </w:r>
    </w:p>
    <w:p>
      <w:pPr>
        <w:spacing w:after="0" w:line="21" w:lineRule="exact"/>
        <w:rPr>
          <w:sz w:val="20"/>
          <w:szCs w:val="20"/>
          <w:color w:val="auto"/>
        </w:rPr>
      </w:pPr>
    </w:p>
    <w:p>
      <w:pPr>
        <w:ind w:left="380"/>
        <w:spacing w:after="0"/>
        <w:rPr>
          <w:sz w:val="20"/>
          <w:szCs w:val="20"/>
          <w:color w:val="auto"/>
        </w:rPr>
      </w:pPr>
      <w:r>
        <w:rPr>
          <w:rFonts w:ascii="Arial" w:cs="Arial" w:eastAsia="Arial" w:hAnsi="Arial"/>
          <w:sz w:val="16"/>
          <w:szCs w:val="16"/>
          <w:color w:val="auto"/>
        </w:rPr>
        <w:t>impacted by a reduced store count as a result of the continued impact of retail channel disruptions that occurred in</w:t>
      </w:r>
    </w:p>
    <w:p>
      <w:pPr>
        <w:spacing w:after="0" w:line="32" w:lineRule="exact"/>
        <w:rPr>
          <w:sz w:val="20"/>
          <w:szCs w:val="20"/>
          <w:color w:val="auto"/>
        </w:rPr>
      </w:pPr>
    </w:p>
    <w:p>
      <w:pPr>
        <w:ind w:left="380"/>
        <w:spacing w:after="0"/>
        <w:rPr>
          <w:sz w:val="20"/>
          <w:szCs w:val="20"/>
          <w:color w:val="auto"/>
        </w:rPr>
      </w:pPr>
      <w:r>
        <w:rPr>
          <w:rFonts w:ascii="Arial" w:cs="Arial" w:eastAsia="Arial" w:hAnsi="Arial"/>
          <w:sz w:val="16"/>
          <w:szCs w:val="16"/>
          <w:color w:val="auto"/>
        </w:rPr>
        <w:t>2016, unfavorable weather conditions, which negatively impacted rounds of play, as well as increased competitive</w:t>
      </w:r>
    </w:p>
    <w:p>
      <w:pPr>
        <w:spacing w:after="0" w:line="32" w:lineRule="exact"/>
        <w:rPr>
          <w:sz w:val="20"/>
          <w:szCs w:val="20"/>
          <w:color w:val="auto"/>
        </w:rPr>
      </w:pPr>
    </w:p>
    <w:p>
      <w:pPr>
        <w:ind w:left="380"/>
        <w:spacing w:after="0"/>
        <w:rPr>
          <w:sz w:val="20"/>
          <w:szCs w:val="20"/>
          <w:color w:val="auto"/>
        </w:rPr>
      </w:pPr>
      <w:r>
        <w:rPr>
          <w:rFonts w:ascii="Arial" w:cs="Arial" w:eastAsia="Arial" w:hAnsi="Arial"/>
          <w:sz w:val="18"/>
          <w:szCs w:val="18"/>
          <w:color w:val="auto"/>
        </w:rPr>
        <w:t>promotional activity in the marketplace.</w:t>
      </w:r>
    </w:p>
    <w:p>
      <w:pPr>
        <w:spacing w:after="0" w:line="211" w:lineRule="exact"/>
        <w:rPr>
          <w:sz w:val="20"/>
          <w:szCs w:val="20"/>
          <w:color w:val="auto"/>
        </w:rPr>
      </w:pPr>
    </w:p>
    <w:p>
      <w:pPr>
        <w:ind w:left="380" w:right="439" w:firstLine="648"/>
        <w:spacing w:after="0" w:line="255" w:lineRule="auto"/>
        <w:rPr>
          <w:sz w:val="20"/>
          <w:szCs w:val="20"/>
          <w:color w:val="auto"/>
        </w:rPr>
      </w:pPr>
      <w:r>
        <w:rPr>
          <w:rFonts w:ascii="Arial" w:cs="Arial" w:eastAsia="Arial" w:hAnsi="Arial"/>
          <w:sz w:val="18"/>
          <w:szCs w:val="18"/>
          <w:color w:val="auto"/>
        </w:rPr>
        <w:t>Titleist golf balls segment operating income increased by $0.7 million, or 0.8%, to $76.9 million for the year ended December 31, 2017 compared to $76.2 million for the year ended December 31, 2016. Gross profit decreased by $0.3 million primarily resulting from the decreased sales discussed above. Operating expenses decreased primarily resulting from the absence of a $2.9 million expense related to the segment allocation of the one-time executive bonus recorded in the first quarter of 2016 and a decrease of $2.4 million in bad debt expense, partially offset by an increase of $3.2 million in the segment allocation of consulting, legal and administrative costs.</w:t>
      </w:r>
    </w:p>
    <w:p>
      <w:pPr>
        <w:spacing w:after="0" w:line="185" w:lineRule="exact"/>
        <w:rPr>
          <w:sz w:val="20"/>
          <w:szCs w:val="20"/>
          <w:color w:val="auto"/>
        </w:rPr>
      </w:pPr>
    </w:p>
    <w:p>
      <w:pPr>
        <w:ind w:left="1040"/>
        <w:spacing w:after="0"/>
        <w:rPr>
          <w:sz w:val="20"/>
          <w:szCs w:val="20"/>
          <w:color w:val="auto"/>
        </w:rPr>
      </w:pPr>
      <w:r>
        <w:rPr>
          <w:rFonts w:ascii="Arial" w:cs="Arial" w:eastAsia="Arial" w:hAnsi="Arial"/>
          <w:sz w:val="18"/>
          <w:szCs w:val="18"/>
          <w:b w:val="1"/>
          <w:bCs w:val="1"/>
          <w:color w:val="auto"/>
        </w:rPr>
        <w:t>Titleist Golf Clubs Segment</w:t>
      </w:r>
    </w:p>
    <w:p>
      <w:pPr>
        <w:spacing w:after="0" w:line="229" w:lineRule="exact"/>
        <w:rPr>
          <w:sz w:val="20"/>
          <w:szCs w:val="20"/>
          <w:color w:val="auto"/>
        </w:rPr>
      </w:pPr>
    </w:p>
    <w:p>
      <w:pPr>
        <w:ind w:left="380" w:right="399" w:firstLine="648"/>
        <w:spacing w:after="0" w:line="271" w:lineRule="auto"/>
        <w:rPr>
          <w:sz w:val="20"/>
          <w:szCs w:val="20"/>
          <w:color w:val="auto"/>
        </w:rPr>
      </w:pPr>
      <w:r>
        <w:rPr>
          <w:rFonts w:ascii="Arial" w:cs="Arial" w:eastAsia="Arial" w:hAnsi="Arial"/>
          <w:sz w:val="17"/>
          <w:szCs w:val="17"/>
          <w:color w:val="auto"/>
        </w:rPr>
        <w:t>Net sales in our Titleist golf clubs segment decreased by $33.0 million, or 7.7%, to $398.0 million for the year ended December 31, 2017 compared to $431.0 million for the year ended December 31, 2016. On a constant currency basis, net sales in our Titleist golf clubs segment would have decreased by $29.8 million, or 6.9%, to $401.2 million. This decrease primarily resulted from lower sales volumes of drivers and fairways launched in 2016, coupled with wedges which were in their second model year, partially offset by the launch of our new irons in September of 2017. In the United States, sales volumes were impacted by a reduced store count as a result of the continued impact of retail channel disruptions that occurred in 2016 as well as unfavorable weather conditions which negatively impacted golf club</w:t>
      </w:r>
    </w:p>
    <w:p>
      <w:pPr>
        <w:spacing w:after="0" w:line="17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64" w:name="page65"/>
    <w:bookmarkEnd w:id="64"/>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380" w:right="739"/>
        <w:spacing w:after="0" w:line="277" w:lineRule="auto"/>
        <w:rPr>
          <w:sz w:val="20"/>
          <w:szCs w:val="20"/>
          <w:color w:val="auto"/>
        </w:rPr>
      </w:pPr>
      <w:r>
        <w:rPr>
          <w:rFonts w:ascii="Arial" w:cs="Arial" w:eastAsia="Arial" w:hAnsi="Arial"/>
          <w:sz w:val="18"/>
          <w:szCs w:val="18"/>
          <w:color w:val="auto"/>
        </w:rPr>
        <w:t>fitting and trial activities. This decrease was partially offset by an increase in average selling prices across all product categories.</w:t>
      </w:r>
    </w:p>
    <w:p>
      <w:pPr>
        <w:spacing w:after="0" w:line="170" w:lineRule="exact"/>
        <w:rPr>
          <w:sz w:val="20"/>
          <w:szCs w:val="20"/>
          <w:color w:val="auto"/>
        </w:rPr>
      </w:pPr>
    </w:p>
    <w:p>
      <w:pPr>
        <w:ind w:left="380" w:right="439" w:firstLine="648"/>
        <w:spacing w:after="0" w:line="291" w:lineRule="auto"/>
        <w:rPr>
          <w:sz w:val="20"/>
          <w:szCs w:val="20"/>
          <w:color w:val="auto"/>
        </w:rPr>
      </w:pPr>
      <w:r>
        <w:rPr>
          <w:rFonts w:ascii="Arial" w:cs="Arial" w:eastAsia="Arial" w:hAnsi="Arial"/>
          <w:sz w:val="16"/>
          <w:szCs w:val="16"/>
          <w:color w:val="auto"/>
        </w:rPr>
        <w:t>Titleist golf clubs segment operating income decreased by $19.5 million, or 38.6%, to $31.0 million for the year ended December 31, 2017 compared to $50.5 million for the year ended December 31, 2016. This decrease primarily resulted from lower gross profit of $18.1 million primarily as a result from decreased sales volumes as discussed above. Operating expenses were up, driven by an increase of $3.0 million in the segment allocation of consulting, legal and administrative costs and an increase of $0.9 million in research and development costs, largely offset by the absence of a $1.8 million expense related to the segment allocation of the one-time executive bonus recorded in the first quarter of 2016 and a decrease of $1.5 million in bad debt expense.</w:t>
      </w:r>
    </w:p>
    <w:p>
      <w:pPr>
        <w:spacing w:after="0" w:line="163" w:lineRule="exact"/>
        <w:rPr>
          <w:sz w:val="20"/>
          <w:szCs w:val="20"/>
          <w:color w:val="auto"/>
        </w:rPr>
      </w:pPr>
    </w:p>
    <w:p>
      <w:pPr>
        <w:ind w:left="1040"/>
        <w:spacing w:after="0"/>
        <w:rPr>
          <w:sz w:val="20"/>
          <w:szCs w:val="20"/>
          <w:color w:val="auto"/>
        </w:rPr>
      </w:pPr>
      <w:r>
        <w:rPr>
          <w:rFonts w:ascii="Arial" w:cs="Arial" w:eastAsia="Arial" w:hAnsi="Arial"/>
          <w:sz w:val="18"/>
          <w:szCs w:val="18"/>
          <w:b w:val="1"/>
          <w:bCs w:val="1"/>
          <w:color w:val="auto"/>
        </w:rPr>
        <w:t>Titleist Golf Gear Segment</w:t>
      </w:r>
    </w:p>
    <w:p>
      <w:pPr>
        <w:spacing w:after="0" w:line="229" w:lineRule="exact"/>
        <w:rPr>
          <w:sz w:val="20"/>
          <w:szCs w:val="20"/>
          <w:color w:val="auto"/>
        </w:rPr>
      </w:pPr>
    </w:p>
    <w:p>
      <w:pPr>
        <w:ind w:left="1040"/>
        <w:spacing w:after="0"/>
        <w:rPr>
          <w:sz w:val="20"/>
          <w:szCs w:val="20"/>
          <w:color w:val="auto"/>
        </w:rPr>
      </w:pPr>
      <w:r>
        <w:rPr>
          <w:rFonts w:ascii="Arial" w:cs="Arial" w:eastAsia="Arial" w:hAnsi="Arial"/>
          <w:sz w:val="16"/>
          <w:szCs w:val="16"/>
          <w:color w:val="auto"/>
        </w:rPr>
        <w:t>Net sales in our Titleist golf gear segment increased by $6.7 million, or 4.9%, to $142.9 million for the</w:t>
      </w:r>
    </w:p>
    <w:p>
      <w:pPr>
        <w:spacing w:after="0" w:line="46" w:lineRule="exact"/>
        <w:rPr>
          <w:sz w:val="20"/>
          <w:szCs w:val="20"/>
          <w:color w:val="auto"/>
        </w:rPr>
      </w:pPr>
    </w:p>
    <w:p>
      <w:pPr>
        <w:ind w:left="380"/>
        <w:spacing w:after="0"/>
        <w:rPr>
          <w:sz w:val="20"/>
          <w:szCs w:val="20"/>
          <w:color w:val="auto"/>
        </w:rPr>
      </w:pPr>
      <w:r>
        <w:rPr>
          <w:rFonts w:ascii="Arial" w:cs="Arial" w:eastAsia="Arial" w:hAnsi="Arial"/>
          <w:sz w:val="16"/>
          <w:szCs w:val="16"/>
          <w:color w:val="auto"/>
        </w:rPr>
        <w:t>year ended December 31, 2017 compared to $136.2 million for the year ended December 31, 2016. On a constant</w:t>
      </w:r>
    </w:p>
    <w:p>
      <w:pPr>
        <w:spacing w:after="0" w:line="32" w:lineRule="exact"/>
        <w:rPr>
          <w:sz w:val="20"/>
          <w:szCs w:val="20"/>
          <w:color w:val="auto"/>
        </w:rPr>
      </w:pPr>
    </w:p>
    <w:p>
      <w:pPr>
        <w:ind w:left="380"/>
        <w:spacing w:after="0"/>
        <w:rPr>
          <w:sz w:val="20"/>
          <w:szCs w:val="20"/>
          <w:color w:val="auto"/>
        </w:rPr>
      </w:pPr>
      <w:r>
        <w:rPr>
          <w:rFonts w:ascii="Arial" w:cs="Arial" w:eastAsia="Arial" w:hAnsi="Arial"/>
          <w:sz w:val="17"/>
          <w:szCs w:val="17"/>
          <w:color w:val="auto"/>
        </w:rPr>
        <w:t>currency basis, net sales in our Titleist golf gear segment would have increased by $7.1 million, or 5.2%, to</w:t>
      </w:r>
    </w:p>
    <w:p>
      <w:pPr>
        <w:spacing w:after="0" w:line="21" w:lineRule="exact"/>
        <w:rPr>
          <w:sz w:val="20"/>
          <w:szCs w:val="20"/>
          <w:color w:val="auto"/>
        </w:rPr>
      </w:pPr>
    </w:p>
    <w:p>
      <w:pPr>
        <w:ind w:left="380"/>
        <w:spacing w:after="0"/>
        <w:rPr>
          <w:sz w:val="20"/>
          <w:szCs w:val="20"/>
          <w:color w:val="auto"/>
        </w:rPr>
      </w:pPr>
      <w:r>
        <w:rPr>
          <w:rFonts w:ascii="Arial" w:cs="Arial" w:eastAsia="Arial" w:hAnsi="Arial"/>
          <w:sz w:val="16"/>
          <w:szCs w:val="16"/>
          <w:color w:val="auto"/>
        </w:rPr>
        <w:t>$143.3 million. This increase was primarily driven by higher average selling prices in all categories of the gear</w:t>
      </w:r>
    </w:p>
    <w:p>
      <w:pPr>
        <w:spacing w:after="0" w:line="32" w:lineRule="exact"/>
        <w:rPr>
          <w:sz w:val="20"/>
          <w:szCs w:val="20"/>
          <w:color w:val="auto"/>
        </w:rPr>
      </w:pPr>
    </w:p>
    <w:p>
      <w:pPr>
        <w:ind w:left="380"/>
        <w:spacing w:after="0"/>
        <w:rPr>
          <w:sz w:val="20"/>
          <w:szCs w:val="20"/>
          <w:color w:val="auto"/>
        </w:rPr>
      </w:pPr>
      <w:r>
        <w:rPr>
          <w:rFonts w:ascii="Arial" w:cs="Arial" w:eastAsia="Arial" w:hAnsi="Arial"/>
          <w:sz w:val="18"/>
          <w:szCs w:val="18"/>
          <w:color w:val="auto"/>
        </w:rPr>
        <w:t>business and higher sales volume growth in travel gear.</w:t>
      </w:r>
    </w:p>
    <w:p>
      <w:pPr>
        <w:spacing w:after="0" w:line="211" w:lineRule="exact"/>
        <w:rPr>
          <w:sz w:val="20"/>
          <w:szCs w:val="20"/>
          <w:color w:val="auto"/>
        </w:rPr>
      </w:pPr>
    </w:p>
    <w:p>
      <w:pPr>
        <w:ind w:left="380" w:right="459" w:firstLine="648"/>
        <w:spacing w:after="0" w:line="259" w:lineRule="auto"/>
        <w:rPr>
          <w:sz w:val="20"/>
          <w:szCs w:val="20"/>
          <w:color w:val="auto"/>
        </w:rPr>
      </w:pPr>
      <w:r>
        <w:rPr>
          <w:rFonts w:ascii="Arial" w:cs="Arial" w:eastAsia="Arial" w:hAnsi="Arial"/>
          <w:sz w:val="18"/>
          <w:szCs w:val="18"/>
          <w:color w:val="auto"/>
        </w:rPr>
        <w:t>Titleist golf gear segment operating income increased by $4.5 million, or 36.8%, to $16.6 million for the year ended December 31, 2017 compared to $12.1 million for the year ended December 31, 2016. This increase was driven by higher gross profit on the increased sales as discussed above as well as higher gross margin resulting from higher average selling prices, as discussed above.</w:t>
      </w:r>
    </w:p>
    <w:p>
      <w:pPr>
        <w:spacing w:after="0" w:line="183" w:lineRule="exact"/>
        <w:rPr>
          <w:sz w:val="20"/>
          <w:szCs w:val="20"/>
          <w:color w:val="auto"/>
        </w:rPr>
      </w:pPr>
    </w:p>
    <w:p>
      <w:pPr>
        <w:ind w:left="1040"/>
        <w:spacing w:after="0"/>
        <w:rPr>
          <w:sz w:val="20"/>
          <w:szCs w:val="20"/>
          <w:color w:val="auto"/>
        </w:rPr>
      </w:pPr>
      <w:r>
        <w:rPr>
          <w:rFonts w:ascii="Arial" w:cs="Arial" w:eastAsia="Arial" w:hAnsi="Arial"/>
          <w:sz w:val="18"/>
          <w:szCs w:val="18"/>
          <w:b w:val="1"/>
          <w:bCs w:val="1"/>
          <w:color w:val="auto"/>
        </w:rPr>
        <w:t>FootJoy Golf Wear Segment</w:t>
      </w:r>
    </w:p>
    <w:p>
      <w:pPr>
        <w:spacing w:after="0" w:line="229" w:lineRule="exact"/>
        <w:rPr>
          <w:sz w:val="20"/>
          <w:szCs w:val="20"/>
          <w:color w:val="auto"/>
        </w:rPr>
      </w:pPr>
    </w:p>
    <w:p>
      <w:pPr>
        <w:ind w:left="1040"/>
        <w:spacing w:after="0"/>
        <w:rPr>
          <w:sz w:val="20"/>
          <w:szCs w:val="20"/>
          <w:color w:val="auto"/>
        </w:rPr>
      </w:pPr>
      <w:r>
        <w:rPr>
          <w:rFonts w:ascii="Arial" w:cs="Arial" w:eastAsia="Arial" w:hAnsi="Arial"/>
          <w:sz w:val="16"/>
          <w:szCs w:val="16"/>
          <w:color w:val="auto"/>
        </w:rPr>
        <w:t>Net sales in our FootJoy golf wear segment increased by $4.4 million, or 1.0%, to $437.5 million for the</w:t>
      </w:r>
    </w:p>
    <w:p>
      <w:pPr>
        <w:spacing w:after="0" w:line="46" w:lineRule="exact"/>
        <w:rPr>
          <w:sz w:val="20"/>
          <w:szCs w:val="20"/>
          <w:color w:val="auto"/>
        </w:rPr>
      </w:pPr>
    </w:p>
    <w:p>
      <w:pPr>
        <w:ind w:left="380"/>
        <w:spacing w:after="0"/>
        <w:rPr>
          <w:sz w:val="20"/>
          <w:szCs w:val="20"/>
          <w:color w:val="auto"/>
        </w:rPr>
      </w:pPr>
      <w:r>
        <w:rPr>
          <w:rFonts w:ascii="Arial" w:cs="Arial" w:eastAsia="Arial" w:hAnsi="Arial"/>
          <w:sz w:val="16"/>
          <w:szCs w:val="16"/>
          <w:color w:val="auto"/>
        </w:rPr>
        <w:t>year ended December 31, 2017 compared to $433.1 million for the year ended December 31, 2016. On a constant</w:t>
      </w:r>
    </w:p>
    <w:p>
      <w:pPr>
        <w:spacing w:after="0" w:line="32" w:lineRule="exact"/>
        <w:rPr>
          <w:sz w:val="20"/>
          <w:szCs w:val="20"/>
          <w:color w:val="auto"/>
        </w:rPr>
      </w:pPr>
    </w:p>
    <w:p>
      <w:pPr>
        <w:ind w:left="380"/>
        <w:spacing w:after="0"/>
        <w:rPr>
          <w:sz w:val="20"/>
          <w:szCs w:val="20"/>
          <w:color w:val="auto"/>
        </w:rPr>
      </w:pPr>
      <w:r>
        <w:rPr>
          <w:rFonts w:ascii="Arial" w:cs="Arial" w:eastAsia="Arial" w:hAnsi="Arial"/>
          <w:sz w:val="17"/>
          <w:szCs w:val="17"/>
          <w:color w:val="auto"/>
        </w:rPr>
        <w:t>currency basis, net sales in our FootJoy golf wear segment would have increased by $8.6 million, or 2.0%, to</w:t>
      </w:r>
    </w:p>
    <w:p>
      <w:pPr>
        <w:spacing w:after="0" w:line="21" w:lineRule="exact"/>
        <w:rPr>
          <w:sz w:val="20"/>
          <w:szCs w:val="20"/>
          <w:color w:val="auto"/>
        </w:rPr>
      </w:pPr>
    </w:p>
    <w:p>
      <w:pPr>
        <w:ind w:left="380"/>
        <w:spacing w:after="0"/>
        <w:rPr>
          <w:sz w:val="20"/>
          <w:szCs w:val="20"/>
          <w:color w:val="auto"/>
        </w:rPr>
      </w:pPr>
      <w:r>
        <w:rPr>
          <w:rFonts w:ascii="Arial" w:cs="Arial" w:eastAsia="Arial" w:hAnsi="Arial"/>
          <w:sz w:val="16"/>
          <w:szCs w:val="16"/>
          <w:color w:val="auto"/>
        </w:rPr>
        <w:t>$441.7 million. This increase was primarily driven by sales volume increases in apparel, partially offset by a sales</w:t>
      </w:r>
    </w:p>
    <w:p>
      <w:pPr>
        <w:spacing w:after="0" w:line="32" w:lineRule="exact"/>
        <w:rPr>
          <w:sz w:val="20"/>
          <w:szCs w:val="20"/>
          <w:color w:val="auto"/>
        </w:rPr>
      </w:pPr>
    </w:p>
    <w:p>
      <w:pPr>
        <w:ind w:left="380"/>
        <w:spacing w:after="0"/>
        <w:rPr>
          <w:sz w:val="20"/>
          <w:szCs w:val="20"/>
          <w:color w:val="auto"/>
        </w:rPr>
      </w:pPr>
      <w:r>
        <w:rPr>
          <w:rFonts w:ascii="Arial" w:cs="Arial" w:eastAsia="Arial" w:hAnsi="Arial"/>
          <w:sz w:val="18"/>
          <w:szCs w:val="18"/>
          <w:color w:val="auto"/>
        </w:rPr>
        <w:t>volume decline in footwear.</w:t>
      </w:r>
    </w:p>
    <w:p>
      <w:pPr>
        <w:spacing w:after="0" w:line="211" w:lineRule="exact"/>
        <w:rPr>
          <w:sz w:val="20"/>
          <w:szCs w:val="20"/>
          <w:color w:val="auto"/>
        </w:rPr>
      </w:pPr>
    </w:p>
    <w:p>
      <w:pPr>
        <w:ind w:left="380" w:right="419" w:firstLine="648"/>
        <w:spacing w:after="0" w:line="288" w:lineRule="auto"/>
        <w:rPr>
          <w:sz w:val="20"/>
          <w:szCs w:val="20"/>
          <w:color w:val="auto"/>
        </w:rPr>
      </w:pPr>
      <w:r>
        <w:rPr>
          <w:rFonts w:ascii="Arial" w:cs="Arial" w:eastAsia="Arial" w:hAnsi="Arial"/>
          <w:sz w:val="16"/>
          <w:szCs w:val="16"/>
          <w:color w:val="auto"/>
        </w:rPr>
        <w:t>FootJoy golf wear segment operating income increased by $7.4 million, or 39.0%, to $26.4 million for the year ended December 31, 2017 compared to $19.0 million for the year ended December 31, 2016. This increase was driven by higher gross profit and lower operating expenses. The higher gross profit was primarily driven by the increase in apparel sales volumes discussed above coupled with higher average selling prices. Gross margin increased, primarily as a result from lower product costs in apparel and our gloves categories and a favorable mix shift in the footwear category. The decrease in operating expenses primarily resulted from a decrease of $2.6 million in advertising and promotion costs, the absence of a $2.1 million expense related to the segment allocation of the one-time executive bonus recorded in the first quarter of 2016, and a decrease of $1.8 million in bad debt expense, partially offset by an increase of $2.1 million in the segment allocation of consulting, legal and administrative costs and an increase of $2.0 million in selling expense.</w:t>
      </w:r>
    </w:p>
    <w:p>
      <w:pPr>
        <w:spacing w:after="0" w:line="167"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65" w:name="page66"/>
    <w:bookmarkEnd w:id="65"/>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1040"/>
        <w:spacing w:after="0"/>
        <w:rPr>
          <w:sz w:val="20"/>
          <w:szCs w:val="20"/>
          <w:color w:val="auto"/>
        </w:rPr>
      </w:pPr>
      <w:r>
        <w:rPr>
          <w:rFonts w:ascii="Arial" w:cs="Arial" w:eastAsia="Arial" w:hAnsi="Arial"/>
          <w:sz w:val="18"/>
          <w:szCs w:val="18"/>
          <w:b w:val="1"/>
          <w:bCs w:val="1"/>
          <w:i w:val="1"/>
          <w:iCs w:val="1"/>
          <w:color w:val="auto"/>
        </w:rPr>
        <w:t>Year Ended December 31, 2016 Compared to the Year Ended December 31, 2015</w:t>
      </w:r>
    </w:p>
    <w:p>
      <w:pPr>
        <w:spacing w:after="0" w:line="225" w:lineRule="exact"/>
        <w:rPr>
          <w:sz w:val="20"/>
          <w:szCs w:val="20"/>
          <w:color w:val="auto"/>
        </w:rPr>
      </w:pPr>
    </w:p>
    <w:p>
      <w:pPr>
        <w:ind w:left="1040"/>
        <w:spacing w:after="0"/>
        <w:rPr>
          <w:sz w:val="20"/>
          <w:szCs w:val="20"/>
          <w:color w:val="auto"/>
        </w:rPr>
      </w:pPr>
      <w:r>
        <w:rPr>
          <w:rFonts w:ascii="Arial" w:cs="Arial" w:eastAsia="Arial" w:hAnsi="Arial"/>
          <w:sz w:val="18"/>
          <w:szCs w:val="18"/>
          <w:i w:val="1"/>
          <w:iCs w:val="1"/>
          <w:color w:val="auto"/>
        </w:rPr>
        <w:t>Net Sales</w:t>
      </w:r>
    </w:p>
    <w:p>
      <w:pPr>
        <w:spacing w:after="0" w:line="225" w:lineRule="exact"/>
        <w:rPr>
          <w:sz w:val="20"/>
          <w:szCs w:val="20"/>
          <w:color w:val="auto"/>
        </w:rPr>
      </w:pPr>
    </w:p>
    <w:p>
      <w:pPr>
        <w:ind w:left="380" w:right="439" w:firstLine="648"/>
        <w:spacing w:after="0" w:line="285" w:lineRule="auto"/>
        <w:rPr>
          <w:sz w:val="20"/>
          <w:szCs w:val="20"/>
          <w:color w:val="auto"/>
        </w:rPr>
      </w:pPr>
      <w:r>
        <w:rPr>
          <w:rFonts w:ascii="Arial" w:cs="Arial" w:eastAsia="Arial" w:hAnsi="Arial"/>
          <w:sz w:val="16"/>
          <w:szCs w:val="16"/>
          <w:color w:val="auto"/>
        </w:rPr>
        <w:t>Net sales increased by $69.3 million, or 4.6%, to $1,572.3 million for the year ended December 31, 2016 compared to $1,503.0 million for the year ended December 31, 2015. On a constant currency basis, net sales would have increased by $67.2 million, or 4.5%, to $1,570.2 million. This constant currency increase was primarily due to an increase of $38.1 million in net sales of Titleist golf clubs driven by increases in average selling prices and sales volume increases associated with our 2016 new product launches, an increase of</w:t>
      </w:r>
    </w:p>
    <w:p>
      <w:pPr>
        <w:spacing w:after="0" w:line="2" w:lineRule="exact"/>
        <w:rPr>
          <w:sz w:val="20"/>
          <w:szCs w:val="20"/>
          <w:color w:val="auto"/>
        </w:rPr>
      </w:pPr>
    </w:p>
    <w:p>
      <w:pPr>
        <w:ind w:left="380" w:right="419"/>
        <w:spacing w:after="0" w:line="281" w:lineRule="auto"/>
        <w:rPr>
          <w:sz w:val="20"/>
          <w:szCs w:val="20"/>
          <w:color w:val="auto"/>
        </w:rPr>
      </w:pPr>
      <w:r>
        <w:rPr>
          <w:rFonts w:ascii="Arial" w:cs="Arial" w:eastAsia="Arial" w:hAnsi="Arial"/>
          <w:sz w:val="16"/>
          <w:szCs w:val="16"/>
          <w:color w:val="auto"/>
        </w:rPr>
        <w:t>$15.1 million in net sales of FootJoy golf wear driven by sales volume increases in FootJoy apparel and FootJoy glove categories, and an increase of $7.1 million in net sales of Titleist golf gear driven by sales volume growth in travel gear and Titleist gloves categories. These net sales increases were offset partially by a decrease of</w:t>
      </w:r>
    </w:p>
    <w:p>
      <w:pPr>
        <w:spacing w:after="0" w:line="2" w:lineRule="exact"/>
        <w:rPr>
          <w:sz w:val="20"/>
          <w:szCs w:val="20"/>
          <w:color w:val="auto"/>
        </w:rPr>
      </w:pPr>
    </w:p>
    <w:p>
      <w:pPr>
        <w:ind w:left="380" w:right="539"/>
        <w:spacing w:after="0" w:line="253" w:lineRule="auto"/>
        <w:rPr>
          <w:sz w:val="20"/>
          <w:szCs w:val="20"/>
          <w:color w:val="auto"/>
        </w:rPr>
      </w:pPr>
      <w:r>
        <w:rPr>
          <w:rFonts w:ascii="Arial" w:cs="Arial" w:eastAsia="Arial" w:hAnsi="Arial"/>
          <w:sz w:val="18"/>
          <w:szCs w:val="18"/>
          <w:color w:val="auto"/>
        </w:rPr>
        <w:t>$20.0 million in net sales of Titleist golf balls largely driven by off course retail channel disruption in the United States. The remaining increase in net sales was attributable to an accounting adjustment related to the commissions paid on certain retail sales in Korea and to sales volume growth, in each case with respect to products that are sold in regions outside the United States and that are not allocated to one of our four reportable segments.</w:t>
      </w:r>
    </w:p>
    <w:p>
      <w:pPr>
        <w:spacing w:after="0" w:line="191" w:lineRule="exact"/>
        <w:rPr>
          <w:sz w:val="20"/>
          <w:szCs w:val="20"/>
          <w:color w:val="auto"/>
        </w:rPr>
      </w:pPr>
    </w:p>
    <w:p>
      <w:pPr>
        <w:ind w:left="1040"/>
        <w:spacing w:after="0"/>
        <w:rPr>
          <w:sz w:val="20"/>
          <w:szCs w:val="20"/>
          <w:color w:val="auto"/>
        </w:rPr>
      </w:pPr>
      <w:r>
        <w:rPr>
          <w:rFonts w:ascii="Arial" w:cs="Arial" w:eastAsia="Arial" w:hAnsi="Arial"/>
          <w:sz w:val="18"/>
          <w:szCs w:val="18"/>
          <w:color w:val="auto"/>
        </w:rPr>
        <w:t>Net sales information by region is summarized as follows:</w:t>
      </w:r>
    </w:p>
    <w:p>
      <w:pPr>
        <w:spacing w:after="0" w:line="244" w:lineRule="exact"/>
        <w:rPr>
          <w:sz w:val="20"/>
          <w:szCs w:val="20"/>
          <w:color w:val="auto"/>
        </w:rPr>
      </w:pPr>
    </w:p>
    <w:tbl>
      <w:tblPr>
        <w:tblLayout w:type="fixed"/>
        <w:tblInd w:w="380" w:type="dxa"/>
        <w:tblCellMar>
          <w:top w:w="0" w:type="dxa"/>
          <w:left w:w="0" w:type="dxa"/>
          <w:bottom w:w="0" w:type="dxa"/>
          <w:right w:w="0" w:type="dxa"/>
        </w:tblCellMar>
      </w:tblPr>
      <w:tr>
        <w:trPr>
          <w:trHeight w:val="162"/>
        </w:trPr>
        <w:tc>
          <w:tcPr>
            <w:tcW w:w="19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20" w:type="dxa"/>
            <w:vAlign w:val="bottom"/>
            <w:gridSpan w:val="4"/>
          </w:tcPr>
          <w:p>
            <w:pPr>
              <w:jc w:val="right"/>
              <w:ind w:right="533"/>
              <w:spacing w:after="0"/>
              <w:rPr>
                <w:sz w:val="20"/>
                <w:szCs w:val="20"/>
                <w:color w:val="auto"/>
              </w:rPr>
            </w:pPr>
            <w:r>
              <w:rPr>
                <w:rFonts w:ascii="Arial" w:cs="Arial" w:eastAsia="Arial" w:hAnsi="Arial"/>
                <w:sz w:val="14"/>
                <w:szCs w:val="14"/>
                <w:b w:val="1"/>
                <w:bCs w:val="1"/>
                <w:color w:val="auto"/>
              </w:rPr>
              <w:t>Year ended</w:t>
            </w: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560" w:type="dxa"/>
            <w:vAlign w:val="bottom"/>
            <w:gridSpan w:val="3"/>
          </w:tcPr>
          <w:p>
            <w:pPr>
              <w:jc w:val="right"/>
              <w:ind w:right="280"/>
              <w:spacing w:after="0"/>
              <w:rPr>
                <w:sz w:val="20"/>
                <w:szCs w:val="20"/>
                <w:color w:val="auto"/>
              </w:rPr>
            </w:pPr>
            <w:r>
              <w:rPr>
                <w:rFonts w:ascii="Arial" w:cs="Arial" w:eastAsia="Arial" w:hAnsi="Arial"/>
                <w:sz w:val="14"/>
                <w:szCs w:val="14"/>
                <w:b w:val="1"/>
                <w:bCs w:val="1"/>
                <w:color w:val="auto"/>
                <w:w w:val="99"/>
              </w:rPr>
              <w:t>Constant Currency</w:t>
            </w:r>
          </w:p>
        </w:tc>
      </w:tr>
      <w:tr>
        <w:trPr>
          <w:trHeight w:val="171"/>
        </w:trPr>
        <w:tc>
          <w:tcPr>
            <w:tcW w:w="19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20" w:type="dxa"/>
            <w:vAlign w:val="bottom"/>
            <w:gridSpan w:val="4"/>
          </w:tcPr>
          <w:p>
            <w:pPr>
              <w:jc w:val="right"/>
              <w:ind w:right="453"/>
              <w:spacing w:after="0"/>
              <w:rPr>
                <w:sz w:val="20"/>
                <w:szCs w:val="20"/>
                <w:color w:val="auto"/>
              </w:rPr>
            </w:pPr>
            <w:r>
              <w:rPr>
                <w:rFonts w:ascii="Arial" w:cs="Arial" w:eastAsia="Arial" w:hAnsi="Arial"/>
                <w:sz w:val="14"/>
                <w:szCs w:val="14"/>
                <w:b w:val="1"/>
                <w:bCs w:val="1"/>
                <w:color w:val="auto"/>
              </w:rPr>
              <w:t>December 31,</w:t>
            </w:r>
          </w:p>
        </w:tc>
        <w:tc>
          <w:tcPr>
            <w:tcW w:w="140" w:type="dxa"/>
            <w:vAlign w:val="bottom"/>
          </w:tcPr>
          <w:p>
            <w:pPr>
              <w:spacing w:after="0"/>
              <w:rPr>
                <w:sz w:val="14"/>
                <w:szCs w:val="14"/>
                <w:color w:val="auto"/>
              </w:rPr>
            </w:pPr>
          </w:p>
        </w:tc>
        <w:tc>
          <w:tcPr>
            <w:tcW w:w="1660" w:type="dxa"/>
            <w:vAlign w:val="bottom"/>
            <w:gridSpan w:val="3"/>
          </w:tcPr>
          <w:p>
            <w:pPr>
              <w:jc w:val="right"/>
              <w:ind w:right="360"/>
              <w:spacing w:after="0"/>
              <w:rPr>
                <w:sz w:val="20"/>
                <w:szCs w:val="20"/>
                <w:color w:val="auto"/>
              </w:rPr>
            </w:pPr>
            <w:r>
              <w:rPr>
                <w:rFonts w:ascii="Arial" w:cs="Arial" w:eastAsia="Arial" w:hAnsi="Arial"/>
                <w:sz w:val="14"/>
                <w:szCs w:val="14"/>
                <w:b w:val="1"/>
                <w:bCs w:val="1"/>
                <w:color w:val="auto"/>
                <w:w w:val="96"/>
              </w:rPr>
              <w:t>Increase/(Decrease)</w:t>
            </w:r>
          </w:p>
        </w:tc>
        <w:tc>
          <w:tcPr>
            <w:tcW w:w="20" w:type="dxa"/>
            <w:vAlign w:val="bottom"/>
          </w:tcPr>
          <w:p>
            <w:pPr>
              <w:spacing w:after="0"/>
              <w:rPr>
                <w:sz w:val="14"/>
                <w:szCs w:val="14"/>
                <w:color w:val="auto"/>
              </w:rPr>
            </w:pPr>
          </w:p>
        </w:tc>
        <w:tc>
          <w:tcPr>
            <w:tcW w:w="1560" w:type="dxa"/>
            <w:vAlign w:val="bottom"/>
            <w:gridSpan w:val="3"/>
          </w:tcPr>
          <w:p>
            <w:pPr>
              <w:jc w:val="right"/>
              <w:ind w:right="280"/>
              <w:spacing w:after="0"/>
              <w:rPr>
                <w:sz w:val="20"/>
                <w:szCs w:val="20"/>
                <w:color w:val="auto"/>
              </w:rPr>
            </w:pPr>
            <w:r>
              <w:rPr>
                <w:rFonts w:ascii="Arial" w:cs="Arial" w:eastAsia="Arial" w:hAnsi="Arial"/>
                <w:sz w:val="14"/>
                <w:szCs w:val="14"/>
                <w:b w:val="1"/>
                <w:bCs w:val="1"/>
                <w:color w:val="auto"/>
                <w:w w:val="95"/>
              </w:rPr>
              <w:t>Increase/(Decrease)</w:t>
            </w:r>
          </w:p>
        </w:tc>
      </w:tr>
      <w:tr>
        <w:trPr>
          <w:trHeight w:val="142"/>
        </w:trPr>
        <w:tc>
          <w:tcPr>
            <w:tcW w:w="198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780" w:type="dxa"/>
            <w:vAlign w:val="bottom"/>
            <w:tcBorders>
              <w:top w:val="single" w:sz="8" w:color="auto"/>
              <w:bottom w:val="single" w:sz="8" w:color="auto"/>
            </w:tcBorders>
          </w:tcPr>
          <w:p>
            <w:pPr>
              <w:jc w:val="right"/>
              <w:ind w:right="216"/>
              <w:spacing w:after="0" w:line="142" w:lineRule="exact"/>
              <w:rPr>
                <w:sz w:val="20"/>
                <w:szCs w:val="20"/>
                <w:color w:val="auto"/>
              </w:rPr>
            </w:pPr>
            <w:r>
              <w:rPr>
                <w:rFonts w:ascii="Arial" w:cs="Arial" w:eastAsia="Arial" w:hAnsi="Arial"/>
                <w:sz w:val="14"/>
                <w:szCs w:val="14"/>
                <w:b w:val="1"/>
                <w:bCs w:val="1"/>
                <w:color w:val="auto"/>
              </w:rPr>
              <w:t>2016</w:t>
            </w:r>
          </w:p>
        </w:tc>
        <w:tc>
          <w:tcPr>
            <w:tcW w:w="160" w:type="dxa"/>
            <w:vAlign w:val="bottom"/>
            <w:tcBorders>
              <w:top w:val="single" w:sz="8" w:color="auto"/>
              <w:bottom w:val="single" w:sz="8" w:color="auto"/>
            </w:tcBorders>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800" w:type="dxa"/>
            <w:vAlign w:val="bottom"/>
            <w:tcBorders>
              <w:top w:val="single" w:sz="8" w:color="auto"/>
              <w:bottom w:val="single" w:sz="8" w:color="auto"/>
            </w:tcBorders>
          </w:tcPr>
          <w:p>
            <w:pPr>
              <w:jc w:val="right"/>
              <w:ind w:right="233"/>
              <w:spacing w:after="0" w:line="142" w:lineRule="exact"/>
              <w:rPr>
                <w:sz w:val="20"/>
                <w:szCs w:val="20"/>
                <w:color w:val="auto"/>
              </w:rPr>
            </w:pPr>
            <w:r>
              <w:rPr>
                <w:rFonts w:ascii="Arial" w:cs="Arial" w:eastAsia="Arial" w:hAnsi="Arial"/>
                <w:sz w:val="14"/>
                <w:szCs w:val="14"/>
                <w:b w:val="1"/>
                <w:bCs w:val="1"/>
                <w:color w:val="auto"/>
              </w:rPr>
              <w:t>2015</w:t>
            </w:r>
          </w:p>
        </w:tc>
        <w:tc>
          <w:tcPr>
            <w:tcW w:w="140" w:type="dxa"/>
            <w:vAlign w:val="bottom"/>
            <w:tcBorders>
              <w:bottom w:val="single" w:sz="8" w:color="auto"/>
            </w:tcBorders>
          </w:tcPr>
          <w:p>
            <w:pPr>
              <w:spacing w:after="0"/>
              <w:rPr>
                <w:sz w:val="12"/>
                <w:szCs w:val="12"/>
                <w:color w:val="auto"/>
              </w:rPr>
            </w:pPr>
          </w:p>
        </w:tc>
        <w:tc>
          <w:tcPr>
            <w:tcW w:w="6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92"/>
              </w:rPr>
              <w:t>$ change</w:t>
            </w:r>
          </w:p>
        </w:tc>
        <w:tc>
          <w:tcPr>
            <w:tcW w:w="7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 change</w:t>
            </w:r>
          </w:p>
        </w:tc>
        <w:tc>
          <w:tcPr>
            <w:tcW w:w="240" w:type="dxa"/>
            <w:vAlign w:val="bottom"/>
            <w:tcBorders>
              <w:bottom w:val="single" w:sz="8" w:color="auto"/>
            </w:tcBorders>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6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88"/>
              </w:rPr>
              <w:t>$ change</w:t>
            </w:r>
          </w:p>
        </w:tc>
        <w:tc>
          <w:tcPr>
            <w:tcW w:w="7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 change</w:t>
            </w:r>
          </w:p>
        </w:tc>
        <w:tc>
          <w:tcPr>
            <w:tcW w:w="160" w:type="dxa"/>
            <w:vAlign w:val="bottom"/>
          </w:tcPr>
          <w:p>
            <w:pPr>
              <w:spacing w:after="0"/>
              <w:rPr>
                <w:sz w:val="12"/>
                <w:szCs w:val="12"/>
                <w:color w:val="auto"/>
              </w:rPr>
            </w:pPr>
          </w:p>
        </w:tc>
      </w:tr>
      <w:tr>
        <w:trPr>
          <w:trHeight w:val="142"/>
        </w:trPr>
        <w:tc>
          <w:tcPr>
            <w:tcW w:w="198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660" w:type="dxa"/>
            <w:vAlign w:val="bottom"/>
            <w:gridSpan w:val="3"/>
          </w:tcPr>
          <w:p>
            <w:pPr>
              <w:jc w:val="right"/>
              <w:ind w:right="720"/>
              <w:spacing w:after="0" w:line="142" w:lineRule="exact"/>
              <w:rPr>
                <w:sz w:val="20"/>
                <w:szCs w:val="20"/>
                <w:color w:val="auto"/>
              </w:rPr>
            </w:pPr>
            <w:r>
              <w:rPr>
                <w:rFonts w:ascii="Arial" w:cs="Arial" w:eastAsia="Arial" w:hAnsi="Arial"/>
                <w:sz w:val="14"/>
                <w:szCs w:val="14"/>
                <w:b w:val="1"/>
                <w:bCs w:val="1"/>
                <w:color w:val="auto"/>
                <w:w w:val="95"/>
              </w:rPr>
              <w:t>(in thousands)</w:t>
            </w:r>
          </w:p>
        </w:tc>
        <w:tc>
          <w:tcPr>
            <w:tcW w:w="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216"/>
        </w:trPr>
        <w:tc>
          <w:tcPr>
            <w:tcW w:w="1980" w:type="dxa"/>
            <w:vAlign w:val="bottom"/>
            <w:shd w:val="clear" w:color="auto" w:fill="CCEEFF"/>
          </w:tcPr>
          <w:p>
            <w:pPr>
              <w:spacing w:after="0"/>
              <w:rPr>
                <w:sz w:val="20"/>
                <w:szCs w:val="20"/>
                <w:color w:val="auto"/>
              </w:rPr>
            </w:pPr>
            <w:r>
              <w:rPr>
                <w:rFonts w:ascii="Arial" w:cs="Arial" w:eastAsia="Arial" w:hAnsi="Arial"/>
                <w:sz w:val="18"/>
                <w:szCs w:val="18"/>
                <w:color w:val="auto"/>
              </w:rPr>
              <w:t>United States</w:t>
            </w: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804,516</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805,470</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(954)</w:t>
            </w: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(0.1)%</w:t>
            </w:r>
          </w:p>
        </w:tc>
        <w:tc>
          <w:tcPr>
            <w:tcW w:w="6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9"/>
              </w:rPr>
              <w:t>$  (954)</w:t>
            </w:r>
          </w:p>
        </w:tc>
        <w:tc>
          <w:tcPr>
            <w:tcW w:w="9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(0.1)%</w:t>
            </w:r>
          </w:p>
        </w:tc>
      </w:tr>
      <w:tr>
        <w:trPr>
          <w:trHeight w:val="216"/>
        </w:trPr>
        <w:tc>
          <w:tcPr>
            <w:tcW w:w="1980" w:type="dxa"/>
            <w:vAlign w:val="bottom"/>
          </w:tcPr>
          <w:p>
            <w:pPr>
              <w:spacing w:after="0"/>
              <w:rPr>
                <w:sz w:val="20"/>
                <w:szCs w:val="20"/>
                <w:color w:val="auto"/>
              </w:rPr>
            </w:pPr>
            <w:r>
              <w:rPr>
                <w:rFonts w:ascii="Arial" w:cs="Arial" w:eastAsia="Arial" w:hAnsi="Arial"/>
                <w:sz w:val="18"/>
                <w:szCs w:val="18"/>
                <w:color w:val="auto"/>
              </w:rPr>
              <w:t>EMEA</w:t>
            </w: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210,088</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201,106</w:t>
            </w:r>
          </w:p>
        </w:tc>
        <w:tc>
          <w:tcPr>
            <w:tcW w:w="780" w:type="dxa"/>
            <w:vAlign w:val="bottom"/>
            <w:gridSpan w:val="2"/>
          </w:tcPr>
          <w:p>
            <w:pPr>
              <w:jc w:val="right"/>
              <w:spacing w:after="0"/>
              <w:rPr>
                <w:sz w:val="20"/>
                <w:szCs w:val="20"/>
                <w:color w:val="auto"/>
              </w:rPr>
            </w:pPr>
            <w:r>
              <w:rPr>
                <w:rFonts w:ascii="Arial" w:cs="Arial" w:eastAsia="Arial" w:hAnsi="Arial"/>
                <w:sz w:val="18"/>
                <w:szCs w:val="18"/>
                <w:color w:val="auto"/>
              </w:rPr>
              <w:t>8,982</w:t>
            </w: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4.5 %</w:t>
            </w:r>
          </w:p>
        </w:tc>
        <w:tc>
          <w:tcPr>
            <w:tcW w:w="640" w:type="dxa"/>
            <w:vAlign w:val="bottom"/>
            <w:gridSpan w:val="2"/>
          </w:tcPr>
          <w:p>
            <w:pPr>
              <w:jc w:val="right"/>
              <w:spacing w:after="0"/>
              <w:rPr>
                <w:sz w:val="20"/>
                <w:szCs w:val="20"/>
                <w:color w:val="auto"/>
              </w:rPr>
            </w:pPr>
            <w:r>
              <w:rPr>
                <w:rFonts w:ascii="Arial" w:cs="Arial" w:eastAsia="Arial" w:hAnsi="Arial"/>
                <w:sz w:val="18"/>
                <w:szCs w:val="18"/>
                <w:color w:val="auto"/>
              </w:rPr>
              <w:t>19,940</w:t>
            </w:r>
          </w:p>
        </w:tc>
        <w:tc>
          <w:tcPr>
            <w:tcW w:w="940" w:type="dxa"/>
            <w:vAlign w:val="bottom"/>
            <w:gridSpan w:val="2"/>
          </w:tcPr>
          <w:p>
            <w:pPr>
              <w:jc w:val="right"/>
              <w:ind w:right="20"/>
              <w:spacing w:after="0"/>
              <w:rPr>
                <w:sz w:val="20"/>
                <w:szCs w:val="20"/>
                <w:color w:val="auto"/>
              </w:rPr>
            </w:pPr>
            <w:r>
              <w:rPr>
                <w:rFonts w:ascii="Arial" w:cs="Arial" w:eastAsia="Arial" w:hAnsi="Arial"/>
                <w:sz w:val="18"/>
                <w:szCs w:val="18"/>
                <w:color w:val="auto"/>
              </w:rPr>
              <w:t>9.9 %</w:t>
            </w:r>
          </w:p>
        </w:tc>
      </w:tr>
      <w:tr>
        <w:trPr>
          <w:trHeight w:val="216"/>
        </w:trPr>
        <w:tc>
          <w:tcPr>
            <w:tcW w:w="1980" w:type="dxa"/>
            <w:vAlign w:val="bottom"/>
            <w:shd w:val="clear" w:color="auto" w:fill="CCEEFF"/>
          </w:tcPr>
          <w:p>
            <w:pPr>
              <w:spacing w:after="0"/>
              <w:rPr>
                <w:sz w:val="20"/>
                <w:szCs w:val="20"/>
                <w:color w:val="auto"/>
              </w:rPr>
            </w:pPr>
            <w:r>
              <w:rPr>
                <w:rFonts w:ascii="Arial" w:cs="Arial" w:eastAsia="Arial" w:hAnsi="Arial"/>
                <w:sz w:val="18"/>
                <w:szCs w:val="18"/>
                <w:color w:val="auto"/>
              </w:rPr>
              <w:t>Japan</w:t>
            </w: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219,021</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182,163</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36,858</w:t>
            </w: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20.2 %</w:t>
            </w:r>
          </w:p>
        </w:tc>
        <w:tc>
          <w:tcPr>
            <w:tcW w:w="6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13,833</w:t>
            </w:r>
          </w:p>
        </w:tc>
        <w:tc>
          <w:tcPr>
            <w:tcW w:w="9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7.6 %</w:t>
            </w:r>
          </w:p>
        </w:tc>
      </w:tr>
      <w:tr>
        <w:trPr>
          <w:trHeight w:val="216"/>
        </w:trPr>
        <w:tc>
          <w:tcPr>
            <w:tcW w:w="1980" w:type="dxa"/>
            <w:vAlign w:val="bottom"/>
          </w:tcPr>
          <w:p>
            <w:pPr>
              <w:spacing w:after="0"/>
              <w:rPr>
                <w:sz w:val="20"/>
                <w:szCs w:val="20"/>
                <w:color w:val="auto"/>
              </w:rPr>
            </w:pPr>
            <w:r>
              <w:rPr>
                <w:rFonts w:ascii="Arial" w:cs="Arial" w:eastAsia="Arial" w:hAnsi="Arial"/>
                <w:sz w:val="18"/>
                <w:szCs w:val="18"/>
                <w:color w:val="auto"/>
              </w:rPr>
              <w:t>Korea</w:t>
            </w: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175,956</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144,956</w:t>
            </w:r>
          </w:p>
        </w:tc>
        <w:tc>
          <w:tcPr>
            <w:tcW w:w="780" w:type="dxa"/>
            <w:vAlign w:val="bottom"/>
            <w:gridSpan w:val="2"/>
          </w:tcPr>
          <w:p>
            <w:pPr>
              <w:jc w:val="right"/>
              <w:spacing w:after="0"/>
              <w:rPr>
                <w:sz w:val="20"/>
                <w:szCs w:val="20"/>
                <w:color w:val="auto"/>
              </w:rPr>
            </w:pPr>
            <w:r>
              <w:rPr>
                <w:rFonts w:ascii="Arial" w:cs="Arial" w:eastAsia="Arial" w:hAnsi="Arial"/>
                <w:sz w:val="18"/>
                <w:szCs w:val="18"/>
                <w:color w:val="auto"/>
              </w:rPr>
              <w:t>31,000</w:t>
            </w: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21.4 %</w:t>
            </w:r>
          </w:p>
        </w:tc>
        <w:tc>
          <w:tcPr>
            <w:tcW w:w="640" w:type="dxa"/>
            <w:vAlign w:val="bottom"/>
            <w:gridSpan w:val="2"/>
          </w:tcPr>
          <w:p>
            <w:pPr>
              <w:jc w:val="right"/>
              <w:spacing w:after="0"/>
              <w:rPr>
                <w:sz w:val="20"/>
                <w:szCs w:val="20"/>
                <w:color w:val="auto"/>
              </w:rPr>
            </w:pPr>
            <w:r>
              <w:rPr>
                <w:rFonts w:ascii="Arial" w:cs="Arial" w:eastAsia="Arial" w:hAnsi="Arial"/>
                <w:sz w:val="18"/>
                <w:szCs w:val="18"/>
                <w:color w:val="auto"/>
              </w:rPr>
              <w:t>35,426</w:t>
            </w:r>
          </w:p>
        </w:tc>
        <w:tc>
          <w:tcPr>
            <w:tcW w:w="940" w:type="dxa"/>
            <w:vAlign w:val="bottom"/>
            <w:gridSpan w:val="2"/>
          </w:tcPr>
          <w:p>
            <w:pPr>
              <w:jc w:val="right"/>
              <w:ind w:right="20"/>
              <w:spacing w:after="0"/>
              <w:rPr>
                <w:sz w:val="20"/>
                <w:szCs w:val="20"/>
                <w:color w:val="auto"/>
              </w:rPr>
            </w:pPr>
            <w:r>
              <w:rPr>
                <w:rFonts w:ascii="Arial" w:cs="Arial" w:eastAsia="Arial" w:hAnsi="Arial"/>
                <w:sz w:val="18"/>
                <w:szCs w:val="18"/>
                <w:color w:val="auto"/>
              </w:rPr>
              <w:t>24.4 %</w:t>
            </w:r>
          </w:p>
        </w:tc>
      </w:tr>
      <w:tr>
        <w:trPr>
          <w:trHeight w:val="216"/>
        </w:trPr>
        <w:tc>
          <w:tcPr>
            <w:tcW w:w="1980" w:type="dxa"/>
            <w:vAlign w:val="bottom"/>
            <w:shd w:val="clear" w:color="auto" w:fill="CCEEFF"/>
          </w:tcPr>
          <w:p>
            <w:pPr>
              <w:spacing w:after="0"/>
              <w:rPr>
                <w:sz w:val="20"/>
                <w:szCs w:val="20"/>
                <w:color w:val="auto"/>
              </w:rPr>
            </w:pPr>
            <w:r>
              <w:rPr>
                <w:rFonts w:ascii="Arial" w:cs="Arial" w:eastAsia="Arial" w:hAnsi="Arial"/>
                <w:sz w:val="18"/>
                <w:szCs w:val="18"/>
                <w:color w:val="auto"/>
              </w:rPr>
              <w:t>Rest of world</w:t>
            </w: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162,694</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169,263</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(6,569)</w:t>
            </w: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(3.9)%</w:t>
            </w:r>
          </w:p>
        </w:tc>
        <w:tc>
          <w:tcPr>
            <w:tcW w:w="6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(1,017)</w:t>
            </w:r>
          </w:p>
        </w:tc>
        <w:tc>
          <w:tcPr>
            <w:tcW w:w="9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(0.6)%</w:t>
            </w:r>
          </w:p>
        </w:tc>
      </w:tr>
      <w:tr>
        <w:trPr>
          <w:trHeight w:val="217"/>
        </w:trPr>
        <w:tc>
          <w:tcPr>
            <w:tcW w:w="1980" w:type="dxa"/>
            <w:vAlign w:val="bottom"/>
          </w:tcPr>
          <w:p>
            <w:pPr>
              <w:ind w:left="220"/>
              <w:spacing w:after="0"/>
              <w:rPr>
                <w:sz w:val="20"/>
                <w:szCs w:val="20"/>
                <w:color w:val="auto"/>
              </w:rPr>
            </w:pPr>
            <w:r>
              <w:rPr>
                <w:rFonts w:ascii="Arial" w:cs="Arial" w:eastAsia="Arial" w:hAnsi="Arial"/>
                <w:sz w:val="18"/>
                <w:szCs w:val="18"/>
                <w:color w:val="auto"/>
              </w:rPr>
              <w:t>Total sales</w:t>
            </w:r>
          </w:p>
        </w:tc>
        <w:tc>
          <w:tcPr>
            <w:tcW w:w="980" w:type="dxa"/>
            <w:vAlign w:val="bottom"/>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79"/>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7"/>
              </w:rPr>
              <w:t>1,572,275</w:t>
            </w:r>
          </w:p>
        </w:tc>
        <w:tc>
          <w:tcPr>
            <w:tcW w:w="160" w:type="dxa"/>
            <w:vAlign w:val="bottom"/>
          </w:tcPr>
          <w:p>
            <w:pPr>
              <w:spacing w:after="0"/>
              <w:rPr>
                <w:sz w:val="18"/>
                <w:szCs w:val="18"/>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u w:val="single" w:color="auto"/>
                <w:color w:val="auto"/>
                <w:w w:val="71"/>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1,502,958</w:t>
            </w:r>
          </w:p>
        </w:tc>
        <w:tc>
          <w:tcPr>
            <w:tcW w:w="140" w:type="dxa"/>
            <w:vAlign w:val="bottom"/>
          </w:tcPr>
          <w:p>
            <w:pPr>
              <w:spacing w:after="0"/>
              <w:rPr>
                <w:sz w:val="18"/>
                <w:szCs w:val="18"/>
                <w:color w:val="auto"/>
              </w:rPr>
            </w:pP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69,317</w:t>
            </w: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4.6 %</w:t>
            </w:r>
          </w:p>
        </w:tc>
        <w:tc>
          <w:tcPr>
            <w:tcW w:w="20" w:type="dxa"/>
            <w:vAlign w:val="bottom"/>
            <w:tcBorders>
              <w:bottom w:val="single" w:sz="8" w:color="auto"/>
            </w:tcBorders>
          </w:tcPr>
          <w:p>
            <w:pPr>
              <w:spacing w:after="0"/>
              <w:rPr>
                <w:sz w:val="18"/>
                <w:szCs w:val="18"/>
                <w:color w:val="auto"/>
              </w:rPr>
            </w:pP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82"/>
              </w:rPr>
              <w:t>$</w:t>
            </w:r>
            <w:r>
              <w:rPr>
                <w:rFonts w:ascii="Arial" w:cs="Arial" w:eastAsia="Arial" w:hAnsi="Arial"/>
                <w:sz w:val="18"/>
                <w:szCs w:val="18"/>
                <w:color w:val="auto"/>
                <w:w w:val="82"/>
              </w:rPr>
              <w:t>67,228</w:t>
            </w:r>
          </w:p>
        </w:tc>
        <w:tc>
          <w:tcPr>
            <w:tcW w:w="940" w:type="dxa"/>
            <w:vAlign w:val="bottom"/>
            <w:gridSpan w:val="2"/>
          </w:tcPr>
          <w:p>
            <w:pPr>
              <w:jc w:val="right"/>
              <w:ind w:right="20"/>
              <w:spacing w:after="0"/>
              <w:rPr>
                <w:sz w:val="20"/>
                <w:szCs w:val="20"/>
                <w:color w:val="auto"/>
              </w:rPr>
            </w:pPr>
            <w:r>
              <w:rPr>
                <w:rFonts w:ascii="Arial" w:cs="Arial" w:eastAsia="Arial" w:hAnsi="Arial"/>
                <w:sz w:val="18"/>
                <w:szCs w:val="18"/>
                <w:color w:val="auto"/>
              </w:rPr>
              <w:t>4.5 %</w:t>
            </w:r>
          </w:p>
        </w:tc>
      </w:tr>
    </w:tbl>
    <w:p>
      <w:pPr>
        <w:spacing w:after="0" w:line="200" w:lineRule="exact"/>
        <w:rPr>
          <w:sz w:val="20"/>
          <w:szCs w:val="20"/>
          <w:color w:val="auto"/>
        </w:rPr>
      </w:pPr>
    </w:p>
    <w:p>
      <w:pPr>
        <w:spacing w:after="0" w:line="218" w:lineRule="exact"/>
        <w:rPr>
          <w:sz w:val="20"/>
          <w:szCs w:val="20"/>
          <w:color w:val="auto"/>
        </w:rPr>
      </w:pPr>
    </w:p>
    <w:p>
      <w:pPr>
        <w:ind w:left="380" w:right="619" w:firstLine="648"/>
        <w:spacing w:after="0" w:line="293" w:lineRule="auto"/>
        <w:rPr>
          <w:sz w:val="20"/>
          <w:szCs w:val="20"/>
          <w:color w:val="auto"/>
        </w:rPr>
      </w:pPr>
      <w:r>
        <w:rPr>
          <w:rFonts w:ascii="Arial" w:cs="Arial" w:eastAsia="Arial" w:hAnsi="Arial"/>
          <w:sz w:val="16"/>
          <w:szCs w:val="16"/>
          <w:color w:val="auto"/>
        </w:rPr>
        <w:t>Net sales in the United States decreased by $1.0 million, or 0.1%, to $804.5 million for the year ended December 31, 2016 compared to $805.5 million for the year ended December 31, 2015. This was due to a decrease of $15.3 million in net sales of Titleist golf balls, partially offset by an increase of $16.2 million in net sales of Titleist golf club sales and slight increases in net sales of Titleist golf gear and FootJoy golf wear. Net sales in the United States were impacted by retail channel disruption caused by the bankruptcy of The Sports Authority, Inc. and the reorganization efforts and ultimate bankruptcy of Golfsmith International Holdings LP.</w:t>
      </w:r>
    </w:p>
    <w:p>
      <w:pPr>
        <w:spacing w:after="0" w:line="165" w:lineRule="exact"/>
        <w:rPr>
          <w:sz w:val="20"/>
          <w:szCs w:val="20"/>
          <w:color w:val="auto"/>
        </w:rPr>
      </w:pPr>
    </w:p>
    <w:p>
      <w:pPr>
        <w:ind w:left="380" w:right="379" w:firstLine="648"/>
        <w:spacing w:after="0" w:line="270" w:lineRule="auto"/>
        <w:rPr>
          <w:sz w:val="20"/>
          <w:szCs w:val="20"/>
          <w:color w:val="auto"/>
        </w:rPr>
      </w:pPr>
      <w:r>
        <w:rPr>
          <w:rFonts w:ascii="Arial" w:cs="Arial" w:eastAsia="Arial" w:hAnsi="Arial"/>
          <w:sz w:val="17"/>
          <w:szCs w:val="17"/>
          <w:color w:val="auto"/>
        </w:rPr>
        <w:t>Our sales in regions outside of the United States increased by $70.3 million, or 10.1%, to $767.8 million for the year ended December 31, 2016 compared to $697.5 million for the year ended December 31, 2015. On a constant currency basis, net sales in such regions would have increased by $68.2 million, or 9.8%, to $765.7 million, driven by an increase of $21.9 million in net sales of Titleist golf clubs, an increase of $15.3 million in net sales of FootJoy golf wear, and an increase of $8.7 million in net sales of Titleist golf gear, offset partially by a decrease of $4.7 million in net sales of Titleist golf balls. The remaining increase in net sales for regions outside the United States was attributable to an accounting adjustment related to the commissions paid on certain retail sales in Korea and to sales volume growth, in each case with respect to products that are not allocated to one of our four reportable segments.</w:t>
      </w:r>
    </w:p>
    <w:p>
      <w:pPr>
        <w:spacing w:after="0" w:line="182" w:lineRule="exact"/>
        <w:rPr>
          <w:sz w:val="20"/>
          <w:szCs w:val="20"/>
          <w:color w:val="auto"/>
        </w:rPr>
      </w:pPr>
    </w:p>
    <w:p>
      <w:pPr>
        <w:ind w:left="380" w:right="959" w:firstLine="648"/>
        <w:spacing w:after="0" w:line="277" w:lineRule="auto"/>
        <w:rPr>
          <w:sz w:val="20"/>
          <w:szCs w:val="20"/>
          <w:color w:val="auto"/>
        </w:rPr>
      </w:pPr>
      <w:r>
        <w:rPr>
          <w:rFonts w:ascii="Arial" w:cs="Arial" w:eastAsia="Arial" w:hAnsi="Arial"/>
          <w:sz w:val="18"/>
          <w:szCs w:val="18"/>
          <w:color w:val="auto"/>
        </w:rPr>
        <w:t>More information on our net sales by reportable segment and by region can be found in “Notes to Consolidated Financial Statements – Note 20—Segment Information.”</w:t>
      </w:r>
    </w:p>
    <w:p>
      <w:pPr>
        <w:spacing w:after="0" w:line="170" w:lineRule="exact"/>
        <w:rPr>
          <w:sz w:val="20"/>
          <w:szCs w:val="20"/>
          <w:color w:val="auto"/>
        </w:rPr>
      </w:pPr>
    </w:p>
    <w:p>
      <w:pPr>
        <w:ind w:left="1040"/>
        <w:spacing w:after="0"/>
        <w:rPr>
          <w:sz w:val="20"/>
          <w:szCs w:val="20"/>
          <w:color w:val="auto"/>
        </w:rPr>
      </w:pPr>
      <w:r>
        <w:rPr>
          <w:rFonts w:ascii="Arial" w:cs="Arial" w:eastAsia="Arial" w:hAnsi="Arial"/>
          <w:sz w:val="18"/>
          <w:szCs w:val="18"/>
          <w:i w:val="1"/>
          <w:iCs w:val="1"/>
          <w:color w:val="auto"/>
        </w:rPr>
        <w:t>Gross Profit</w:t>
      </w:r>
    </w:p>
    <w:p>
      <w:pPr>
        <w:spacing w:after="0" w:line="225" w:lineRule="exact"/>
        <w:rPr>
          <w:sz w:val="20"/>
          <w:szCs w:val="20"/>
          <w:color w:val="auto"/>
        </w:rPr>
      </w:pPr>
    </w:p>
    <w:p>
      <w:pPr>
        <w:ind w:left="380" w:right="579" w:firstLine="648"/>
        <w:spacing w:after="0" w:line="255" w:lineRule="auto"/>
        <w:rPr>
          <w:sz w:val="20"/>
          <w:szCs w:val="20"/>
          <w:color w:val="auto"/>
        </w:rPr>
      </w:pPr>
      <w:r>
        <w:rPr>
          <w:rFonts w:ascii="Arial" w:cs="Arial" w:eastAsia="Arial" w:hAnsi="Arial"/>
          <w:sz w:val="18"/>
          <w:szCs w:val="18"/>
          <w:color w:val="auto"/>
        </w:rPr>
        <w:t>Gross profit increased by $22.9 million to $798.7 million for the year ended December 31, 2016 from $775.8 million for the year ended December 31, 2015. Gross margin decreased to 50.8% for the year ended December 31, 2016 compared to 51.6% for the year ended December 31, 2015. The increase in gross profit was driven by a $23.1 million increase in gross profit in Titleist golf clubs due to increases in average selling prices and higher golf club sales volumes and an increase in gross profit from our products not allocated to one of our four reportable segments</w:t>
      </w:r>
    </w:p>
    <w:p>
      <w:pPr>
        <w:spacing w:after="0" w:line="191"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66" w:name="page67"/>
    <w:bookmarkEnd w:id="66"/>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380" w:right="519"/>
        <w:spacing w:after="0" w:line="257" w:lineRule="auto"/>
        <w:rPr>
          <w:sz w:val="20"/>
          <w:szCs w:val="20"/>
          <w:color w:val="auto"/>
        </w:rPr>
      </w:pPr>
      <w:r>
        <w:rPr>
          <w:rFonts w:ascii="Arial" w:cs="Arial" w:eastAsia="Arial" w:hAnsi="Arial"/>
          <w:sz w:val="18"/>
          <w:szCs w:val="18"/>
          <w:color w:val="auto"/>
        </w:rPr>
        <w:t>primarily as a result of an accounting adjustment related to the commissions paid on certain retail sales in Korea. These increases in gross profit were offset in part by a $23.4 million decrease in gross profit in Titleist golf balls as a result of lower sales volume. The decrease in gross margin was primarily due to lower gains on foreign currency exchange contracts compared to the year ended December 31, 2015, partially offset by the accounting adjustment discussed above.</w:t>
      </w:r>
    </w:p>
    <w:p>
      <w:pPr>
        <w:spacing w:after="0" w:line="188" w:lineRule="exact"/>
        <w:rPr>
          <w:sz w:val="20"/>
          <w:szCs w:val="20"/>
          <w:color w:val="auto"/>
        </w:rPr>
      </w:pPr>
    </w:p>
    <w:p>
      <w:pPr>
        <w:ind w:left="1040"/>
        <w:spacing w:after="0"/>
        <w:rPr>
          <w:sz w:val="20"/>
          <w:szCs w:val="20"/>
          <w:color w:val="auto"/>
        </w:rPr>
      </w:pPr>
      <w:r>
        <w:rPr>
          <w:rFonts w:ascii="Arial" w:cs="Arial" w:eastAsia="Arial" w:hAnsi="Arial"/>
          <w:sz w:val="18"/>
          <w:szCs w:val="18"/>
          <w:i w:val="1"/>
          <w:iCs w:val="1"/>
          <w:color w:val="auto"/>
        </w:rPr>
        <w:t>Selling, General and Administrative Expenses</w:t>
      </w:r>
    </w:p>
    <w:p>
      <w:pPr>
        <w:spacing w:after="0" w:line="225" w:lineRule="exact"/>
        <w:rPr>
          <w:sz w:val="20"/>
          <w:szCs w:val="20"/>
          <w:color w:val="auto"/>
        </w:rPr>
      </w:pPr>
    </w:p>
    <w:p>
      <w:pPr>
        <w:ind w:left="380" w:right="379" w:firstLine="648"/>
        <w:spacing w:after="0" w:line="268" w:lineRule="auto"/>
        <w:rPr>
          <w:sz w:val="20"/>
          <w:szCs w:val="20"/>
          <w:color w:val="auto"/>
        </w:rPr>
      </w:pPr>
      <w:r>
        <w:rPr>
          <w:rFonts w:ascii="Arial" w:cs="Arial" w:eastAsia="Arial" w:hAnsi="Arial"/>
          <w:sz w:val="17"/>
          <w:szCs w:val="17"/>
          <w:color w:val="auto"/>
        </w:rPr>
        <w:t>Selling, general and administrative expenses decreased by $3.2 million to $600.8 million for the year ended December 31, 2016 from $604.0 million for the year ended December 31, 2015. Excluding the expense associated with our EAR plan, selling, general and administrative expenses would have increased by $33.8 million to $595.2 million for the year ended December 31, 2016 from $561.4 million for the year ended December 31, 2015. This increase was due to a $35.3 million aggregate increase primarily attributable to an accounting adjustment related to the commissions paid on certain retail sales in Korea, an increase of $14.7 million in transaction costs related to our initial public offering, a $7.5 million one-time executive bonus, a $7.2 million increase in share based compensation and a $1.7 million increase in bad debt expense primarily related to a large off-course retail account as well as additional marketing and promotional costs related to our FootJoy eCommerce and women’s golf apparel initiatives and new golf club product launches. This was partially offset by a decrease of $7.8 million in associate incentive compensation accruals, and a $6.0 million decrease in professional tour costs as well as lower golf ball marketing and promotional costs. Changes in foreign currency exchange rates had a favorable impact of $1.5 million.</w:t>
      </w:r>
    </w:p>
    <w:p>
      <w:pPr>
        <w:spacing w:after="0" w:line="188" w:lineRule="exact"/>
        <w:rPr>
          <w:sz w:val="20"/>
          <w:szCs w:val="20"/>
          <w:color w:val="auto"/>
        </w:rPr>
      </w:pPr>
    </w:p>
    <w:p>
      <w:pPr>
        <w:ind w:left="1040"/>
        <w:spacing w:after="0"/>
        <w:rPr>
          <w:sz w:val="20"/>
          <w:szCs w:val="20"/>
          <w:color w:val="auto"/>
        </w:rPr>
      </w:pPr>
      <w:r>
        <w:rPr>
          <w:rFonts w:ascii="Arial" w:cs="Arial" w:eastAsia="Arial" w:hAnsi="Arial"/>
          <w:sz w:val="18"/>
          <w:szCs w:val="18"/>
          <w:i w:val="1"/>
          <w:iCs w:val="1"/>
          <w:color w:val="auto"/>
        </w:rPr>
        <w:t>Research and Development</w:t>
      </w:r>
    </w:p>
    <w:p>
      <w:pPr>
        <w:spacing w:after="0" w:line="225" w:lineRule="exact"/>
        <w:rPr>
          <w:sz w:val="20"/>
          <w:szCs w:val="20"/>
          <w:color w:val="auto"/>
        </w:rPr>
      </w:pPr>
    </w:p>
    <w:p>
      <w:pPr>
        <w:ind w:left="1040"/>
        <w:spacing w:after="0"/>
        <w:rPr>
          <w:sz w:val="20"/>
          <w:szCs w:val="20"/>
          <w:color w:val="auto"/>
        </w:rPr>
      </w:pPr>
      <w:r>
        <w:rPr>
          <w:rFonts w:ascii="Arial" w:cs="Arial" w:eastAsia="Arial" w:hAnsi="Arial"/>
          <w:sz w:val="17"/>
          <w:szCs w:val="17"/>
          <w:color w:val="auto"/>
        </w:rPr>
        <w:t>R&amp;D expenses increased by $2.8 million to $48.8 million for the year ended December 31, 2016 from</w:t>
      </w:r>
    </w:p>
    <w:p>
      <w:pPr>
        <w:spacing w:after="0" w:line="35" w:lineRule="exact"/>
        <w:rPr>
          <w:sz w:val="20"/>
          <w:szCs w:val="20"/>
          <w:color w:val="auto"/>
        </w:rPr>
      </w:pPr>
    </w:p>
    <w:p>
      <w:pPr>
        <w:ind w:left="380"/>
        <w:spacing w:after="0"/>
        <w:rPr>
          <w:sz w:val="20"/>
          <w:szCs w:val="20"/>
          <w:color w:val="auto"/>
        </w:rPr>
      </w:pPr>
      <w:r>
        <w:rPr>
          <w:rFonts w:ascii="Arial" w:cs="Arial" w:eastAsia="Arial" w:hAnsi="Arial"/>
          <w:sz w:val="16"/>
          <w:szCs w:val="16"/>
          <w:color w:val="auto"/>
        </w:rPr>
        <w:t>$46.0 million for the year ended December 31, 2015. Excluding the expense associated with our EAR Plan, R&amp;D</w:t>
      </w:r>
    </w:p>
    <w:p>
      <w:pPr>
        <w:spacing w:after="0" w:line="32" w:lineRule="exact"/>
        <w:rPr>
          <w:sz w:val="20"/>
          <w:szCs w:val="20"/>
          <w:color w:val="auto"/>
        </w:rPr>
      </w:pPr>
    </w:p>
    <w:p>
      <w:pPr>
        <w:ind w:left="380"/>
        <w:spacing w:after="0"/>
        <w:rPr>
          <w:sz w:val="20"/>
          <w:szCs w:val="20"/>
          <w:color w:val="auto"/>
        </w:rPr>
      </w:pPr>
      <w:r>
        <w:rPr>
          <w:rFonts w:ascii="Arial" w:cs="Arial" w:eastAsia="Arial" w:hAnsi="Arial"/>
          <w:sz w:val="17"/>
          <w:szCs w:val="17"/>
          <w:color w:val="auto"/>
        </w:rPr>
        <w:t>expenses would have increased by $5.1 million to $48.5 million for the year ended December 31, 2016 from</w:t>
      </w:r>
    </w:p>
    <w:p>
      <w:pPr>
        <w:spacing w:after="0" w:line="21" w:lineRule="exact"/>
        <w:rPr>
          <w:sz w:val="20"/>
          <w:szCs w:val="20"/>
          <w:color w:val="auto"/>
        </w:rPr>
      </w:pPr>
    </w:p>
    <w:p>
      <w:pPr>
        <w:ind w:left="380"/>
        <w:spacing w:after="0"/>
        <w:rPr>
          <w:sz w:val="20"/>
          <w:szCs w:val="20"/>
          <w:color w:val="auto"/>
        </w:rPr>
      </w:pPr>
      <w:r>
        <w:rPr>
          <w:rFonts w:ascii="Arial" w:cs="Arial" w:eastAsia="Arial" w:hAnsi="Arial"/>
          <w:sz w:val="16"/>
          <w:szCs w:val="16"/>
          <w:color w:val="auto"/>
        </w:rPr>
        <w:t>$43.4 million for the year ended December 31, 2015. This increase was mainly attributable to employee related</w:t>
      </w:r>
    </w:p>
    <w:p>
      <w:pPr>
        <w:spacing w:after="0" w:line="32" w:lineRule="exact"/>
        <w:rPr>
          <w:sz w:val="20"/>
          <w:szCs w:val="20"/>
          <w:color w:val="auto"/>
        </w:rPr>
      </w:pPr>
    </w:p>
    <w:p>
      <w:pPr>
        <w:ind w:left="380"/>
        <w:spacing w:after="0"/>
        <w:rPr>
          <w:sz w:val="20"/>
          <w:szCs w:val="20"/>
          <w:color w:val="auto"/>
        </w:rPr>
      </w:pPr>
      <w:r>
        <w:rPr>
          <w:rFonts w:ascii="Arial" w:cs="Arial" w:eastAsia="Arial" w:hAnsi="Arial"/>
          <w:sz w:val="18"/>
          <w:szCs w:val="18"/>
          <w:color w:val="auto"/>
        </w:rPr>
        <w:t>costs, including share based compensation, and additional experimental costs to support new product</w:t>
      </w:r>
    </w:p>
    <w:p>
      <w:pPr>
        <w:spacing w:after="0" w:line="9" w:lineRule="exact"/>
        <w:rPr>
          <w:sz w:val="20"/>
          <w:szCs w:val="20"/>
          <w:color w:val="auto"/>
        </w:rPr>
      </w:pPr>
    </w:p>
    <w:p>
      <w:pPr>
        <w:ind w:left="380"/>
        <w:spacing w:after="0"/>
        <w:rPr>
          <w:sz w:val="20"/>
          <w:szCs w:val="20"/>
          <w:color w:val="auto"/>
        </w:rPr>
      </w:pPr>
      <w:r>
        <w:rPr>
          <w:rFonts w:ascii="Arial" w:cs="Arial" w:eastAsia="Arial" w:hAnsi="Arial"/>
          <w:sz w:val="16"/>
          <w:szCs w:val="16"/>
          <w:color w:val="auto"/>
        </w:rPr>
        <w:t>introductions. As a percentage of consolidated net sales, R&amp;D expenses excluding expenses associated with our</w:t>
      </w:r>
    </w:p>
    <w:p>
      <w:pPr>
        <w:spacing w:after="0" w:line="32" w:lineRule="exact"/>
        <w:rPr>
          <w:sz w:val="20"/>
          <w:szCs w:val="20"/>
          <w:color w:val="auto"/>
        </w:rPr>
      </w:pPr>
    </w:p>
    <w:p>
      <w:pPr>
        <w:ind w:left="380"/>
        <w:spacing w:after="0"/>
        <w:rPr>
          <w:sz w:val="20"/>
          <w:szCs w:val="20"/>
          <w:color w:val="auto"/>
        </w:rPr>
      </w:pPr>
      <w:r>
        <w:rPr>
          <w:rFonts w:ascii="Arial" w:cs="Arial" w:eastAsia="Arial" w:hAnsi="Arial"/>
          <w:sz w:val="18"/>
          <w:szCs w:val="18"/>
          <w:color w:val="auto"/>
        </w:rPr>
        <w:t>EAR Plan were 3.1% in 2016, up from 2.9% in 2015.</w:t>
      </w:r>
    </w:p>
    <w:p>
      <w:pPr>
        <w:spacing w:after="0" w:line="211" w:lineRule="exact"/>
        <w:rPr>
          <w:sz w:val="20"/>
          <w:szCs w:val="20"/>
          <w:color w:val="auto"/>
        </w:rPr>
      </w:pPr>
    </w:p>
    <w:p>
      <w:pPr>
        <w:ind w:left="1040"/>
        <w:spacing w:after="0"/>
        <w:rPr>
          <w:sz w:val="20"/>
          <w:szCs w:val="20"/>
          <w:color w:val="auto"/>
        </w:rPr>
      </w:pPr>
      <w:r>
        <w:rPr>
          <w:rFonts w:ascii="Arial" w:cs="Arial" w:eastAsia="Arial" w:hAnsi="Arial"/>
          <w:sz w:val="18"/>
          <w:szCs w:val="18"/>
          <w:i w:val="1"/>
          <w:iCs w:val="1"/>
          <w:color w:val="auto"/>
        </w:rPr>
        <w:t>Intangible Amortization</w:t>
      </w:r>
    </w:p>
    <w:p>
      <w:pPr>
        <w:spacing w:after="0" w:line="225" w:lineRule="exact"/>
        <w:rPr>
          <w:sz w:val="20"/>
          <w:szCs w:val="20"/>
          <w:color w:val="auto"/>
        </w:rPr>
      </w:pPr>
    </w:p>
    <w:p>
      <w:pPr>
        <w:ind w:left="380" w:right="1179" w:firstLine="648"/>
        <w:spacing w:after="0" w:line="277" w:lineRule="auto"/>
        <w:rPr>
          <w:sz w:val="20"/>
          <w:szCs w:val="20"/>
          <w:color w:val="auto"/>
        </w:rPr>
      </w:pPr>
      <w:r>
        <w:rPr>
          <w:rFonts w:ascii="Arial" w:cs="Arial" w:eastAsia="Arial" w:hAnsi="Arial"/>
          <w:sz w:val="18"/>
          <w:szCs w:val="18"/>
          <w:color w:val="auto"/>
        </w:rPr>
        <w:t>Intangible amortization expenses were $6.6 million for the year ended December 31, 2016 and $6.6 million for the year ended December 31, 2015.</w:t>
      </w:r>
    </w:p>
    <w:p>
      <w:pPr>
        <w:spacing w:after="0" w:line="170" w:lineRule="exact"/>
        <w:rPr>
          <w:sz w:val="20"/>
          <w:szCs w:val="20"/>
          <w:color w:val="auto"/>
        </w:rPr>
      </w:pPr>
    </w:p>
    <w:p>
      <w:pPr>
        <w:ind w:left="1040"/>
        <w:spacing w:after="0"/>
        <w:rPr>
          <w:sz w:val="20"/>
          <w:szCs w:val="20"/>
          <w:color w:val="auto"/>
        </w:rPr>
      </w:pPr>
      <w:r>
        <w:rPr>
          <w:rFonts w:ascii="Arial" w:cs="Arial" w:eastAsia="Arial" w:hAnsi="Arial"/>
          <w:sz w:val="18"/>
          <w:szCs w:val="18"/>
          <w:i w:val="1"/>
          <w:iCs w:val="1"/>
          <w:color w:val="auto"/>
        </w:rPr>
        <w:t>Restructuring Charges</w:t>
      </w:r>
    </w:p>
    <w:p>
      <w:pPr>
        <w:spacing w:after="0" w:line="225" w:lineRule="exact"/>
        <w:rPr>
          <w:sz w:val="20"/>
          <w:szCs w:val="20"/>
          <w:color w:val="auto"/>
        </w:rPr>
      </w:pPr>
    </w:p>
    <w:p>
      <w:pPr>
        <w:ind w:left="380" w:right="419" w:firstLine="648"/>
        <w:spacing w:after="0" w:line="277" w:lineRule="auto"/>
        <w:rPr>
          <w:sz w:val="20"/>
          <w:szCs w:val="20"/>
          <w:color w:val="auto"/>
        </w:rPr>
      </w:pPr>
      <w:r>
        <w:rPr>
          <w:rFonts w:ascii="Arial" w:cs="Arial" w:eastAsia="Arial" w:hAnsi="Arial"/>
          <w:sz w:val="18"/>
          <w:szCs w:val="18"/>
          <w:color w:val="auto"/>
        </w:rPr>
        <w:t>Restructuring charges were $1.7 million for the year ended December 31, 2016 compared to $1.6 million for the year ended December 31, 2015.</w:t>
      </w:r>
    </w:p>
    <w:p>
      <w:pPr>
        <w:spacing w:after="0" w:line="170" w:lineRule="exact"/>
        <w:rPr>
          <w:sz w:val="20"/>
          <w:szCs w:val="20"/>
          <w:color w:val="auto"/>
        </w:rPr>
      </w:pPr>
    </w:p>
    <w:p>
      <w:pPr>
        <w:ind w:left="1040"/>
        <w:spacing w:after="0"/>
        <w:rPr>
          <w:sz w:val="20"/>
          <w:szCs w:val="20"/>
          <w:color w:val="auto"/>
        </w:rPr>
      </w:pPr>
      <w:r>
        <w:rPr>
          <w:rFonts w:ascii="Arial" w:cs="Arial" w:eastAsia="Arial" w:hAnsi="Arial"/>
          <w:sz w:val="18"/>
          <w:szCs w:val="18"/>
          <w:i w:val="1"/>
          <w:iCs w:val="1"/>
          <w:color w:val="auto"/>
        </w:rPr>
        <w:t>Interest Expense, net</w:t>
      </w:r>
    </w:p>
    <w:p>
      <w:pPr>
        <w:spacing w:after="0" w:line="225" w:lineRule="exact"/>
        <w:rPr>
          <w:sz w:val="20"/>
          <w:szCs w:val="20"/>
          <w:color w:val="auto"/>
        </w:rPr>
      </w:pPr>
    </w:p>
    <w:p>
      <w:pPr>
        <w:ind w:left="380" w:right="439" w:firstLine="648"/>
        <w:spacing w:after="0" w:line="254" w:lineRule="auto"/>
        <w:rPr>
          <w:sz w:val="20"/>
          <w:szCs w:val="20"/>
          <w:color w:val="auto"/>
        </w:rPr>
      </w:pPr>
      <w:r>
        <w:rPr>
          <w:rFonts w:ascii="Arial" w:cs="Arial" w:eastAsia="Arial" w:hAnsi="Arial"/>
          <w:sz w:val="18"/>
          <w:szCs w:val="18"/>
          <w:color w:val="auto"/>
        </w:rPr>
        <w:t>Interest expense decreased by $10.4 million to $49.9 million for the year ended December 31, 2016 compared to $60.3 million for the year ended December 31, 2015</w:t>
      </w:r>
      <w:r>
        <w:rPr>
          <w:rFonts w:ascii="Arial" w:cs="Arial" w:eastAsia="Arial" w:hAnsi="Arial"/>
          <w:sz w:val="18"/>
          <w:szCs w:val="18"/>
          <w:i w:val="1"/>
          <w:iCs w:val="1"/>
          <w:color w:val="auto"/>
        </w:rPr>
        <w:t>.</w:t>
      </w:r>
      <w:r>
        <w:rPr>
          <w:rFonts w:ascii="Arial" w:cs="Arial" w:eastAsia="Arial" w:hAnsi="Arial"/>
          <w:sz w:val="18"/>
          <w:szCs w:val="18"/>
          <w:color w:val="auto"/>
        </w:rPr>
        <w:t xml:space="preserve"> This decrease was primarily due to lower average outstanding borrowings during the year ended December 31, 2016 as a result of the redemption of $34.5 million of the principal of our outstanding 7.5% bonds due 2021 using the proceeds of the exercise of a portion of our outstanding common stock warrants in July 2015, as well as a scheduled repayment of $50.0 million of the principal on our secured floating rate notes in October 2015. In addition, the average interest rate on outstanding borrowings was lower during the year ended December 31, 2016 as a result of the Refinancing which was completed in July 2016.</w:t>
      </w:r>
    </w:p>
    <w:p>
      <w:pPr>
        <w:spacing w:after="0" w:line="192" w:lineRule="exact"/>
        <w:rPr>
          <w:sz w:val="20"/>
          <w:szCs w:val="20"/>
          <w:color w:val="auto"/>
        </w:rPr>
      </w:pPr>
    </w:p>
    <w:p>
      <w:pPr>
        <w:ind w:left="1040"/>
        <w:spacing w:after="0"/>
        <w:rPr>
          <w:sz w:val="20"/>
          <w:szCs w:val="20"/>
          <w:color w:val="auto"/>
        </w:rPr>
      </w:pPr>
      <w:r>
        <w:rPr>
          <w:rFonts w:ascii="Arial" w:cs="Arial" w:eastAsia="Arial" w:hAnsi="Arial"/>
          <w:sz w:val="18"/>
          <w:szCs w:val="18"/>
          <w:i w:val="1"/>
          <w:iCs w:val="1"/>
          <w:color w:val="auto"/>
        </w:rPr>
        <w:t>Other (Income) Expense, net</w:t>
      </w:r>
    </w:p>
    <w:p>
      <w:pPr>
        <w:spacing w:after="0" w:line="225" w:lineRule="exact"/>
        <w:rPr>
          <w:sz w:val="20"/>
          <w:szCs w:val="20"/>
          <w:color w:val="auto"/>
        </w:rPr>
      </w:pPr>
    </w:p>
    <w:p>
      <w:pPr>
        <w:ind w:left="380" w:right="379" w:firstLine="648"/>
        <w:spacing w:after="0" w:line="255" w:lineRule="auto"/>
        <w:rPr>
          <w:sz w:val="20"/>
          <w:szCs w:val="20"/>
          <w:color w:val="auto"/>
        </w:rPr>
      </w:pPr>
      <w:r>
        <w:rPr>
          <w:rFonts w:ascii="Arial" w:cs="Arial" w:eastAsia="Arial" w:hAnsi="Arial"/>
          <w:sz w:val="18"/>
          <w:szCs w:val="18"/>
          <w:color w:val="auto"/>
        </w:rPr>
        <w:t>Other expense decreased by $23.4 million to $1.7 million for the year ended December 31, 2016 compared to other expense of $25.1 million for the year ended December 31, 2015. This change was primarily due to a decrease in the recognition of a loss of $6.1 million in 2016 on the fair value measurement of the common stock warrants compared to the recognition of a loss of $28.4 million on the fair value measurement of the common stock warrants in 2015. The loss on the fair value measurement of the common stock warrants in 2015 was due to a significant increase in our</w:t>
      </w:r>
    </w:p>
    <w:p>
      <w:pPr>
        <w:spacing w:after="0" w:line="191"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67" w:name="page68"/>
    <w:bookmarkEnd w:id="67"/>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380" w:right="419"/>
        <w:spacing w:after="0" w:line="218" w:lineRule="exact"/>
        <w:rPr>
          <w:sz w:val="20"/>
          <w:szCs w:val="20"/>
          <w:color w:val="auto"/>
        </w:rPr>
      </w:pPr>
      <w:r>
        <w:rPr>
          <w:rFonts w:ascii="Arial" w:cs="Arial" w:eastAsia="Arial" w:hAnsi="Arial"/>
          <w:sz w:val="16"/>
          <w:szCs w:val="16"/>
          <w:color w:val="auto"/>
        </w:rPr>
        <w:t>business enterprise value during such year that was primarily driven by a decrease in our weighted average cost of capital and an increase in our long</w:t>
      </w:r>
      <w:r>
        <w:rPr>
          <w:rFonts w:ascii="MS PGothic" w:cs="MS PGothic" w:eastAsia="MS PGothic" w:hAnsi="MS PGothic"/>
          <w:sz w:val="16"/>
          <w:szCs w:val="16"/>
          <w:color w:val="auto"/>
        </w:rPr>
        <w:t>‑</w:t>
      </w:r>
      <w:r>
        <w:rPr>
          <w:rFonts w:ascii="Arial" w:cs="Arial" w:eastAsia="Arial" w:hAnsi="Arial"/>
          <w:sz w:val="16"/>
          <w:szCs w:val="16"/>
          <w:color w:val="auto"/>
        </w:rPr>
        <w:t>term growth expectation, which reflected a more favorable long</w:t>
      </w:r>
      <w:r>
        <w:rPr>
          <w:rFonts w:ascii="MS PGothic" w:cs="MS PGothic" w:eastAsia="MS PGothic" w:hAnsi="MS PGothic"/>
          <w:sz w:val="16"/>
          <w:szCs w:val="16"/>
          <w:color w:val="auto"/>
        </w:rPr>
        <w:t>‑</w:t>
      </w:r>
      <w:r>
        <w:rPr>
          <w:rFonts w:ascii="Arial" w:cs="Arial" w:eastAsia="Arial" w:hAnsi="Arial"/>
          <w:sz w:val="16"/>
          <w:szCs w:val="16"/>
          <w:color w:val="auto"/>
        </w:rPr>
        <w:t>term market outlook, and increases in the valuations realized by a number of the publicly</w:t>
      </w:r>
      <w:r>
        <w:rPr>
          <w:rFonts w:ascii="MS PGothic" w:cs="MS PGothic" w:eastAsia="MS PGothic" w:hAnsi="MS PGothic"/>
          <w:sz w:val="16"/>
          <w:szCs w:val="16"/>
          <w:color w:val="auto"/>
        </w:rPr>
        <w:t>‑</w:t>
      </w:r>
      <w:r>
        <w:rPr>
          <w:rFonts w:ascii="Arial" w:cs="Arial" w:eastAsia="Arial" w:hAnsi="Arial"/>
          <w:sz w:val="16"/>
          <w:szCs w:val="16"/>
          <w:color w:val="auto"/>
        </w:rPr>
        <w:t>traded companies within our peer group. The business enterprise value is a key input in the contingent claims analysis which is the methodology utilized to measure the fair value of the common stock warrants. In addition, income of $1.5 million was recorded in 2016 to recognize the legal judgment in favor of us associated with the Beam value-added tax dispute.</w:t>
      </w:r>
    </w:p>
    <w:p>
      <w:pPr>
        <w:spacing w:after="0" w:line="206" w:lineRule="exact"/>
        <w:rPr>
          <w:sz w:val="20"/>
          <w:szCs w:val="20"/>
          <w:color w:val="auto"/>
        </w:rPr>
      </w:pPr>
    </w:p>
    <w:p>
      <w:pPr>
        <w:ind w:left="1040"/>
        <w:spacing w:after="0"/>
        <w:rPr>
          <w:sz w:val="20"/>
          <w:szCs w:val="20"/>
          <w:color w:val="auto"/>
        </w:rPr>
      </w:pPr>
      <w:r>
        <w:rPr>
          <w:rFonts w:ascii="Arial" w:cs="Arial" w:eastAsia="Arial" w:hAnsi="Arial"/>
          <w:sz w:val="18"/>
          <w:szCs w:val="18"/>
          <w:i w:val="1"/>
          <w:iCs w:val="1"/>
          <w:color w:val="auto"/>
        </w:rPr>
        <w:t>Income Tax Expense</w:t>
      </w:r>
    </w:p>
    <w:p>
      <w:pPr>
        <w:spacing w:after="0" w:line="225" w:lineRule="exact"/>
        <w:rPr>
          <w:sz w:val="20"/>
          <w:szCs w:val="20"/>
          <w:color w:val="auto"/>
        </w:rPr>
      </w:pPr>
    </w:p>
    <w:p>
      <w:pPr>
        <w:ind w:left="380" w:right="399" w:firstLine="648"/>
        <w:spacing w:after="0" w:line="276" w:lineRule="auto"/>
        <w:rPr>
          <w:sz w:val="20"/>
          <w:szCs w:val="20"/>
          <w:color w:val="auto"/>
        </w:rPr>
      </w:pPr>
      <w:r>
        <w:rPr>
          <w:rFonts w:ascii="Arial" w:cs="Arial" w:eastAsia="Arial" w:hAnsi="Arial"/>
          <w:sz w:val="17"/>
          <w:szCs w:val="17"/>
          <w:color w:val="auto"/>
        </w:rPr>
        <w:t>Income tax expense increased by $11.7 million, or 41.8%, to $39.7 million for the year ended December 31, 2016, compared to $28.0 million for the year ended December 31, 2015. Our ETR was 44.5% for the year ended December 31, 2016, compared to 87.1% for the year ended December 31, 2015. The decrease in ETR was primarily driven by the reduction in non-cash fair value losses on the common stock warrants, which are not tax effected, offset by an increase in non-deductible transaction costs.</w:t>
      </w:r>
    </w:p>
    <w:p>
      <w:pPr>
        <w:spacing w:after="0" w:line="173" w:lineRule="exact"/>
        <w:rPr>
          <w:sz w:val="20"/>
          <w:szCs w:val="20"/>
          <w:color w:val="auto"/>
        </w:rPr>
      </w:pPr>
    </w:p>
    <w:p>
      <w:pPr>
        <w:ind w:left="1040"/>
        <w:spacing w:after="0"/>
        <w:rPr>
          <w:sz w:val="20"/>
          <w:szCs w:val="20"/>
          <w:color w:val="auto"/>
        </w:rPr>
      </w:pPr>
      <w:r>
        <w:rPr>
          <w:rFonts w:ascii="Arial" w:cs="Arial" w:eastAsia="Arial" w:hAnsi="Arial"/>
          <w:sz w:val="18"/>
          <w:szCs w:val="18"/>
          <w:i w:val="1"/>
          <w:iCs w:val="1"/>
          <w:color w:val="auto"/>
        </w:rPr>
        <w:t>Net Income (Loss) Attributable to Acushnet Holdings Corp.</w:t>
      </w:r>
    </w:p>
    <w:p>
      <w:pPr>
        <w:spacing w:after="0" w:line="225" w:lineRule="exact"/>
        <w:rPr>
          <w:sz w:val="20"/>
          <w:szCs w:val="20"/>
          <w:color w:val="auto"/>
        </w:rPr>
      </w:pPr>
    </w:p>
    <w:p>
      <w:pPr>
        <w:ind w:left="380" w:right="399" w:firstLine="648"/>
        <w:spacing w:after="0" w:line="276" w:lineRule="auto"/>
        <w:rPr>
          <w:sz w:val="20"/>
          <w:szCs w:val="20"/>
          <w:color w:val="auto"/>
        </w:rPr>
      </w:pPr>
      <w:r>
        <w:rPr>
          <w:rFonts w:ascii="Arial" w:cs="Arial" w:eastAsia="Arial" w:hAnsi="Arial"/>
          <w:sz w:val="17"/>
          <w:szCs w:val="17"/>
          <w:color w:val="auto"/>
        </w:rPr>
        <w:t>Net income (loss) attributable to Acushnet Holdings Corp. increased by $46.0 million to net income attributable to Acushnet Holdings Corp. of $45.0 million for the year ended December 31, 2016 compared to a net loss attributable to Acushnet Holdings Corp. of $1.0 million for the year ended December 31, 2015. This change was primarily a result of lower other expense, higher income from operations and lower interest expense, which were offset in part by higher income tax expense, all of which are described above.</w:t>
      </w:r>
    </w:p>
    <w:p>
      <w:pPr>
        <w:spacing w:after="0" w:line="173" w:lineRule="exact"/>
        <w:rPr>
          <w:sz w:val="20"/>
          <w:szCs w:val="20"/>
          <w:color w:val="auto"/>
        </w:rPr>
      </w:pPr>
    </w:p>
    <w:p>
      <w:pPr>
        <w:ind w:left="1040"/>
        <w:spacing w:after="0"/>
        <w:rPr>
          <w:sz w:val="20"/>
          <w:szCs w:val="20"/>
          <w:color w:val="auto"/>
        </w:rPr>
      </w:pPr>
      <w:r>
        <w:rPr>
          <w:rFonts w:ascii="Arial" w:cs="Arial" w:eastAsia="Arial" w:hAnsi="Arial"/>
          <w:sz w:val="18"/>
          <w:szCs w:val="18"/>
          <w:i w:val="1"/>
          <w:iCs w:val="1"/>
          <w:color w:val="auto"/>
        </w:rPr>
        <w:t>Adjusted EBITDA</w:t>
      </w:r>
    </w:p>
    <w:p>
      <w:pPr>
        <w:spacing w:after="0" w:line="225" w:lineRule="exact"/>
        <w:rPr>
          <w:sz w:val="20"/>
          <w:szCs w:val="20"/>
          <w:color w:val="auto"/>
        </w:rPr>
      </w:pPr>
    </w:p>
    <w:p>
      <w:pPr>
        <w:ind w:left="380" w:right="419" w:firstLine="648"/>
        <w:spacing w:after="0" w:line="264" w:lineRule="auto"/>
        <w:rPr>
          <w:sz w:val="20"/>
          <w:szCs w:val="20"/>
          <w:color w:val="auto"/>
        </w:rPr>
      </w:pPr>
      <w:r>
        <w:rPr>
          <w:rFonts w:ascii="Arial" w:cs="Arial" w:eastAsia="Arial" w:hAnsi="Arial"/>
          <w:sz w:val="18"/>
          <w:szCs w:val="18"/>
          <w:color w:val="auto"/>
        </w:rPr>
        <w:t>Adjusted EBITDA increased by $13.7 million to $228.4 million for the year ended December 31, 2016 compared to $214.7 million for the year ended December 31, 2015. Adjusted EBITDA margin increased to 14.5% in 2016 from 14.3% in 2015.</w:t>
      </w:r>
    </w:p>
    <w:p>
      <w:pPr>
        <w:spacing w:after="0" w:line="179"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68" w:name="page69"/>
    <w:bookmarkEnd w:id="68"/>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1040"/>
        <w:spacing w:after="0"/>
        <w:rPr>
          <w:sz w:val="20"/>
          <w:szCs w:val="20"/>
          <w:color w:val="auto"/>
        </w:rPr>
      </w:pPr>
      <w:r>
        <w:rPr>
          <w:rFonts w:ascii="Arial" w:cs="Arial" w:eastAsia="Arial" w:hAnsi="Arial"/>
          <w:sz w:val="18"/>
          <w:szCs w:val="18"/>
          <w:i w:val="1"/>
          <w:iCs w:val="1"/>
          <w:color w:val="auto"/>
        </w:rPr>
        <w:t>Segment Results</w:t>
      </w:r>
    </w:p>
    <w:p>
      <w:pPr>
        <w:spacing w:after="0" w:line="225" w:lineRule="exact"/>
        <w:rPr>
          <w:sz w:val="20"/>
          <w:szCs w:val="20"/>
          <w:color w:val="auto"/>
        </w:rPr>
      </w:pPr>
    </w:p>
    <w:p>
      <w:pPr>
        <w:ind w:left="1040"/>
        <w:spacing w:after="0"/>
        <w:rPr>
          <w:sz w:val="20"/>
          <w:szCs w:val="20"/>
          <w:color w:val="auto"/>
        </w:rPr>
      </w:pPr>
      <w:r>
        <w:rPr>
          <w:rFonts w:ascii="Arial" w:cs="Arial" w:eastAsia="Arial" w:hAnsi="Arial"/>
          <w:sz w:val="18"/>
          <w:szCs w:val="18"/>
          <w:color w:val="auto"/>
        </w:rPr>
        <w:t>Net sales by reportable segment is summarized as follows:</w:t>
      </w:r>
    </w:p>
    <w:p>
      <w:pPr>
        <w:spacing w:after="0" w:line="244" w:lineRule="exact"/>
        <w:rPr>
          <w:sz w:val="20"/>
          <w:szCs w:val="20"/>
          <w:color w:val="auto"/>
        </w:rPr>
      </w:pPr>
    </w:p>
    <w:tbl>
      <w:tblPr>
        <w:tblLayout w:type="fixed"/>
        <w:tblInd w:w="380" w:type="dxa"/>
        <w:tblCellMar>
          <w:top w:w="0" w:type="dxa"/>
          <w:left w:w="0" w:type="dxa"/>
          <w:bottom w:w="0" w:type="dxa"/>
          <w:right w:w="0" w:type="dxa"/>
        </w:tblCellMar>
      </w:tblPr>
      <w:tr>
        <w:trPr>
          <w:trHeight w:val="162"/>
        </w:trPr>
        <w:tc>
          <w:tcPr>
            <w:tcW w:w="22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640" w:type="dxa"/>
            <w:vAlign w:val="bottom"/>
            <w:gridSpan w:val="2"/>
          </w:tcPr>
          <w:p>
            <w:pPr>
              <w:jc w:val="right"/>
              <w:ind w:right="394"/>
              <w:spacing w:after="0"/>
              <w:rPr>
                <w:sz w:val="20"/>
                <w:szCs w:val="20"/>
                <w:color w:val="auto"/>
              </w:rPr>
            </w:pPr>
            <w:r>
              <w:rPr>
                <w:rFonts w:ascii="Arial" w:cs="Arial" w:eastAsia="Arial" w:hAnsi="Arial"/>
                <w:sz w:val="14"/>
                <w:szCs w:val="14"/>
                <w:b w:val="1"/>
                <w:bCs w:val="1"/>
                <w:color w:val="auto"/>
              </w:rPr>
              <w:t>Year ended</w:t>
            </w:r>
          </w:p>
        </w:tc>
        <w:tc>
          <w:tcPr>
            <w:tcW w:w="1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40" w:type="dxa"/>
            <w:vAlign w:val="bottom"/>
            <w:gridSpan w:val="3"/>
          </w:tcPr>
          <w:p>
            <w:pPr>
              <w:jc w:val="right"/>
              <w:ind w:right="320"/>
              <w:spacing w:after="0"/>
              <w:rPr>
                <w:sz w:val="20"/>
                <w:szCs w:val="20"/>
                <w:color w:val="auto"/>
              </w:rPr>
            </w:pPr>
            <w:r>
              <w:rPr>
                <w:rFonts w:ascii="Arial" w:cs="Arial" w:eastAsia="Arial" w:hAnsi="Arial"/>
                <w:sz w:val="14"/>
                <w:szCs w:val="14"/>
                <w:b w:val="1"/>
                <w:bCs w:val="1"/>
                <w:color w:val="auto"/>
              </w:rPr>
              <w:t>Constant Currency</w:t>
            </w:r>
          </w:p>
        </w:tc>
      </w:tr>
      <w:tr>
        <w:trPr>
          <w:trHeight w:val="171"/>
        </w:trPr>
        <w:tc>
          <w:tcPr>
            <w:tcW w:w="22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640" w:type="dxa"/>
            <w:vAlign w:val="bottom"/>
            <w:gridSpan w:val="2"/>
          </w:tcPr>
          <w:p>
            <w:pPr>
              <w:jc w:val="right"/>
              <w:ind w:right="314"/>
              <w:spacing w:after="0"/>
              <w:rPr>
                <w:sz w:val="20"/>
                <w:szCs w:val="20"/>
                <w:color w:val="auto"/>
              </w:rPr>
            </w:pPr>
            <w:r>
              <w:rPr>
                <w:rFonts w:ascii="Arial" w:cs="Arial" w:eastAsia="Arial" w:hAnsi="Arial"/>
                <w:sz w:val="14"/>
                <w:szCs w:val="14"/>
                <w:b w:val="1"/>
                <w:bCs w:val="1"/>
                <w:color w:val="auto"/>
              </w:rPr>
              <w:t>December 31,</w:t>
            </w:r>
          </w:p>
        </w:tc>
        <w:tc>
          <w:tcPr>
            <w:tcW w:w="140" w:type="dxa"/>
            <w:vAlign w:val="bottom"/>
          </w:tcPr>
          <w:p>
            <w:pPr>
              <w:spacing w:after="0"/>
              <w:rPr>
                <w:sz w:val="14"/>
                <w:szCs w:val="14"/>
                <w:color w:val="auto"/>
              </w:rPr>
            </w:pPr>
          </w:p>
        </w:tc>
        <w:tc>
          <w:tcPr>
            <w:tcW w:w="1680" w:type="dxa"/>
            <w:vAlign w:val="bottom"/>
            <w:gridSpan w:val="3"/>
          </w:tcPr>
          <w:p>
            <w:pPr>
              <w:jc w:val="right"/>
              <w:ind w:right="340"/>
              <w:spacing w:after="0"/>
              <w:rPr>
                <w:sz w:val="20"/>
                <w:szCs w:val="20"/>
                <w:color w:val="auto"/>
              </w:rPr>
            </w:pPr>
            <w:r>
              <w:rPr>
                <w:rFonts w:ascii="Arial" w:cs="Arial" w:eastAsia="Arial" w:hAnsi="Arial"/>
                <w:sz w:val="14"/>
                <w:szCs w:val="14"/>
                <w:b w:val="1"/>
                <w:bCs w:val="1"/>
                <w:color w:val="auto"/>
                <w:w w:val="99"/>
              </w:rPr>
              <w:t>Increase/(Decrease)</w:t>
            </w:r>
          </w:p>
        </w:tc>
        <w:tc>
          <w:tcPr>
            <w:tcW w:w="60" w:type="dxa"/>
            <w:vAlign w:val="bottom"/>
          </w:tcPr>
          <w:p>
            <w:pPr>
              <w:spacing w:after="0"/>
              <w:rPr>
                <w:sz w:val="14"/>
                <w:szCs w:val="14"/>
                <w:color w:val="auto"/>
              </w:rPr>
            </w:pPr>
          </w:p>
        </w:tc>
        <w:tc>
          <w:tcPr>
            <w:tcW w:w="1640" w:type="dxa"/>
            <w:vAlign w:val="bottom"/>
            <w:gridSpan w:val="3"/>
          </w:tcPr>
          <w:p>
            <w:pPr>
              <w:jc w:val="right"/>
              <w:ind w:right="300"/>
              <w:spacing w:after="0"/>
              <w:rPr>
                <w:sz w:val="20"/>
                <w:szCs w:val="20"/>
                <w:color w:val="auto"/>
              </w:rPr>
            </w:pPr>
            <w:r>
              <w:rPr>
                <w:rFonts w:ascii="Arial" w:cs="Arial" w:eastAsia="Arial" w:hAnsi="Arial"/>
                <w:sz w:val="14"/>
                <w:szCs w:val="14"/>
                <w:b w:val="1"/>
                <w:bCs w:val="1"/>
                <w:color w:val="auto"/>
                <w:w w:val="99"/>
              </w:rPr>
              <w:t>Increase/(Decrease)</w:t>
            </w:r>
          </w:p>
        </w:tc>
      </w:tr>
      <w:tr>
        <w:trPr>
          <w:trHeight w:val="142"/>
        </w:trPr>
        <w:tc>
          <w:tcPr>
            <w:tcW w:w="22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780" w:type="dxa"/>
            <w:vAlign w:val="bottom"/>
            <w:tcBorders>
              <w:top w:val="single" w:sz="8" w:color="auto"/>
              <w:bottom w:val="single" w:sz="8" w:color="auto"/>
            </w:tcBorders>
          </w:tcPr>
          <w:p>
            <w:pPr>
              <w:jc w:val="right"/>
              <w:ind w:right="188"/>
              <w:spacing w:after="0" w:line="142" w:lineRule="exact"/>
              <w:rPr>
                <w:sz w:val="20"/>
                <w:szCs w:val="20"/>
                <w:color w:val="auto"/>
              </w:rPr>
            </w:pPr>
            <w:r>
              <w:rPr>
                <w:rFonts w:ascii="Arial" w:cs="Arial" w:eastAsia="Arial" w:hAnsi="Arial"/>
                <w:sz w:val="14"/>
                <w:szCs w:val="14"/>
                <w:b w:val="1"/>
                <w:bCs w:val="1"/>
                <w:color w:val="auto"/>
              </w:rPr>
              <w:t>2016</w:t>
            </w:r>
          </w:p>
        </w:tc>
        <w:tc>
          <w:tcPr>
            <w:tcW w:w="860" w:type="dxa"/>
            <w:vAlign w:val="bottom"/>
            <w:tcBorders>
              <w:top w:val="single" w:sz="8" w:color="auto"/>
              <w:bottom w:val="single" w:sz="8" w:color="auto"/>
            </w:tcBorders>
          </w:tcPr>
          <w:p>
            <w:pPr>
              <w:jc w:val="right"/>
              <w:ind w:right="154"/>
              <w:spacing w:after="0" w:line="142" w:lineRule="exact"/>
              <w:rPr>
                <w:sz w:val="20"/>
                <w:szCs w:val="20"/>
                <w:color w:val="auto"/>
              </w:rPr>
            </w:pPr>
            <w:r>
              <w:rPr>
                <w:rFonts w:ascii="Arial" w:cs="Arial" w:eastAsia="Arial" w:hAnsi="Arial"/>
                <w:sz w:val="14"/>
                <w:szCs w:val="14"/>
                <w:b w:val="1"/>
                <w:bCs w:val="1"/>
                <w:color w:val="auto"/>
              </w:rPr>
              <w:t>2015</w:t>
            </w:r>
          </w:p>
        </w:tc>
        <w:tc>
          <w:tcPr>
            <w:tcW w:w="140" w:type="dxa"/>
            <w:vAlign w:val="bottom"/>
            <w:tcBorders>
              <w:bottom w:val="single" w:sz="8" w:color="auto"/>
            </w:tcBorders>
          </w:tcPr>
          <w:p>
            <w:pPr>
              <w:spacing w:after="0"/>
              <w:rPr>
                <w:sz w:val="12"/>
                <w:szCs w:val="12"/>
                <w:color w:val="auto"/>
              </w:rPr>
            </w:pPr>
          </w:p>
        </w:tc>
        <w:tc>
          <w:tcPr>
            <w:tcW w:w="800" w:type="dxa"/>
            <w:vAlign w:val="bottom"/>
            <w:tcBorders>
              <w:top w:val="single" w:sz="8" w:color="auto"/>
              <w:bottom w:val="single" w:sz="8" w:color="auto"/>
            </w:tcBorders>
          </w:tcPr>
          <w:p>
            <w:pPr>
              <w:jc w:val="right"/>
              <w:ind w:right="108"/>
              <w:spacing w:after="0" w:line="142" w:lineRule="exact"/>
              <w:rPr>
                <w:sz w:val="20"/>
                <w:szCs w:val="20"/>
                <w:color w:val="auto"/>
              </w:rPr>
            </w:pPr>
            <w:r>
              <w:rPr>
                <w:rFonts w:ascii="Arial" w:cs="Arial" w:eastAsia="Arial" w:hAnsi="Arial"/>
                <w:sz w:val="14"/>
                <w:szCs w:val="14"/>
                <w:b w:val="1"/>
                <w:bCs w:val="1"/>
                <w:color w:val="auto"/>
                <w:w w:val="98"/>
              </w:rPr>
              <w:t>$ change</w:t>
            </w:r>
          </w:p>
        </w:tc>
        <w:tc>
          <w:tcPr>
            <w:tcW w:w="6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 change</w:t>
            </w:r>
          </w:p>
        </w:tc>
        <w:tc>
          <w:tcPr>
            <w:tcW w:w="200" w:type="dxa"/>
            <w:vAlign w:val="bottom"/>
            <w:tcBorders>
              <w:bottom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780" w:type="dxa"/>
            <w:vAlign w:val="bottom"/>
            <w:tcBorders>
              <w:top w:val="single" w:sz="8" w:color="auto"/>
              <w:bottom w:val="single" w:sz="8" w:color="auto"/>
            </w:tcBorders>
          </w:tcPr>
          <w:p>
            <w:pPr>
              <w:jc w:val="right"/>
              <w:ind w:right="88"/>
              <w:spacing w:after="0" w:line="142" w:lineRule="exact"/>
              <w:rPr>
                <w:sz w:val="20"/>
                <w:szCs w:val="20"/>
                <w:color w:val="auto"/>
              </w:rPr>
            </w:pPr>
            <w:r>
              <w:rPr>
                <w:rFonts w:ascii="Arial" w:cs="Arial" w:eastAsia="Arial" w:hAnsi="Arial"/>
                <w:sz w:val="14"/>
                <w:szCs w:val="14"/>
                <w:b w:val="1"/>
                <w:bCs w:val="1"/>
                <w:color w:val="auto"/>
                <w:w w:val="98"/>
              </w:rPr>
              <w:t>$ change</w:t>
            </w:r>
          </w:p>
        </w:tc>
        <w:tc>
          <w:tcPr>
            <w:tcW w:w="7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 change</w:t>
            </w:r>
          </w:p>
        </w:tc>
        <w:tc>
          <w:tcPr>
            <w:tcW w:w="160" w:type="dxa"/>
            <w:vAlign w:val="bottom"/>
          </w:tcPr>
          <w:p>
            <w:pPr>
              <w:spacing w:after="0"/>
              <w:rPr>
                <w:sz w:val="12"/>
                <w:szCs w:val="12"/>
                <w:color w:val="auto"/>
              </w:rPr>
            </w:pPr>
          </w:p>
        </w:tc>
      </w:tr>
      <w:tr>
        <w:trPr>
          <w:trHeight w:val="142"/>
        </w:trPr>
        <w:tc>
          <w:tcPr>
            <w:tcW w:w="22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680" w:type="dxa"/>
            <w:vAlign w:val="bottom"/>
            <w:gridSpan w:val="3"/>
          </w:tcPr>
          <w:p>
            <w:pPr>
              <w:jc w:val="right"/>
              <w:ind w:right="520"/>
              <w:spacing w:after="0" w:line="142" w:lineRule="exact"/>
              <w:rPr>
                <w:sz w:val="20"/>
                <w:szCs w:val="20"/>
                <w:color w:val="auto"/>
              </w:rPr>
            </w:pPr>
            <w:r>
              <w:rPr>
                <w:rFonts w:ascii="Arial" w:cs="Arial" w:eastAsia="Arial" w:hAnsi="Arial"/>
                <w:sz w:val="14"/>
                <w:szCs w:val="14"/>
                <w:b w:val="1"/>
                <w:bCs w:val="1"/>
                <w:color w:val="auto"/>
              </w:rPr>
              <w:t>(in thousands)</w:t>
            </w:r>
          </w:p>
        </w:tc>
        <w:tc>
          <w:tcPr>
            <w:tcW w:w="6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0" w:type="dxa"/>
            <w:vAlign w:val="bottom"/>
          </w:tcPr>
          <w:p>
            <w:pPr>
              <w:spacing w:after="0"/>
              <w:rPr>
                <w:sz w:val="12"/>
                <w:szCs w:val="12"/>
                <w:color w:val="auto"/>
              </w:rPr>
            </w:pPr>
          </w:p>
        </w:tc>
      </w:tr>
      <w:tr>
        <w:trPr>
          <w:trHeight w:val="216"/>
        </w:trPr>
        <w:tc>
          <w:tcPr>
            <w:tcW w:w="2200" w:type="dxa"/>
            <w:vAlign w:val="bottom"/>
            <w:shd w:val="clear" w:color="auto" w:fill="CCEEFF"/>
          </w:tcPr>
          <w:p>
            <w:pPr>
              <w:spacing w:after="0"/>
              <w:rPr>
                <w:sz w:val="20"/>
                <w:szCs w:val="20"/>
                <w:color w:val="auto"/>
              </w:rPr>
            </w:pPr>
            <w:r>
              <w:rPr>
                <w:rFonts w:ascii="Arial" w:cs="Arial" w:eastAsia="Arial" w:hAnsi="Arial"/>
                <w:sz w:val="18"/>
                <w:szCs w:val="18"/>
                <w:color w:val="auto"/>
              </w:rPr>
              <w:t>Titleist golf balls</w:t>
            </w:r>
          </w:p>
        </w:tc>
        <w:tc>
          <w:tcPr>
            <w:tcW w:w="1680" w:type="dxa"/>
            <w:vAlign w:val="bottom"/>
            <w:gridSpan w:val="2"/>
            <w:shd w:val="clear" w:color="auto" w:fill="CCEEFF"/>
          </w:tcPr>
          <w:p>
            <w:pPr>
              <w:jc w:val="right"/>
              <w:ind w:right="28"/>
              <w:spacing w:after="0"/>
              <w:rPr>
                <w:sz w:val="20"/>
                <w:szCs w:val="20"/>
                <w:color w:val="auto"/>
              </w:rPr>
            </w:pPr>
            <w:r>
              <w:rPr>
                <w:rFonts w:ascii="Arial" w:cs="Arial" w:eastAsia="Arial" w:hAnsi="Arial"/>
                <w:sz w:val="18"/>
                <w:szCs w:val="18"/>
                <w:color w:val="auto"/>
              </w:rPr>
              <w:t>$513,899</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$535,465</w:t>
            </w:r>
          </w:p>
        </w:tc>
        <w:tc>
          <w:tcPr>
            <w:tcW w:w="940" w:type="dxa"/>
            <w:vAlign w:val="bottom"/>
            <w:gridSpan w:val="2"/>
            <w:shd w:val="clear" w:color="auto" w:fill="CCEEFF"/>
          </w:tcPr>
          <w:p>
            <w:pPr>
              <w:jc w:val="right"/>
              <w:ind w:right="8"/>
              <w:spacing w:after="0"/>
              <w:rPr>
                <w:sz w:val="20"/>
                <w:szCs w:val="20"/>
                <w:color w:val="auto"/>
              </w:rPr>
            </w:pPr>
            <w:r>
              <w:rPr>
                <w:rFonts w:ascii="Arial" w:cs="Arial" w:eastAsia="Arial" w:hAnsi="Arial"/>
                <w:sz w:val="18"/>
                <w:szCs w:val="18"/>
                <w:color w:val="auto"/>
              </w:rPr>
              <w:t>$(21,566)</w:t>
            </w:r>
          </w:p>
        </w:tc>
        <w:tc>
          <w:tcPr>
            <w:tcW w:w="8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(4.0)%</w:t>
            </w:r>
          </w:p>
        </w:tc>
        <w:tc>
          <w:tcPr>
            <w:tcW w:w="840" w:type="dxa"/>
            <w:vAlign w:val="bottom"/>
            <w:gridSpan w:val="2"/>
            <w:shd w:val="clear" w:color="auto" w:fill="CCEEFF"/>
          </w:tcPr>
          <w:p>
            <w:pPr>
              <w:jc w:val="right"/>
              <w:ind w:right="8"/>
              <w:spacing w:after="0"/>
              <w:rPr>
                <w:sz w:val="20"/>
                <w:szCs w:val="20"/>
                <w:color w:val="auto"/>
              </w:rPr>
            </w:pPr>
            <w:r>
              <w:rPr>
                <w:rFonts w:ascii="Arial" w:cs="Arial" w:eastAsia="Arial" w:hAnsi="Arial"/>
                <w:sz w:val="18"/>
                <w:szCs w:val="18"/>
                <w:color w:val="auto"/>
                <w:w w:val="95"/>
              </w:rPr>
              <w:t>$(19,956)</w:t>
            </w:r>
          </w:p>
        </w:tc>
        <w:tc>
          <w:tcPr>
            <w:tcW w:w="8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(3.7)%</w:t>
            </w:r>
          </w:p>
        </w:tc>
      </w:tr>
      <w:tr>
        <w:trPr>
          <w:trHeight w:val="216"/>
        </w:trPr>
        <w:tc>
          <w:tcPr>
            <w:tcW w:w="2200" w:type="dxa"/>
            <w:vAlign w:val="bottom"/>
          </w:tcPr>
          <w:p>
            <w:pPr>
              <w:spacing w:after="0"/>
              <w:rPr>
                <w:sz w:val="20"/>
                <w:szCs w:val="20"/>
                <w:color w:val="auto"/>
              </w:rPr>
            </w:pPr>
            <w:r>
              <w:rPr>
                <w:rFonts w:ascii="Arial" w:cs="Arial" w:eastAsia="Arial" w:hAnsi="Arial"/>
                <w:sz w:val="18"/>
                <w:szCs w:val="18"/>
                <w:color w:val="auto"/>
              </w:rPr>
              <w:t>Titleist golf clubs</w:t>
            </w:r>
          </w:p>
        </w:tc>
        <w:tc>
          <w:tcPr>
            <w:tcW w:w="1680" w:type="dxa"/>
            <w:vAlign w:val="bottom"/>
            <w:gridSpan w:val="2"/>
          </w:tcPr>
          <w:p>
            <w:pPr>
              <w:jc w:val="right"/>
              <w:ind w:right="28"/>
              <w:spacing w:after="0"/>
              <w:rPr>
                <w:sz w:val="20"/>
                <w:szCs w:val="20"/>
                <w:color w:val="auto"/>
              </w:rPr>
            </w:pPr>
            <w:r>
              <w:rPr>
                <w:rFonts w:ascii="Arial" w:cs="Arial" w:eastAsia="Arial" w:hAnsi="Arial"/>
                <w:sz w:val="18"/>
                <w:szCs w:val="18"/>
                <w:color w:val="auto"/>
              </w:rPr>
              <w:t>430,966</w:t>
            </w:r>
          </w:p>
        </w:tc>
        <w:tc>
          <w:tcPr>
            <w:tcW w:w="860" w:type="dxa"/>
            <w:vAlign w:val="bottom"/>
          </w:tcPr>
          <w:p>
            <w:pPr>
              <w:jc w:val="right"/>
              <w:spacing w:after="0"/>
              <w:rPr>
                <w:sz w:val="20"/>
                <w:szCs w:val="20"/>
                <w:color w:val="auto"/>
              </w:rPr>
            </w:pPr>
            <w:r>
              <w:rPr>
                <w:rFonts w:ascii="Arial" w:cs="Arial" w:eastAsia="Arial" w:hAnsi="Arial"/>
                <w:sz w:val="18"/>
                <w:szCs w:val="18"/>
                <w:color w:val="auto"/>
              </w:rPr>
              <w:t>388,304</w:t>
            </w:r>
          </w:p>
        </w:tc>
        <w:tc>
          <w:tcPr>
            <w:tcW w:w="940" w:type="dxa"/>
            <w:vAlign w:val="bottom"/>
            <w:gridSpan w:val="2"/>
          </w:tcPr>
          <w:p>
            <w:pPr>
              <w:jc w:val="right"/>
              <w:ind w:right="68"/>
              <w:spacing w:after="0"/>
              <w:rPr>
                <w:sz w:val="20"/>
                <w:szCs w:val="20"/>
                <w:color w:val="auto"/>
              </w:rPr>
            </w:pPr>
            <w:r>
              <w:rPr>
                <w:rFonts w:ascii="Arial" w:cs="Arial" w:eastAsia="Arial" w:hAnsi="Arial"/>
                <w:sz w:val="18"/>
                <w:szCs w:val="18"/>
                <w:color w:val="auto"/>
              </w:rPr>
              <w:t>42,662</w:t>
            </w:r>
          </w:p>
        </w:tc>
        <w:tc>
          <w:tcPr>
            <w:tcW w:w="880" w:type="dxa"/>
            <w:vAlign w:val="bottom"/>
            <w:gridSpan w:val="2"/>
          </w:tcPr>
          <w:p>
            <w:pPr>
              <w:jc w:val="right"/>
              <w:ind w:right="40"/>
              <w:spacing w:after="0"/>
              <w:rPr>
                <w:sz w:val="20"/>
                <w:szCs w:val="20"/>
                <w:color w:val="auto"/>
              </w:rPr>
            </w:pPr>
            <w:r>
              <w:rPr>
                <w:rFonts w:ascii="Arial" w:cs="Arial" w:eastAsia="Arial" w:hAnsi="Arial"/>
                <w:sz w:val="18"/>
                <w:szCs w:val="18"/>
                <w:color w:val="auto"/>
              </w:rPr>
              <w:t>11.0 %</w:t>
            </w:r>
          </w:p>
        </w:tc>
        <w:tc>
          <w:tcPr>
            <w:tcW w:w="840" w:type="dxa"/>
            <w:vAlign w:val="bottom"/>
            <w:gridSpan w:val="2"/>
          </w:tcPr>
          <w:p>
            <w:pPr>
              <w:jc w:val="right"/>
              <w:ind w:right="68"/>
              <w:spacing w:after="0"/>
              <w:rPr>
                <w:sz w:val="20"/>
                <w:szCs w:val="20"/>
                <w:color w:val="auto"/>
              </w:rPr>
            </w:pPr>
            <w:r>
              <w:rPr>
                <w:rFonts w:ascii="Arial" w:cs="Arial" w:eastAsia="Arial" w:hAnsi="Arial"/>
                <w:sz w:val="18"/>
                <w:szCs w:val="18"/>
                <w:color w:val="auto"/>
              </w:rPr>
              <w:t>38,082</w:t>
            </w:r>
          </w:p>
        </w:tc>
        <w:tc>
          <w:tcPr>
            <w:tcW w:w="860" w:type="dxa"/>
            <w:vAlign w:val="bottom"/>
            <w:gridSpan w:val="2"/>
          </w:tcPr>
          <w:p>
            <w:pPr>
              <w:jc w:val="right"/>
              <w:ind w:right="20"/>
              <w:spacing w:after="0"/>
              <w:rPr>
                <w:sz w:val="20"/>
                <w:szCs w:val="20"/>
                <w:color w:val="auto"/>
              </w:rPr>
            </w:pPr>
            <w:r>
              <w:rPr>
                <w:rFonts w:ascii="Arial" w:cs="Arial" w:eastAsia="Arial" w:hAnsi="Arial"/>
                <w:sz w:val="18"/>
                <w:szCs w:val="18"/>
                <w:color w:val="auto"/>
              </w:rPr>
              <w:t>9.8 %</w:t>
            </w:r>
          </w:p>
        </w:tc>
      </w:tr>
      <w:tr>
        <w:trPr>
          <w:trHeight w:val="216"/>
        </w:trPr>
        <w:tc>
          <w:tcPr>
            <w:tcW w:w="2200" w:type="dxa"/>
            <w:vAlign w:val="bottom"/>
            <w:shd w:val="clear" w:color="auto" w:fill="CCEEFF"/>
          </w:tcPr>
          <w:p>
            <w:pPr>
              <w:spacing w:after="0"/>
              <w:rPr>
                <w:sz w:val="20"/>
                <w:szCs w:val="20"/>
                <w:color w:val="auto"/>
              </w:rPr>
            </w:pPr>
            <w:r>
              <w:rPr>
                <w:rFonts w:ascii="Arial" w:cs="Arial" w:eastAsia="Arial" w:hAnsi="Arial"/>
                <w:sz w:val="18"/>
                <w:szCs w:val="18"/>
                <w:color w:val="auto"/>
              </w:rPr>
              <w:t>Titleist golf gear</w:t>
            </w:r>
          </w:p>
        </w:tc>
        <w:tc>
          <w:tcPr>
            <w:tcW w:w="1680" w:type="dxa"/>
            <w:vAlign w:val="bottom"/>
            <w:gridSpan w:val="2"/>
            <w:shd w:val="clear" w:color="auto" w:fill="CCEEFF"/>
          </w:tcPr>
          <w:p>
            <w:pPr>
              <w:jc w:val="right"/>
              <w:ind w:right="28"/>
              <w:spacing w:after="0"/>
              <w:rPr>
                <w:sz w:val="20"/>
                <w:szCs w:val="20"/>
                <w:color w:val="auto"/>
              </w:rPr>
            </w:pPr>
            <w:r>
              <w:rPr>
                <w:rFonts w:ascii="Arial" w:cs="Arial" w:eastAsia="Arial" w:hAnsi="Arial"/>
                <w:sz w:val="18"/>
                <w:szCs w:val="18"/>
                <w:color w:val="auto"/>
              </w:rPr>
              <w:t>136,208</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129,408</w:t>
            </w:r>
          </w:p>
        </w:tc>
        <w:tc>
          <w:tcPr>
            <w:tcW w:w="940" w:type="dxa"/>
            <w:vAlign w:val="bottom"/>
            <w:gridSpan w:val="2"/>
            <w:shd w:val="clear" w:color="auto" w:fill="CCEEFF"/>
          </w:tcPr>
          <w:p>
            <w:pPr>
              <w:jc w:val="right"/>
              <w:ind w:right="68"/>
              <w:spacing w:after="0"/>
              <w:rPr>
                <w:sz w:val="20"/>
                <w:szCs w:val="20"/>
                <w:color w:val="auto"/>
              </w:rPr>
            </w:pPr>
            <w:r>
              <w:rPr>
                <w:rFonts w:ascii="Arial" w:cs="Arial" w:eastAsia="Arial" w:hAnsi="Arial"/>
                <w:sz w:val="18"/>
                <w:szCs w:val="18"/>
                <w:color w:val="auto"/>
              </w:rPr>
              <w:t>6,800</w:t>
            </w:r>
          </w:p>
        </w:tc>
        <w:tc>
          <w:tcPr>
            <w:tcW w:w="8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5.3 %</w:t>
            </w:r>
          </w:p>
        </w:tc>
        <w:tc>
          <w:tcPr>
            <w:tcW w:w="840" w:type="dxa"/>
            <w:vAlign w:val="bottom"/>
            <w:gridSpan w:val="2"/>
            <w:shd w:val="clear" w:color="auto" w:fill="CCEEFF"/>
          </w:tcPr>
          <w:p>
            <w:pPr>
              <w:jc w:val="right"/>
              <w:ind w:right="68"/>
              <w:spacing w:after="0"/>
              <w:rPr>
                <w:sz w:val="20"/>
                <w:szCs w:val="20"/>
                <w:color w:val="auto"/>
              </w:rPr>
            </w:pPr>
            <w:r>
              <w:rPr>
                <w:rFonts w:ascii="Arial" w:cs="Arial" w:eastAsia="Arial" w:hAnsi="Arial"/>
                <w:sz w:val="18"/>
                <w:szCs w:val="18"/>
                <w:color w:val="auto"/>
              </w:rPr>
              <w:t>7,055</w:t>
            </w:r>
          </w:p>
        </w:tc>
        <w:tc>
          <w:tcPr>
            <w:tcW w:w="8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5.5 %</w:t>
            </w:r>
          </w:p>
        </w:tc>
      </w:tr>
      <w:tr>
        <w:trPr>
          <w:trHeight w:val="230"/>
        </w:trPr>
        <w:tc>
          <w:tcPr>
            <w:tcW w:w="2200" w:type="dxa"/>
            <w:vAlign w:val="bottom"/>
          </w:tcPr>
          <w:p>
            <w:pPr>
              <w:spacing w:after="0"/>
              <w:rPr>
                <w:sz w:val="20"/>
                <w:szCs w:val="20"/>
                <w:color w:val="auto"/>
              </w:rPr>
            </w:pPr>
            <w:r>
              <w:rPr>
                <w:rFonts w:ascii="Arial" w:cs="Arial" w:eastAsia="Arial" w:hAnsi="Arial"/>
                <w:sz w:val="18"/>
                <w:szCs w:val="18"/>
                <w:color w:val="auto"/>
              </w:rPr>
              <w:t>FootJoy golf wear</w:t>
            </w:r>
          </w:p>
        </w:tc>
        <w:tc>
          <w:tcPr>
            <w:tcW w:w="1680" w:type="dxa"/>
            <w:vAlign w:val="bottom"/>
            <w:gridSpan w:val="2"/>
          </w:tcPr>
          <w:p>
            <w:pPr>
              <w:jc w:val="right"/>
              <w:ind w:right="28"/>
              <w:spacing w:after="0"/>
              <w:rPr>
                <w:sz w:val="20"/>
                <w:szCs w:val="20"/>
                <w:color w:val="auto"/>
              </w:rPr>
            </w:pPr>
            <w:r>
              <w:rPr>
                <w:rFonts w:ascii="Arial" w:cs="Arial" w:eastAsia="Arial" w:hAnsi="Arial"/>
                <w:sz w:val="18"/>
                <w:szCs w:val="18"/>
                <w:color w:val="auto"/>
              </w:rPr>
              <w:t>433,061</w:t>
            </w:r>
          </w:p>
        </w:tc>
        <w:tc>
          <w:tcPr>
            <w:tcW w:w="860" w:type="dxa"/>
            <w:vAlign w:val="bottom"/>
          </w:tcPr>
          <w:p>
            <w:pPr>
              <w:jc w:val="right"/>
              <w:spacing w:after="0"/>
              <w:rPr>
                <w:sz w:val="20"/>
                <w:szCs w:val="20"/>
                <w:color w:val="auto"/>
              </w:rPr>
            </w:pPr>
            <w:r>
              <w:rPr>
                <w:rFonts w:ascii="Arial" w:cs="Arial" w:eastAsia="Arial" w:hAnsi="Arial"/>
                <w:sz w:val="18"/>
                <w:szCs w:val="18"/>
                <w:color w:val="auto"/>
              </w:rPr>
              <w:t>418,852</w:t>
            </w:r>
          </w:p>
        </w:tc>
        <w:tc>
          <w:tcPr>
            <w:tcW w:w="940" w:type="dxa"/>
            <w:vAlign w:val="bottom"/>
            <w:gridSpan w:val="2"/>
          </w:tcPr>
          <w:p>
            <w:pPr>
              <w:jc w:val="right"/>
              <w:ind w:right="68"/>
              <w:spacing w:after="0"/>
              <w:rPr>
                <w:sz w:val="20"/>
                <w:szCs w:val="20"/>
                <w:color w:val="auto"/>
              </w:rPr>
            </w:pPr>
            <w:r>
              <w:rPr>
                <w:rFonts w:ascii="Arial" w:cs="Arial" w:eastAsia="Arial" w:hAnsi="Arial"/>
                <w:sz w:val="18"/>
                <w:szCs w:val="18"/>
                <w:color w:val="auto"/>
              </w:rPr>
              <w:t>14,209</w:t>
            </w:r>
          </w:p>
        </w:tc>
        <w:tc>
          <w:tcPr>
            <w:tcW w:w="880" w:type="dxa"/>
            <w:vAlign w:val="bottom"/>
            <w:gridSpan w:val="2"/>
          </w:tcPr>
          <w:p>
            <w:pPr>
              <w:jc w:val="right"/>
              <w:ind w:right="40"/>
              <w:spacing w:after="0"/>
              <w:rPr>
                <w:sz w:val="20"/>
                <w:szCs w:val="20"/>
                <w:color w:val="auto"/>
              </w:rPr>
            </w:pPr>
            <w:r>
              <w:rPr>
                <w:rFonts w:ascii="Arial" w:cs="Arial" w:eastAsia="Arial" w:hAnsi="Arial"/>
                <w:sz w:val="18"/>
                <w:szCs w:val="18"/>
                <w:color w:val="auto"/>
              </w:rPr>
              <w:t>3.4 %</w:t>
            </w:r>
          </w:p>
        </w:tc>
        <w:tc>
          <w:tcPr>
            <w:tcW w:w="840" w:type="dxa"/>
            <w:vAlign w:val="bottom"/>
            <w:gridSpan w:val="2"/>
          </w:tcPr>
          <w:p>
            <w:pPr>
              <w:jc w:val="right"/>
              <w:ind w:right="68"/>
              <w:spacing w:after="0"/>
              <w:rPr>
                <w:sz w:val="20"/>
                <w:szCs w:val="20"/>
                <w:color w:val="auto"/>
              </w:rPr>
            </w:pPr>
            <w:r>
              <w:rPr>
                <w:rFonts w:ascii="Arial" w:cs="Arial" w:eastAsia="Arial" w:hAnsi="Arial"/>
                <w:sz w:val="18"/>
                <w:szCs w:val="18"/>
                <w:color w:val="auto"/>
              </w:rPr>
              <w:t>15,112</w:t>
            </w:r>
          </w:p>
        </w:tc>
        <w:tc>
          <w:tcPr>
            <w:tcW w:w="860" w:type="dxa"/>
            <w:vAlign w:val="bottom"/>
            <w:gridSpan w:val="2"/>
          </w:tcPr>
          <w:p>
            <w:pPr>
              <w:jc w:val="right"/>
              <w:ind w:right="20"/>
              <w:spacing w:after="0"/>
              <w:rPr>
                <w:sz w:val="20"/>
                <w:szCs w:val="20"/>
                <w:color w:val="auto"/>
              </w:rPr>
            </w:pPr>
            <w:r>
              <w:rPr>
                <w:rFonts w:ascii="Arial" w:cs="Arial" w:eastAsia="Arial" w:hAnsi="Arial"/>
                <w:sz w:val="18"/>
                <w:szCs w:val="18"/>
                <w:color w:val="auto"/>
              </w:rPr>
              <w:t>3.6 %</w:t>
            </w:r>
          </w:p>
        </w:tc>
      </w:tr>
    </w:tbl>
    <w:p>
      <w:pPr>
        <w:spacing w:after="0" w:line="187" w:lineRule="exact"/>
        <w:rPr>
          <w:sz w:val="20"/>
          <w:szCs w:val="20"/>
          <w:color w:val="auto"/>
        </w:rPr>
      </w:pPr>
    </w:p>
    <w:p>
      <w:pPr>
        <w:ind w:left="1040"/>
        <w:spacing w:after="0"/>
        <w:rPr>
          <w:sz w:val="20"/>
          <w:szCs w:val="20"/>
          <w:color w:val="auto"/>
        </w:rPr>
      </w:pPr>
      <w:r>
        <w:rPr>
          <w:rFonts w:ascii="Arial" w:cs="Arial" w:eastAsia="Arial" w:hAnsi="Arial"/>
          <w:sz w:val="18"/>
          <w:szCs w:val="18"/>
          <w:color w:val="auto"/>
        </w:rPr>
        <w:t>Segment operating income by reportable segment is summarized as follows:</w:t>
      </w:r>
    </w:p>
    <w:p>
      <w:pPr>
        <w:spacing w:after="0" w:line="244" w:lineRule="exact"/>
        <w:rPr>
          <w:sz w:val="20"/>
          <w:szCs w:val="20"/>
          <w:color w:val="auto"/>
        </w:rPr>
      </w:pPr>
    </w:p>
    <w:tbl>
      <w:tblPr>
        <w:tblLayout w:type="fixed"/>
        <w:tblInd w:w="380" w:type="dxa"/>
        <w:tblCellMar>
          <w:top w:w="0" w:type="dxa"/>
          <w:left w:w="0" w:type="dxa"/>
          <w:bottom w:w="0" w:type="dxa"/>
          <w:right w:w="0" w:type="dxa"/>
        </w:tblCellMar>
      </w:tblPr>
      <w:tr>
        <w:trPr>
          <w:trHeight w:val="162"/>
        </w:trPr>
        <w:tc>
          <w:tcPr>
            <w:tcW w:w="208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740" w:type="dxa"/>
            <w:vAlign w:val="bottom"/>
            <w:gridSpan w:val="2"/>
          </w:tcPr>
          <w:p>
            <w:pPr>
              <w:jc w:val="right"/>
              <w:ind w:right="436"/>
              <w:spacing w:after="0"/>
              <w:rPr>
                <w:sz w:val="20"/>
                <w:szCs w:val="20"/>
                <w:color w:val="auto"/>
              </w:rPr>
            </w:pPr>
            <w:r>
              <w:rPr>
                <w:rFonts w:ascii="Arial" w:cs="Arial" w:eastAsia="Arial" w:hAnsi="Arial"/>
                <w:sz w:val="14"/>
                <w:szCs w:val="14"/>
                <w:b w:val="1"/>
                <w:bCs w:val="1"/>
                <w:color w:val="auto"/>
              </w:rPr>
              <w:t>Year ended</w:t>
            </w:r>
          </w:p>
        </w:tc>
        <w:tc>
          <w:tcPr>
            <w:tcW w:w="16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80" w:type="dxa"/>
            <w:vAlign w:val="bottom"/>
          </w:tcPr>
          <w:p>
            <w:pPr>
              <w:spacing w:after="0"/>
              <w:rPr>
                <w:sz w:val="14"/>
                <w:szCs w:val="14"/>
                <w:color w:val="auto"/>
              </w:rPr>
            </w:pPr>
          </w:p>
        </w:tc>
      </w:tr>
      <w:tr>
        <w:trPr>
          <w:trHeight w:val="171"/>
        </w:trPr>
        <w:tc>
          <w:tcPr>
            <w:tcW w:w="208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740" w:type="dxa"/>
            <w:vAlign w:val="bottom"/>
            <w:gridSpan w:val="2"/>
          </w:tcPr>
          <w:p>
            <w:pPr>
              <w:jc w:val="right"/>
              <w:ind w:right="376"/>
              <w:spacing w:after="0"/>
              <w:rPr>
                <w:sz w:val="20"/>
                <w:szCs w:val="20"/>
                <w:color w:val="auto"/>
              </w:rPr>
            </w:pPr>
            <w:r>
              <w:rPr>
                <w:rFonts w:ascii="Arial" w:cs="Arial" w:eastAsia="Arial" w:hAnsi="Arial"/>
                <w:sz w:val="14"/>
                <w:szCs w:val="14"/>
                <w:b w:val="1"/>
                <w:bCs w:val="1"/>
                <w:color w:val="auto"/>
              </w:rPr>
              <w:t>December 31,</w:t>
            </w:r>
          </w:p>
        </w:tc>
        <w:tc>
          <w:tcPr>
            <w:tcW w:w="160" w:type="dxa"/>
            <w:vAlign w:val="bottom"/>
          </w:tcPr>
          <w:p>
            <w:pPr>
              <w:spacing w:after="0"/>
              <w:rPr>
                <w:sz w:val="14"/>
                <w:szCs w:val="14"/>
                <w:color w:val="auto"/>
              </w:rPr>
            </w:pPr>
          </w:p>
        </w:tc>
        <w:tc>
          <w:tcPr>
            <w:tcW w:w="1980" w:type="dxa"/>
            <w:vAlign w:val="bottom"/>
            <w:gridSpan w:val="3"/>
          </w:tcPr>
          <w:p>
            <w:pPr>
              <w:jc w:val="right"/>
              <w:ind w:right="480"/>
              <w:spacing w:after="0"/>
              <w:rPr>
                <w:sz w:val="20"/>
                <w:szCs w:val="20"/>
                <w:color w:val="auto"/>
              </w:rPr>
            </w:pPr>
            <w:r>
              <w:rPr>
                <w:rFonts w:ascii="Arial" w:cs="Arial" w:eastAsia="Arial" w:hAnsi="Arial"/>
                <w:sz w:val="14"/>
                <w:szCs w:val="14"/>
                <w:b w:val="1"/>
                <w:bCs w:val="1"/>
                <w:color w:val="auto"/>
              </w:rPr>
              <w:t>Increase/(Decrease)</w:t>
            </w:r>
          </w:p>
        </w:tc>
      </w:tr>
      <w:tr>
        <w:trPr>
          <w:trHeight w:val="142"/>
        </w:trPr>
        <w:tc>
          <w:tcPr>
            <w:tcW w:w="208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840" w:type="dxa"/>
            <w:vAlign w:val="bottom"/>
            <w:tcBorders>
              <w:top w:val="single" w:sz="8" w:color="auto"/>
              <w:bottom w:val="single" w:sz="8" w:color="auto"/>
            </w:tcBorders>
          </w:tcPr>
          <w:p>
            <w:pPr>
              <w:jc w:val="right"/>
              <w:ind w:right="228"/>
              <w:spacing w:after="0" w:line="142" w:lineRule="exact"/>
              <w:rPr>
                <w:sz w:val="20"/>
                <w:szCs w:val="20"/>
                <w:color w:val="auto"/>
              </w:rPr>
            </w:pPr>
            <w:r>
              <w:rPr>
                <w:rFonts w:ascii="Arial" w:cs="Arial" w:eastAsia="Arial" w:hAnsi="Arial"/>
                <w:sz w:val="14"/>
                <w:szCs w:val="14"/>
                <w:b w:val="1"/>
                <w:bCs w:val="1"/>
                <w:color w:val="auto"/>
              </w:rPr>
              <w:t>2016</w:t>
            </w:r>
          </w:p>
        </w:tc>
        <w:tc>
          <w:tcPr>
            <w:tcW w:w="900" w:type="dxa"/>
            <w:vAlign w:val="bottom"/>
            <w:tcBorders>
              <w:top w:val="single" w:sz="8" w:color="auto"/>
              <w:bottom w:val="single" w:sz="8" w:color="auto"/>
            </w:tcBorders>
          </w:tcPr>
          <w:p>
            <w:pPr>
              <w:jc w:val="right"/>
              <w:ind w:right="176"/>
              <w:spacing w:after="0" w:line="142" w:lineRule="exact"/>
              <w:rPr>
                <w:sz w:val="20"/>
                <w:szCs w:val="20"/>
                <w:color w:val="auto"/>
              </w:rPr>
            </w:pPr>
            <w:r>
              <w:rPr>
                <w:rFonts w:ascii="Arial" w:cs="Arial" w:eastAsia="Arial" w:hAnsi="Arial"/>
                <w:sz w:val="14"/>
                <w:szCs w:val="14"/>
                <w:b w:val="1"/>
                <w:bCs w:val="1"/>
                <w:color w:val="auto"/>
              </w:rPr>
              <w:t>2015</w:t>
            </w:r>
          </w:p>
        </w:tc>
        <w:tc>
          <w:tcPr>
            <w:tcW w:w="160" w:type="dxa"/>
            <w:vAlign w:val="bottom"/>
            <w:tcBorders>
              <w:bottom w:val="single" w:sz="8" w:color="auto"/>
            </w:tcBorders>
          </w:tcPr>
          <w:p>
            <w:pPr>
              <w:spacing w:after="0"/>
              <w:rPr>
                <w:sz w:val="12"/>
                <w:szCs w:val="12"/>
                <w:color w:val="auto"/>
              </w:rPr>
            </w:pPr>
          </w:p>
        </w:tc>
        <w:tc>
          <w:tcPr>
            <w:tcW w:w="1000" w:type="dxa"/>
            <w:vAlign w:val="bottom"/>
            <w:tcBorders>
              <w:top w:val="single" w:sz="8" w:color="auto"/>
              <w:bottom w:val="single" w:sz="8" w:color="auto"/>
            </w:tcBorders>
          </w:tcPr>
          <w:p>
            <w:pPr>
              <w:jc w:val="right"/>
              <w:ind w:right="208"/>
              <w:spacing w:after="0" w:line="142" w:lineRule="exact"/>
              <w:rPr>
                <w:sz w:val="20"/>
                <w:szCs w:val="20"/>
                <w:color w:val="auto"/>
              </w:rPr>
            </w:pPr>
            <w:r>
              <w:rPr>
                <w:rFonts w:ascii="Arial" w:cs="Arial" w:eastAsia="Arial" w:hAnsi="Arial"/>
                <w:sz w:val="14"/>
                <w:szCs w:val="14"/>
                <w:b w:val="1"/>
                <w:bCs w:val="1"/>
                <w:color w:val="auto"/>
              </w:rPr>
              <w:t>$ change</w:t>
            </w:r>
          </w:p>
        </w:tc>
        <w:tc>
          <w:tcPr>
            <w:tcW w:w="8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 change</w:t>
            </w:r>
          </w:p>
        </w:tc>
        <w:tc>
          <w:tcPr>
            <w:tcW w:w="180" w:type="dxa"/>
            <w:vAlign w:val="bottom"/>
          </w:tcPr>
          <w:p>
            <w:pPr>
              <w:spacing w:after="0"/>
              <w:rPr>
                <w:sz w:val="12"/>
                <w:szCs w:val="12"/>
                <w:color w:val="auto"/>
              </w:rPr>
            </w:pPr>
          </w:p>
        </w:tc>
      </w:tr>
      <w:tr>
        <w:trPr>
          <w:trHeight w:val="142"/>
        </w:trPr>
        <w:tc>
          <w:tcPr>
            <w:tcW w:w="208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060" w:type="dxa"/>
            <w:vAlign w:val="bottom"/>
            <w:gridSpan w:val="3"/>
          </w:tcPr>
          <w:p>
            <w:pPr>
              <w:jc w:val="right"/>
              <w:ind w:right="548"/>
              <w:spacing w:after="0" w:line="142" w:lineRule="exact"/>
              <w:rPr>
                <w:sz w:val="20"/>
                <w:szCs w:val="20"/>
                <w:color w:val="auto"/>
              </w:rPr>
            </w:pPr>
            <w:r>
              <w:rPr>
                <w:rFonts w:ascii="Arial" w:cs="Arial" w:eastAsia="Arial" w:hAnsi="Arial"/>
                <w:sz w:val="14"/>
                <w:szCs w:val="14"/>
                <w:b w:val="1"/>
                <w:bCs w:val="1"/>
                <w:color w:val="auto"/>
              </w:rPr>
              <w:t>(in thousands)</w:t>
            </w:r>
          </w:p>
        </w:tc>
        <w:tc>
          <w:tcPr>
            <w:tcW w:w="800" w:type="dxa"/>
            <w:vAlign w:val="bottom"/>
          </w:tcPr>
          <w:p>
            <w:pPr>
              <w:spacing w:after="0"/>
              <w:rPr>
                <w:sz w:val="12"/>
                <w:szCs w:val="12"/>
                <w:color w:val="auto"/>
              </w:rPr>
            </w:pPr>
          </w:p>
        </w:tc>
        <w:tc>
          <w:tcPr>
            <w:tcW w:w="180" w:type="dxa"/>
            <w:vAlign w:val="bottom"/>
          </w:tcPr>
          <w:p>
            <w:pPr>
              <w:spacing w:after="0"/>
              <w:rPr>
                <w:sz w:val="12"/>
                <w:szCs w:val="12"/>
                <w:color w:val="auto"/>
              </w:rPr>
            </w:pPr>
          </w:p>
        </w:tc>
      </w:tr>
      <w:tr>
        <w:trPr>
          <w:trHeight w:val="216"/>
        </w:trPr>
        <w:tc>
          <w:tcPr>
            <w:tcW w:w="33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Segment operating income(1)</w:t>
            </w:r>
          </w:p>
        </w:tc>
        <w:tc>
          <w:tcPr>
            <w:tcW w:w="106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r>
      <w:tr>
        <w:trPr>
          <w:trHeight w:val="216"/>
        </w:trPr>
        <w:tc>
          <w:tcPr>
            <w:tcW w:w="3320" w:type="dxa"/>
            <w:vAlign w:val="bottom"/>
            <w:gridSpan w:val="2"/>
          </w:tcPr>
          <w:p>
            <w:pPr>
              <w:spacing w:after="0"/>
              <w:rPr>
                <w:sz w:val="20"/>
                <w:szCs w:val="20"/>
                <w:color w:val="auto"/>
              </w:rPr>
            </w:pPr>
            <w:r>
              <w:rPr>
                <w:rFonts w:ascii="Arial" w:cs="Arial" w:eastAsia="Arial" w:hAnsi="Arial"/>
                <w:sz w:val="18"/>
                <w:szCs w:val="18"/>
                <w:color w:val="auto"/>
              </w:rPr>
              <w:t>Titleist golf balls</w:t>
            </w:r>
          </w:p>
        </w:tc>
        <w:tc>
          <w:tcPr>
            <w:tcW w:w="1900" w:type="dxa"/>
            <w:vAlign w:val="bottom"/>
            <w:gridSpan w:val="2"/>
          </w:tcPr>
          <w:p>
            <w:pPr>
              <w:jc w:val="right"/>
              <w:ind w:right="48"/>
              <w:spacing w:after="0"/>
              <w:rPr>
                <w:sz w:val="20"/>
                <w:szCs w:val="20"/>
                <w:color w:val="auto"/>
              </w:rPr>
            </w:pPr>
            <w:r>
              <w:rPr>
                <w:rFonts w:ascii="Arial" w:cs="Arial" w:eastAsia="Arial" w:hAnsi="Arial"/>
                <w:sz w:val="18"/>
                <w:szCs w:val="18"/>
                <w:color w:val="auto"/>
              </w:rPr>
              <w:t>$  76,236</w:t>
            </w:r>
          </w:p>
        </w:tc>
        <w:tc>
          <w:tcPr>
            <w:tcW w:w="900" w:type="dxa"/>
            <w:vAlign w:val="bottom"/>
          </w:tcPr>
          <w:p>
            <w:pPr>
              <w:jc w:val="right"/>
              <w:spacing w:after="0"/>
              <w:rPr>
                <w:sz w:val="20"/>
                <w:szCs w:val="20"/>
                <w:color w:val="auto"/>
              </w:rPr>
            </w:pPr>
            <w:r>
              <w:rPr>
                <w:rFonts w:ascii="Arial" w:cs="Arial" w:eastAsia="Arial" w:hAnsi="Arial"/>
                <w:sz w:val="18"/>
                <w:szCs w:val="18"/>
                <w:color w:val="auto"/>
              </w:rPr>
              <w:t>$  92,507</w:t>
            </w:r>
          </w:p>
        </w:tc>
        <w:tc>
          <w:tcPr>
            <w:tcW w:w="1160" w:type="dxa"/>
            <w:vAlign w:val="bottom"/>
            <w:gridSpan w:val="2"/>
          </w:tcPr>
          <w:p>
            <w:pPr>
              <w:jc w:val="right"/>
              <w:ind w:right="48"/>
              <w:spacing w:after="0"/>
              <w:rPr>
                <w:sz w:val="20"/>
                <w:szCs w:val="20"/>
                <w:color w:val="auto"/>
              </w:rPr>
            </w:pPr>
            <w:r>
              <w:rPr>
                <w:rFonts w:ascii="Arial" w:cs="Arial" w:eastAsia="Arial" w:hAnsi="Arial"/>
                <w:sz w:val="18"/>
                <w:szCs w:val="18"/>
                <w:color w:val="auto"/>
              </w:rPr>
              <w:t>$  (16,271)</w:t>
            </w: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(17.6)%</w:t>
            </w:r>
          </w:p>
        </w:tc>
      </w:tr>
      <w:tr>
        <w:trPr>
          <w:trHeight w:val="216"/>
        </w:trPr>
        <w:tc>
          <w:tcPr>
            <w:tcW w:w="33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Titleist golf clubs</w:t>
            </w:r>
          </w:p>
        </w:tc>
        <w:tc>
          <w:tcPr>
            <w:tcW w:w="1900" w:type="dxa"/>
            <w:vAlign w:val="bottom"/>
            <w:gridSpan w:val="2"/>
            <w:shd w:val="clear" w:color="auto" w:fill="CCEEFF"/>
          </w:tcPr>
          <w:p>
            <w:pPr>
              <w:jc w:val="right"/>
              <w:ind w:right="48"/>
              <w:spacing w:after="0"/>
              <w:rPr>
                <w:sz w:val="20"/>
                <w:szCs w:val="20"/>
                <w:color w:val="auto"/>
              </w:rPr>
            </w:pPr>
            <w:r>
              <w:rPr>
                <w:rFonts w:ascii="Arial" w:cs="Arial" w:eastAsia="Arial" w:hAnsi="Arial"/>
                <w:sz w:val="18"/>
                <w:szCs w:val="18"/>
                <w:color w:val="auto"/>
              </w:rPr>
              <w:t>50,500</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33,593</w:t>
            </w:r>
          </w:p>
        </w:tc>
        <w:tc>
          <w:tcPr>
            <w:tcW w:w="1160" w:type="dxa"/>
            <w:vAlign w:val="bottom"/>
            <w:gridSpan w:val="2"/>
            <w:shd w:val="clear" w:color="auto" w:fill="CCEEFF"/>
          </w:tcPr>
          <w:p>
            <w:pPr>
              <w:jc w:val="right"/>
              <w:ind w:right="108"/>
              <w:spacing w:after="0"/>
              <w:rPr>
                <w:sz w:val="20"/>
                <w:szCs w:val="20"/>
                <w:color w:val="auto"/>
              </w:rPr>
            </w:pPr>
            <w:r>
              <w:rPr>
                <w:rFonts w:ascii="Arial" w:cs="Arial" w:eastAsia="Arial" w:hAnsi="Arial"/>
                <w:sz w:val="18"/>
                <w:szCs w:val="18"/>
                <w:color w:val="auto"/>
              </w:rPr>
              <w:t>16,907</w:t>
            </w:r>
          </w:p>
        </w:tc>
        <w:tc>
          <w:tcPr>
            <w:tcW w:w="9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50.3 %</w:t>
            </w:r>
          </w:p>
        </w:tc>
      </w:tr>
      <w:tr>
        <w:trPr>
          <w:trHeight w:val="216"/>
        </w:trPr>
        <w:tc>
          <w:tcPr>
            <w:tcW w:w="3320" w:type="dxa"/>
            <w:vAlign w:val="bottom"/>
            <w:gridSpan w:val="2"/>
          </w:tcPr>
          <w:p>
            <w:pPr>
              <w:spacing w:after="0"/>
              <w:rPr>
                <w:sz w:val="20"/>
                <w:szCs w:val="20"/>
                <w:color w:val="auto"/>
              </w:rPr>
            </w:pPr>
            <w:r>
              <w:rPr>
                <w:rFonts w:ascii="Arial" w:cs="Arial" w:eastAsia="Arial" w:hAnsi="Arial"/>
                <w:sz w:val="18"/>
                <w:szCs w:val="18"/>
                <w:color w:val="auto"/>
              </w:rPr>
              <w:t>Titleist golf gear</w:t>
            </w:r>
          </w:p>
        </w:tc>
        <w:tc>
          <w:tcPr>
            <w:tcW w:w="1900" w:type="dxa"/>
            <w:vAlign w:val="bottom"/>
            <w:gridSpan w:val="2"/>
          </w:tcPr>
          <w:p>
            <w:pPr>
              <w:jc w:val="right"/>
              <w:ind w:right="48"/>
              <w:spacing w:after="0"/>
              <w:rPr>
                <w:sz w:val="20"/>
                <w:szCs w:val="20"/>
                <w:color w:val="auto"/>
              </w:rPr>
            </w:pPr>
            <w:r>
              <w:rPr>
                <w:rFonts w:ascii="Arial" w:cs="Arial" w:eastAsia="Arial" w:hAnsi="Arial"/>
                <w:sz w:val="18"/>
                <w:szCs w:val="18"/>
                <w:color w:val="auto"/>
              </w:rPr>
              <w:t>12,119</w:t>
            </w:r>
          </w:p>
        </w:tc>
        <w:tc>
          <w:tcPr>
            <w:tcW w:w="900" w:type="dxa"/>
            <w:vAlign w:val="bottom"/>
          </w:tcPr>
          <w:p>
            <w:pPr>
              <w:jc w:val="right"/>
              <w:spacing w:after="0"/>
              <w:rPr>
                <w:sz w:val="20"/>
                <w:szCs w:val="20"/>
                <w:color w:val="auto"/>
              </w:rPr>
            </w:pPr>
            <w:r>
              <w:rPr>
                <w:rFonts w:ascii="Arial" w:cs="Arial" w:eastAsia="Arial" w:hAnsi="Arial"/>
                <w:sz w:val="18"/>
                <w:szCs w:val="18"/>
                <w:color w:val="auto"/>
              </w:rPr>
              <w:t>12,170</w:t>
            </w:r>
          </w:p>
        </w:tc>
        <w:tc>
          <w:tcPr>
            <w:tcW w:w="1160" w:type="dxa"/>
            <w:vAlign w:val="bottom"/>
            <w:gridSpan w:val="2"/>
          </w:tcPr>
          <w:p>
            <w:pPr>
              <w:jc w:val="right"/>
              <w:ind w:right="48"/>
              <w:spacing w:after="0"/>
              <w:rPr>
                <w:sz w:val="20"/>
                <w:szCs w:val="20"/>
                <w:color w:val="auto"/>
              </w:rPr>
            </w:pPr>
            <w:r>
              <w:rPr>
                <w:rFonts w:ascii="Arial" w:cs="Arial" w:eastAsia="Arial" w:hAnsi="Arial"/>
                <w:sz w:val="18"/>
                <w:szCs w:val="18"/>
                <w:color w:val="auto"/>
              </w:rPr>
              <w:t>(51)</w:t>
            </w: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(0.4)%</w:t>
            </w:r>
          </w:p>
        </w:tc>
      </w:tr>
      <w:tr>
        <w:trPr>
          <w:trHeight w:val="216"/>
        </w:trPr>
        <w:tc>
          <w:tcPr>
            <w:tcW w:w="33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FootJoy golf wear</w:t>
            </w:r>
          </w:p>
        </w:tc>
        <w:tc>
          <w:tcPr>
            <w:tcW w:w="1900" w:type="dxa"/>
            <w:vAlign w:val="bottom"/>
            <w:gridSpan w:val="2"/>
            <w:shd w:val="clear" w:color="auto" w:fill="CCEEFF"/>
          </w:tcPr>
          <w:p>
            <w:pPr>
              <w:jc w:val="right"/>
              <w:ind w:right="48"/>
              <w:spacing w:after="0"/>
              <w:rPr>
                <w:sz w:val="20"/>
                <w:szCs w:val="20"/>
                <w:color w:val="auto"/>
              </w:rPr>
            </w:pPr>
            <w:r>
              <w:rPr>
                <w:rFonts w:ascii="Arial" w:cs="Arial" w:eastAsia="Arial" w:hAnsi="Arial"/>
                <w:sz w:val="18"/>
                <w:szCs w:val="18"/>
                <w:color w:val="auto"/>
              </w:rPr>
              <w:t>18,979</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26,056</w:t>
            </w:r>
          </w:p>
        </w:tc>
        <w:tc>
          <w:tcPr>
            <w:tcW w:w="1160" w:type="dxa"/>
            <w:vAlign w:val="bottom"/>
            <w:gridSpan w:val="2"/>
            <w:shd w:val="clear" w:color="auto" w:fill="CCEEFF"/>
          </w:tcPr>
          <w:p>
            <w:pPr>
              <w:jc w:val="right"/>
              <w:ind w:right="48"/>
              <w:spacing w:after="0"/>
              <w:rPr>
                <w:sz w:val="20"/>
                <w:szCs w:val="20"/>
                <w:color w:val="auto"/>
              </w:rPr>
            </w:pPr>
            <w:r>
              <w:rPr>
                <w:rFonts w:ascii="Arial" w:cs="Arial" w:eastAsia="Arial" w:hAnsi="Arial"/>
                <w:sz w:val="18"/>
                <w:szCs w:val="18"/>
                <w:color w:val="auto"/>
              </w:rPr>
              <w:t>(7,077)</w:t>
            </w:r>
          </w:p>
        </w:tc>
        <w:tc>
          <w:tcPr>
            <w:tcW w:w="9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(27.2)%</w:t>
            </w:r>
          </w:p>
        </w:tc>
      </w:tr>
      <w:tr>
        <w:trPr>
          <w:trHeight w:val="108"/>
        </w:trPr>
        <w:tc>
          <w:tcPr>
            <w:tcW w:w="2080" w:type="dxa"/>
            <w:vAlign w:val="bottom"/>
            <w:tcBorders>
              <w:bottom w:val="single" w:sz="8" w:color="auto"/>
            </w:tcBorders>
          </w:tcPr>
          <w:p>
            <w:pPr>
              <w:spacing w:after="0"/>
              <w:rPr>
                <w:sz w:val="9"/>
                <w:szCs w:val="9"/>
                <w:color w:val="auto"/>
              </w:rPr>
            </w:pPr>
          </w:p>
        </w:tc>
        <w:tc>
          <w:tcPr>
            <w:tcW w:w="1240" w:type="dxa"/>
            <w:vAlign w:val="bottom"/>
          </w:tcPr>
          <w:p>
            <w:pPr>
              <w:spacing w:after="0"/>
              <w:rPr>
                <w:sz w:val="9"/>
                <w:szCs w:val="9"/>
                <w:color w:val="auto"/>
              </w:rPr>
            </w:pPr>
          </w:p>
        </w:tc>
        <w:tc>
          <w:tcPr>
            <w:tcW w:w="1060" w:type="dxa"/>
            <w:vAlign w:val="bottom"/>
          </w:tcPr>
          <w:p>
            <w:pPr>
              <w:spacing w:after="0"/>
              <w:rPr>
                <w:sz w:val="9"/>
                <w:szCs w:val="9"/>
                <w:color w:val="auto"/>
              </w:rPr>
            </w:pPr>
          </w:p>
        </w:tc>
        <w:tc>
          <w:tcPr>
            <w:tcW w:w="840" w:type="dxa"/>
            <w:vAlign w:val="bottom"/>
          </w:tcPr>
          <w:p>
            <w:pPr>
              <w:spacing w:after="0"/>
              <w:rPr>
                <w:sz w:val="9"/>
                <w:szCs w:val="9"/>
                <w:color w:val="auto"/>
              </w:rPr>
            </w:pPr>
          </w:p>
        </w:tc>
        <w:tc>
          <w:tcPr>
            <w:tcW w:w="90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0" w:type="dxa"/>
            <w:vAlign w:val="bottom"/>
          </w:tcPr>
          <w:p>
            <w:pPr>
              <w:spacing w:after="0"/>
              <w:rPr>
                <w:sz w:val="9"/>
                <w:szCs w:val="9"/>
                <w:color w:val="auto"/>
              </w:rPr>
            </w:pPr>
          </w:p>
        </w:tc>
        <w:tc>
          <w:tcPr>
            <w:tcW w:w="800" w:type="dxa"/>
            <w:vAlign w:val="bottom"/>
          </w:tcPr>
          <w:p>
            <w:pPr>
              <w:spacing w:after="0"/>
              <w:rPr>
                <w:sz w:val="9"/>
                <w:szCs w:val="9"/>
                <w:color w:val="auto"/>
              </w:rPr>
            </w:pPr>
          </w:p>
        </w:tc>
        <w:tc>
          <w:tcPr>
            <w:tcW w:w="180" w:type="dxa"/>
            <w:vAlign w:val="bottom"/>
          </w:tcPr>
          <w:p>
            <w:pPr>
              <w:spacing w:after="0"/>
              <w:rPr>
                <w:sz w:val="9"/>
                <w:szCs w:val="9"/>
                <w:color w:val="auto"/>
              </w:rPr>
            </w:pPr>
          </w:p>
        </w:tc>
      </w:tr>
    </w:tbl>
    <w:p>
      <w:pPr>
        <w:spacing w:after="0" w:line="94" w:lineRule="exact"/>
        <w:rPr>
          <w:sz w:val="20"/>
          <w:szCs w:val="20"/>
          <w:color w:val="auto"/>
        </w:rPr>
      </w:pPr>
    </w:p>
    <w:p>
      <w:pPr>
        <w:ind w:left="700" w:right="539" w:hanging="318"/>
        <w:spacing w:after="0" w:line="342" w:lineRule="auto"/>
        <w:tabs>
          <w:tab w:leader="none" w:pos="700" w:val="left"/>
        </w:tabs>
        <w:numPr>
          <w:ilvl w:val="0"/>
          <w:numId w:val="25"/>
        </w:numPr>
        <w:rPr>
          <w:rFonts w:ascii="Arial" w:cs="Arial" w:eastAsia="Arial" w:hAnsi="Arial"/>
          <w:sz w:val="16"/>
          <w:szCs w:val="16"/>
          <w:color w:val="auto"/>
        </w:rPr>
      </w:pPr>
      <w:r>
        <w:rPr>
          <w:rFonts w:ascii="Arial" w:cs="Arial" w:eastAsia="Arial" w:hAnsi="Arial"/>
          <w:sz w:val="16"/>
          <w:szCs w:val="16"/>
          <w:color w:val="auto"/>
        </w:rPr>
        <w:t>Expenses relating to the EAR Plan, transaction fees and restructuring charges and other non-operating gains and losses, to the extent incurred in the applicable period, are not reflected in segment operating income.</w:t>
      </w:r>
    </w:p>
    <w:p>
      <w:pPr>
        <w:spacing w:after="0" w:line="124" w:lineRule="exact"/>
        <w:rPr>
          <w:sz w:val="20"/>
          <w:szCs w:val="20"/>
          <w:color w:val="auto"/>
        </w:rPr>
      </w:pPr>
    </w:p>
    <w:p>
      <w:pPr>
        <w:ind w:left="380" w:right="479" w:firstLine="648"/>
        <w:spacing w:after="0" w:line="277" w:lineRule="auto"/>
        <w:rPr>
          <w:sz w:val="20"/>
          <w:szCs w:val="20"/>
          <w:color w:val="auto"/>
        </w:rPr>
      </w:pPr>
      <w:r>
        <w:rPr>
          <w:rFonts w:ascii="Arial" w:cs="Arial" w:eastAsia="Arial" w:hAnsi="Arial"/>
          <w:sz w:val="18"/>
          <w:szCs w:val="18"/>
          <w:color w:val="auto"/>
        </w:rPr>
        <w:t>More information on our net sales by reportable segment and segment operating income can be found in “Notes to Consolidated Financial Statements – Note 20—Segment Information.”</w:t>
      </w:r>
    </w:p>
    <w:p>
      <w:pPr>
        <w:spacing w:after="0" w:line="166" w:lineRule="exact"/>
        <w:rPr>
          <w:sz w:val="20"/>
          <w:szCs w:val="20"/>
          <w:color w:val="auto"/>
        </w:rPr>
      </w:pPr>
    </w:p>
    <w:p>
      <w:pPr>
        <w:ind w:left="1040"/>
        <w:spacing w:after="0"/>
        <w:rPr>
          <w:sz w:val="20"/>
          <w:szCs w:val="20"/>
          <w:color w:val="auto"/>
        </w:rPr>
      </w:pPr>
      <w:r>
        <w:rPr>
          <w:rFonts w:ascii="Arial" w:cs="Arial" w:eastAsia="Arial" w:hAnsi="Arial"/>
          <w:sz w:val="18"/>
          <w:szCs w:val="18"/>
          <w:b w:val="1"/>
          <w:bCs w:val="1"/>
          <w:color w:val="auto"/>
        </w:rPr>
        <w:t>Titleist Golf Balls Segment</w:t>
      </w:r>
    </w:p>
    <w:p>
      <w:pPr>
        <w:spacing w:after="0" w:line="229" w:lineRule="exact"/>
        <w:rPr>
          <w:sz w:val="20"/>
          <w:szCs w:val="20"/>
          <w:color w:val="auto"/>
        </w:rPr>
      </w:pPr>
    </w:p>
    <w:p>
      <w:pPr>
        <w:ind w:left="380" w:right="699" w:firstLine="648"/>
        <w:spacing w:after="0" w:line="288" w:lineRule="auto"/>
        <w:rPr>
          <w:sz w:val="20"/>
          <w:szCs w:val="20"/>
          <w:color w:val="auto"/>
        </w:rPr>
      </w:pPr>
      <w:r>
        <w:rPr>
          <w:rFonts w:ascii="Arial" w:cs="Arial" w:eastAsia="Arial" w:hAnsi="Arial"/>
          <w:sz w:val="16"/>
          <w:szCs w:val="16"/>
          <w:color w:val="auto"/>
        </w:rPr>
        <w:t>Net sales in our Titleist golf balls segment decreased by $21.6 million, or 4.0%, to $513.9 million for the year ended December 31, 2016 compared to $535.5 million for the year ended December 31, 2015. On a constant currency basis, net sales in our Titleist golf balls segment would have decreased by $20.0 million, or</w:t>
      </w:r>
    </w:p>
    <w:p>
      <w:pPr>
        <w:ind w:left="380" w:right="479"/>
        <w:spacing w:after="0" w:line="270" w:lineRule="auto"/>
        <w:rPr>
          <w:sz w:val="20"/>
          <w:szCs w:val="20"/>
          <w:color w:val="auto"/>
        </w:rPr>
      </w:pPr>
      <w:r>
        <w:rPr>
          <w:rFonts w:ascii="Arial" w:cs="Arial" w:eastAsia="Arial" w:hAnsi="Arial"/>
          <w:sz w:val="17"/>
          <w:szCs w:val="17"/>
          <w:color w:val="auto"/>
        </w:rPr>
        <w:t>3.7%, to $515.5 million. This was driven by the U.S. retail channel disruption caused by the bankruptcy of The Sports Authority, Inc. and the reorganization efforts and ultimate bankruptcy of Golfsmith International Holdings LP which contributed to a sales volume decline of our 2015 model Pro V1 and Pro V1x golf balls, which were in their second model year, as well as a sales volume decline in our Pinnacle models. The decrease was offset slightly by a sales volume increase of our newly introduced performance golf ball models, which performance golf ball models have a lower average selling price than our Pro V1 franchise.</w:t>
      </w:r>
    </w:p>
    <w:p>
      <w:pPr>
        <w:spacing w:after="0" w:line="179" w:lineRule="exact"/>
        <w:rPr>
          <w:sz w:val="20"/>
          <w:szCs w:val="20"/>
          <w:color w:val="auto"/>
        </w:rPr>
      </w:pPr>
    </w:p>
    <w:p>
      <w:pPr>
        <w:ind w:left="380" w:right="579" w:firstLine="648"/>
        <w:spacing w:after="0" w:line="289" w:lineRule="auto"/>
        <w:rPr>
          <w:sz w:val="20"/>
          <w:szCs w:val="20"/>
          <w:color w:val="auto"/>
        </w:rPr>
      </w:pPr>
      <w:r>
        <w:rPr>
          <w:rFonts w:ascii="Arial" w:cs="Arial" w:eastAsia="Arial" w:hAnsi="Arial"/>
          <w:sz w:val="16"/>
          <w:szCs w:val="16"/>
          <w:color w:val="auto"/>
        </w:rPr>
        <w:t>Titleist golf balls segment operating income decreased by $16.3 million, or 17.6%, to $76.2 million for the year ended December 31, 2016 compared to $92.5 million for the year ended December 31, 2015, primarily due to a decrease in gross profit of $23.4 million which was partially offset by lower operating expenses. The decrease in gross profit was due to a decline in sales volumes as discussed above, unfavorable manufacturing overhead absorption due to lower golf ball production volume, and lower gains on foreign currency exchange contracts compared to the year ended December 31, 2015. Lower operating expenses were primarily due to decreases of $5.8 million in golf ball marketing, promotion and selling costs, $4.0 million in professional tour costs and $1.6 million in incentive and share based compensation accruals, and were offset in part by a $2.9 million segment allocation of the one-time executive bonus and an increase of $1.2 million bad debt expense.</w:t>
      </w:r>
    </w:p>
    <w:p>
      <w:pPr>
        <w:spacing w:after="0" w:line="163" w:lineRule="exact"/>
        <w:rPr>
          <w:sz w:val="20"/>
          <w:szCs w:val="20"/>
          <w:color w:val="auto"/>
        </w:rPr>
      </w:pPr>
    </w:p>
    <w:p>
      <w:pPr>
        <w:ind w:left="1040"/>
        <w:spacing w:after="0"/>
        <w:rPr>
          <w:sz w:val="20"/>
          <w:szCs w:val="20"/>
          <w:color w:val="auto"/>
        </w:rPr>
      </w:pPr>
      <w:r>
        <w:rPr>
          <w:rFonts w:ascii="Arial" w:cs="Arial" w:eastAsia="Arial" w:hAnsi="Arial"/>
          <w:sz w:val="18"/>
          <w:szCs w:val="18"/>
          <w:b w:val="1"/>
          <w:bCs w:val="1"/>
          <w:color w:val="auto"/>
        </w:rPr>
        <w:t>Titleist Golf Clubs Segment</w:t>
      </w:r>
    </w:p>
    <w:p>
      <w:pPr>
        <w:spacing w:after="0" w:line="229" w:lineRule="exact"/>
        <w:rPr>
          <w:sz w:val="20"/>
          <w:szCs w:val="20"/>
          <w:color w:val="auto"/>
        </w:rPr>
      </w:pPr>
    </w:p>
    <w:p>
      <w:pPr>
        <w:ind w:left="380" w:right="619" w:firstLine="648"/>
        <w:spacing w:after="0" w:line="259" w:lineRule="auto"/>
        <w:rPr>
          <w:sz w:val="20"/>
          <w:szCs w:val="20"/>
          <w:color w:val="auto"/>
        </w:rPr>
      </w:pPr>
      <w:r>
        <w:rPr>
          <w:rFonts w:ascii="Arial" w:cs="Arial" w:eastAsia="Arial" w:hAnsi="Arial"/>
          <w:sz w:val="18"/>
          <w:szCs w:val="18"/>
          <w:color w:val="auto"/>
        </w:rPr>
        <w:t>Net sales in our Titleist golf clubs segment increased by $42.7 million, or 11.0%, to $431.0 million for the year ended December 31, 2016 compared to $388.3 million for the year ended December 31, 2015. On a constant currency basis, net sales in our Titleist golf clubs segment would have increased by $38.1 million, or 9.8%, to $426.4 million. The</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69" w:name="page70"/>
    <w:bookmarkEnd w:id="69"/>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380" w:right="499"/>
        <w:spacing w:after="0" w:line="279" w:lineRule="auto"/>
        <w:rPr>
          <w:sz w:val="20"/>
          <w:szCs w:val="20"/>
          <w:color w:val="auto"/>
        </w:rPr>
      </w:pPr>
      <w:r>
        <w:rPr>
          <w:rFonts w:ascii="Arial" w:cs="Arial" w:eastAsia="Arial" w:hAnsi="Arial"/>
          <w:sz w:val="17"/>
          <w:szCs w:val="17"/>
          <w:color w:val="auto"/>
        </w:rPr>
        <w:t>increase in net sales was primarily due to an increase in average selling prices on wedges, irons and putters and higher sales volumes of our new Vokey Design wedges launched in the first quarter of 2016, our new drivers and fairways launched during 2016, and our new Scotty Cameron Select putters launched in the first quarter of 2016. This increase was partially offset by lower sales volumes of our hybrids.</w:t>
      </w:r>
    </w:p>
    <w:p>
      <w:pPr>
        <w:spacing w:after="0" w:line="171" w:lineRule="exact"/>
        <w:rPr>
          <w:sz w:val="20"/>
          <w:szCs w:val="20"/>
          <w:color w:val="auto"/>
        </w:rPr>
      </w:pPr>
    </w:p>
    <w:p>
      <w:pPr>
        <w:ind w:left="380" w:right="419" w:firstLine="648"/>
        <w:spacing w:after="0" w:line="218" w:lineRule="exact"/>
        <w:rPr>
          <w:sz w:val="20"/>
          <w:szCs w:val="20"/>
          <w:color w:val="auto"/>
        </w:rPr>
      </w:pPr>
      <w:r>
        <w:rPr>
          <w:rFonts w:ascii="Arial" w:cs="Arial" w:eastAsia="Arial" w:hAnsi="Arial"/>
          <w:sz w:val="18"/>
          <w:szCs w:val="18"/>
          <w:color w:val="auto"/>
        </w:rPr>
        <w:t>Titleist golf clubs segment operating income increased by $16.9 million, or 50.3%, to $50.5 million for the year ended December 31, 2016 compared to $33.6 million for the year ended December 31, 2015, primarily due to an increase in gross profit of $23.1 million which was offset in part by higher operating expenses. The increase in gross profit was primarily due to an increase in average selling prices on irons, wedges and putters and the increased sales volumes as discussed above and was partially offset by lower gains on foreign currency exchange contracts compared to the twelve months ended December 31, 2015. Operating expenses increased primarily due to an increase of $5.1 million in marketing, promotional and research and development costs related to our new product launches and a $1.8 million expense related to the segment allocation of the one</w:t>
      </w:r>
      <w:r>
        <w:rPr>
          <w:rFonts w:ascii="MS PGothic" w:cs="MS PGothic" w:eastAsia="MS PGothic" w:hAnsi="MS PGothic"/>
          <w:sz w:val="18"/>
          <w:szCs w:val="18"/>
          <w:color w:val="auto"/>
        </w:rPr>
        <w:t>‑</w:t>
      </w:r>
      <w:r>
        <w:rPr>
          <w:rFonts w:ascii="Arial" w:cs="Arial" w:eastAsia="Arial" w:hAnsi="Arial"/>
          <w:sz w:val="18"/>
          <w:szCs w:val="18"/>
          <w:color w:val="auto"/>
        </w:rPr>
        <w:t>time executive bonus.</w:t>
      </w:r>
    </w:p>
    <w:p>
      <w:pPr>
        <w:spacing w:after="0" w:line="201" w:lineRule="exact"/>
        <w:rPr>
          <w:sz w:val="20"/>
          <w:szCs w:val="20"/>
          <w:color w:val="auto"/>
        </w:rPr>
      </w:pPr>
    </w:p>
    <w:p>
      <w:pPr>
        <w:ind w:left="1040"/>
        <w:spacing w:after="0"/>
        <w:rPr>
          <w:sz w:val="20"/>
          <w:szCs w:val="20"/>
          <w:color w:val="auto"/>
        </w:rPr>
      </w:pPr>
      <w:r>
        <w:rPr>
          <w:rFonts w:ascii="Arial" w:cs="Arial" w:eastAsia="Arial" w:hAnsi="Arial"/>
          <w:sz w:val="18"/>
          <w:szCs w:val="18"/>
          <w:b w:val="1"/>
          <w:bCs w:val="1"/>
          <w:color w:val="auto"/>
        </w:rPr>
        <w:t>Titleist Golf Gear Segment</w:t>
      </w:r>
    </w:p>
    <w:p>
      <w:pPr>
        <w:spacing w:after="0" w:line="229" w:lineRule="exact"/>
        <w:rPr>
          <w:sz w:val="20"/>
          <w:szCs w:val="20"/>
          <w:color w:val="auto"/>
        </w:rPr>
      </w:pPr>
    </w:p>
    <w:p>
      <w:pPr>
        <w:ind w:left="380" w:right="439" w:firstLine="648"/>
        <w:spacing w:after="0" w:line="276" w:lineRule="auto"/>
        <w:rPr>
          <w:sz w:val="20"/>
          <w:szCs w:val="20"/>
          <w:color w:val="auto"/>
        </w:rPr>
      </w:pPr>
      <w:r>
        <w:rPr>
          <w:rFonts w:ascii="Arial" w:cs="Arial" w:eastAsia="Arial" w:hAnsi="Arial"/>
          <w:sz w:val="17"/>
          <w:szCs w:val="17"/>
          <w:color w:val="auto"/>
        </w:rPr>
        <w:t>Net sales in our Titleist golf gear segment increased by $6.8 million, or 5.3%, to $136.2 million for the year ended December 31, 2016 compared to $129.4 million for the year ended December 31, 2015. On a constant currency basis, net sales in our Titleist golf gear segment would have increased by $7.1 million, or 5.5%, to $136.5 million. The constant currency increase was primarily due to sales volume growth in travel gear and both volume growth and increased average selling prices in Titleist gloves.</w:t>
      </w:r>
    </w:p>
    <w:p>
      <w:pPr>
        <w:spacing w:after="0" w:line="173" w:lineRule="exact"/>
        <w:rPr>
          <w:sz w:val="20"/>
          <w:szCs w:val="20"/>
          <w:color w:val="auto"/>
        </w:rPr>
      </w:pPr>
    </w:p>
    <w:p>
      <w:pPr>
        <w:ind w:left="380" w:right="379" w:firstLine="648"/>
        <w:spacing w:after="0" w:line="297" w:lineRule="auto"/>
        <w:rPr>
          <w:sz w:val="20"/>
          <w:szCs w:val="20"/>
          <w:color w:val="auto"/>
        </w:rPr>
      </w:pPr>
      <w:r>
        <w:rPr>
          <w:rFonts w:ascii="Arial" w:cs="Arial" w:eastAsia="Arial" w:hAnsi="Arial"/>
          <w:sz w:val="16"/>
          <w:szCs w:val="16"/>
          <w:color w:val="auto"/>
        </w:rPr>
        <w:t>Titleist golf gear segment operating income declined slightly by $0.1 million, or 0.4%, to $12.1 million for the year ended December 31, 2016 compared to $12.2 million for the year ended December 31, 2015. Gross profit increased by $1.7 million on the increased sales discussed above. Gross margin was unfavorably impacted by lower gains on foreign currency exchange contracts compared to the year ended December 31, 2015. Offsetting the increase in gross profit were higher R&amp;D and selling expenses in support of our golf gear initiatives.</w:t>
      </w:r>
    </w:p>
    <w:p>
      <w:pPr>
        <w:spacing w:after="0" w:line="154" w:lineRule="exact"/>
        <w:rPr>
          <w:sz w:val="20"/>
          <w:szCs w:val="20"/>
          <w:color w:val="auto"/>
        </w:rPr>
      </w:pPr>
    </w:p>
    <w:p>
      <w:pPr>
        <w:ind w:left="1040"/>
        <w:spacing w:after="0"/>
        <w:rPr>
          <w:sz w:val="20"/>
          <w:szCs w:val="20"/>
          <w:color w:val="auto"/>
        </w:rPr>
      </w:pPr>
      <w:r>
        <w:rPr>
          <w:rFonts w:ascii="Arial" w:cs="Arial" w:eastAsia="Arial" w:hAnsi="Arial"/>
          <w:sz w:val="18"/>
          <w:szCs w:val="18"/>
          <w:b w:val="1"/>
          <w:bCs w:val="1"/>
          <w:color w:val="auto"/>
        </w:rPr>
        <w:t>FootJoy Golf Wear Segment</w:t>
      </w:r>
    </w:p>
    <w:p>
      <w:pPr>
        <w:spacing w:after="0" w:line="229" w:lineRule="exact"/>
        <w:rPr>
          <w:sz w:val="20"/>
          <w:szCs w:val="20"/>
          <w:color w:val="auto"/>
        </w:rPr>
      </w:pPr>
    </w:p>
    <w:p>
      <w:pPr>
        <w:ind w:left="380" w:right="659" w:firstLine="648"/>
        <w:spacing w:after="0" w:line="302" w:lineRule="auto"/>
        <w:rPr>
          <w:sz w:val="20"/>
          <w:szCs w:val="20"/>
          <w:color w:val="auto"/>
        </w:rPr>
      </w:pPr>
      <w:r>
        <w:rPr>
          <w:rFonts w:ascii="Arial" w:cs="Arial" w:eastAsia="Arial" w:hAnsi="Arial"/>
          <w:sz w:val="16"/>
          <w:szCs w:val="16"/>
          <w:color w:val="auto"/>
        </w:rPr>
        <w:t>Net sales in our FootJoy golf wear segment increased by $14.2 million, or 3.4%, to $433.1 million for the year ended December 31, 2016 compared to $418.9 million for the year ended December 31, 2015. On a constant currency basis, net sales in our FootJoy golf wear segment would have increased by $15.1 million, or 3.6%, to $434.0 million. This increase was due to sales volume growth in our apparel and glove categories.</w:t>
      </w:r>
    </w:p>
    <w:p>
      <w:pPr>
        <w:spacing w:after="0" w:line="154" w:lineRule="exact"/>
        <w:rPr>
          <w:sz w:val="20"/>
          <w:szCs w:val="20"/>
          <w:color w:val="auto"/>
        </w:rPr>
      </w:pPr>
    </w:p>
    <w:p>
      <w:pPr>
        <w:ind w:left="380" w:right="419" w:firstLine="648"/>
        <w:spacing w:after="0" w:line="218" w:lineRule="exact"/>
        <w:rPr>
          <w:sz w:val="20"/>
          <w:szCs w:val="20"/>
          <w:color w:val="auto"/>
        </w:rPr>
      </w:pPr>
      <w:r>
        <w:rPr>
          <w:rFonts w:ascii="Arial" w:cs="Arial" w:eastAsia="Arial" w:hAnsi="Arial"/>
          <w:sz w:val="16"/>
          <w:szCs w:val="16"/>
          <w:color w:val="auto"/>
        </w:rPr>
        <w:t>FootJoy golf wear segment operating income decreased by $7.1 million, or 27.2 %, to $19.0 million for the year ended December 31, 2016 compared to $26.1 million for the year ended December 31, 2015. Gross profit increased by $1.1 million on the increased sales discussed above. Gross margin was lower primarily due to a decrease in gains on foreign currency exchange contracts compared to the year ended December 31, 2015 and unfavorable manufacturing overhead absorption due to lower footwear production volume. Operating expenses increased primarily due to an increase of $4.3 million in costs related to our FootJoy eCommerce and women’s golf apparel initiatives, a $2.1 million expense related to the segment allocation of the one</w:t>
      </w:r>
      <w:r>
        <w:rPr>
          <w:rFonts w:ascii="MS PGothic" w:cs="MS PGothic" w:eastAsia="MS PGothic" w:hAnsi="MS PGothic"/>
          <w:sz w:val="16"/>
          <w:szCs w:val="16"/>
          <w:color w:val="auto"/>
        </w:rPr>
        <w:t>‑</w:t>
      </w:r>
      <w:r>
        <w:rPr>
          <w:rFonts w:ascii="Arial" w:cs="Arial" w:eastAsia="Arial" w:hAnsi="Arial"/>
          <w:sz w:val="16"/>
          <w:szCs w:val="16"/>
          <w:color w:val="auto"/>
        </w:rPr>
        <w:t>time executive bonus, and an increase of $1.2 million in incentive and share based compensation accruals.</w:t>
      </w:r>
    </w:p>
    <w:p>
      <w:pPr>
        <w:spacing w:after="0" w:line="201"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70" w:name="page71"/>
    <w:bookmarkEnd w:id="70"/>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ind w:left="380"/>
        <w:spacing w:after="0"/>
        <w:rPr>
          <w:sz w:val="20"/>
          <w:szCs w:val="20"/>
          <w:color w:val="auto"/>
        </w:rPr>
      </w:pPr>
      <w:r>
        <w:rPr>
          <w:rFonts w:ascii="Arial" w:cs="Arial" w:eastAsia="Arial" w:hAnsi="Arial"/>
          <w:sz w:val="18"/>
          <w:szCs w:val="18"/>
          <w:b w:val="1"/>
          <w:bCs w:val="1"/>
          <w:color w:val="auto"/>
        </w:rPr>
        <w:t>Liquidity and Capital Resources</w:t>
      </w:r>
    </w:p>
    <w:p>
      <w:pPr>
        <w:spacing w:after="0" w:line="229" w:lineRule="exact"/>
        <w:rPr>
          <w:sz w:val="20"/>
          <w:szCs w:val="20"/>
          <w:color w:val="auto"/>
        </w:rPr>
      </w:pPr>
    </w:p>
    <w:p>
      <w:pPr>
        <w:ind w:left="380" w:right="539" w:firstLine="648"/>
        <w:spacing w:after="0" w:line="286" w:lineRule="auto"/>
        <w:rPr>
          <w:sz w:val="20"/>
          <w:szCs w:val="20"/>
          <w:color w:val="auto"/>
        </w:rPr>
      </w:pPr>
      <w:r>
        <w:rPr>
          <w:rFonts w:ascii="Arial" w:cs="Arial" w:eastAsia="Arial" w:hAnsi="Arial"/>
          <w:sz w:val="17"/>
          <w:szCs w:val="17"/>
          <w:color w:val="auto"/>
        </w:rPr>
        <w:t>Our primary cash needs relate to working capital, capital expenditures, servicing of our debt, paying dividends and pension contributions. We expect to rely on cash flows from operations and borrowings under our revolving credit facility and local credit facilities as our primary sources of liquidity.</w:t>
      </w:r>
    </w:p>
    <w:p>
      <w:pPr>
        <w:spacing w:after="0" w:line="166" w:lineRule="exact"/>
        <w:rPr>
          <w:sz w:val="20"/>
          <w:szCs w:val="20"/>
          <w:color w:val="auto"/>
        </w:rPr>
      </w:pPr>
    </w:p>
    <w:p>
      <w:pPr>
        <w:ind w:left="380" w:right="439" w:firstLine="648"/>
        <w:spacing w:after="0" w:line="255" w:lineRule="auto"/>
        <w:rPr>
          <w:sz w:val="20"/>
          <w:szCs w:val="20"/>
          <w:color w:val="auto"/>
        </w:rPr>
      </w:pPr>
      <w:r>
        <w:rPr>
          <w:rFonts w:ascii="Arial" w:cs="Arial" w:eastAsia="Arial" w:hAnsi="Arial"/>
          <w:sz w:val="18"/>
          <w:szCs w:val="18"/>
          <w:color w:val="auto"/>
        </w:rPr>
        <w:t>We made $18.8 million of capital expenditures in the year ended December 31, 2017 primarily related to maintenance projects. Capital expenditures for fiscal 2018 are expected to be approximately $34.0 million, although the actual amount may vary depending upon a variety of factors, including the timing of implementation of certain capital projects. We expect the majority of these capital expenditures in fiscal 2018 will be primarily maintenance related, but we also plan to make additional investments in innovation and technology to drive continued market leadership and future growth.</w:t>
      </w:r>
    </w:p>
    <w:p>
      <w:pPr>
        <w:spacing w:after="0" w:line="193" w:lineRule="exact"/>
        <w:rPr>
          <w:sz w:val="20"/>
          <w:szCs w:val="20"/>
          <w:color w:val="auto"/>
        </w:rPr>
      </w:pPr>
    </w:p>
    <w:p>
      <w:pPr>
        <w:ind w:left="380" w:right="639" w:firstLine="648"/>
        <w:spacing w:after="0" w:line="259" w:lineRule="auto"/>
        <w:rPr>
          <w:sz w:val="20"/>
          <w:szCs w:val="20"/>
          <w:color w:val="auto"/>
        </w:rPr>
      </w:pPr>
      <w:r>
        <w:rPr>
          <w:rFonts w:ascii="Arial" w:cs="Arial" w:eastAsia="Arial" w:hAnsi="Arial"/>
          <w:sz w:val="18"/>
          <w:szCs w:val="18"/>
          <w:color w:val="auto"/>
        </w:rPr>
        <w:t>We made $151.5 million of payments related to outstanding EARs under our EAR Plan in the three months ended March 31, 2017, which we funded from borrowings under our delayed draw term loan A facility and borrowings under our revolving credit facilities. The EAR liability was settled in full and there were no outstanding EARs on December 31, 2017.</w:t>
      </w:r>
    </w:p>
    <w:p>
      <w:pPr>
        <w:spacing w:after="0" w:line="187" w:lineRule="exact"/>
        <w:rPr>
          <w:sz w:val="20"/>
          <w:szCs w:val="20"/>
          <w:color w:val="auto"/>
        </w:rPr>
      </w:pPr>
    </w:p>
    <w:p>
      <w:pPr>
        <w:ind w:left="380" w:right="379" w:firstLine="648"/>
        <w:spacing w:after="0" w:line="217" w:lineRule="exact"/>
        <w:rPr>
          <w:sz w:val="20"/>
          <w:szCs w:val="20"/>
          <w:color w:val="auto"/>
        </w:rPr>
      </w:pPr>
      <w:r>
        <w:rPr>
          <w:rFonts w:ascii="Arial" w:cs="Arial" w:eastAsia="Arial" w:hAnsi="Arial"/>
          <w:sz w:val="17"/>
          <w:szCs w:val="17"/>
          <w:color w:val="auto"/>
        </w:rPr>
        <w:t>On April 27, 2016, Acushnet Holdings Corp., Acushnet Company, Acushnet Canada Inc. and Acushnet Europe Limited entered into a credit agreement with Wells Fargo Bank, National Association, as the administrative agent, L/C issuer and swing line lender and each lender from time to time party thereto, which provides for (i) a $275.0 million multi</w:t>
      </w:r>
      <w:r>
        <w:rPr>
          <w:rFonts w:ascii="MS PGothic" w:cs="MS PGothic" w:eastAsia="MS PGothic" w:hAnsi="MS PGothic"/>
          <w:sz w:val="17"/>
          <w:szCs w:val="17"/>
          <w:color w:val="auto"/>
        </w:rPr>
        <w:t>‑</w:t>
      </w:r>
      <w:r>
        <w:rPr>
          <w:rFonts w:ascii="Arial" w:cs="Arial" w:eastAsia="Arial" w:hAnsi="Arial"/>
          <w:sz w:val="17"/>
          <w:szCs w:val="17"/>
          <w:color w:val="auto"/>
        </w:rPr>
        <w:t>currency revolving credit facility, including a $20.0 million letter of credit sub</w:t>
      </w:r>
      <w:r>
        <w:rPr>
          <w:rFonts w:ascii="MS PGothic" w:cs="MS PGothic" w:eastAsia="MS PGothic" w:hAnsi="MS PGothic"/>
          <w:sz w:val="17"/>
          <w:szCs w:val="17"/>
          <w:color w:val="auto"/>
        </w:rPr>
        <w:t>‑</w:t>
      </w:r>
      <w:r>
        <w:rPr>
          <w:rFonts w:ascii="Arial" w:cs="Arial" w:eastAsia="Arial" w:hAnsi="Arial"/>
          <w:sz w:val="17"/>
          <w:szCs w:val="17"/>
          <w:color w:val="auto"/>
        </w:rPr>
        <w:t>facility, a swing line sublimit of $25.0 million, a C$25.0 million sub</w:t>
      </w:r>
      <w:r>
        <w:rPr>
          <w:rFonts w:ascii="MS PGothic" w:cs="MS PGothic" w:eastAsia="MS PGothic" w:hAnsi="MS PGothic"/>
          <w:sz w:val="17"/>
          <w:szCs w:val="17"/>
          <w:color w:val="auto"/>
        </w:rPr>
        <w:t>‑</w:t>
      </w:r>
      <w:r>
        <w:rPr>
          <w:rFonts w:ascii="Arial" w:cs="Arial" w:eastAsia="Arial" w:hAnsi="Arial"/>
          <w:sz w:val="17"/>
          <w:szCs w:val="17"/>
          <w:color w:val="auto"/>
        </w:rPr>
        <w:t>facility for borrowings by Acushnet Canada Inc., a £20.0 million sub</w:t>
      </w:r>
      <w:r>
        <w:rPr>
          <w:rFonts w:ascii="MS PGothic" w:cs="MS PGothic" w:eastAsia="MS PGothic" w:hAnsi="MS PGothic"/>
          <w:sz w:val="17"/>
          <w:szCs w:val="17"/>
          <w:color w:val="auto"/>
        </w:rPr>
        <w:t>‑</w:t>
      </w:r>
      <w:r>
        <w:rPr>
          <w:rFonts w:ascii="Arial" w:cs="Arial" w:eastAsia="Arial" w:hAnsi="Arial"/>
          <w:sz w:val="17"/>
          <w:szCs w:val="17"/>
          <w:color w:val="auto"/>
        </w:rPr>
        <w:t>facility for borrowings by Acushnet Europe Limited and an alternative currency sublimit of $100.0 million for borrowings in Canadian dollars, euros, pounds sterling and Japanese yen, (ii) a $375.0 million term loan A facility and (iii) a $100.0 million delayed draw term loan A facility, each of which matures on July 28, 2021. On August 9, 2017, the senior secured credit facilities agreement was amended to increase the letter of credit sublimit to $25.0 million, to increase the sublimit for Acushnet Canada Inc. to C$35.0 million and to increase the sublimit for Acushnet Europe Limited to £30.0 million. As of December 31, 2017 we had $254.8 million of availability under our revolving credit facility after giving effect to $10.2 million of outstanding letters of credit and we had $53.8 million available under our local credit facilities. See “Notes to Consolidated Financial Statements — Note 9 — Debt and Financing Arrangements” for a description of our credit facilities.</w:t>
      </w:r>
    </w:p>
    <w:p>
      <w:pPr>
        <w:spacing w:after="0" w:line="208" w:lineRule="exact"/>
        <w:rPr>
          <w:sz w:val="20"/>
          <w:szCs w:val="20"/>
          <w:color w:val="auto"/>
        </w:rPr>
      </w:pPr>
    </w:p>
    <w:p>
      <w:pPr>
        <w:ind w:left="380" w:right="459" w:firstLine="648"/>
        <w:spacing w:after="0" w:line="297" w:lineRule="auto"/>
        <w:rPr>
          <w:sz w:val="20"/>
          <w:szCs w:val="20"/>
          <w:color w:val="auto"/>
        </w:rPr>
      </w:pPr>
      <w:r>
        <w:rPr>
          <w:rFonts w:ascii="Arial" w:cs="Arial" w:eastAsia="Arial" w:hAnsi="Arial"/>
          <w:sz w:val="16"/>
          <w:szCs w:val="16"/>
          <w:color w:val="auto"/>
        </w:rPr>
        <w:t>Our credit agreement contains customary affirmative and restrictive covenants, including, among others, financial covenants based on our leverage and interest coverage ratios. The credit agreement includes customary events of default, the occurrence of which, following any applicable cure period, would permit the lenders to, among other things, declare the principal, accrued interest and other obligations to be immediately due and payable. As of December 31, 2017, we were in compliance with all covenants under the credit agreement.</w:t>
      </w:r>
    </w:p>
    <w:p>
      <w:pPr>
        <w:spacing w:after="0" w:line="158" w:lineRule="exact"/>
        <w:rPr>
          <w:sz w:val="20"/>
          <w:szCs w:val="20"/>
          <w:color w:val="auto"/>
        </w:rPr>
      </w:pPr>
    </w:p>
    <w:p>
      <w:pPr>
        <w:ind w:left="380" w:right="419" w:firstLine="648"/>
        <w:spacing w:after="0" w:line="218" w:lineRule="exact"/>
        <w:rPr>
          <w:sz w:val="20"/>
          <w:szCs w:val="20"/>
          <w:color w:val="auto"/>
        </w:rPr>
      </w:pPr>
      <w:r>
        <w:rPr>
          <w:rFonts w:ascii="Arial" w:cs="Arial" w:eastAsia="Arial" w:hAnsi="Arial"/>
          <w:sz w:val="16"/>
          <w:szCs w:val="16"/>
          <w:color w:val="auto"/>
        </w:rPr>
        <w:t>Our liquidity is cyclical as a result of the general seasonality of our business. Our accounts receivable balance is generally at its highest starting at the end of the first quarter and continuing through the second quarter, and declines during the third and fourth quarters as a result of both an increase in cash collections and lower sales. Our inventory balance also fluctuates as a result of the seasonality of our business. Generally, our buildup of inventory starts during the fourth quarter and continues through the first quarter and into the beginning of the second quarter in order to meet demand for our initial sell</w:t>
      </w:r>
      <w:r>
        <w:rPr>
          <w:rFonts w:ascii="MS PGothic" w:cs="MS PGothic" w:eastAsia="MS PGothic" w:hAnsi="MS PGothic"/>
          <w:sz w:val="16"/>
          <w:szCs w:val="16"/>
          <w:color w:val="auto"/>
        </w:rPr>
        <w:t>‑</w:t>
      </w:r>
      <w:r>
        <w:rPr>
          <w:rFonts w:ascii="Arial" w:cs="Arial" w:eastAsia="Arial" w:hAnsi="Arial"/>
          <w:sz w:val="16"/>
          <w:szCs w:val="16"/>
          <w:color w:val="auto"/>
        </w:rPr>
        <w:t>in in the first quarter and reorders in the second quarter. Both accounts receivable and inventory balances are impacted by the timing of new product launches.</w:t>
      </w:r>
    </w:p>
    <w:p>
      <w:pPr>
        <w:spacing w:after="0" w:line="205" w:lineRule="exact"/>
        <w:rPr>
          <w:sz w:val="20"/>
          <w:szCs w:val="20"/>
          <w:color w:val="auto"/>
        </w:rPr>
      </w:pPr>
    </w:p>
    <w:p>
      <w:pPr>
        <w:ind w:left="380" w:right="479" w:firstLine="648"/>
        <w:spacing w:after="0" w:line="273" w:lineRule="auto"/>
        <w:rPr>
          <w:sz w:val="20"/>
          <w:szCs w:val="20"/>
          <w:color w:val="auto"/>
        </w:rPr>
      </w:pPr>
      <w:r>
        <w:rPr>
          <w:rFonts w:ascii="Arial" w:cs="Arial" w:eastAsia="Arial" w:hAnsi="Arial"/>
          <w:sz w:val="17"/>
          <w:szCs w:val="17"/>
          <w:color w:val="auto"/>
        </w:rPr>
        <w:t>We believe that cash expected to be provided by operating activities, together with our cash on hand and the availability of borrowings under our revolving credit facilities will be sufficient to meet our liquidity requirements for at least the next 12 months, subject to customary borrowing conditions. Our ability to generate sufficient cash flows from operations is, however, subject to many risks and uncertainties, including future economic trends and conditions, demand for our products, foreign currency exchange rates and other risks and uncertainties applicable to our business, as described under “Item 1A. – Risk Factors.”</w:t>
      </w:r>
    </w:p>
    <w:p>
      <w:pPr>
        <w:spacing w:after="0" w:line="178" w:lineRule="exact"/>
        <w:rPr>
          <w:sz w:val="20"/>
          <w:szCs w:val="20"/>
          <w:color w:val="auto"/>
        </w:rPr>
      </w:pPr>
    </w:p>
    <w:p>
      <w:pPr>
        <w:jc w:val="both"/>
        <w:ind w:left="380" w:right="399" w:firstLine="648"/>
        <w:spacing w:after="0" w:line="220" w:lineRule="exact"/>
        <w:rPr>
          <w:sz w:val="20"/>
          <w:szCs w:val="20"/>
          <w:color w:val="auto"/>
        </w:rPr>
      </w:pPr>
      <w:r>
        <w:rPr>
          <w:rFonts w:ascii="Arial" w:cs="Arial" w:eastAsia="Arial" w:hAnsi="Arial"/>
          <w:sz w:val="18"/>
          <w:szCs w:val="18"/>
          <w:color w:val="auto"/>
        </w:rPr>
        <w:t>As of December 31, 2017, we had $45.4 million of unrestricted cash (including $12.1 million attributable to our FootJoy golf shoe joint venture). As of December 31, 2017, 93.9% of our total unrestricted cash was held at our non</w:t>
      </w:r>
      <w:r>
        <w:rPr>
          <w:rFonts w:ascii="MS PGothic" w:cs="MS PGothic" w:eastAsia="MS PGothic" w:hAnsi="MS PGothic"/>
          <w:sz w:val="18"/>
          <w:szCs w:val="18"/>
          <w:color w:val="auto"/>
        </w:rPr>
        <w:t>‑</w:t>
      </w:r>
      <w:r>
        <w:rPr>
          <w:rFonts w:ascii="Arial" w:cs="Arial" w:eastAsia="Arial" w:hAnsi="Arial"/>
          <w:sz w:val="18"/>
          <w:szCs w:val="18"/>
          <w:color w:val="auto"/>
        </w:rPr>
        <w:t>U.S. subsidiaries. We manage our worldwide cash requirements by monitoring the funds available among our</w:t>
      </w:r>
    </w:p>
    <w:p>
      <w:pPr>
        <w:spacing w:after="0" w:line="202"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71" w:name="page72"/>
    <w:bookmarkEnd w:id="71"/>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380" w:right="379"/>
        <w:spacing w:after="0" w:line="257" w:lineRule="auto"/>
        <w:rPr>
          <w:sz w:val="20"/>
          <w:szCs w:val="20"/>
          <w:color w:val="auto"/>
        </w:rPr>
      </w:pPr>
      <w:r>
        <w:rPr>
          <w:rFonts w:ascii="Arial" w:cs="Arial" w:eastAsia="Arial" w:hAnsi="Arial"/>
          <w:sz w:val="18"/>
          <w:szCs w:val="18"/>
          <w:color w:val="auto"/>
        </w:rPr>
        <w:t>subsidiaries and determining the extent to which we can access those funds on a cost effective basis. We are not aware of any restrictions on repatriation of these funds and, subject to foreign withholding taxes, those funds could be repatriated, if necessary. We have repatriated, and intend to repatriate, funds to the United States from time to time to satisfy domestic liquidity needs arising in the ordinary course of business, including liquidity needs related to debt service requirements.</w:t>
      </w:r>
    </w:p>
    <w:p>
      <w:pPr>
        <w:spacing w:after="0" w:line="184" w:lineRule="exact"/>
        <w:rPr>
          <w:sz w:val="20"/>
          <w:szCs w:val="20"/>
          <w:color w:val="auto"/>
        </w:rPr>
      </w:pPr>
    </w:p>
    <w:p>
      <w:pPr>
        <w:ind w:left="380"/>
        <w:spacing w:after="0"/>
        <w:rPr>
          <w:sz w:val="20"/>
          <w:szCs w:val="20"/>
          <w:color w:val="auto"/>
        </w:rPr>
      </w:pPr>
      <w:r>
        <w:rPr>
          <w:rFonts w:ascii="Arial" w:cs="Arial" w:eastAsia="Arial" w:hAnsi="Arial"/>
          <w:sz w:val="18"/>
          <w:szCs w:val="18"/>
          <w:b w:val="1"/>
          <w:bCs w:val="1"/>
          <w:color w:val="auto"/>
        </w:rPr>
        <w:t>Cash Flows</w:t>
      </w:r>
    </w:p>
    <w:p>
      <w:pPr>
        <w:spacing w:after="0" w:line="229" w:lineRule="exact"/>
        <w:rPr>
          <w:sz w:val="20"/>
          <w:szCs w:val="20"/>
          <w:color w:val="auto"/>
        </w:rPr>
      </w:pPr>
    </w:p>
    <w:p>
      <w:pPr>
        <w:ind w:left="380" w:right="479" w:firstLine="648"/>
        <w:spacing w:after="0" w:line="277" w:lineRule="auto"/>
        <w:rPr>
          <w:sz w:val="20"/>
          <w:szCs w:val="20"/>
          <w:color w:val="auto"/>
        </w:rPr>
      </w:pPr>
      <w:r>
        <w:rPr>
          <w:rFonts w:ascii="Arial" w:cs="Arial" w:eastAsia="Arial" w:hAnsi="Arial"/>
          <w:sz w:val="18"/>
          <w:szCs w:val="18"/>
          <w:color w:val="auto"/>
        </w:rPr>
        <w:t>The following table presents the major components of net cash flows used in and provided by operating, investing and financing activities for the periods indicated:</w:t>
      </w:r>
    </w:p>
    <w:p>
      <w:pPr>
        <w:spacing w:after="0" w:line="189" w:lineRule="exact"/>
        <w:rPr>
          <w:sz w:val="20"/>
          <w:szCs w:val="20"/>
          <w:color w:val="auto"/>
        </w:rPr>
      </w:pPr>
    </w:p>
    <w:tbl>
      <w:tblPr>
        <w:tblLayout w:type="fixed"/>
        <w:tblInd w:w="380" w:type="dxa"/>
        <w:tblCellMar>
          <w:top w:w="0" w:type="dxa"/>
          <w:left w:w="0" w:type="dxa"/>
          <w:bottom w:w="0" w:type="dxa"/>
          <w:right w:w="0" w:type="dxa"/>
        </w:tblCellMar>
      </w:tblPr>
      <w:tr>
        <w:trPr>
          <w:trHeight w:val="171"/>
        </w:trPr>
        <w:tc>
          <w:tcPr>
            <w:tcW w:w="44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820" w:type="dxa"/>
            <w:vAlign w:val="bottom"/>
            <w:gridSpan w:val="9"/>
          </w:tcPr>
          <w:p>
            <w:pPr>
              <w:jc w:val="center"/>
              <w:ind w:right="140"/>
              <w:spacing w:after="0"/>
              <w:rPr>
                <w:sz w:val="20"/>
                <w:szCs w:val="20"/>
                <w:color w:val="auto"/>
              </w:rPr>
            </w:pPr>
            <w:r>
              <w:rPr>
                <w:rFonts w:ascii="Arial" w:cs="Arial" w:eastAsia="Arial" w:hAnsi="Arial"/>
                <w:sz w:val="14"/>
                <w:szCs w:val="14"/>
                <w:b w:val="1"/>
                <w:bCs w:val="1"/>
                <w:color w:val="auto"/>
                <w:w w:val="91"/>
              </w:rPr>
              <w:t>Year ended December 31,</w:t>
            </w:r>
          </w:p>
        </w:tc>
      </w:tr>
      <w:tr>
        <w:trPr>
          <w:trHeight w:val="142"/>
        </w:trPr>
        <w:tc>
          <w:tcPr>
            <w:tcW w:w="444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760" w:type="dxa"/>
            <w:vAlign w:val="bottom"/>
            <w:tcBorders>
              <w:top w:val="single" w:sz="8" w:color="auto"/>
              <w:bottom w:val="single" w:sz="8" w:color="auto"/>
            </w:tcBorders>
          </w:tcPr>
          <w:p>
            <w:pPr>
              <w:jc w:val="right"/>
              <w:ind w:right="162"/>
              <w:spacing w:after="0" w:line="142" w:lineRule="exact"/>
              <w:rPr>
                <w:sz w:val="20"/>
                <w:szCs w:val="20"/>
                <w:color w:val="auto"/>
              </w:rPr>
            </w:pPr>
            <w:r>
              <w:rPr>
                <w:rFonts w:ascii="Arial" w:cs="Arial" w:eastAsia="Arial" w:hAnsi="Arial"/>
                <w:sz w:val="14"/>
                <w:szCs w:val="14"/>
                <w:b w:val="1"/>
                <w:bCs w:val="1"/>
                <w:color w:val="auto"/>
              </w:rPr>
              <w:t>2017</w:t>
            </w:r>
          </w:p>
        </w:tc>
        <w:tc>
          <w:tcPr>
            <w:tcW w:w="200" w:type="dxa"/>
            <w:vAlign w:val="bottom"/>
            <w:tcBorders>
              <w:top w:val="single" w:sz="8" w:color="auto"/>
              <w:bottom w:val="single" w:sz="8" w:color="auto"/>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660" w:type="dxa"/>
            <w:vAlign w:val="bottom"/>
            <w:tcBorders>
              <w:top w:val="single" w:sz="8" w:color="auto"/>
              <w:bottom w:val="single" w:sz="8" w:color="auto"/>
            </w:tcBorders>
          </w:tcPr>
          <w:p>
            <w:pPr>
              <w:jc w:val="center"/>
              <w:ind w:right="13"/>
              <w:spacing w:after="0" w:line="142" w:lineRule="exact"/>
              <w:rPr>
                <w:sz w:val="20"/>
                <w:szCs w:val="20"/>
                <w:color w:val="auto"/>
              </w:rPr>
            </w:pPr>
            <w:r>
              <w:rPr>
                <w:rFonts w:ascii="Arial" w:cs="Arial" w:eastAsia="Arial" w:hAnsi="Arial"/>
                <w:sz w:val="14"/>
                <w:szCs w:val="14"/>
                <w:b w:val="1"/>
                <w:bCs w:val="1"/>
                <w:color w:val="auto"/>
                <w:w w:val="89"/>
              </w:rPr>
              <w:t>2016</w:t>
            </w:r>
          </w:p>
        </w:tc>
        <w:tc>
          <w:tcPr>
            <w:tcW w:w="180" w:type="dxa"/>
            <w:vAlign w:val="bottom"/>
            <w:tcBorders>
              <w:top w:val="single" w:sz="8" w:color="auto"/>
              <w:bottom w:val="single" w:sz="8" w:color="auto"/>
            </w:tcBorders>
          </w:tcPr>
          <w:p>
            <w:pPr>
              <w:spacing w:after="0"/>
              <w:rPr>
                <w:sz w:val="12"/>
                <w:szCs w:val="12"/>
                <w:color w:val="auto"/>
              </w:rPr>
            </w:pPr>
          </w:p>
        </w:tc>
        <w:tc>
          <w:tcPr>
            <w:tcW w:w="20" w:type="dxa"/>
            <w:vAlign w:val="bottom"/>
            <w:tcBorders>
              <w:top w:val="single" w:sz="8" w:color="auto"/>
              <w:bottom w:val="single" w:sz="8" w:color="auto"/>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680" w:type="dxa"/>
            <w:vAlign w:val="bottom"/>
            <w:tcBorders>
              <w:top w:val="single" w:sz="8" w:color="auto"/>
              <w:bottom w:val="single" w:sz="8" w:color="auto"/>
            </w:tcBorders>
          </w:tcPr>
          <w:p>
            <w:pPr>
              <w:jc w:val="right"/>
              <w:ind w:right="173"/>
              <w:spacing w:after="0" w:line="142" w:lineRule="exact"/>
              <w:rPr>
                <w:sz w:val="20"/>
                <w:szCs w:val="20"/>
                <w:color w:val="auto"/>
              </w:rPr>
            </w:pPr>
            <w:r>
              <w:rPr>
                <w:rFonts w:ascii="Arial" w:cs="Arial" w:eastAsia="Arial" w:hAnsi="Arial"/>
                <w:sz w:val="14"/>
                <w:szCs w:val="14"/>
                <w:b w:val="1"/>
                <w:bCs w:val="1"/>
                <w:color w:val="auto"/>
              </w:rPr>
              <w:t>2015</w:t>
            </w:r>
          </w:p>
        </w:tc>
        <w:tc>
          <w:tcPr>
            <w:tcW w:w="100" w:type="dxa"/>
            <w:vAlign w:val="bottom"/>
          </w:tcPr>
          <w:p>
            <w:pPr>
              <w:spacing w:after="0"/>
              <w:rPr>
                <w:sz w:val="12"/>
                <w:szCs w:val="12"/>
                <w:color w:val="auto"/>
              </w:rPr>
            </w:pPr>
          </w:p>
        </w:tc>
      </w:tr>
      <w:tr>
        <w:trPr>
          <w:trHeight w:val="142"/>
        </w:trPr>
        <w:tc>
          <w:tcPr>
            <w:tcW w:w="444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140" w:type="dxa"/>
            <w:vAlign w:val="bottom"/>
            <w:gridSpan w:val="4"/>
          </w:tcPr>
          <w:p>
            <w:pPr>
              <w:jc w:val="center"/>
              <w:spacing w:after="0" w:line="142" w:lineRule="exact"/>
              <w:rPr>
                <w:sz w:val="20"/>
                <w:szCs w:val="20"/>
                <w:color w:val="auto"/>
              </w:rPr>
            </w:pPr>
            <w:r>
              <w:rPr>
                <w:rFonts w:ascii="Arial" w:cs="Arial" w:eastAsia="Arial" w:hAnsi="Arial"/>
                <w:sz w:val="14"/>
                <w:szCs w:val="14"/>
                <w:b w:val="1"/>
                <w:bCs w:val="1"/>
                <w:color w:val="auto"/>
                <w:w w:val="89"/>
              </w:rPr>
              <w:t>(in thousands)</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00" w:type="dxa"/>
            <w:vAlign w:val="bottom"/>
          </w:tcPr>
          <w:p>
            <w:pPr>
              <w:spacing w:after="0"/>
              <w:rPr>
                <w:sz w:val="12"/>
                <w:szCs w:val="12"/>
                <w:color w:val="auto"/>
              </w:rPr>
            </w:pPr>
          </w:p>
        </w:tc>
      </w:tr>
      <w:tr>
        <w:trPr>
          <w:trHeight w:val="216"/>
        </w:trPr>
        <w:tc>
          <w:tcPr>
            <w:tcW w:w="4440" w:type="dxa"/>
            <w:vAlign w:val="bottom"/>
            <w:shd w:val="clear" w:color="auto" w:fill="CCEEFF"/>
          </w:tcPr>
          <w:p>
            <w:pPr>
              <w:spacing w:after="0"/>
              <w:rPr>
                <w:sz w:val="20"/>
                <w:szCs w:val="20"/>
                <w:color w:val="auto"/>
              </w:rPr>
            </w:pPr>
            <w:r>
              <w:rPr>
                <w:rFonts w:ascii="Arial" w:cs="Arial" w:eastAsia="Arial" w:hAnsi="Arial"/>
                <w:sz w:val="18"/>
                <w:szCs w:val="18"/>
                <w:color w:val="auto"/>
              </w:rPr>
              <w:t>Cash flows provided by (used in):</w:t>
            </w:r>
          </w:p>
        </w:tc>
        <w:tc>
          <w:tcPr>
            <w:tcW w:w="10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4440" w:type="dxa"/>
            <w:vAlign w:val="bottom"/>
          </w:tcPr>
          <w:p>
            <w:pPr>
              <w:spacing w:after="0"/>
              <w:rPr>
                <w:sz w:val="20"/>
                <w:szCs w:val="20"/>
                <w:color w:val="auto"/>
              </w:rPr>
            </w:pPr>
            <w:r>
              <w:rPr>
                <w:rFonts w:ascii="Arial" w:cs="Arial" w:eastAsia="Arial" w:hAnsi="Arial"/>
                <w:sz w:val="18"/>
                <w:szCs w:val="18"/>
                <w:color w:val="auto"/>
              </w:rPr>
              <w:t>Operating activities</w:t>
            </w:r>
          </w:p>
        </w:tc>
        <w:tc>
          <w:tcPr>
            <w:tcW w:w="1760" w:type="dxa"/>
            <w:vAlign w:val="bottom"/>
            <w:gridSpan w:val="2"/>
          </w:tcPr>
          <w:p>
            <w:pPr>
              <w:jc w:val="right"/>
              <w:spacing w:after="0"/>
              <w:rPr>
                <w:sz w:val="20"/>
                <w:szCs w:val="20"/>
                <w:color w:val="auto"/>
              </w:rPr>
            </w:pPr>
            <w:r>
              <w:rPr>
                <w:rFonts w:ascii="Arial" w:cs="Arial" w:eastAsia="Arial" w:hAnsi="Arial"/>
                <w:sz w:val="18"/>
                <w:szCs w:val="18"/>
                <w:color w:val="auto"/>
              </w:rPr>
              <w:t>$ (27,037)</w:t>
            </w: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w w:val="89"/>
              </w:rPr>
              <w:t>104,269</w:t>
            </w:r>
          </w:p>
        </w:tc>
        <w:tc>
          <w:tcPr>
            <w:tcW w:w="180" w:type="dxa"/>
            <w:vAlign w:val="bottom"/>
          </w:tcPr>
          <w:p>
            <w:pPr>
              <w:spacing w:after="0"/>
              <w:rPr>
                <w:sz w:val="18"/>
                <w:szCs w:val="18"/>
                <w:color w:val="auto"/>
              </w:rPr>
            </w:pPr>
          </w:p>
        </w:tc>
        <w:tc>
          <w:tcPr>
            <w:tcW w:w="140" w:type="dxa"/>
            <w:vAlign w:val="bottom"/>
            <w:gridSpan w:val="2"/>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91,830</w:t>
            </w:r>
          </w:p>
        </w:tc>
        <w:tc>
          <w:tcPr>
            <w:tcW w:w="100" w:type="dxa"/>
            <w:vAlign w:val="bottom"/>
          </w:tcPr>
          <w:p>
            <w:pPr>
              <w:spacing w:after="0"/>
              <w:rPr>
                <w:sz w:val="18"/>
                <w:szCs w:val="18"/>
                <w:color w:val="auto"/>
              </w:rPr>
            </w:pPr>
          </w:p>
        </w:tc>
      </w:tr>
      <w:tr>
        <w:trPr>
          <w:trHeight w:val="216"/>
        </w:trPr>
        <w:tc>
          <w:tcPr>
            <w:tcW w:w="4440" w:type="dxa"/>
            <w:vAlign w:val="bottom"/>
            <w:shd w:val="clear" w:color="auto" w:fill="CCEEFF"/>
          </w:tcPr>
          <w:p>
            <w:pPr>
              <w:spacing w:after="0"/>
              <w:rPr>
                <w:sz w:val="20"/>
                <w:szCs w:val="20"/>
                <w:color w:val="auto"/>
              </w:rPr>
            </w:pPr>
            <w:r>
              <w:rPr>
                <w:rFonts w:ascii="Arial" w:cs="Arial" w:eastAsia="Arial" w:hAnsi="Arial"/>
                <w:sz w:val="18"/>
                <w:szCs w:val="18"/>
                <w:color w:val="auto"/>
              </w:rPr>
              <w:t>Investing activities</w:t>
            </w:r>
          </w:p>
        </w:tc>
        <w:tc>
          <w:tcPr>
            <w:tcW w:w="17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(18,845)</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(19,175)</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(23,201)</w:t>
            </w:r>
          </w:p>
        </w:tc>
        <w:tc>
          <w:tcPr>
            <w:tcW w:w="100" w:type="dxa"/>
            <w:vAlign w:val="bottom"/>
            <w:shd w:val="clear" w:color="auto" w:fill="CCEEFF"/>
          </w:tcPr>
          <w:p>
            <w:pPr>
              <w:spacing w:after="0"/>
              <w:rPr>
                <w:sz w:val="18"/>
                <w:szCs w:val="18"/>
                <w:color w:val="auto"/>
              </w:rPr>
            </w:pPr>
          </w:p>
        </w:tc>
      </w:tr>
      <w:tr>
        <w:trPr>
          <w:trHeight w:val="216"/>
        </w:trPr>
        <w:tc>
          <w:tcPr>
            <w:tcW w:w="4440" w:type="dxa"/>
            <w:vAlign w:val="bottom"/>
          </w:tcPr>
          <w:p>
            <w:pPr>
              <w:spacing w:after="0"/>
              <w:rPr>
                <w:sz w:val="20"/>
                <w:szCs w:val="20"/>
                <w:color w:val="auto"/>
              </w:rPr>
            </w:pPr>
            <w:r>
              <w:rPr>
                <w:rFonts w:ascii="Arial" w:cs="Arial" w:eastAsia="Arial" w:hAnsi="Arial"/>
                <w:sz w:val="18"/>
                <w:szCs w:val="18"/>
                <w:color w:val="auto"/>
              </w:rPr>
              <w:t>Financing activities</w:t>
            </w:r>
          </w:p>
        </w:tc>
        <w:tc>
          <w:tcPr>
            <w:tcW w:w="1760" w:type="dxa"/>
            <w:vAlign w:val="bottom"/>
            <w:gridSpan w:val="2"/>
          </w:tcPr>
          <w:p>
            <w:pPr>
              <w:jc w:val="right"/>
              <w:spacing w:after="0"/>
              <w:rPr>
                <w:sz w:val="20"/>
                <w:szCs w:val="20"/>
                <w:color w:val="auto"/>
              </w:rPr>
            </w:pPr>
            <w:r>
              <w:rPr>
                <w:rFonts w:ascii="Arial" w:cs="Arial" w:eastAsia="Arial" w:hAnsi="Arial"/>
                <w:sz w:val="18"/>
                <w:szCs w:val="18"/>
                <w:color w:val="auto"/>
              </w:rPr>
              <w:t>9,255</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w w:val="95"/>
              </w:rPr>
              <w:t>(62,663)</w:t>
            </w: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w w:val="95"/>
              </w:rPr>
              <w:t>(60,057)</w:t>
            </w:r>
          </w:p>
        </w:tc>
        <w:tc>
          <w:tcPr>
            <w:tcW w:w="100" w:type="dxa"/>
            <w:vAlign w:val="bottom"/>
          </w:tcPr>
          <w:p>
            <w:pPr>
              <w:spacing w:after="0"/>
              <w:rPr>
                <w:sz w:val="18"/>
                <w:szCs w:val="18"/>
                <w:color w:val="auto"/>
              </w:rPr>
            </w:pPr>
          </w:p>
        </w:tc>
      </w:tr>
      <w:tr>
        <w:trPr>
          <w:trHeight w:val="216"/>
        </w:trPr>
        <w:tc>
          <w:tcPr>
            <w:tcW w:w="4440" w:type="dxa"/>
            <w:vAlign w:val="bottom"/>
            <w:shd w:val="clear" w:color="auto" w:fill="CCEEFF"/>
          </w:tcPr>
          <w:p>
            <w:pPr>
              <w:spacing w:after="0"/>
              <w:rPr>
                <w:sz w:val="20"/>
                <w:szCs w:val="20"/>
                <w:color w:val="auto"/>
              </w:rPr>
            </w:pPr>
            <w:r>
              <w:rPr>
                <w:rFonts w:ascii="Arial" w:cs="Arial" w:eastAsia="Arial" w:hAnsi="Arial"/>
                <w:sz w:val="18"/>
                <w:szCs w:val="18"/>
                <w:color w:val="auto"/>
              </w:rPr>
              <w:t>Effect of foreign exchange rate changes on cash</w:t>
            </w:r>
          </w:p>
        </w:tc>
        <w:tc>
          <w:tcPr>
            <w:tcW w:w="17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5,209</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(2,425)</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(3,205)</w:t>
            </w:r>
          </w:p>
        </w:tc>
        <w:tc>
          <w:tcPr>
            <w:tcW w:w="100" w:type="dxa"/>
            <w:vAlign w:val="bottom"/>
            <w:shd w:val="clear" w:color="auto" w:fill="CCEEFF"/>
          </w:tcPr>
          <w:p>
            <w:pPr>
              <w:spacing w:after="0"/>
              <w:rPr>
                <w:sz w:val="18"/>
                <w:szCs w:val="18"/>
                <w:color w:val="auto"/>
              </w:rPr>
            </w:pPr>
          </w:p>
        </w:tc>
      </w:tr>
      <w:tr>
        <w:trPr>
          <w:trHeight w:val="217"/>
        </w:trPr>
        <w:tc>
          <w:tcPr>
            <w:tcW w:w="4440" w:type="dxa"/>
            <w:vAlign w:val="bottom"/>
          </w:tcPr>
          <w:p>
            <w:pPr>
              <w:spacing w:after="0"/>
              <w:rPr>
                <w:sz w:val="20"/>
                <w:szCs w:val="20"/>
                <w:color w:val="auto"/>
              </w:rPr>
            </w:pPr>
            <w:r>
              <w:rPr>
                <w:rFonts w:ascii="Arial" w:cs="Arial" w:eastAsia="Arial" w:hAnsi="Arial"/>
                <w:sz w:val="18"/>
                <w:szCs w:val="18"/>
                <w:color w:val="auto"/>
              </w:rPr>
              <w:t>Net increase (decrease) in cash</w:t>
            </w:r>
          </w:p>
        </w:tc>
        <w:tc>
          <w:tcPr>
            <w:tcW w:w="1000" w:type="dxa"/>
            <w:vAlign w:val="bottom"/>
          </w:tcPr>
          <w:p>
            <w:pPr>
              <w:spacing w:after="0"/>
              <w:rPr>
                <w:sz w:val="18"/>
                <w:szCs w:val="18"/>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0"/>
              </w:rPr>
              <w:t>$ (31,418)</w:t>
            </w:r>
          </w:p>
        </w:tc>
        <w:tc>
          <w:tcPr>
            <w:tcW w:w="200" w:type="dxa"/>
            <w:vAlign w:val="bottom"/>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20,006</w:t>
            </w:r>
          </w:p>
        </w:tc>
        <w:tc>
          <w:tcPr>
            <w:tcW w:w="18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5,367</w:t>
            </w:r>
          </w:p>
        </w:tc>
        <w:tc>
          <w:tcPr>
            <w:tcW w:w="100" w:type="dxa"/>
            <w:vAlign w:val="bottom"/>
          </w:tcPr>
          <w:p>
            <w:pPr>
              <w:spacing w:after="0"/>
              <w:rPr>
                <w:sz w:val="18"/>
                <w:szCs w:val="18"/>
                <w:color w:val="auto"/>
              </w:rPr>
            </w:pPr>
          </w:p>
        </w:tc>
      </w:tr>
    </w:tbl>
    <w:p>
      <w:pPr>
        <w:spacing w:after="0" w:line="202" w:lineRule="exact"/>
        <w:rPr>
          <w:sz w:val="20"/>
          <w:szCs w:val="20"/>
          <w:color w:val="auto"/>
        </w:rPr>
      </w:pPr>
    </w:p>
    <w:p>
      <w:pPr>
        <w:ind w:left="380"/>
        <w:spacing w:after="0"/>
        <w:rPr>
          <w:sz w:val="20"/>
          <w:szCs w:val="20"/>
          <w:color w:val="auto"/>
        </w:rPr>
      </w:pPr>
      <w:r>
        <w:rPr>
          <w:rFonts w:ascii="Arial" w:cs="Arial" w:eastAsia="Arial" w:hAnsi="Arial"/>
          <w:sz w:val="18"/>
          <w:szCs w:val="18"/>
          <w:b w:val="1"/>
          <w:bCs w:val="1"/>
          <w:i w:val="1"/>
          <w:iCs w:val="1"/>
          <w:color w:val="auto"/>
        </w:rPr>
        <w:t>Cash Flows From Operating Activities</w:t>
      </w:r>
    </w:p>
    <w:p>
      <w:pPr>
        <w:spacing w:after="0" w:line="225" w:lineRule="exact"/>
        <w:rPr>
          <w:sz w:val="20"/>
          <w:szCs w:val="20"/>
          <w:color w:val="auto"/>
        </w:rPr>
      </w:pPr>
    </w:p>
    <w:p>
      <w:pPr>
        <w:ind w:left="380" w:right="439" w:firstLine="648"/>
        <w:spacing w:after="0" w:line="297" w:lineRule="auto"/>
        <w:rPr>
          <w:sz w:val="20"/>
          <w:szCs w:val="20"/>
          <w:color w:val="auto"/>
        </w:rPr>
      </w:pPr>
      <w:r>
        <w:rPr>
          <w:rFonts w:ascii="Arial" w:cs="Arial" w:eastAsia="Arial" w:hAnsi="Arial"/>
          <w:sz w:val="16"/>
          <w:szCs w:val="16"/>
          <w:color w:val="auto"/>
        </w:rPr>
        <w:t>Net cash used in operating activities was $27.0 million for the year ended December 31, 2017, compared to net cash provided by operating activities of $104.3 million for the year ended December 31, 2016, an increase in cash used in operating activities of $131.3 million. The increase in cash used in operating activities was primarily due to the payment of the outstanding balance of the EAR Plan of $151.5 million during the year ended December 31, 2017, which was offset in part by an increase in net income after adjustments for non-cash items.</w:t>
      </w:r>
    </w:p>
    <w:p>
      <w:pPr>
        <w:spacing w:after="0" w:line="158" w:lineRule="exact"/>
        <w:rPr>
          <w:sz w:val="20"/>
          <w:szCs w:val="20"/>
          <w:color w:val="auto"/>
        </w:rPr>
      </w:pPr>
    </w:p>
    <w:p>
      <w:pPr>
        <w:ind w:left="380" w:right="459" w:firstLine="648"/>
        <w:spacing w:after="0" w:line="219" w:lineRule="exact"/>
        <w:rPr>
          <w:sz w:val="20"/>
          <w:szCs w:val="20"/>
          <w:color w:val="auto"/>
        </w:rPr>
      </w:pPr>
      <w:r>
        <w:rPr>
          <w:rFonts w:ascii="Arial" w:cs="Arial" w:eastAsia="Arial" w:hAnsi="Arial"/>
          <w:sz w:val="18"/>
          <w:szCs w:val="18"/>
          <w:color w:val="auto"/>
        </w:rPr>
        <w:t>Net cash provided by operating activities was $104.3 million for the year ended December 31, 2016, compared to $91.8 million for the year ended December 31, 2015, an increase of $12.5 million. The increase in cash provided by operating activities was primarily due to an increase in net income after adjustments for non</w:t>
      </w:r>
      <w:r>
        <w:rPr>
          <w:rFonts w:ascii="MS PGothic" w:cs="MS PGothic" w:eastAsia="MS PGothic" w:hAnsi="MS PGothic"/>
          <w:sz w:val="18"/>
          <w:szCs w:val="18"/>
          <w:color w:val="auto"/>
        </w:rPr>
        <w:t>‑</w:t>
      </w:r>
      <w:r>
        <w:rPr>
          <w:rFonts w:ascii="Arial" w:cs="Arial" w:eastAsia="Arial" w:hAnsi="Arial"/>
          <w:sz w:val="18"/>
          <w:szCs w:val="18"/>
          <w:color w:val="auto"/>
        </w:rPr>
        <w:t>cash items, lower income taxes paid and an increase related to change in our working capital, which were offset by increases in cash payments related to our EAR Plan, our supplemental executive retirement plan and the payment of a one</w:t>
      </w:r>
      <w:r>
        <w:rPr>
          <w:rFonts w:ascii="MS PGothic" w:cs="MS PGothic" w:eastAsia="MS PGothic" w:hAnsi="MS PGothic"/>
          <w:sz w:val="18"/>
          <w:szCs w:val="18"/>
          <w:color w:val="auto"/>
        </w:rPr>
        <w:t>‑</w:t>
      </w:r>
      <w:r>
        <w:rPr>
          <w:rFonts w:ascii="Arial" w:cs="Arial" w:eastAsia="Arial" w:hAnsi="Arial"/>
          <w:sz w:val="18"/>
          <w:szCs w:val="18"/>
          <w:color w:val="auto"/>
        </w:rPr>
        <w:t>time executive bonus.</w:t>
      </w:r>
    </w:p>
    <w:p>
      <w:pPr>
        <w:spacing w:after="0" w:line="203" w:lineRule="exact"/>
        <w:rPr>
          <w:sz w:val="20"/>
          <w:szCs w:val="20"/>
          <w:color w:val="auto"/>
        </w:rPr>
      </w:pPr>
    </w:p>
    <w:p>
      <w:pPr>
        <w:ind w:left="380"/>
        <w:spacing w:after="0"/>
        <w:rPr>
          <w:sz w:val="20"/>
          <w:szCs w:val="20"/>
          <w:color w:val="auto"/>
        </w:rPr>
      </w:pPr>
      <w:r>
        <w:rPr>
          <w:rFonts w:ascii="Arial" w:cs="Arial" w:eastAsia="Arial" w:hAnsi="Arial"/>
          <w:sz w:val="18"/>
          <w:szCs w:val="18"/>
          <w:b w:val="1"/>
          <w:bCs w:val="1"/>
          <w:i w:val="1"/>
          <w:iCs w:val="1"/>
          <w:color w:val="auto"/>
        </w:rPr>
        <w:t>Cash Flows From Investing Activities</w:t>
      </w:r>
    </w:p>
    <w:p>
      <w:pPr>
        <w:spacing w:after="0" w:line="225" w:lineRule="exact"/>
        <w:rPr>
          <w:sz w:val="20"/>
          <w:szCs w:val="20"/>
          <w:color w:val="auto"/>
        </w:rPr>
      </w:pPr>
    </w:p>
    <w:p>
      <w:pPr>
        <w:ind w:left="380" w:right="459" w:firstLine="648"/>
        <w:spacing w:after="0" w:line="277" w:lineRule="auto"/>
        <w:rPr>
          <w:sz w:val="20"/>
          <w:szCs w:val="20"/>
          <w:color w:val="auto"/>
        </w:rPr>
      </w:pPr>
      <w:r>
        <w:rPr>
          <w:rFonts w:ascii="Arial" w:cs="Arial" w:eastAsia="Arial" w:hAnsi="Arial"/>
          <w:sz w:val="18"/>
          <w:szCs w:val="18"/>
          <w:color w:val="auto"/>
        </w:rPr>
        <w:t>Net cash used in investing activities was $18.8 million for the year ended December 31, 2017, compared to $19.2 million for the year ended December 31, 2016, a decrease of $0.4 million.</w:t>
      </w:r>
    </w:p>
    <w:p>
      <w:pPr>
        <w:spacing w:after="0" w:line="170" w:lineRule="exact"/>
        <w:rPr>
          <w:sz w:val="20"/>
          <w:szCs w:val="20"/>
          <w:color w:val="auto"/>
        </w:rPr>
      </w:pPr>
    </w:p>
    <w:p>
      <w:pPr>
        <w:ind w:left="380" w:right="459" w:firstLine="648"/>
        <w:spacing w:after="0" w:line="277" w:lineRule="auto"/>
        <w:rPr>
          <w:sz w:val="20"/>
          <w:szCs w:val="20"/>
          <w:color w:val="auto"/>
        </w:rPr>
      </w:pPr>
      <w:r>
        <w:rPr>
          <w:rFonts w:ascii="Arial" w:cs="Arial" w:eastAsia="Arial" w:hAnsi="Arial"/>
          <w:sz w:val="18"/>
          <w:szCs w:val="18"/>
          <w:color w:val="auto"/>
        </w:rPr>
        <w:t>Net cash used in investing activities was $19.2 million for the year ended December 31, 2016, compared to $23.2 million for the year ended December 31, 2015, a decrease of $4.0 million.</w:t>
      </w:r>
    </w:p>
    <w:p>
      <w:pPr>
        <w:spacing w:after="0" w:line="170" w:lineRule="exact"/>
        <w:rPr>
          <w:sz w:val="20"/>
          <w:szCs w:val="20"/>
          <w:color w:val="auto"/>
        </w:rPr>
      </w:pPr>
    </w:p>
    <w:p>
      <w:pPr>
        <w:ind w:left="380"/>
        <w:spacing w:after="0"/>
        <w:rPr>
          <w:sz w:val="20"/>
          <w:szCs w:val="20"/>
          <w:color w:val="auto"/>
        </w:rPr>
      </w:pPr>
      <w:r>
        <w:rPr>
          <w:rFonts w:ascii="Arial" w:cs="Arial" w:eastAsia="Arial" w:hAnsi="Arial"/>
          <w:sz w:val="18"/>
          <w:szCs w:val="18"/>
          <w:b w:val="1"/>
          <w:bCs w:val="1"/>
          <w:i w:val="1"/>
          <w:iCs w:val="1"/>
          <w:color w:val="auto"/>
        </w:rPr>
        <w:t>Cash Flows From Financing Activities</w:t>
      </w:r>
    </w:p>
    <w:p>
      <w:pPr>
        <w:spacing w:after="0" w:line="225" w:lineRule="exact"/>
        <w:rPr>
          <w:sz w:val="20"/>
          <w:szCs w:val="20"/>
          <w:color w:val="auto"/>
        </w:rPr>
      </w:pPr>
    </w:p>
    <w:p>
      <w:pPr>
        <w:ind w:left="380" w:right="499" w:firstLine="648"/>
        <w:spacing w:after="0" w:line="270" w:lineRule="auto"/>
        <w:rPr>
          <w:sz w:val="20"/>
          <w:szCs w:val="20"/>
          <w:color w:val="auto"/>
        </w:rPr>
      </w:pPr>
      <w:r>
        <w:rPr>
          <w:rFonts w:ascii="Arial" w:cs="Arial" w:eastAsia="Arial" w:hAnsi="Arial"/>
          <w:sz w:val="17"/>
          <w:szCs w:val="17"/>
          <w:color w:val="auto"/>
        </w:rPr>
        <w:t>Net cash provided by financing activities was $9.3 million for the year ended December 31, 2017, compared to net cash used in financing activities of $62.7 million for the year ended December 31, 2016, an increase in cash provided by financing activities of $72.0 million. The increase was due to a net increase in borrowings of $84.6 million primarily due to borrowings under the delayed draw term loan A facility of $100.0 million which was used to fund the payout of the EAR Plan. Also contributing to the increase was the repayment of the senior term loan facility during the year ended December 31, 2016 which reduced net cash provided by financing activities in that period. The increase in borrowings was offset in part by repayments of the term loan facilities and a net decrease in short term borrowings. The increase in cash provided by financing activities was offset in part by an increase in dividends paid.</w:t>
      </w:r>
    </w:p>
    <w:p>
      <w:pPr>
        <w:spacing w:after="0" w:line="182" w:lineRule="exact"/>
        <w:rPr>
          <w:sz w:val="20"/>
          <w:szCs w:val="20"/>
          <w:color w:val="auto"/>
        </w:rPr>
      </w:pPr>
    </w:p>
    <w:p>
      <w:pPr>
        <w:ind w:left="380" w:right="439" w:firstLine="648"/>
        <w:spacing w:after="0" w:line="259" w:lineRule="auto"/>
        <w:rPr>
          <w:sz w:val="20"/>
          <w:szCs w:val="20"/>
          <w:color w:val="auto"/>
        </w:rPr>
      </w:pPr>
      <w:r>
        <w:rPr>
          <w:rFonts w:ascii="Arial" w:cs="Arial" w:eastAsia="Arial" w:hAnsi="Arial"/>
          <w:sz w:val="18"/>
          <w:szCs w:val="18"/>
          <w:color w:val="auto"/>
        </w:rPr>
        <w:t>Net cash used in financing activities was $62.7 million for the year ended December 31, 2016, compared to $60.1 million for the year ended December 31, 2015, an increase of $2.6 million. The increase in cash used in financing activities was primarily due to the $30.0 million repayment of the senior term loan facility, the payment of debt issuance</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72" w:name="page73"/>
    <w:bookmarkEnd w:id="72"/>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ind w:left="380" w:right="419"/>
        <w:spacing w:after="0" w:line="342" w:lineRule="auto"/>
        <w:rPr>
          <w:sz w:val="20"/>
          <w:szCs w:val="20"/>
          <w:color w:val="auto"/>
        </w:rPr>
      </w:pPr>
      <w:r>
        <w:rPr>
          <w:rFonts w:ascii="Arial" w:cs="Arial" w:eastAsia="Arial" w:hAnsi="Arial"/>
          <w:sz w:val="16"/>
          <w:szCs w:val="16"/>
          <w:color w:val="auto"/>
        </w:rPr>
        <w:t>costs related to the term loan facilities, an increase in dividends paid on our Convertible Preferred Stock and a net decrease in short term borrowings, offset by the repayment of $50.0 million of secured floating rate notes in 2015.</w:t>
      </w:r>
    </w:p>
    <w:p>
      <w:pPr>
        <w:spacing w:after="0" w:line="120" w:lineRule="exact"/>
        <w:rPr>
          <w:sz w:val="20"/>
          <w:szCs w:val="20"/>
          <w:color w:val="auto"/>
        </w:rPr>
      </w:pPr>
    </w:p>
    <w:p>
      <w:pPr>
        <w:ind w:left="380"/>
        <w:spacing w:after="0"/>
        <w:rPr>
          <w:sz w:val="20"/>
          <w:szCs w:val="20"/>
          <w:color w:val="auto"/>
        </w:rPr>
      </w:pPr>
      <w:r>
        <w:rPr>
          <w:rFonts w:ascii="Arial" w:cs="Arial" w:eastAsia="Arial" w:hAnsi="Arial"/>
          <w:sz w:val="18"/>
          <w:szCs w:val="18"/>
          <w:b w:val="1"/>
          <w:bCs w:val="1"/>
          <w:color w:val="auto"/>
        </w:rPr>
        <w:t>Contractual Obligations</w:t>
      </w:r>
    </w:p>
    <w:p>
      <w:pPr>
        <w:spacing w:after="0" w:line="229" w:lineRule="exact"/>
        <w:rPr>
          <w:sz w:val="20"/>
          <w:szCs w:val="20"/>
          <w:color w:val="auto"/>
        </w:rPr>
      </w:pPr>
    </w:p>
    <w:p>
      <w:pPr>
        <w:ind w:left="1040"/>
        <w:spacing w:after="0"/>
        <w:rPr>
          <w:sz w:val="20"/>
          <w:szCs w:val="20"/>
          <w:color w:val="auto"/>
        </w:rPr>
      </w:pPr>
      <w:r>
        <w:rPr>
          <w:rFonts w:ascii="Arial" w:cs="Arial" w:eastAsia="Arial" w:hAnsi="Arial"/>
          <w:sz w:val="17"/>
          <w:szCs w:val="17"/>
          <w:color w:val="auto"/>
        </w:rPr>
        <w:t>The following table summarizes our outstanding contractual obligations as of December 31, 2017:</w:t>
      </w:r>
    </w:p>
    <w:p>
      <w:pPr>
        <w:spacing w:after="0" w:line="255" w:lineRule="exact"/>
        <w:rPr>
          <w:sz w:val="20"/>
          <w:szCs w:val="20"/>
          <w:color w:val="auto"/>
        </w:rPr>
      </w:pPr>
    </w:p>
    <w:tbl>
      <w:tblPr>
        <w:tblLayout w:type="fixed"/>
        <w:tblInd w:w="380" w:type="dxa"/>
        <w:tblCellMar>
          <w:top w:w="0" w:type="dxa"/>
          <w:left w:w="0" w:type="dxa"/>
          <w:bottom w:w="0" w:type="dxa"/>
          <w:right w:w="0" w:type="dxa"/>
        </w:tblCellMar>
      </w:tblPr>
      <w:tr>
        <w:trPr>
          <w:trHeight w:val="171"/>
        </w:trPr>
        <w:tc>
          <w:tcPr>
            <w:tcW w:w="2080" w:type="dxa"/>
            <w:vAlign w:val="bottom"/>
          </w:tcPr>
          <w:p>
            <w:pPr>
              <w:spacing w:after="0"/>
              <w:rPr>
                <w:sz w:val="14"/>
                <w:szCs w:val="14"/>
                <w:color w:val="auto"/>
              </w:rPr>
            </w:pPr>
          </w:p>
        </w:tc>
        <w:tc>
          <w:tcPr>
            <w:tcW w:w="1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620" w:type="dxa"/>
            <w:vAlign w:val="bottom"/>
            <w:tcBorders>
              <w:bottom w:val="single" w:sz="8" w:color="auto"/>
            </w:tcBorders>
            <w:gridSpan w:val="5"/>
          </w:tcPr>
          <w:p>
            <w:pPr>
              <w:jc w:val="right"/>
              <w:spacing w:after="0"/>
              <w:rPr>
                <w:sz w:val="20"/>
                <w:szCs w:val="20"/>
                <w:color w:val="auto"/>
              </w:rPr>
            </w:pPr>
            <w:r>
              <w:rPr>
                <w:rFonts w:ascii="Arial" w:cs="Arial" w:eastAsia="Arial" w:hAnsi="Arial"/>
                <w:sz w:val="14"/>
                <w:szCs w:val="14"/>
                <w:b w:val="1"/>
                <w:bCs w:val="1"/>
                <w:color w:val="auto"/>
                <w:w w:val="93"/>
              </w:rPr>
              <w:t>Payments Due by Period</w:t>
            </w:r>
          </w:p>
        </w:tc>
        <w:tc>
          <w:tcPr>
            <w:tcW w:w="1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r>
      <w:tr>
        <w:trPr>
          <w:trHeight w:val="133"/>
        </w:trPr>
        <w:tc>
          <w:tcPr>
            <w:tcW w:w="2080" w:type="dxa"/>
            <w:vAlign w:val="bottom"/>
          </w:tcPr>
          <w:p>
            <w:pPr>
              <w:spacing w:after="0"/>
              <w:rPr>
                <w:sz w:val="11"/>
                <w:szCs w:val="11"/>
                <w:color w:val="auto"/>
              </w:rPr>
            </w:pPr>
          </w:p>
        </w:tc>
        <w:tc>
          <w:tcPr>
            <w:tcW w:w="1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40" w:type="dxa"/>
            <w:vAlign w:val="bottom"/>
            <w:gridSpan w:val="2"/>
          </w:tcPr>
          <w:p>
            <w:pPr>
              <w:jc w:val="right"/>
              <w:spacing w:after="0" w:line="133" w:lineRule="exact"/>
              <w:rPr>
                <w:sz w:val="20"/>
                <w:szCs w:val="20"/>
                <w:color w:val="auto"/>
              </w:rPr>
            </w:pPr>
            <w:r>
              <w:rPr>
                <w:rFonts w:ascii="Arial" w:cs="Arial" w:eastAsia="Arial" w:hAnsi="Arial"/>
                <w:sz w:val="14"/>
                <w:szCs w:val="14"/>
                <w:b w:val="1"/>
                <w:bCs w:val="1"/>
                <w:color w:val="auto"/>
                <w:w w:val="97"/>
              </w:rPr>
              <w:t>Less than</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60" w:type="dxa"/>
            <w:vAlign w:val="bottom"/>
          </w:tcPr>
          <w:p>
            <w:pPr>
              <w:jc w:val="center"/>
              <w:ind w:right="14"/>
              <w:spacing w:after="0" w:line="133" w:lineRule="exact"/>
              <w:rPr>
                <w:sz w:val="20"/>
                <w:szCs w:val="20"/>
                <w:color w:val="auto"/>
              </w:rPr>
            </w:pPr>
            <w:r>
              <w:rPr>
                <w:rFonts w:ascii="Arial" w:cs="Arial" w:eastAsia="Arial" w:hAnsi="Arial"/>
                <w:sz w:val="14"/>
                <w:szCs w:val="14"/>
                <w:b w:val="1"/>
                <w:bCs w:val="1"/>
                <w:color w:val="auto"/>
                <w:w w:val="98"/>
              </w:rPr>
              <w:t>1-3</w:t>
            </w:r>
          </w:p>
        </w:tc>
        <w:tc>
          <w:tcPr>
            <w:tcW w:w="100" w:type="dxa"/>
            <w:vAlign w:val="bottom"/>
          </w:tcPr>
          <w:p>
            <w:pPr>
              <w:spacing w:after="0"/>
              <w:rPr>
                <w:sz w:val="11"/>
                <w:szCs w:val="11"/>
                <w:color w:val="auto"/>
              </w:rPr>
            </w:pPr>
          </w:p>
        </w:tc>
        <w:tc>
          <w:tcPr>
            <w:tcW w:w="780" w:type="dxa"/>
            <w:vAlign w:val="bottom"/>
            <w:gridSpan w:val="2"/>
          </w:tcPr>
          <w:p>
            <w:pPr>
              <w:jc w:val="right"/>
              <w:ind w:right="196"/>
              <w:spacing w:after="0" w:line="133" w:lineRule="exact"/>
              <w:rPr>
                <w:sz w:val="20"/>
                <w:szCs w:val="20"/>
                <w:color w:val="auto"/>
              </w:rPr>
            </w:pPr>
            <w:r>
              <w:rPr>
                <w:rFonts w:ascii="Arial" w:cs="Arial" w:eastAsia="Arial" w:hAnsi="Arial"/>
                <w:sz w:val="14"/>
                <w:szCs w:val="14"/>
                <w:b w:val="1"/>
                <w:bCs w:val="1"/>
                <w:color w:val="auto"/>
              </w:rPr>
              <w:t>4-5</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60" w:type="dxa"/>
            <w:vAlign w:val="bottom"/>
          </w:tcPr>
          <w:p>
            <w:pPr>
              <w:jc w:val="right"/>
              <w:ind w:right="134"/>
              <w:spacing w:after="0" w:line="133" w:lineRule="exact"/>
              <w:rPr>
                <w:sz w:val="20"/>
                <w:szCs w:val="20"/>
                <w:color w:val="auto"/>
              </w:rPr>
            </w:pPr>
            <w:r>
              <w:rPr>
                <w:rFonts w:ascii="Arial" w:cs="Arial" w:eastAsia="Arial" w:hAnsi="Arial"/>
                <w:sz w:val="14"/>
                <w:szCs w:val="14"/>
                <w:b w:val="1"/>
                <w:bCs w:val="1"/>
                <w:color w:val="auto"/>
              </w:rPr>
              <w:t>After</w:t>
            </w:r>
          </w:p>
        </w:tc>
      </w:tr>
      <w:tr>
        <w:trPr>
          <w:trHeight w:val="171"/>
        </w:trPr>
        <w:tc>
          <w:tcPr>
            <w:tcW w:w="2080" w:type="dxa"/>
            <w:vAlign w:val="bottom"/>
          </w:tcPr>
          <w:p>
            <w:pPr>
              <w:spacing w:after="0"/>
              <w:rPr>
                <w:sz w:val="14"/>
                <w:szCs w:val="14"/>
                <w:color w:val="auto"/>
              </w:rPr>
            </w:pPr>
          </w:p>
        </w:tc>
        <w:tc>
          <w:tcPr>
            <w:tcW w:w="1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40" w:type="dxa"/>
            <w:vAlign w:val="bottom"/>
            <w:tcBorders>
              <w:bottom w:val="single" w:sz="8" w:color="auto"/>
            </w:tcBorders>
          </w:tcPr>
          <w:p>
            <w:pPr>
              <w:jc w:val="right"/>
              <w:ind w:right="139"/>
              <w:spacing w:after="0"/>
              <w:rPr>
                <w:sz w:val="20"/>
                <w:szCs w:val="20"/>
                <w:color w:val="auto"/>
              </w:rPr>
            </w:pPr>
            <w:r>
              <w:rPr>
                <w:rFonts w:ascii="Arial" w:cs="Arial" w:eastAsia="Arial" w:hAnsi="Arial"/>
                <w:sz w:val="14"/>
                <w:szCs w:val="14"/>
                <w:b w:val="1"/>
                <w:bCs w:val="1"/>
                <w:color w:val="auto"/>
              </w:rPr>
              <w:t>Total</w:t>
            </w:r>
          </w:p>
        </w:tc>
        <w:tc>
          <w:tcPr>
            <w:tcW w:w="1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jc w:val="right"/>
              <w:ind w:right="92"/>
              <w:spacing w:after="0"/>
              <w:rPr>
                <w:sz w:val="20"/>
                <w:szCs w:val="20"/>
                <w:color w:val="auto"/>
              </w:rPr>
            </w:pPr>
            <w:r>
              <w:rPr>
                <w:rFonts w:ascii="Arial" w:cs="Arial" w:eastAsia="Arial" w:hAnsi="Arial"/>
                <w:sz w:val="14"/>
                <w:szCs w:val="14"/>
                <w:b w:val="1"/>
                <w:bCs w:val="1"/>
                <w:color w:val="auto"/>
              </w:rPr>
              <w:t>1 Year</w:t>
            </w:r>
          </w:p>
        </w:tc>
        <w:tc>
          <w:tcPr>
            <w:tcW w:w="1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gridSpan w:val="2"/>
          </w:tcPr>
          <w:p>
            <w:pPr>
              <w:jc w:val="center"/>
              <w:ind w:right="200"/>
              <w:spacing w:after="0"/>
              <w:rPr>
                <w:sz w:val="20"/>
                <w:szCs w:val="20"/>
                <w:color w:val="auto"/>
              </w:rPr>
            </w:pPr>
            <w:r>
              <w:rPr>
                <w:rFonts w:ascii="Arial" w:cs="Arial" w:eastAsia="Arial" w:hAnsi="Arial"/>
                <w:sz w:val="14"/>
                <w:szCs w:val="14"/>
                <w:b w:val="1"/>
                <w:bCs w:val="1"/>
                <w:color w:val="auto"/>
                <w:w w:val="94"/>
              </w:rPr>
              <w:t>Years</w:t>
            </w:r>
          </w:p>
        </w:tc>
        <w:tc>
          <w:tcPr>
            <w:tcW w:w="4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116"/>
              <w:spacing w:after="0"/>
              <w:rPr>
                <w:sz w:val="20"/>
                <w:szCs w:val="20"/>
                <w:color w:val="auto"/>
              </w:rPr>
            </w:pPr>
            <w:r>
              <w:rPr>
                <w:rFonts w:ascii="Arial" w:cs="Arial" w:eastAsia="Arial" w:hAnsi="Arial"/>
                <w:sz w:val="14"/>
                <w:szCs w:val="14"/>
                <w:b w:val="1"/>
                <w:bCs w:val="1"/>
                <w:color w:val="auto"/>
              </w:rPr>
              <w:t>Years</w:t>
            </w:r>
          </w:p>
        </w:tc>
        <w:tc>
          <w:tcPr>
            <w:tcW w:w="1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jc w:val="right"/>
              <w:ind w:right="74"/>
              <w:spacing w:after="0"/>
              <w:rPr>
                <w:sz w:val="20"/>
                <w:szCs w:val="20"/>
                <w:color w:val="auto"/>
              </w:rPr>
            </w:pPr>
            <w:r>
              <w:rPr>
                <w:rFonts w:ascii="Arial" w:cs="Arial" w:eastAsia="Arial" w:hAnsi="Arial"/>
                <w:sz w:val="14"/>
                <w:szCs w:val="14"/>
                <w:b w:val="1"/>
                <w:bCs w:val="1"/>
                <w:color w:val="auto"/>
                <w:w w:val="96"/>
              </w:rPr>
              <w:t>5 Years</w:t>
            </w:r>
          </w:p>
        </w:tc>
      </w:tr>
      <w:tr>
        <w:trPr>
          <w:trHeight w:val="142"/>
        </w:trPr>
        <w:tc>
          <w:tcPr>
            <w:tcW w:w="2080" w:type="dxa"/>
            <w:vAlign w:val="bottom"/>
          </w:tcPr>
          <w:p>
            <w:pPr>
              <w:spacing w:after="0"/>
              <w:rPr>
                <w:sz w:val="12"/>
                <w:szCs w:val="12"/>
                <w:color w:val="auto"/>
              </w:rPr>
            </w:pPr>
          </w:p>
        </w:tc>
        <w:tc>
          <w:tcPr>
            <w:tcW w:w="17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000" w:type="dxa"/>
            <w:vAlign w:val="bottom"/>
            <w:gridSpan w:val="4"/>
          </w:tcPr>
          <w:p>
            <w:pPr>
              <w:jc w:val="center"/>
              <w:spacing w:after="0" w:line="142" w:lineRule="exact"/>
              <w:rPr>
                <w:sz w:val="20"/>
                <w:szCs w:val="20"/>
                <w:color w:val="auto"/>
              </w:rPr>
            </w:pPr>
            <w:r>
              <w:rPr>
                <w:rFonts w:ascii="Arial" w:cs="Arial" w:eastAsia="Arial" w:hAnsi="Arial"/>
                <w:sz w:val="14"/>
                <w:szCs w:val="14"/>
                <w:b w:val="1"/>
                <w:bCs w:val="1"/>
                <w:color w:val="auto"/>
                <w:w w:val="91"/>
              </w:rPr>
              <w:t>(in thousands)</w:t>
            </w:r>
          </w:p>
        </w:tc>
        <w:tc>
          <w:tcPr>
            <w:tcW w:w="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spacing w:after="0"/>
              <w:rPr>
                <w:sz w:val="12"/>
                <w:szCs w:val="12"/>
                <w:color w:val="auto"/>
              </w:rPr>
            </w:pPr>
          </w:p>
        </w:tc>
      </w:tr>
      <w:tr>
        <w:trPr>
          <w:trHeight w:val="216"/>
        </w:trPr>
        <w:tc>
          <w:tcPr>
            <w:tcW w:w="38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Debt obligations(1)</w:t>
            </w:r>
          </w:p>
        </w:tc>
        <w:tc>
          <w:tcPr>
            <w:tcW w:w="8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$446,563</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26,719</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74,219</w:t>
            </w: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3"/>
              </w:rPr>
              <w:t>$345,625</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16"/>
        </w:trPr>
        <w:tc>
          <w:tcPr>
            <w:tcW w:w="3860" w:type="dxa"/>
            <w:vAlign w:val="bottom"/>
            <w:gridSpan w:val="2"/>
          </w:tcPr>
          <w:p>
            <w:pPr>
              <w:spacing w:after="0"/>
              <w:rPr>
                <w:sz w:val="20"/>
                <w:szCs w:val="20"/>
                <w:color w:val="auto"/>
              </w:rPr>
            </w:pPr>
            <w:r>
              <w:rPr>
                <w:rFonts w:ascii="Arial" w:cs="Arial" w:eastAsia="Arial" w:hAnsi="Arial"/>
                <w:sz w:val="18"/>
                <w:szCs w:val="18"/>
                <w:color w:val="auto"/>
              </w:rPr>
              <w:t>Interest payments related to debt obligations(2)</w:t>
            </w:r>
          </w:p>
        </w:tc>
        <w:tc>
          <w:tcPr>
            <w:tcW w:w="840" w:type="dxa"/>
            <w:vAlign w:val="bottom"/>
            <w:gridSpan w:val="2"/>
          </w:tcPr>
          <w:p>
            <w:pPr>
              <w:jc w:val="right"/>
              <w:spacing w:after="0"/>
              <w:rPr>
                <w:sz w:val="20"/>
                <w:szCs w:val="20"/>
                <w:color w:val="auto"/>
              </w:rPr>
            </w:pPr>
            <w:r>
              <w:rPr>
                <w:rFonts w:ascii="Arial" w:cs="Arial" w:eastAsia="Arial" w:hAnsi="Arial"/>
                <w:sz w:val="18"/>
                <w:szCs w:val="18"/>
                <w:color w:val="auto"/>
              </w:rPr>
              <w:t>49,851</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15,392</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27,450</w:t>
            </w:r>
          </w:p>
        </w:tc>
        <w:tc>
          <w:tcPr>
            <w:tcW w:w="100" w:type="dxa"/>
            <w:vAlign w:val="bottom"/>
          </w:tcPr>
          <w:p>
            <w:pPr>
              <w:spacing w:after="0"/>
              <w:rPr>
                <w:sz w:val="18"/>
                <w:szCs w:val="18"/>
                <w:color w:val="auto"/>
              </w:rPr>
            </w:pPr>
          </w:p>
        </w:tc>
        <w:tc>
          <w:tcPr>
            <w:tcW w:w="780" w:type="dxa"/>
            <w:vAlign w:val="bottom"/>
            <w:gridSpan w:val="2"/>
          </w:tcPr>
          <w:p>
            <w:pPr>
              <w:jc w:val="right"/>
              <w:spacing w:after="0"/>
              <w:rPr>
                <w:sz w:val="20"/>
                <w:szCs w:val="20"/>
                <w:color w:val="auto"/>
              </w:rPr>
            </w:pPr>
            <w:r>
              <w:rPr>
                <w:rFonts w:ascii="Arial" w:cs="Arial" w:eastAsia="Arial" w:hAnsi="Arial"/>
                <w:sz w:val="18"/>
                <w:szCs w:val="18"/>
                <w:color w:val="auto"/>
              </w:rPr>
              <w:t>7,009</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16"/>
        </w:trPr>
        <w:tc>
          <w:tcPr>
            <w:tcW w:w="38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Capital lease obligations</w:t>
            </w:r>
          </w:p>
        </w:tc>
        <w:tc>
          <w:tcPr>
            <w:tcW w:w="8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508</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486</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w:t>
            </w:r>
          </w:p>
        </w:tc>
        <w:tc>
          <w:tcPr>
            <w:tcW w:w="1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16"/>
        </w:trPr>
        <w:tc>
          <w:tcPr>
            <w:tcW w:w="3860" w:type="dxa"/>
            <w:vAlign w:val="bottom"/>
            <w:gridSpan w:val="2"/>
          </w:tcPr>
          <w:p>
            <w:pPr>
              <w:spacing w:after="0"/>
              <w:rPr>
                <w:sz w:val="20"/>
                <w:szCs w:val="20"/>
                <w:color w:val="auto"/>
              </w:rPr>
            </w:pPr>
            <w:r>
              <w:rPr>
                <w:rFonts w:ascii="Arial" w:cs="Arial" w:eastAsia="Arial" w:hAnsi="Arial"/>
                <w:sz w:val="18"/>
                <w:szCs w:val="18"/>
                <w:color w:val="auto"/>
                <w:w w:val="92"/>
              </w:rPr>
              <w:t>Pension and other postretirement benefit obligations</w:t>
            </w:r>
          </w:p>
        </w:tc>
        <w:tc>
          <w:tcPr>
            <w:tcW w:w="840" w:type="dxa"/>
            <w:vAlign w:val="bottom"/>
            <w:gridSpan w:val="2"/>
          </w:tcPr>
          <w:p>
            <w:pPr>
              <w:jc w:val="right"/>
              <w:spacing w:after="0"/>
              <w:rPr>
                <w:sz w:val="20"/>
                <w:szCs w:val="20"/>
                <w:color w:val="auto"/>
              </w:rPr>
            </w:pPr>
            <w:r>
              <w:rPr>
                <w:rFonts w:ascii="Arial" w:cs="Arial" w:eastAsia="Arial" w:hAnsi="Arial"/>
                <w:sz w:val="18"/>
                <w:szCs w:val="18"/>
                <w:color w:val="auto"/>
              </w:rPr>
              <w:t>277,526</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37,254</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44,418</w:t>
            </w:r>
          </w:p>
        </w:tc>
        <w:tc>
          <w:tcPr>
            <w:tcW w:w="100" w:type="dxa"/>
            <w:vAlign w:val="bottom"/>
          </w:tcPr>
          <w:p>
            <w:pPr>
              <w:spacing w:after="0"/>
              <w:rPr>
                <w:sz w:val="18"/>
                <w:szCs w:val="18"/>
                <w:color w:val="auto"/>
              </w:rPr>
            </w:pPr>
          </w:p>
        </w:tc>
        <w:tc>
          <w:tcPr>
            <w:tcW w:w="780" w:type="dxa"/>
            <w:vAlign w:val="bottom"/>
            <w:gridSpan w:val="2"/>
          </w:tcPr>
          <w:p>
            <w:pPr>
              <w:jc w:val="right"/>
              <w:spacing w:after="0"/>
              <w:rPr>
                <w:sz w:val="20"/>
                <w:szCs w:val="20"/>
                <w:color w:val="auto"/>
              </w:rPr>
            </w:pPr>
            <w:r>
              <w:rPr>
                <w:rFonts w:ascii="Arial" w:cs="Arial" w:eastAsia="Arial" w:hAnsi="Arial"/>
                <w:sz w:val="18"/>
                <w:szCs w:val="18"/>
                <w:color w:val="auto"/>
              </w:rPr>
              <w:t>50,554</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w w:val="89"/>
              </w:rPr>
              <w:t>145,300</w:t>
            </w:r>
          </w:p>
        </w:tc>
      </w:tr>
      <w:tr>
        <w:trPr>
          <w:trHeight w:val="216"/>
        </w:trPr>
        <w:tc>
          <w:tcPr>
            <w:tcW w:w="38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Purchase obligations(3)</w:t>
            </w:r>
          </w:p>
        </w:tc>
        <w:tc>
          <w:tcPr>
            <w:tcW w:w="8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155,610</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141,278</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13,925</w:t>
            </w: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407</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16"/>
        </w:trPr>
        <w:tc>
          <w:tcPr>
            <w:tcW w:w="3860" w:type="dxa"/>
            <w:vAlign w:val="bottom"/>
            <w:gridSpan w:val="2"/>
          </w:tcPr>
          <w:p>
            <w:pPr>
              <w:spacing w:after="0"/>
              <w:rPr>
                <w:sz w:val="20"/>
                <w:szCs w:val="20"/>
                <w:color w:val="auto"/>
              </w:rPr>
            </w:pPr>
            <w:r>
              <w:rPr>
                <w:rFonts w:ascii="Arial" w:cs="Arial" w:eastAsia="Arial" w:hAnsi="Arial"/>
                <w:sz w:val="18"/>
                <w:szCs w:val="18"/>
                <w:color w:val="auto"/>
              </w:rPr>
              <w:t>Operating lease obligations(4)</w:t>
            </w:r>
          </w:p>
        </w:tc>
        <w:tc>
          <w:tcPr>
            <w:tcW w:w="840" w:type="dxa"/>
            <w:vAlign w:val="bottom"/>
            <w:gridSpan w:val="2"/>
          </w:tcPr>
          <w:p>
            <w:pPr>
              <w:jc w:val="right"/>
              <w:spacing w:after="0"/>
              <w:rPr>
                <w:sz w:val="20"/>
                <w:szCs w:val="20"/>
                <w:color w:val="auto"/>
              </w:rPr>
            </w:pPr>
            <w:r>
              <w:rPr>
                <w:rFonts w:ascii="Arial" w:cs="Arial" w:eastAsia="Arial" w:hAnsi="Arial"/>
                <w:sz w:val="18"/>
                <w:szCs w:val="18"/>
                <w:color w:val="auto"/>
              </w:rPr>
              <w:t>55,745</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12,119</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18,733</w:t>
            </w:r>
          </w:p>
        </w:tc>
        <w:tc>
          <w:tcPr>
            <w:tcW w:w="100" w:type="dxa"/>
            <w:vAlign w:val="bottom"/>
          </w:tcPr>
          <w:p>
            <w:pPr>
              <w:spacing w:after="0"/>
              <w:rPr>
                <w:sz w:val="18"/>
                <w:szCs w:val="18"/>
                <w:color w:val="auto"/>
              </w:rPr>
            </w:pPr>
          </w:p>
        </w:tc>
        <w:tc>
          <w:tcPr>
            <w:tcW w:w="780" w:type="dxa"/>
            <w:vAlign w:val="bottom"/>
            <w:gridSpan w:val="2"/>
          </w:tcPr>
          <w:p>
            <w:pPr>
              <w:jc w:val="right"/>
              <w:spacing w:after="0"/>
              <w:rPr>
                <w:sz w:val="20"/>
                <w:szCs w:val="20"/>
                <w:color w:val="auto"/>
              </w:rPr>
            </w:pPr>
            <w:r>
              <w:rPr>
                <w:rFonts w:ascii="Arial" w:cs="Arial" w:eastAsia="Arial" w:hAnsi="Arial"/>
                <w:sz w:val="18"/>
                <w:szCs w:val="18"/>
                <w:color w:val="auto"/>
              </w:rPr>
              <w:t>10,475</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14,418</w:t>
            </w:r>
          </w:p>
        </w:tc>
      </w:tr>
      <w:tr>
        <w:trPr>
          <w:trHeight w:val="217"/>
        </w:trPr>
        <w:tc>
          <w:tcPr>
            <w:tcW w:w="3860" w:type="dxa"/>
            <w:vAlign w:val="bottom"/>
            <w:tcBorders>
              <w:top w:val="single" w:sz="8" w:color="CCEEFF"/>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Total</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u w:val="single" w:color="auto"/>
                <w:color w:val="auto"/>
                <w:w w:val="87"/>
              </w:rPr>
              <w:t>$</w:t>
            </w:r>
            <w:r>
              <w:rPr>
                <w:rFonts w:ascii="Arial" w:cs="Arial" w:eastAsia="Arial" w:hAnsi="Arial"/>
                <w:sz w:val="18"/>
                <w:szCs w:val="18"/>
                <w:color w:val="auto"/>
                <w:w w:val="87"/>
              </w:rPr>
              <w:t>985,803</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6"/>
              </w:rPr>
              <w:t>233,248</w:t>
            </w: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178,767</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40" w:type="dxa"/>
            <w:vAlign w:val="bottom"/>
            <w:tcBorders>
              <w:top w:val="single" w:sz="8" w:color="CCEEFF"/>
              <w:bottom w:val="single" w:sz="8" w:color="CCEEFF"/>
            </w:tcBorders>
            <w:shd w:val="clear" w:color="auto" w:fill="CCEEFF"/>
          </w:tcPr>
          <w:p>
            <w:pPr>
              <w:spacing w:after="0"/>
              <w:rPr>
                <w:sz w:val="18"/>
                <w:szCs w:val="18"/>
                <w:color w:val="auto"/>
              </w:rPr>
            </w:pP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u w:val="single" w:color="auto"/>
                <w:color w:val="auto"/>
                <w:w w:val="87"/>
              </w:rPr>
              <w:t>$</w:t>
            </w:r>
            <w:r>
              <w:rPr>
                <w:rFonts w:ascii="Arial" w:cs="Arial" w:eastAsia="Arial" w:hAnsi="Arial"/>
                <w:sz w:val="18"/>
                <w:szCs w:val="18"/>
                <w:color w:val="auto"/>
                <w:w w:val="87"/>
              </w:rPr>
              <w:t>414,070</w:t>
            </w: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159,718</w:t>
            </w:r>
          </w:p>
        </w:tc>
      </w:tr>
      <w:tr>
        <w:trPr>
          <w:trHeight w:val="122"/>
        </w:trPr>
        <w:tc>
          <w:tcPr>
            <w:tcW w:w="2080" w:type="dxa"/>
            <w:vAlign w:val="bottom"/>
            <w:tcBorders>
              <w:bottom w:val="single" w:sz="8" w:color="auto"/>
            </w:tcBorders>
          </w:tcPr>
          <w:p>
            <w:pPr>
              <w:spacing w:after="0"/>
              <w:rPr>
                <w:sz w:val="10"/>
                <w:szCs w:val="10"/>
                <w:color w:val="auto"/>
              </w:rPr>
            </w:pPr>
          </w:p>
        </w:tc>
        <w:tc>
          <w:tcPr>
            <w:tcW w:w="17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60" w:type="dxa"/>
            <w:vAlign w:val="bottom"/>
          </w:tcPr>
          <w:p>
            <w:pPr>
              <w:spacing w:after="0"/>
              <w:rPr>
                <w:sz w:val="10"/>
                <w:szCs w:val="10"/>
                <w:color w:val="auto"/>
              </w:rPr>
            </w:pPr>
          </w:p>
        </w:tc>
      </w:tr>
    </w:tbl>
    <w:p>
      <w:pPr>
        <w:spacing w:after="0" w:line="94" w:lineRule="exact"/>
        <w:rPr>
          <w:sz w:val="20"/>
          <w:szCs w:val="20"/>
          <w:color w:val="auto"/>
        </w:rPr>
      </w:pPr>
    </w:p>
    <w:p>
      <w:pPr>
        <w:ind w:left="700" w:right="719" w:hanging="318"/>
        <w:spacing w:after="0" w:line="223" w:lineRule="exact"/>
        <w:tabs>
          <w:tab w:leader="none" w:pos="7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Long</w:t>
      </w:r>
      <w:r>
        <w:rPr>
          <w:rFonts w:ascii="MS PGothic" w:cs="MS PGothic" w:eastAsia="MS PGothic" w:hAnsi="MS PGothic"/>
          <w:sz w:val="18"/>
          <w:szCs w:val="18"/>
          <w:color w:val="auto"/>
        </w:rPr>
        <w:t>‑</w:t>
      </w:r>
      <w:r>
        <w:rPr>
          <w:rFonts w:ascii="Arial" w:cs="Arial" w:eastAsia="Arial" w:hAnsi="Arial"/>
          <w:sz w:val="18"/>
          <w:szCs w:val="18"/>
          <w:color w:val="auto"/>
        </w:rPr>
        <w:t>term debt obligations consisted of the outstanding principal of the term loan and delayed draw term loan A facility.</w:t>
      </w:r>
    </w:p>
    <w:p>
      <w:pPr>
        <w:spacing w:after="0" w:line="203" w:lineRule="exact"/>
        <w:rPr>
          <w:rFonts w:ascii="Arial" w:cs="Arial" w:eastAsia="Arial" w:hAnsi="Arial"/>
          <w:sz w:val="18"/>
          <w:szCs w:val="18"/>
          <w:color w:val="auto"/>
        </w:rPr>
      </w:pPr>
    </w:p>
    <w:p>
      <w:pPr>
        <w:ind w:left="700" w:right="539" w:hanging="318"/>
        <w:spacing w:after="0" w:line="264" w:lineRule="auto"/>
        <w:tabs>
          <w:tab w:leader="none" w:pos="7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Future interest payments are calculated based on the assumption all debt remains outstanding until maturity. Interest on credit facility assumes the interest rate in effect at December 31, 2017 and includes unused commitment fees.</w:t>
      </w:r>
    </w:p>
    <w:p>
      <w:pPr>
        <w:spacing w:after="0" w:line="181" w:lineRule="exact"/>
        <w:rPr>
          <w:rFonts w:ascii="Arial" w:cs="Arial" w:eastAsia="Arial" w:hAnsi="Arial"/>
          <w:sz w:val="18"/>
          <w:szCs w:val="18"/>
          <w:color w:val="auto"/>
        </w:rPr>
      </w:pPr>
    </w:p>
    <w:p>
      <w:pPr>
        <w:ind w:left="700" w:right="399" w:hanging="318"/>
        <w:spacing w:after="0" w:line="257" w:lineRule="auto"/>
        <w:tabs>
          <w:tab w:leader="none" w:pos="7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During the normal course of our business, we enter into agreements to purchase goods and services, including purchase commitments for production materials, finished goods inventory, capital expenditures and endorsement arrangements with professional golfers. The amounts reported in the table above exclude those liabilities included in accounts payable or accrued liabilities on the consolidated balance sheet as of December 31, 2017.</w:t>
      </w:r>
    </w:p>
    <w:p>
      <w:pPr>
        <w:spacing w:after="0" w:line="188" w:lineRule="exact"/>
        <w:rPr>
          <w:rFonts w:ascii="Arial" w:cs="Arial" w:eastAsia="Arial" w:hAnsi="Arial"/>
          <w:sz w:val="18"/>
          <w:szCs w:val="18"/>
          <w:color w:val="auto"/>
        </w:rPr>
      </w:pPr>
    </w:p>
    <w:p>
      <w:pPr>
        <w:ind w:left="700" w:right="479" w:hanging="318"/>
        <w:spacing w:after="0" w:line="259" w:lineRule="auto"/>
        <w:tabs>
          <w:tab w:leader="none" w:pos="7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We lease certain warehouses, distribution and office facilities, vehicles and office equipment under operating leases. Most lease arrangements provide us with the option to renew leases at defined terms. The future operating lease obligations would change if we were to exercise these options or if we were to enter into additional operating leases.</w:t>
      </w:r>
    </w:p>
    <w:p>
      <w:pPr>
        <w:spacing w:after="0" w:line="183" w:lineRule="exact"/>
        <w:rPr>
          <w:sz w:val="20"/>
          <w:szCs w:val="20"/>
          <w:color w:val="auto"/>
        </w:rPr>
      </w:pPr>
    </w:p>
    <w:p>
      <w:pPr>
        <w:ind w:left="380"/>
        <w:spacing w:after="0" w:line="207" w:lineRule="exact"/>
        <w:rPr>
          <w:sz w:val="20"/>
          <w:szCs w:val="20"/>
          <w:color w:val="auto"/>
        </w:rPr>
      </w:pPr>
      <w:r>
        <w:rPr>
          <w:rFonts w:ascii="Arial" w:cs="Arial" w:eastAsia="Arial" w:hAnsi="Arial"/>
          <w:sz w:val="18"/>
          <w:szCs w:val="18"/>
          <w:b w:val="1"/>
          <w:bCs w:val="1"/>
          <w:color w:val="auto"/>
        </w:rPr>
        <w:t>Off</w:t>
      </w:r>
      <w:r>
        <w:rPr>
          <w:rFonts w:ascii="MS PGothic" w:cs="MS PGothic" w:eastAsia="MS PGothic" w:hAnsi="MS PGothic"/>
          <w:sz w:val="18"/>
          <w:szCs w:val="18"/>
          <w:b w:val="1"/>
          <w:bCs w:val="1"/>
          <w:color w:val="auto"/>
        </w:rPr>
        <w:t>‑</w:t>
      </w:r>
      <w:r>
        <w:rPr>
          <w:rFonts w:ascii="Arial" w:cs="Arial" w:eastAsia="Arial" w:hAnsi="Arial"/>
          <w:sz w:val="18"/>
          <w:szCs w:val="18"/>
          <w:b w:val="1"/>
          <w:bCs w:val="1"/>
          <w:color w:val="auto"/>
        </w:rPr>
        <w:t>Balance Sheet Arrangements</w:t>
      </w:r>
    </w:p>
    <w:p>
      <w:pPr>
        <w:spacing w:after="0" w:line="229" w:lineRule="exact"/>
        <w:rPr>
          <w:sz w:val="20"/>
          <w:szCs w:val="20"/>
          <w:color w:val="auto"/>
        </w:rPr>
      </w:pPr>
    </w:p>
    <w:p>
      <w:pPr>
        <w:ind w:left="380" w:right="799" w:firstLine="648"/>
        <w:spacing w:after="0" w:line="264" w:lineRule="auto"/>
        <w:rPr>
          <w:sz w:val="20"/>
          <w:szCs w:val="20"/>
          <w:color w:val="auto"/>
        </w:rPr>
      </w:pPr>
      <w:r>
        <w:rPr>
          <w:rFonts w:ascii="Arial" w:cs="Arial" w:eastAsia="Arial" w:hAnsi="Arial"/>
          <w:sz w:val="18"/>
          <w:szCs w:val="18"/>
          <w:color w:val="auto"/>
        </w:rPr>
        <w:t>As of December 31, 2017, we did not have any off-balance sheet arrangements that have, or are reasonably likely to have, a current or future effect on our financial condition, results of operations, liquidity, capital expenditures or capital resources.</w:t>
      </w:r>
    </w:p>
    <w:p>
      <w:pPr>
        <w:spacing w:after="0" w:line="177" w:lineRule="exact"/>
        <w:rPr>
          <w:sz w:val="20"/>
          <w:szCs w:val="20"/>
          <w:color w:val="auto"/>
        </w:rPr>
      </w:pPr>
    </w:p>
    <w:p>
      <w:pPr>
        <w:ind w:left="380"/>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229" w:lineRule="exact"/>
        <w:rPr>
          <w:sz w:val="20"/>
          <w:szCs w:val="20"/>
          <w:color w:val="auto"/>
        </w:rPr>
      </w:pPr>
    </w:p>
    <w:p>
      <w:pPr>
        <w:ind w:left="380" w:right="479" w:firstLine="648"/>
        <w:spacing w:after="0" w:line="290" w:lineRule="auto"/>
        <w:rPr>
          <w:sz w:val="20"/>
          <w:szCs w:val="20"/>
          <w:color w:val="auto"/>
        </w:rPr>
      </w:pPr>
      <w:r>
        <w:rPr>
          <w:rFonts w:ascii="Arial" w:cs="Arial" w:eastAsia="Arial" w:hAnsi="Arial"/>
          <w:sz w:val="16"/>
          <w:szCs w:val="16"/>
          <w:color w:val="auto"/>
        </w:rPr>
        <w:t>Our discussion and analysis of results of operations, financial condition and liquidity are based upon our consolidated financial statements, which have been prepared in accordance with accounting principles generally accepted in the United States. The preparation of these consolidated financial statements requires us to make estimates and judgments that affect the reported amounts of assets, liabilities, shareholders’ equity, net sales and expenses, and the disclosure of contingent assets and liabilities in our consolidated financial statements. We base our estimates on historical experience, known trends and events, and various other factors that we believe are reasonable under the circumstances, the results of which form the basis for making judgments about the carrying values of assets and liabilities that are not readily apparent from other sources.</w:t>
      </w:r>
    </w:p>
    <w:p>
      <w:pPr>
        <w:spacing w:after="0" w:line="166" w:lineRule="exact"/>
        <w:rPr>
          <w:sz w:val="20"/>
          <w:szCs w:val="20"/>
          <w:color w:val="auto"/>
        </w:rPr>
      </w:pPr>
    </w:p>
    <w:p>
      <w:pPr>
        <w:ind w:left="380" w:right="679" w:firstLine="648"/>
        <w:spacing w:after="0" w:line="272" w:lineRule="auto"/>
        <w:rPr>
          <w:sz w:val="20"/>
          <w:szCs w:val="20"/>
          <w:color w:val="auto"/>
        </w:rPr>
      </w:pPr>
      <w:r>
        <w:rPr>
          <w:rFonts w:ascii="Arial" w:cs="Arial" w:eastAsia="Arial" w:hAnsi="Arial"/>
          <w:sz w:val="17"/>
          <w:szCs w:val="17"/>
          <w:color w:val="auto"/>
        </w:rPr>
        <w:t>Management evaluated the development and selection of its critical accounting policies and estimates and believes that the following involve a higher degree of judgment or complexity and are most significant to reporting our results of operations and financial position, and are therefore discussed as critical. The following critical accounting policies reflect the significant estimates and judgments used in the preparation of our consolidated financial statements. With respect to critical accounting policies, even a relatively minor variance between actual and expected experience can potentially have a materially favorable or unfavorable impact on subsequent results of operations. However, our</w:t>
      </w:r>
    </w:p>
    <w:p>
      <w:pPr>
        <w:spacing w:after="0" w:line="175"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73" w:name="page74"/>
    <w:bookmarkEnd w:id="73"/>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380" w:right="399"/>
        <w:spacing w:after="0" w:line="286" w:lineRule="auto"/>
        <w:rPr>
          <w:sz w:val="20"/>
          <w:szCs w:val="20"/>
          <w:color w:val="auto"/>
        </w:rPr>
      </w:pPr>
      <w:r>
        <w:rPr>
          <w:rFonts w:ascii="Arial" w:cs="Arial" w:eastAsia="Arial" w:hAnsi="Arial"/>
          <w:sz w:val="17"/>
          <w:szCs w:val="17"/>
          <w:color w:val="auto"/>
        </w:rPr>
        <w:t>historical results for the periods presented in our consolidated financial statements have not been materially impacted by such variances. More information on all of our significant accounting policies can be found in “Notes to Consolidated Financial Statements – Note 2—Summary of Significant Accounting Policies.”</w:t>
      </w:r>
    </w:p>
    <w:p>
      <w:pPr>
        <w:spacing w:after="0" w:line="166" w:lineRule="exact"/>
        <w:rPr>
          <w:sz w:val="20"/>
          <w:szCs w:val="20"/>
          <w:color w:val="auto"/>
        </w:rPr>
      </w:pPr>
    </w:p>
    <w:p>
      <w:pPr>
        <w:ind w:left="1040"/>
        <w:spacing w:after="0"/>
        <w:rPr>
          <w:sz w:val="20"/>
          <w:szCs w:val="20"/>
          <w:color w:val="auto"/>
        </w:rPr>
      </w:pPr>
      <w:r>
        <w:rPr>
          <w:rFonts w:ascii="Arial" w:cs="Arial" w:eastAsia="Arial" w:hAnsi="Arial"/>
          <w:sz w:val="18"/>
          <w:szCs w:val="18"/>
          <w:b w:val="1"/>
          <w:bCs w:val="1"/>
          <w:i w:val="1"/>
          <w:iCs w:val="1"/>
          <w:color w:val="auto"/>
        </w:rPr>
        <w:t>Revenue Recognition</w:t>
      </w:r>
    </w:p>
    <w:p>
      <w:pPr>
        <w:spacing w:after="0" w:line="225" w:lineRule="exact"/>
        <w:rPr>
          <w:sz w:val="20"/>
          <w:szCs w:val="20"/>
          <w:color w:val="auto"/>
        </w:rPr>
      </w:pPr>
    </w:p>
    <w:p>
      <w:pPr>
        <w:ind w:left="380" w:right="439" w:firstLine="648"/>
        <w:spacing w:after="0" w:line="269" w:lineRule="auto"/>
        <w:rPr>
          <w:sz w:val="20"/>
          <w:szCs w:val="20"/>
          <w:color w:val="auto"/>
        </w:rPr>
      </w:pPr>
      <w:r>
        <w:rPr>
          <w:rFonts w:ascii="Arial" w:cs="Arial" w:eastAsia="Arial" w:hAnsi="Arial"/>
          <w:sz w:val="17"/>
          <w:szCs w:val="17"/>
          <w:color w:val="auto"/>
        </w:rPr>
        <w:t>We recognize revenue upon shipment or upon receipt by the customer, depending on the country of sale and the agreement with the customer, net of an allowance for discounts, sales returns, customer sales incentives and cooperative advertising. The criteria for recognition of revenue is met when persuasive evidence that an arrangement exists, both title and risk of loss have passed to the customer, the price is fixed or determinable and collectability is reasonably assured. In circumstances where either title or risk of loss pass upon receipt by the customer, we defer revenue until such event occurs based on our estimate of the shipping time from our distribution centers to the customer using historical and expected delivery times by geographic location. Delivery times vary by geographic location, but generally range from the same day to four days. We review these estimates periodically to test their reasonableness as compared to actual transactions. Historically, our actual shipping times have not been materially different from our estimates. Amounts billed to customers for shipping and handling are included in net sales. Sales tax collected is not recognized as revenue as it is ultimately remitted to governmental authorities.</w:t>
      </w:r>
    </w:p>
    <w:p>
      <w:pPr>
        <w:spacing w:after="0" w:line="180" w:lineRule="exact"/>
        <w:rPr>
          <w:sz w:val="20"/>
          <w:szCs w:val="20"/>
          <w:color w:val="auto"/>
        </w:rPr>
      </w:pPr>
    </w:p>
    <w:p>
      <w:pPr>
        <w:ind w:left="380" w:right="499" w:firstLine="648"/>
        <w:spacing w:after="0" w:line="257" w:lineRule="auto"/>
        <w:rPr>
          <w:sz w:val="20"/>
          <w:szCs w:val="20"/>
          <w:color w:val="auto"/>
        </w:rPr>
      </w:pPr>
      <w:r>
        <w:rPr>
          <w:rFonts w:ascii="Arial" w:cs="Arial" w:eastAsia="Arial" w:hAnsi="Arial"/>
          <w:sz w:val="18"/>
          <w:szCs w:val="18"/>
          <w:color w:val="auto"/>
        </w:rPr>
        <w:t>We record an allowance for anticipated sales returns through a reduction of sales and cost of goods sold in the period that the related sales are recorded. Sales returns are estimated based upon historical rates of product returns, current economic trends and changes in customer demands as well as specific identification of outstanding returns. If the actual cost of sales returns are significantly different than the estimated allowance, our results of operations could be materially affected.</w:t>
      </w:r>
    </w:p>
    <w:p>
      <w:pPr>
        <w:spacing w:after="0" w:line="188" w:lineRule="exact"/>
        <w:rPr>
          <w:sz w:val="20"/>
          <w:szCs w:val="20"/>
          <w:color w:val="auto"/>
        </w:rPr>
      </w:pPr>
    </w:p>
    <w:p>
      <w:pPr>
        <w:ind w:left="380" w:right="479" w:firstLine="648"/>
        <w:spacing w:after="0" w:line="218" w:lineRule="exact"/>
        <w:rPr>
          <w:sz w:val="20"/>
          <w:szCs w:val="20"/>
          <w:color w:val="auto"/>
        </w:rPr>
      </w:pPr>
      <w:r>
        <w:rPr>
          <w:rFonts w:ascii="Arial" w:cs="Arial" w:eastAsia="Arial" w:hAnsi="Arial"/>
          <w:sz w:val="16"/>
          <w:szCs w:val="16"/>
          <w:color w:val="auto"/>
        </w:rPr>
        <w:t>We offer sales</w:t>
      </w:r>
      <w:r>
        <w:rPr>
          <w:rFonts w:ascii="MS PGothic" w:cs="MS PGothic" w:eastAsia="MS PGothic" w:hAnsi="MS PGothic"/>
          <w:sz w:val="16"/>
          <w:szCs w:val="16"/>
          <w:color w:val="auto"/>
        </w:rPr>
        <w:t>‑</w:t>
      </w:r>
      <w:r>
        <w:rPr>
          <w:rFonts w:ascii="Arial" w:cs="Arial" w:eastAsia="Arial" w:hAnsi="Arial"/>
          <w:sz w:val="16"/>
          <w:szCs w:val="16"/>
          <w:color w:val="auto"/>
        </w:rPr>
        <w:t>based incentive programs to certain customers in exchange for certain benefits, including prominent product placement and exclusive stocking by participating retailers. These programs typically provide qualifying customers with rebates for achieving certain purchase goals. The rebates are accounted for as a reduction in sales over the period in which the rebate is earned. Our estimate of the reduction of revenue requires the use of assumptions related to the percentage of customers who will achieve qualifying purchase goals and the level of achievement. These assumptions are based on historical experience, current year program design, current marketplace conditions and sales forecasts, including considerations of our product life cycles.</w:t>
      </w:r>
    </w:p>
    <w:p>
      <w:pPr>
        <w:spacing w:after="0" w:line="205" w:lineRule="exact"/>
        <w:rPr>
          <w:sz w:val="20"/>
          <w:szCs w:val="20"/>
          <w:color w:val="auto"/>
        </w:rPr>
      </w:pPr>
    </w:p>
    <w:p>
      <w:pPr>
        <w:ind w:left="1040"/>
        <w:spacing w:after="0"/>
        <w:rPr>
          <w:sz w:val="20"/>
          <w:szCs w:val="20"/>
          <w:color w:val="auto"/>
        </w:rPr>
      </w:pPr>
      <w:r>
        <w:rPr>
          <w:rFonts w:ascii="Arial" w:cs="Arial" w:eastAsia="Arial" w:hAnsi="Arial"/>
          <w:sz w:val="18"/>
          <w:szCs w:val="18"/>
          <w:b w:val="1"/>
          <w:bCs w:val="1"/>
          <w:i w:val="1"/>
          <w:iCs w:val="1"/>
          <w:color w:val="auto"/>
        </w:rPr>
        <w:t>Allowance for Doubtful Accounts</w:t>
      </w:r>
    </w:p>
    <w:p>
      <w:pPr>
        <w:spacing w:after="0" w:line="225" w:lineRule="exact"/>
        <w:rPr>
          <w:sz w:val="20"/>
          <w:szCs w:val="20"/>
          <w:color w:val="auto"/>
        </w:rPr>
      </w:pPr>
    </w:p>
    <w:p>
      <w:pPr>
        <w:ind w:left="380" w:right="399" w:firstLine="648"/>
        <w:spacing w:after="0" w:line="270" w:lineRule="auto"/>
        <w:rPr>
          <w:sz w:val="20"/>
          <w:szCs w:val="20"/>
          <w:color w:val="auto"/>
        </w:rPr>
      </w:pPr>
      <w:r>
        <w:rPr>
          <w:rFonts w:ascii="Arial" w:cs="Arial" w:eastAsia="Arial" w:hAnsi="Arial"/>
          <w:sz w:val="17"/>
          <w:szCs w:val="17"/>
          <w:color w:val="auto"/>
        </w:rPr>
        <w:t>We make estimates related to our ability to collect our accounts receivable and maintain an allowance for estimated losses resulting from the inability or unwillingness of our customers to make required payments. The allowance includes amounts for certain customers where a risk of default has been specifically identified as well as a provision for customer defaults on a formula basis when it is determined the risk of some default is probable and estimable, but cannot yet be associated with specific customers. The assessment of the likelihood of customer defaults is based on various factors, including credit risk assessments, length of time the receivables are past due, historical experience, customer specific information available to us and existing economic conditions, all of which are subject to change. If the actual uncollected amounts significantly exceed the estimated allowance, our results of operations could be materially affected.</w:t>
      </w:r>
    </w:p>
    <w:p>
      <w:pPr>
        <w:spacing w:after="0" w:line="182" w:lineRule="exact"/>
        <w:rPr>
          <w:sz w:val="20"/>
          <w:szCs w:val="20"/>
          <w:color w:val="auto"/>
        </w:rPr>
      </w:pPr>
    </w:p>
    <w:p>
      <w:pPr>
        <w:ind w:left="1040"/>
        <w:spacing w:after="0"/>
        <w:rPr>
          <w:sz w:val="20"/>
          <w:szCs w:val="20"/>
          <w:color w:val="auto"/>
        </w:rPr>
      </w:pPr>
      <w:r>
        <w:rPr>
          <w:rFonts w:ascii="Arial" w:cs="Arial" w:eastAsia="Arial" w:hAnsi="Arial"/>
          <w:sz w:val="18"/>
          <w:szCs w:val="18"/>
          <w:b w:val="1"/>
          <w:bCs w:val="1"/>
          <w:i w:val="1"/>
          <w:iCs w:val="1"/>
          <w:color w:val="auto"/>
        </w:rPr>
        <w:t>Allowance for Obsolete Inventory</w:t>
      </w:r>
    </w:p>
    <w:p>
      <w:pPr>
        <w:spacing w:after="0" w:line="225" w:lineRule="exact"/>
        <w:rPr>
          <w:sz w:val="20"/>
          <w:szCs w:val="20"/>
          <w:color w:val="auto"/>
        </w:rPr>
      </w:pPr>
    </w:p>
    <w:p>
      <w:pPr>
        <w:ind w:left="380" w:right="539" w:firstLine="648"/>
        <w:spacing w:after="0" w:line="218" w:lineRule="exact"/>
        <w:rPr>
          <w:sz w:val="20"/>
          <w:szCs w:val="20"/>
          <w:color w:val="auto"/>
        </w:rPr>
      </w:pPr>
      <w:r>
        <w:rPr>
          <w:rFonts w:ascii="Arial" w:cs="Arial" w:eastAsia="Arial" w:hAnsi="Arial"/>
          <w:sz w:val="16"/>
          <w:szCs w:val="16"/>
          <w:color w:val="auto"/>
        </w:rPr>
        <w:t>Inventories, which include material, labor and manufacturing overhead costs, are recorded net of an allowance for obsolete or slow moving inventory. The calculation of our allowance for obsolete or slow moving inventory requires management to make assumptions and to apply judgment regarding the future demand and marketability of products, the impact of new product introductions, inventory turn, product spoilage and specific identification of items, such as product discontinuance, engineering/material changes, or regulatory</w:t>
      </w:r>
      <w:r>
        <w:rPr>
          <w:rFonts w:ascii="MS PGothic" w:cs="MS PGothic" w:eastAsia="MS PGothic" w:hAnsi="MS PGothic"/>
          <w:sz w:val="16"/>
          <w:szCs w:val="16"/>
          <w:color w:val="auto"/>
        </w:rPr>
        <w:t>‑</w:t>
      </w:r>
      <w:r>
        <w:rPr>
          <w:rFonts w:ascii="Arial" w:cs="Arial" w:eastAsia="Arial" w:hAnsi="Arial"/>
          <w:sz w:val="16"/>
          <w:szCs w:val="16"/>
          <w:color w:val="auto"/>
        </w:rPr>
        <w:t>related changes. If estimates regarding consumer demand are inaccurate or changes in technology affect demand for certain products in an unforeseen manner, we may need to adjust our allowance for obsolete or slow moving inventory, which could have a material effect on our results of operations.</w:t>
      </w:r>
    </w:p>
    <w:p>
      <w:pPr>
        <w:spacing w:after="0" w:line="201"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74" w:name="page75"/>
    <w:bookmarkEnd w:id="74"/>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1040"/>
        <w:spacing w:after="0" w:line="207" w:lineRule="exact"/>
        <w:rPr>
          <w:sz w:val="20"/>
          <w:szCs w:val="20"/>
          <w:color w:val="auto"/>
        </w:rPr>
      </w:pPr>
      <w:r>
        <w:rPr>
          <w:rFonts w:ascii="Arial" w:cs="Arial" w:eastAsia="Arial" w:hAnsi="Arial"/>
          <w:sz w:val="18"/>
          <w:szCs w:val="18"/>
          <w:b w:val="1"/>
          <w:bCs w:val="1"/>
          <w:i w:val="1"/>
          <w:iCs w:val="1"/>
          <w:color w:val="auto"/>
        </w:rPr>
        <w:t>Impairment of Goodwill, Indefinite</w:t>
      </w:r>
      <w:r>
        <w:rPr>
          <w:rFonts w:ascii="MS PGothic" w:cs="MS PGothic" w:eastAsia="MS PGothic" w:hAnsi="MS PGothic"/>
          <w:sz w:val="18"/>
          <w:szCs w:val="18"/>
          <w:b w:val="1"/>
          <w:bCs w:val="1"/>
          <w:i w:val="1"/>
          <w:iCs w:val="1"/>
          <w:color w:val="auto"/>
        </w:rPr>
        <w:t>‑</w:t>
      </w:r>
      <w:r>
        <w:rPr>
          <w:rFonts w:ascii="Arial" w:cs="Arial" w:eastAsia="Arial" w:hAnsi="Arial"/>
          <w:sz w:val="18"/>
          <w:szCs w:val="18"/>
          <w:b w:val="1"/>
          <w:bCs w:val="1"/>
          <w:i w:val="1"/>
          <w:iCs w:val="1"/>
          <w:color w:val="auto"/>
        </w:rPr>
        <w:t>Lived and Long</w:t>
      </w:r>
      <w:r>
        <w:rPr>
          <w:rFonts w:ascii="MS PGothic" w:cs="MS PGothic" w:eastAsia="MS PGothic" w:hAnsi="MS PGothic"/>
          <w:sz w:val="18"/>
          <w:szCs w:val="18"/>
          <w:b w:val="1"/>
          <w:bCs w:val="1"/>
          <w:i w:val="1"/>
          <w:iCs w:val="1"/>
          <w:color w:val="auto"/>
        </w:rPr>
        <w:t>‑</w:t>
      </w:r>
      <w:r>
        <w:rPr>
          <w:rFonts w:ascii="Arial" w:cs="Arial" w:eastAsia="Arial" w:hAnsi="Arial"/>
          <w:sz w:val="18"/>
          <w:szCs w:val="18"/>
          <w:b w:val="1"/>
          <w:bCs w:val="1"/>
          <w:i w:val="1"/>
          <w:iCs w:val="1"/>
          <w:color w:val="auto"/>
        </w:rPr>
        <w:t>Lived Assets</w:t>
      </w:r>
    </w:p>
    <w:p>
      <w:pPr>
        <w:spacing w:after="0" w:line="225" w:lineRule="exact"/>
        <w:rPr>
          <w:sz w:val="20"/>
          <w:szCs w:val="20"/>
          <w:color w:val="auto"/>
        </w:rPr>
      </w:pPr>
    </w:p>
    <w:p>
      <w:pPr>
        <w:ind w:left="1040"/>
        <w:spacing w:after="0"/>
        <w:rPr>
          <w:sz w:val="20"/>
          <w:szCs w:val="20"/>
          <w:color w:val="auto"/>
        </w:rPr>
      </w:pPr>
      <w:r>
        <w:rPr>
          <w:rFonts w:ascii="Arial" w:cs="Arial" w:eastAsia="Arial" w:hAnsi="Arial"/>
          <w:sz w:val="18"/>
          <w:szCs w:val="18"/>
          <w:i w:val="1"/>
          <w:iCs w:val="1"/>
          <w:color w:val="auto"/>
        </w:rPr>
        <w:t>Goodwill</w:t>
      </w:r>
    </w:p>
    <w:p>
      <w:pPr>
        <w:spacing w:after="0" w:line="225" w:lineRule="exact"/>
        <w:rPr>
          <w:sz w:val="20"/>
          <w:szCs w:val="20"/>
          <w:color w:val="auto"/>
        </w:rPr>
      </w:pPr>
    </w:p>
    <w:p>
      <w:pPr>
        <w:ind w:left="380" w:right="379" w:firstLine="648"/>
        <w:spacing w:after="0" w:line="217" w:lineRule="exact"/>
        <w:rPr>
          <w:sz w:val="20"/>
          <w:szCs w:val="20"/>
          <w:color w:val="auto"/>
        </w:rPr>
      </w:pPr>
      <w:r>
        <w:rPr>
          <w:rFonts w:ascii="Arial" w:cs="Arial" w:eastAsia="Arial" w:hAnsi="Arial"/>
          <w:sz w:val="16"/>
          <w:szCs w:val="16"/>
          <w:color w:val="auto"/>
        </w:rPr>
        <w:t>We evaluate goodwill annually to determine whether it is impaired. Goodwill is also tested more frequently if an event occurs or circumstances change that would indicate that the fair value of a reporting unit is less than its carrying amount. Conditions that may indicate impairment include, but are not limited to, a significant adverse change in customer demand or business climate that could affect the value of an asset; general economic conditions, such as increasing Treasury rates or unexpected changes in gross domestic product growth; a change in our market shares; budget</w:t>
      </w:r>
      <w:r>
        <w:rPr>
          <w:rFonts w:ascii="MS PGothic" w:cs="MS PGothic" w:eastAsia="MS PGothic" w:hAnsi="MS PGothic"/>
          <w:sz w:val="16"/>
          <w:szCs w:val="16"/>
          <w:color w:val="auto"/>
        </w:rPr>
        <w:t>‑</w:t>
      </w:r>
      <w:r>
        <w:rPr>
          <w:rFonts w:ascii="Arial" w:cs="Arial" w:eastAsia="Arial" w:hAnsi="Arial"/>
          <w:sz w:val="16"/>
          <w:szCs w:val="16"/>
          <w:color w:val="auto"/>
        </w:rPr>
        <w:t>to</w:t>
      </w:r>
      <w:r>
        <w:rPr>
          <w:rFonts w:ascii="MS PGothic" w:cs="MS PGothic" w:eastAsia="MS PGothic" w:hAnsi="MS PGothic"/>
          <w:sz w:val="16"/>
          <w:szCs w:val="16"/>
          <w:color w:val="auto"/>
        </w:rPr>
        <w:t>‑</w:t>
      </w:r>
      <w:r>
        <w:rPr>
          <w:rFonts w:ascii="Arial" w:cs="Arial" w:eastAsia="Arial" w:hAnsi="Arial"/>
          <w:sz w:val="16"/>
          <w:szCs w:val="16"/>
          <w:color w:val="auto"/>
        </w:rPr>
        <w:t>actual performance and consistency of operating margins and capital expenditures; a product recall or an adverse action or assessment by a regulator; or loss in management or key personnel. If an impairment indicator exists, we test goodwill for recoverability. We have identified five reporting units and selected the fourth fiscal quarter to perform our annual goodwill impairment testing.</w:t>
      </w:r>
    </w:p>
    <w:p>
      <w:pPr>
        <w:spacing w:after="0" w:line="208" w:lineRule="exact"/>
        <w:rPr>
          <w:sz w:val="20"/>
          <w:szCs w:val="20"/>
          <w:color w:val="auto"/>
        </w:rPr>
      </w:pPr>
    </w:p>
    <w:p>
      <w:pPr>
        <w:ind w:left="380" w:right="379" w:firstLine="648"/>
        <w:spacing w:after="0" w:line="286" w:lineRule="auto"/>
        <w:rPr>
          <w:sz w:val="20"/>
          <w:szCs w:val="20"/>
          <w:color w:val="auto"/>
        </w:rPr>
      </w:pPr>
      <w:r>
        <w:rPr>
          <w:rFonts w:ascii="Arial" w:cs="Arial" w:eastAsia="Arial" w:hAnsi="Arial"/>
          <w:sz w:val="16"/>
          <w:szCs w:val="16"/>
          <w:color w:val="auto"/>
        </w:rPr>
        <w:t>We may assess qualitative factors to determine if it is more likely than not (i.e., a likelihood of more than 50%) that the fair value of a reporting unit is less than its carrying amount, including goodwill. The assessment of qualitative factors is optional and at our discretion. We may bypass the qualitative assessment for any reporting unit in any period and perform a quantitative goodwill impairment test. We may resume performing the qualitative assessment in any subsequent period. If we determine based on the qualitative factors that it is not more likely than not that the fair value of a reporting unit is less than its carrying amount, no further testing is necessary. If, however, we determine that it is more likely than not that the fair value of a reporting unit is less than its carrying amount, we perform the first step of a two-step quantitative goodwill impairment test. In the first step, we compare the fair value of the reporting unit to its carrying value. If the fair value of the reporting unit exceeds the carrying value of the net assets assigned to that unit, goodwill is considered not impaired and we are not required to perform further testing. If the carrying value of the net assets assigned to the reporting unit exceeds the fair value of the reporting unit, then we must perform the second step of the impairment test in order to determine the implied fair value of the reporting unit’s goodwill. If the carrying value of a reporting unit’s goodwill exceeds its implied fair value, then we would record an impairment loss equal to the difference.</w:t>
      </w:r>
    </w:p>
    <w:p>
      <w:pPr>
        <w:spacing w:after="0" w:line="172" w:lineRule="exact"/>
        <w:rPr>
          <w:sz w:val="20"/>
          <w:szCs w:val="20"/>
          <w:color w:val="auto"/>
        </w:rPr>
      </w:pPr>
    </w:p>
    <w:p>
      <w:pPr>
        <w:ind w:left="380" w:right="399" w:firstLine="648"/>
        <w:spacing w:after="0" w:line="217" w:lineRule="exact"/>
        <w:rPr>
          <w:sz w:val="20"/>
          <w:szCs w:val="20"/>
          <w:color w:val="auto"/>
        </w:rPr>
      </w:pPr>
      <w:r>
        <w:rPr>
          <w:rFonts w:ascii="Arial" w:cs="Arial" w:eastAsia="Arial" w:hAnsi="Arial"/>
          <w:sz w:val="16"/>
          <w:szCs w:val="16"/>
          <w:color w:val="auto"/>
        </w:rPr>
        <w:t>The fair value of our reporting units is determined using the income approach. The income approach uses a discounted cash flow analysis, which involves applying appropriate discount rates to estimated future cash flows based on forecasts of sales, costs and capital requirements. The most significant estimates and assumptions inherent in this approach are the enterprise value based on the estimated present value of future net cash flows the business is expected to generate over a forecasted period and an estimate of the present value of cash flows beyond that period, which is referred to as the terminal value. The estimated present value is calculated using a discount rate known as the weighted</w:t>
      </w:r>
      <w:r>
        <w:rPr>
          <w:rFonts w:ascii="MS PGothic" w:cs="MS PGothic" w:eastAsia="MS PGothic" w:hAnsi="MS PGothic"/>
          <w:sz w:val="16"/>
          <w:szCs w:val="16"/>
          <w:color w:val="auto"/>
        </w:rPr>
        <w:t>‑</w:t>
      </w:r>
      <w:r>
        <w:rPr>
          <w:rFonts w:ascii="Arial" w:cs="Arial" w:eastAsia="Arial" w:hAnsi="Arial"/>
          <w:sz w:val="16"/>
          <w:szCs w:val="16"/>
          <w:color w:val="auto"/>
        </w:rPr>
        <w:t>average cost of capital, which accounts for the time value of money and the appropriate degree of risks inherent in the business. We estimate future sales growth using a number of critical factors, including among others, our nature and our history, financial and economic conditions affecting us, our industry and the general company, past results and our current operations and future prospects. Forecasts of future operations are based, in part, on operating results and our expectations as to future market conditions. We deem the discount rate used in our analysis to be commensurate with the underlying uncertainties associated with achieving the estimated cash flows we project. This analysis contains uncertainties because it requires us to make assumptions and to apply judgments to estimate industry economic factors and the profitability of future business strategies. If actual results are not consistent with our estimates and assumptions, we may be exposed to future impairment losses that could be material.</w:t>
      </w:r>
    </w:p>
    <w:p>
      <w:pPr>
        <w:spacing w:after="0" w:line="202" w:lineRule="exact"/>
        <w:rPr>
          <w:sz w:val="20"/>
          <w:szCs w:val="20"/>
          <w:color w:val="auto"/>
        </w:rPr>
      </w:pPr>
    </w:p>
    <w:p>
      <w:pPr>
        <w:ind w:left="380" w:right="379" w:firstLine="648"/>
        <w:spacing w:after="0" w:line="342" w:lineRule="auto"/>
        <w:rPr>
          <w:sz w:val="20"/>
          <w:szCs w:val="20"/>
          <w:color w:val="auto"/>
        </w:rPr>
      </w:pPr>
      <w:r>
        <w:rPr>
          <w:rFonts w:ascii="Arial" w:cs="Arial" w:eastAsia="Arial" w:hAnsi="Arial"/>
          <w:sz w:val="16"/>
          <w:szCs w:val="16"/>
          <w:color w:val="auto"/>
        </w:rPr>
        <w:t>Our tests for impairment of goodwill resulted in a determination that the fair value of each reporting unit exceeded the carrying value of our net assets for the years ended December 31, 2017, 2016 and 2015, respectively.</w:t>
      </w:r>
    </w:p>
    <w:p>
      <w:pPr>
        <w:spacing w:after="0" w:line="124" w:lineRule="exact"/>
        <w:rPr>
          <w:sz w:val="20"/>
          <w:szCs w:val="20"/>
          <w:color w:val="auto"/>
        </w:rPr>
      </w:pPr>
    </w:p>
    <w:p>
      <w:pPr>
        <w:ind w:left="1040"/>
        <w:spacing w:after="0" w:line="207" w:lineRule="exact"/>
        <w:rPr>
          <w:sz w:val="20"/>
          <w:szCs w:val="20"/>
          <w:color w:val="auto"/>
        </w:rPr>
      </w:pPr>
      <w:r>
        <w:rPr>
          <w:rFonts w:ascii="Arial" w:cs="Arial" w:eastAsia="Arial" w:hAnsi="Arial"/>
          <w:sz w:val="18"/>
          <w:szCs w:val="18"/>
          <w:i w:val="1"/>
          <w:iCs w:val="1"/>
          <w:color w:val="auto"/>
        </w:rPr>
        <w:t>Indefinite</w:t>
      </w:r>
      <w:r>
        <w:rPr>
          <w:rFonts w:ascii="MS PGothic" w:cs="MS PGothic" w:eastAsia="MS PGothic" w:hAnsi="MS PGothic"/>
          <w:sz w:val="18"/>
          <w:szCs w:val="18"/>
          <w:i w:val="1"/>
          <w:iCs w:val="1"/>
          <w:color w:val="auto"/>
        </w:rPr>
        <w:t>‑</w:t>
      </w:r>
      <w:r>
        <w:rPr>
          <w:rFonts w:ascii="Arial" w:cs="Arial" w:eastAsia="Arial" w:hAnsi="Arial"/>
          <w:sz w:val="18"/>
          <w:szCs w:val="18"/>
          <w:i w:val="1"/>
          <w:iCs w:val="1"/>
          <w:color w:val="auto"/>
        </w:rPr>
        <w:t>Lived Intangible Assets</w:t>
      </w:r>
    </w:p>
    <w:p>
      <w:pPr>
        <w:spacing w:after="0" w:line="225" w:lineRule="exact"/>
        <w:rPr>
          <w:sz w:val="20"/>
          <w:szCs w:val="20"/>
          <w:color w:val="auto"/>
        </w:rPr>
      </w:pPr>
    </w:p>
    <w:p>
      <w:pPr>
        <w:ind w:left="380" w:right="399" w:firstLine="648"/>
        <w:spacing w:after="0" w:line="293" w:lineRule="auto"/>
        <w:rPr>
          <w:sz w:val="20"/>
          <w:szCs w:val="20"/>
          <w:color w:val="auto"/>
        </w:rPr>
      </w:pPr>
      <w:r>
        <w:rPr>
          <w:rFonts w:ascii="Arial" w:cs="Arial" w:eastAsia="Arial" w:hAnsi="Arial"/>
          <w:sz w:val="16"/>
          <w:szCs w:val="16"/>
          <w:color w:val="auto"/>
        </w:rPr>
        <w:t>Our trademarks have been assigned an indefinite life as we currently anticipate that these trademarks will contribute cash flows to us indefinitely. We evaluate whether the trademarks continue to have an indefinite life on an annual basis. Trademarks are reviewed for impairment annually in the fourth fiscal quarter and may be reviewed more frequently if indicators of impairment are present. Conditions that may indicate impairment include, but are not limited to, a significant adverse change in customer demand or business climate that could affect the value of an asset, a product recall or an adverse action or assessment by a regulator.</w:t>
      </w:r>
    </w:p>
    <w:p>
      <w:pPr>
        <w:spacing w:after="0" w:line="162"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75" w:name="page76"/>
    <w:bookmarkEnd w:id="75"/>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380" w:right="379" w:firstLine="648"/>
        <w:spacing w:after="0" w:line="218" w:lineRule="exact"/>
        <w:rPr>
          <w:sz w:val="20"/>
          <w:szCs w:val="20"/>
          <w:color w:val="auto"/>
        </w:rPr>
      </w:pPr>
      <w:r>
        <w:rPr>
          <w:rFonts w:ascii="Arial" w:cs="Arial" w:eastAsia="Arial" w:hAnsi="Arial"/>
          <w:sz w:val="17"/>
          <w:szCs w:val="17"/>
          <w:color w:val="auto"/>
        </w:rPr>
        <w:t>Impairment losses are recorded to the extent that the carrying value of the indefinite</w:t>
      </w:r>
      <w:r>
        <w:rPr>
          <w:rFonts w:ascii="MS PGothic" w:cs="MS PGothic" w:eastAsia="MS PGothic" w:hAnsi="MS PGothic"/>
          <w:sz w:val="17"/>
          <w:szCs w:val="17"/>
          <w:color w:val="auto"/>
        </w:rPr>
        <w:t>‑</w:t>
      </w:r>
      <w:r>
        <w:rPr>
          <w:rFonts w:ascii="Arial" w:cs="Arial" w:eastAsia="Arial" w:hAnsi="Arial"/>
          <w:sz w:val="17"/>
          <w:szCs w:val="17"/>
          <w:color w:val="auto"/>
        </w:rPr>
        <w:t>lived intangible asset exceeds its fair value. We measure the fair value of our trademarks using the relief</w:t>
      </w:r>
      <w:r>
        <w:rPr>
          <w:rFonts w:ascii="MS PGothic" w:cs="MS PGothic" w:eastAsia="MS PGothic" w:hAnsi="MS PGothic"/>
          <w:sz w:val="17"/>
          <w:szCs w:val="17"/>
          <w:color w:val="auto"/>
        </w:rPr>
        <w:t>‑</w:t>
      </w:r>
      <w:r>
        <w:rPr>
          <w:rFonts w:ascii="Arial" w:cs="Arial" w:eastAsia="Arial" w:hAnsi="Arial"/>
          <w:sz w:val="17"/>
          <w:szCs w:val="17"/>
          <w:color w:val="auto"/>
        </w:rPr>
        <w:t>from</w:t>
      </w:r>
      <w:r>
        <w:rPr>
          <w:rFonts w:ascii="MS PGothic" w:cs="MS PGothic" w:eastAsia="MS PGothic" w:hAnsi="MS PGothic"/>
          <w:sz w:val="17"/>
          <w:szCs w:val="17"/>
          <w:color w:val="auto"/>
        </w:rPr>
        <w:t>‑</w:t>
      </w:r>
      <w:r>
        <w:rPr>
          <w:rFonts w:ascii="Arial" w:cs="Arial" w:eastAsia="Arial" w:hAnsi="Arial"/>
          <w:sz w:val="17"/>
          <w:szCs w:val="17"/>
          <w:color w:val="auto"/>
        </w:rPr>
        <w:t>royalty method, which estimates the present value of the royalty income that could be hypothetically earned by licensing the brand name to a third party over the remaining useful life. The most significant estimates and assumptions inherent in this approach are the growth rate of sales from the businesses that use the subject trademark, the net royalty saving rate and the discount rate. No impairment charges for our trademarks were recorded for the years ended December 31, 2017, 2016 and 2015.</w:t>
      </w:r>
    </w:p>
    <w:p>
      <w:pPr>
        <w:spacing w:after="0" w:line="206" w:lineRule="exact"/>
        <w:rPr>
          <w:sz w:val="20"/>
          <w:szCs w:val="20"/>
          <w:color w:val="auto"/>
        </w:rPr>
      </w:pPr>
    </w:p>
    <w:p>
      <w:pPr>
        <w:ind w:left="1040"/>
        <w:spacing w:after="0" w:line="207" w:lineRule="exact"/>
        <w:rPr>
          <w:sz w:val="20"/>
          <w:szCs w:val="20"/>
          <w:color w:val="auto"/>
        </w:rPr>
      </w:pPr>
      <w:r>
        <w:rPr>
          <w:rFonts w:ascii="Arial" w:cs="Arial" w:eastAsia="Arial" w:hAnsi="Arial"/>
          <w:sz w:val="18"/>
          <w:szCs w:val="18"/>
          <w:i w:val="1"/>
          <w:iCs w:val="1"/>
          <w:color w:val="auto"/>
        </w:rPr>
        <w:t>Long</w:t>
      </w:r>
      <w:r>
        <w:rPr>
          <w:rFonts w:ascii="MS PGothic" w:cs="MS PGothic" w:eastAsia="MS PGothic" w:hAnsi="MS PGothic"/>
          <w:sz w:val="18"/>
          <w:szCs w:val="18"/>
          <w:i w:val="1"/>
          <w:iCs w:val="1"/>
          <w:color w:val="auto"/>
        </w:rPr>
        <w:t>‑</w:t>
      </w:r>
      <w:r>
        <w:rPr>
          <w:rFonts w:ascii="Arial" w:cs="Arial" w:eastAsia="Arial" w:hAnsi="Arial"/>
          <w:sz w:val="18"/>
          <w:szCs w:val="18"/>
          <w:i w:val="1"/>
          <w:iCs w:val="1"/>
          <w:color w:val="auto"/>
        </w:rPr>
        <w:t>Lived Assets</w:t>
      </w:r>
    </w:p>
    <w:p>
      <w:pPr>
        <w:spacing w:after="0" w:line="225" w:lineRule="exact"/>
        <w:rPr>
          <w:sz w:val="20"/>
          <w:szCs w:val="20"/>
          <w:color w:val="auto"/>
        </w:rPr>
      </w:pPr>
    </w:p>
    <w:p>
      <w:pPr>
        <w:ind w:left="380" w:right="439" w:firstLine="648"/>
        <w:spacing w:after="0" w:line="217" w:lineRule="exact"/>
        <w:rPr>
          <w:sz w:val="20"/>
          <w:szCs w:val="20"/>
          <w:color w:val="auto"/>
        </w:rPr>
      </w:pPr>
      <w:r>
        <w:rPr>
          <w:rFonts w:ascii="Arial" w:cs="Arial" w:eastAsia="Arial" w:hAnsi="Arial"/>
          <w:sz w:val="17"/>
          <w:szCs w:val="17"/>
          <w:color w:val="auto"/>
        </w:rPr>
        <w:t>A long</w:t>
      </w:r>
      <w:r>
        <w:rPr>
          <w:rFonts w:ascii="MS PGothic" w:cs="MS PGothic" w:eastAsia="MS PGothic" w:hAnsi="MS PGothic"/>
          <w:sz w:val="17"/>
          <w:szCs w:val="17"/>
          <w:color w:val="auto"/>
        </w:rPr>
        <w:t>‑</w:t>
      </w:r>
      <w:r>
        <w:rPr>
          <w:rFonts w:ascii="Arial" w:cs="Arial" w:eastAsia="Arial" w:hAnsi="Arial"/>
          <w:sz w:val="17"/>
          <w:szCs w:val="17"/>
          <w:color w:val="auto"/>
        </w:rPr>
        <w:t>lived asset (including amortizable identifiable intangible assets) or asset group is tested for recoverability whenever events or changes in circumstances indicate that its carrying amount may not be recoverable. Conditions that may indicate impairment include, but are not limited to, a significant adverse change in customer demand or business climate that could affect the value of an asset, a product recall or an adverse action or assessment by a regulator. When such events occur, we compare the sum of the undiscounted cash flows expected to result from the use and eventual disposition of the asset or asset group to the carrying amount of the long</w:t>
      </w:r>
      <w:r>
        <w:rPr>
          <w:rFonts w:ascii="MS PGothic" w:cs="MS PGothic" w:eastAsia="MS PGothic" w:hAnsi="MS PGothic"/>
          <w:sz w:val="17"/>
          <w:szCs w:val="17"/>
          <w:color w:val="auto"/>
        </w:rPr>
        <w:t>‑</w:t>
      </w:r>
      <w:r>
        <w:rPr>
          <w:rFonts w:ascii="Arial" w:cs="Arial" w:eastAsia="Arial" w:hAnsi="Arial"/>
          <w:sz w:val="17"/>
          <w:szCs w:val="17"/>
          <w:color w:val="auto"/>
        </w:rPr>
        <w:t>lived asset or asset group. The cash flows are based on the best estimate of future cash flows derived from the most recent business projections. If this comparison indicates that there is impairment, the amount of the impairment is calculated based on the excess of the asset’s or the asset group’s carrying value over its fair value. Fair value is estimated primarily using discounted expected future cash flows on a market</w:t>
      </w:r>
      <w:r>
        <w:rPr>
          <w:rFonts w:ascii="MS PGothic" w:cs="MS PGothic" w:eastAsia="MS PGothic" w:hAnsi="MS PGothic"/>
          <w:sz w:val="17"/>
          <w:szCs w:val="17"/>
          <w:color w:val="auto"/>
        </w:rPr>
        <w:t>‑</w:t>
      </w:r>
      <w:r>
        <w:rPr>
          <w:rFonts w:ascii="Arial" w:cs="Arial" w:eastAsia="Arial" w:hAnsi="Arial"/>
          <w:sz w:val="17"/>
          <w:szCs w:val="17"/>
          <w:color w:val="auto"/>
        </w:rPr>
        <w:t>participant basis. No impairment charges for our long</w:t>
      </w:r>
      <w:r>
        <w:rPr>
          <w:rFonts w:ascii="MS PGothic" w:cs="MS PGothic" w:eastAsia="MS PGothic" w:hAnsi="MS PGothic"/>
          <w:sz w:val="17"/>
          <w:szCs w:val="17"/>
          <w:color w:val="auto"/>
        </w:rPr>
        <w:t>‑</w:t>
      </w:r>
      <w:r>
        <w:rPr>
          <w:rFonts w:ascii="Arial" w:cs="Arial" w:eastAsia="Arial" w:hAnsi="Arial"/>
          <w:sz w:val="17"/>
          <w:szCs w:val="17"/>
          <w:color w:val="auto"/>
        </w:rPr>
        <w:t>lived assets were recorded for the years ended December 31, 2017, 2016 and 2015.</w:t>
      </w:r>
    </w:p>
    <w:p>
      <w:pPr>
        <w:spacing w:after="0" w:line="209" w:lineRule="exact"/>
        <w:rPr>
          <w:sz w:val="20"/>
          <w:szCs w:val="20"/>
          <w:color w:val="auto"/>
        </w:rPr>
      </w:pPr>
    </w:p>
    <w:p>
      <w:pPr>
        <w:ind w:left="1040"/>
        <w:spacing w:after="0"/>
        <w:rPr>
          <w:sz w:val="20"/>
          <w:szCs w:val="20"/>
          <w:color w:val="auto"/>
        </w:rPr>
      </w:pPr>
      <w:r>
        <w:rPr>
          <w:rFonts w:ascii="Arial" w:cs="Arial" w:eastAsia="Arial" w:hAnsi="Arial"/>
          <w:sz w:val="18"/>
          <w:szCs w:val="18"/>
          <w:b w:val="1"/>
          <w:bCs w:val="1"/>
          <w:i w:val="1"/>
          <w:iCs w:val="1"/>
          <w:color w:val="auto"/>
        </w:rPr>
        <w:t>Pension and Other Postretirement Benefit Plans</w:t>
      </w:r>
    </w:p>
    <w:p>
      <w:pPr>
        <w:spacing w:after="0" w:line="225" w:lineRule="exact"/>
        <w:rPr>
          <w:sz w:val="20"/>
          <w:szCs w:val="20"/>
          <w:color w:val="auto"/>
        </w:rPr>
      </w:pPr>
    </w:p>
    <w:p>
      <w:pPr>
        <w:ind w:left="380" w:right="379" w:firstLine="648"/>
        <w:spacing w:after="0" w:line="264" w:lineRule="auto"/>
        <w:rPr>
          <w:sz w:val="20"/>
          <w:szCs w:val="20"/>
          <w:color w:val="auto"/>
        </w:rPr>
      </w:pPr>
      <w:r>
        <w:rPr>
          <w:rFonts w:ascii="Arial" w:cs="Arial" w:eastAsia="Arial" w:hAnsi="Arial"/>
          <w:sz w:val="18"/>
          <w:szCs w:val="18"/>
          <w:color w:val="auto"/>
        </w:rPr>
        <w:t>We provide U.S. and foreign defined benefit and defined contribution plans to our eligible employees and postretirement benefits to certain retirees, including pensions, postretirement healthcare benefits and other postretirement benefits.</w:t>
      </w:r>
    </w:p>
    <w:p>
      <w:pPr>
        <w:spacing w:after="0" w:line="181" w:lineRule="exact"/>
        <w:rPr>
          <w:sz w:val="20"/>
          <w:szCs w:val="20"/>
          <w:color w:val="auto"/>
        </w:rPr>
      </w:pPr>
    </w:p>
    <w:p>
      <w:pPr>
        <w:ind w:left="380" w:right="439" w:firstLine="648"/>
        <w:spacing w:after="0" w:line="291" w:lineRule="auto"/>
        <w:rPr>
          <w:sz w:val="20"/>
          <w:szCs w:val="20"/>
          <w:color w:val="auto"/>
        </w:rPr>
      </w:pPr>
      <w:r>
        <w:rPr>
          <w:rFonts w:ascii="Arial" w:cs="Arial" w:eastAsia="Arial" w:hAnsi="Arial"/>
          <w:sz w:val="16"/>
          <w:szCs w:val="16"/>
          <w:color w:val="auto"/>
        </w:rPr>
        <w:t>Plan assets and obligations are measured using various actuarial assumptions, such as discount rates, rate of compensation increase, mortality rates, turnover rates and health care cost trend rates, as determined at</w:t>
      </w:r>
    </w:p>
    <w:p>
      <w:pPr>
        <w:ind w:left="380" w:right="399"/>
        <w:spacing w:after="0" w:line="254" w:lineRule="auto"/>
        <w:rPr>
          <w:sz w:val="20"/>
          <w:szCs w:val="20"/>
          <w:color w:val="auto"/>
        </w:rPr>
      </w:pPr>
      <w:r>
        <w:rPr>
          <w:rFonts w:ascii="Arial" w:cs="Arial" w:eastAsia="Arial" w:hAnsi="Arial"/>
          <w:sz w:val="18"/>
          <w:szCs w:val="18"/>
          <w:color w:val="auto"/>
        </w:rPr>
        <w:t>each year end measurement date. The measurement of net periodic benefit cost is based on various actuarial assumptions, including discount rates, expected return on plan assets and rate of compensation increase, which are determined as of the prior year measurement date. Our actuarial assumptions are reviewed on an annual basis and modified when appropriate.</w:t>
      </w:r>
    </w:p>
    <w:p>
      <w:pPr>
        <w:spacing w:after="0" w:line="190" w:lineRule="exact"/>
        <w:rPr>
          <w:sz w:val="20"/>
          <w:szCs w:val="20"/>
          <w:color w:val="auto"/>
        </w:rPr>
      </w:pPr>
    </w:p>
    <w:p>
      <w:pPr>
        <w:ind w:left="380" w:right="439" w:firstLine="648"/>
        <w:spacing w:after="0" w:line="218" w:lineRule="exact"/>
        <w:rPr>
          <w:sz w:val="20"/>
          <w:szCs w:val="20"/>
          <w:color w:val="auto"/>
        </w:rPr>
      </w:pPr>
      <w:r>
        <w:rPr>
          <w:rFonts w:ascii="Arial" w:cs="Arial" w:eastAsia="Arial" w:hAnsi="Arial"/>
          <w:sz w:val="18"/>
          <w:szCs w:val="18"/>
          <w:color w:val="auto"/>
        </w:rPr>
        <w:t>Approximately 82.7% of our employees are covered by defined benefit pension plans and approximately 25.6% of our employees are covered by other postretirement benefit plans, in each case as of December 31, 2017. Pension plans provide benefits based on plan</w:t>
      </w:r>
      <w:r>
        <w:rPr>
          <w:rFonts w:ascii="MS PGothic" w:cs="MS PGothic" w:eastAsia="MS PGothic" w:hAnsi="MS PGothic"/>
          <w:sz w:val="18"/>
          <w:szCs w:val="18"/>
          <w:color w:val="auto"/>
        </w:rPr>
        <w:t>‑</w:t>
      </w:r>
      <w:r>
        <w:rPr>
          <w:rFonts w:ascii="Arial" w:cs="Arial" w:eastAsia="Arial" w:hAnsi="Arial"/>
          <w:sz w:val="18"/>
          <w:szCs w:val="18"/>
          <w:color w:val="auto"/>
        </w:rPr>
        <w:t>specific benefit formulas as defined by the applicable plan documents. Postretirement benefit plans generally provide for the continuation of medical benefits for all eligible employees. Contributions to our postretirement benefit plan are determined based upon amounts needed to cover postretirement benefits paid during the period, net of contributions made by eligible employees. In general, our policy is to fund our pension benefit obligation based on legal requirements, tax and liquidity considerations and local practices.</w:t>
      </w:r>
    </w:p>
    <w:p>
      <w:pPr>
        <w:spacing w:after="0" w:line="206" w:lineRule="exact"/>
        <w:rPr>
          <w:sz w:val="20"/>
          <w:szCs w:val="20"/>
          <w:color w:val="auto"/>
        </w:rPr>
      </w:pPr>
    </w:p>
    <w:p>
      <w:pPr>
        <w:ind w:left="380" w:right="379" w:firstLine="648"/>
        <w:spacing w:after="0" w:line="218" w:lineRule="exact"/>
        <w:rPr>
          <w:sz w:val="20"/>
          <w:szCs w:val="20"/>
          <w:color w:val="auto"/>
        </w:rPr>
      </w:pPr>
      <w:r>
        <w:rPr>
          <w:rFonts w:ascii="Arial" w:cs="Arial" w:eastAsia="Arial" w:hAnsi="Arial"/>
          <w:sz w:val="16"/>
          <w:szCs w:val="16"/>
          <w:color w:val="auto"/>
        </w:rPr>
        <w:t>Our projected benefit obligations related to our pension and other postretirement benefit plans are valued using a weighted</w:t>
      </w:r>
      <w:r>
        <w:rPr>
          <w:rFonts w:ascii="MS PGothic" w:cs="MS PGothic" w:eastAsia="MS PGothic" w:hAnsi="MS PGothic"/>
          <w:sz w:val="16"/>
          <w:szCs w:val="16"/>
          <w:color w:val="auto"/>
        </w:rPr>
        <w:t>‑</w:t>
      </w:r>
      <w:r>
        <w:rPr>
          <w:rFonts w:ascii="Arial" w:cs="Arial" w:eastAsia="Arial" w:hAnsi="Arial"/>
          <w:sz w:val="16"/>
          <w:szCs w:val="16"/>
          <w:color w:val="auto"/>
        </w:rPr>
        <w:t>average discount rate of 3.62% and 3.61%, respectively, for the year ended December 31, 2017. The determination of the discount rate is generally based on an index created from a hypothetical bond portfolio consisting of high</w:t>
      </w:r>
      <w:r>
        <w:rPr>
          <w:rFonts w:ascii="MS PGothic" w:cs="MS PGothic" w:eastAsia="MS PGothic" w:hAnsi="MS PGothic"/>
          <w:sz w:val="16"/>
          <w:szCs w:val="16"/>
          <w:color w:val="auto"/>
        </w:rPr>
        <w:t>‑</w:t>
      </w:r>
      <w:r>
        <w:rPr>
          <w:rFonts w:ascii="Arial" w:cs="Arial" w:eastAsia="Arial" w:hAnsi="Arial"/>
          <w:sz w:val="16"/>
          <w:szCs w:val="16"/>
          <w:color w:val="auto"/>
        </w:rPr>
        <w:t>quality fixed income securities with durations that match the timing of expected benefit payments. Changes in the selected discount rate could have a material impact on our projected benefit obligations and the unfunded status of our pension and other postretirement benefit plans. Decreasing the discount rate by 100 basis points would have increased the projected benefit obligations of our pension and other postretirement benefit plans by approximately $63.0 million and $1.8 million, respectively, for the year ended December 31, 2017.</w:t>
      </w:r>
    </w:p>
    <w:p>
      <w:pPr>
        <w:spacing w:after="0" w:line="203" w:lineRule="exact"/>
        <w:rPr>
          <w:sz w:val="20"/>
          <w:szCs w:val="20"/>
          <w:color w:val="auto"/>
        </w:rPr>
      </w:pPr>
    </w:p>
    <w:p>
      <w:pPr>
        <w:ind w:left="380" w:right="419" w:firstLine="648"/>
        <w:spacing w:after="0" w:line="271" w:lineRule="auto"/>
        <w:rPr>
          <w:sz w:val="20"/>
          <w:szCs w:val="20"/>
          <w:color w:val="auto"/>
        </w:rPr>
      </w:pPr>
      <w:r>
        <w:rPr>
          <w:rFonts w:ascii="Arial" w:cs="Arial" w:eastAsia="Arial" w:hAnsi="Arial"/>
          <w:sz w:val="17"/>
          <w:szCs w:val="17"/>
          <w:color w:val="auto"/>
        </w:rPr>
        <w:t>Our net periodic pension benefit and other postretirement benefit cost is calculated using a variety of assumptions, including a weighted average discount rate and expected return on plan assets. The expected return on plan assets is determined based on several factors, including adjusted historical returns, historical risk premiums for various asset classes and target asset allocations within the portfolio. Adjustments made to the historical returns are based on recent return experience in the equity and fixed income markets and the belief that deviations from historical returns are likely over the relevant investment horizon. Actual cost is also dependent on various other factors related to the employees covered by these plans. Adjustments to our actuarial assumptions could have a material adverse impact on</w:t>
      </w:r>
    </w:p>
    <w:p>
      <w:pPr>
        <w:spacing w:after="0" w:line="17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76" w:name="page77"/>
    <w:bookmarkEnd w:id="76"/>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380" w:right="399"/>
        <w:spacing w:after="0" w:line="302" w:lineRule="auto"/>
        <w:rPr>
          <w:sz w:val="20"/>
          <w:szCs w:val="20"/>
          <w:color w:val="auto"/>
        </w:rPr>
      </w:pPr>
      <w:r>
        <w:rPr>
          <w:rFonts w:ascii="Arial" w:cs="Arial" w:eastAsia="Arial" w:hAnsi="Arial"/>
          <w:sz w:val="16"/>
          <w:szCs w:val="16"/>
          <w:color w:val="auto"/>
        </w:rPr>
        <w:t>our operating results. Decreasing the discount rate by 100 basis points would increase net periodic pension and other postretirement benefit cost by approximately $6.3 million and $0.4 million, respectively, for the year ended December 31, 2017. Decreasing the expected return on plan assets by 100 basis points would increase net periodic pension benefit cost by approximately $1.5 million for the year ended December 31, 2017.</w:t>
      </w:r>
    </w:p>
    <w:p>
      <w:pPr>
        <w:spacing w:after="0" w:line="154" w:lineRule="exact"/>
        <w:rPr>
          <w:sz w:val="20"/>
          <w:szCs w:val="20"/>
          <w:color w:val="auto"/>
        </w:rPr>
      </w:pPr>
    </w:p>
    <w:p>
      <w:pPr>
        <w:ind w:left="1040"/>
        <w:spacing w:after="0"/>
        <w:rPr>
          <w:sz w:val="20"/>
          <w:szCs w:val="20"/>
          <w:color w:val="auto"/>
        </w:rPr>
      </w:pPr>
      <w:r>
        <w:rPr>
          <w:rFonts w:ascii="Arial" w:cs="Arial" w:eastAsia="Arial" w:hAnsi="Arial"/>
          <w:sz w:val="18"/>
          <w:szCs w:val="18"/>
          <w:b w:val="1"/>
          <w:bCs w:val="1"/>
          <w:i w:val="1"/>
          <w:iCs w:val="1"/>
          <w:color w:val="auto"/>
        </w:rPr>
        <w:t>Income Taxes</w:t>
      </w:r>
    </w:p>
    <w:p>
      <w:pPr>
        <w:spacing w:after="0" w:line="225" w:lineRule="exact"/>
        <w:rPr>
          <w:sz w:val="20"/>
          <w:szCs w:val="20"/>
          <w:color w:val="auto"/>
        </w:rPr>
      </w:pPr>
    </w:p>
    <w:p>
      <w:pPr>
        <w:ind w:left="380" w:right="519" w:firstLine="648"/>
        <w:spacing w:after="0" w:line="219" w:lineRule="exact"/>
        <w:rPr>
          <w:sz w:val="20"/>
          <w:szCs w:val="20"/>
          <w:color w:val="auto"/>
        </w:rPr>
      </w:pPr>
      <w:r>
        <w:rPr>
          <w:rFonts w:ascii="Arial" w:cs="Arial" w:eastAsia="Arial" w:hAnsi="Arial"/>
          <w:sz w:val="18"/>
          <w:szCs w:val="18"/>
          <w:color w:val="auto"/>
        </w:rPr>
        <w:t>Current income tax expense or benefit is the amount of income taxes expected to be payable or receivable for the current year. Deferred income tax assets and liabilities represent the temporary differences between the tax basis and financial reporting basis of our assets and liabilities and are determined using the tax rates and laws in effect for the periods in which the differences are expected to reverse. We may record valuation allowances for deferred tax assets to reduce our net deferred tax assets to the amount that is more</w:t>
      </w:r>
      <w:r>
        <w:rPr>
          <w:rFonts w:ascii="MS PGothic" w:cs="MS PGothic" w:eastAsia="MS PGothic" w:hAnsi="MS PGothic"/>
          <w:sz w:val="18"/>
          <w:szCs w:val="18"/>
          <w:color w:val="auto"/>
        </w:rPr>
        <w:t>‑</w:t>
      </w:r>
      <w:r>
        <w:rPr>
          <w:rFonts w:ascii="Arial" w:cs="Arial" w:eastAsia="Arial" w:hAnsi="Arial"/>
          <w:sz w:val="18"/>
          <w:szCs w:val="18"/>
          <w:color w:val="auto"/>
        </w:rPr>
        <w:t>likely</w:t>
      </w:r>
      <w:r>
        <w:rPr>
          <w:rFonts w:ascii="MS PGothic" w:cs="MS PGothic" w:eastAsia="MS PGothic" w:hAnsi="MS PGothic"/>
          <w:sz w:val="18"/>
          <w:szCs w:val="18"/>
          <w:color w:val="auto"/>
        </w:rPr>
        <w:t>‑</w:t>
      </w:r>
      <w:r>
        <w:rPr>
          <w:rFonts w:ascii="Arial" w:cs="Arial" w:eastAsia="Arial" w:hAnsi="Arial"/>
          <w:sz w:val="18"/>
          <w:szCs w:val="18"/>
          <w:color w:val="auto"/>
        </w:rPr>
        <w:t>than</w:t>
      </w:r>
      <w:r>
        <w:rPr>
          <w:rFonts w:ascii="MS PGothic" w:cs="MS PGothic" w:eastAsia="MS PGothic" w:hAnsi="MS PGothic"/>
          <w:sz w:val="18"/>
          <w:szCs w:val="18"/>
          <w:color w:val="auto"/>
        </w:rPr>
        <w:t>‑</w:t>
      </w:r>
      <w:r>
        <w:rPr>
          <w:rFonts w:ascii="Arial" w:cs="Arial" w:eastAsia="Arial" w:hAnsi="Arial"/>
          <w:sz w:val="18"/>
          <w:szCs w:val="18"/>
          <w:color w:val="auto"/>
        </w:rPr>
        <w:t>not to be realized.</w:t>
      </w:r>
    </w:p>
    <w:p>
      <w:pPr>
        <w:spacing w:after="0" w:line="203" w:lineRule="exact"/>
        <w:rPr>
          <w:sz w:val="20"/>
          <w:szCs w:val="20"/>
          <w:color w:val="auto"/>
        </w:rPr>
      </w:pPr>
    </w:p>
    <w:p>
      <w:pPr>
        <w:ind w:left="380" w:right="379" w:firstLine="405"/>
        <w:spacing w:after="0" w:line="267" w:lineRule="auto"/>
        <w:rPr>
          <w:sz w:val="20"/>
          <w:szCs w:val="20"/>
          <w:color w:val="auto"/>
        </w:rPr>
      </w:pPr>
      <w:r>
        <w:rPr>
          <w:rFonts w:ascii="Arial" w:cs="Arial" w:eastAsia="Arial" w:hAnsi="Arial"/>
          <w:sz w:val="17"/>
          <w:szCs w:val="17"/>
          <w:color w:val="auto"/>
        </w:rPr>
        <w:t>The 2017 Tax Act was signed into law on December 22, 2017. The 2017 Tax Act significantly revises the U.S. corporate income tax by, among other things, lowering the statutory corporate tax rate from 35% to 21%, eliminating certain deductions, imposing a mandatory one-time tax on accumulated earnings of foreign subsidiaries as of 2017, introducing new tax regimes, and changing how foreign earnings are subject to U.S. tax. The 2017 Tax Act also enhanced and extended through 2026 the option to claim accelerated depreciation deductions on qualified property. We have not completed our determination of the accounting implications of the 2017 Tax Act on our tax accruals. However, we have reasonably estimated the effects of the 2017 Tax Act and recorded provisional amounts in our financial statements as of December 31, 2017. We recorded a provisional tax expense for the impact of the 2017 Tax Act of approximately $14 million. This amount is primarily comprised of the remeasurement of federal net deferred tax assets resulting from the permanent reduction in the U.S. statutory corporate tax rate to 21% from 35% of approximately $10.2 million, the mandatory one-time tax on the accumulated earnings of our foreign subsidiaries of approximately $8.6 million, offset by the release of the deferred tax liability previously recorded on our unremitted earnings of $4.8 million. As we complete our analysis of the 2017 Tax Act, collect and prepare necessary data, and interpret any additional guidance issued by the U.S. Treasury Department, the IRS, and other standard-setting bodies, we may make adjustments to the provisional amounts. Those adjustments may materially impact our provision for income taxes in the period in which the adjustments are made.</w:t>
      </w:r>
    </w:p>
    <w:p>
      <w:pPr>
        <w:spacing w:after="0" w:line="193" w:lineRule="exact"/>
        <w:rPr>
          <w:sz w:val="20"/>
          <w:szCs w:val="20"/>
          <w:color w:val="auto"/>
        </w:rPr>
      </w:pPr>
    </w:p>
    <w:p>
      <w:pPr>
        <w:ind w:left="380" w:right="479" w:firstLine="648"/>
        <w:spacing w:after="0" w:line="253" w:lineRule="auto"/>
        <w:rPr>
          <w:sz w:val="20"/>
          <w:szCs w:val="20"/>
          <w:color w:val="auto"/>
        </w:rPr>
      </w:pPr>
      <w:r>
        <w:rPr>
          <w:rFonts w:ascii="Arial" w:cs="Arial" w:eastAsia="Arial" w:hAnsi="Arial"/>
          <w:sz w:val="18"/>
          <w:szCs w:val="18"/>
          <w:color w:val="auto"/>
        </w:rPr>
        <w:t>The determination of whether a deferred tax asset will be realized is made on both a jurisdictional basis and the use of our estimate of the recoverability of the deferred tax asset. In evaluating whether a valuation allowance is required under such rules, we consider all available positive and negative evidence, including our prior operating results, the nature and reason for any losses, our forecast of future taxable income in each respective tax jurisdiction and the dates on which any deferred tax assets are expected to expire. These assumptions require a significant amount of judgment, including estimates of future taxable income. We determined that we would not be able to fully realize the benefits of all our state deferred tax assets. As of December 31, 2017 and 2016, a cumulative valuation allowance of $25.9 million and $21.7 million, respectively, was recorded.</w:t>
      </w:r>
    </w:p>
    <w:p>
      <w:pPr>
        <w:spacing w:after="0" w:line="197" w:lineRule="exact"/>
        <w:rPr>
          <w:sz w:val="20"/>
          <w:szCs w:val="20"/>
          <w:color w:val="auto"/>
        </w:rPr>
      </w:pPr>
    </w:p>
    <w:p>
      <w:pPr>
        <w:ind w:left="1040"/>
        <w:spacing w:after="0" w:line="207" w:lineRule="exact"/>
        <w:rPr>
          <w:sz w:val="20"/>
          <w:szCs w:val="20"/>
          <w:color w:val="auto"/>
        </w:rPr>
      </w:pPr>
      <w:r>
        <w:rPr>
          <w:rFonts w:ascii="Arial" w:cs="Arial" w:eastAsia="Arial" w:hAnsi="Arial"/>
          <w:sz w:val="18"/>
          <w:szCs w:val="18"/>
          <w:b w:val="1"/>
          <w:bCs w:val="1"/>
          <w:i w:val="1"/>
          <w:iCs w:val="1"/>
          <w:color w:val="auto"/>
        </w:rPr>
        <w:t>Share</w:t>
      </w:r>
      <w:r>
        <w:rPr>
          <w:rFonts w:ascii="MS PGothic" w:cs="MS PGothic" w:eastAsia="MS PGothic" w:hAnsi="MS PGothic"/>
          <w:sz w:val="18"/>
          <w:szCs w:val="18"/>
          <w:b w:val="1"/>
          <w:bCs w:val="1"/>
          <w:i w:val="1"/>
          <w:iCs w:val="1"/>
          <w:color w:val="auto"/>
        </w:rPr>
        <w:t>‑</w:t>
      </w:r>
      <w:r>
        <w:rPr>
          <w:rFonts w:ascii="Arial" w:cs="Arial" w:eastAsia="Arial" w:hAnsi="Arial"/>
          <w:sz w:val="18"/>
          <w:szCs w:val="18"/>
          <w:b w:val="1"/>
          <w:bCs w:val="1"/>
          <w:i w:val="1"/>
          <w:iCs w:val="1"/>
          <w:color w:val="auto"/>
        </w:rPr>
        <w:t>Based Compensation</w:t>
      </w:r>
    </w:p>
    <w:p>
      <w:pPr>
        <w:spacing w:after="0" w:line="225" w:lineRule="exact"/>
        <w:rPr>
          <w:sz w:val="20"/>
          <w:szCs w:val="20"/>
          <w:color w:val="auto"/>
        </w:rPr>
      </w:pPr>
    </w:p>
    <w:p>
      <w:pPr>
        <w:ind w:left="380" w:right="439" w:firstLine="648"/>
        <w:spacing w:after="0" w:line="264" w:lineRule="auto"/>
        <w:rPr>
          <w:sz w:val="20"/>
          <w:szCs w:val="20"/>
          <w:color w:val="auto"/>
        </w:rPr>
      </w:pPr>
      <w:r>
        <w:rPr>
          <w:rFonts w:ascii="Arial" w:cs="Arial" w:eastAsia="Arial" w:hAnsi="Arial"/>
          <w:sz w:val="18"/>
          <w:szCs w:val="18"/>
          <w:color w:val="auto"/>
        </w:rPr>
        <w:t>We account for share-based compensation in accordance with accounting guidance that requires all share-based compensation awards granted to employees and directors to be measured at fair value and recognized as an expense in the financial statements.</w:t>
      </w:r>
    </w:p>
    <w:p>
      <w:pPr>
        <w:spacing w:after="0" w:line="181" w:lineRule="exact"/>
        <w:rPr>
          <w:sz w:val="20"/>
          <w:szCs w:val="20"/>
          <w:color w:val="auto"/>
        </w:rPr>
      </w:pPr>
    </w:p>
    <w:p>
      <w:pPr>
        <w:ind w:left="380" w:right="419" w:firstLine="648"/>
        <w:spacing w:after="0" w:line="287" w:lineRule="auto"/>
        <w:rPr>
          <w:sz w:val="20"/>
          <w:szCs w:val="20"/>
          <w:color w:val="auto"/>
        </w:rPr>
      </w:pPr>
      <w:r>
        <w:rPr>
          <w:rFonts w:ascii="Arial" w:cs="Arial" w:eastAsia="Arial" w:hAnsi="Arial"/>
          <w:sz w:val="16"/>
          <w:szCs w:val="16"/>
          <w:color w:val="auto"/>
        </w:rPr>
        <w:t>In January 2016, our board of directors adopted the 2015 Plan pursuant to which the Company may grant stock options, stock appreciation rights, restricted shares of common stock, RSUs, PSUs and other share-based and cash-based awards to members of the board of directors, officers, employees, consultants and advisors of the Company. The 2015 Plan is administered by the compensation committee (the “Administrator”). The Administrator has the authority to establish the terms and conditions of any award issued or granted under the 2015 Plan. Each share issued with respect to RSUs and PSUs granted under the 2015 Plan reduces the number of shares available for grant. RSUs and PSUs forfeited and shares withheld to satisfy tax withholding obligations increase the number of shares available for grant. All RSUs and PSUs granted under the 2015 Plan have dividend equivalent rights (“DERs”), which entitle holders of RSUs and PSUs to the same dividend value per share as holders of common stock. DERs are subject to the same vesting and other terms and conditions as the corresponding unvested RSUs and PSUs. DERs are paid when the underlying shares vest.</w:t>
      </w:r>
    </w:p>
    <w:p>
      <w:pPr>
        <w:spacing w:after="0" w:line="170"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77" w:name="page78"/>
    <w:bookmarkEnd w:id="77"/>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380" w:right="399" w:firstLine="648"/>
        <w:spacing w:after="0" w:line="218" w:lineRule="exact"/>
        <w:rPr>
          <w:sz w:val="20"/>
          <w:szCs w:val="20"/>
          <w:color w:val="auto"/>
        </w:rPr>
      </w:pPr>
      <w:r>
        <w:rPr>
          <w:rFonts w:ascii="Arial" w:cs="Arial" w:eastAsia="Arial" w:hAnsi="Arial"/>
          <w:sz w:val="16"/>
          <w:szCs w:val="16"/>
          <w:color w:val="auto"/>
        </w:rPr>
        <w:t>We issue stock</w:t>
      </w:r>
      <w:r>
        <w:rPr>
          <w:rFonts w:ascii="MS PGothic" w:cs="MS PGothic" w:eastAsia="MS PGothic" w:hAnsi="MS PGothic"/>
          <w:sz w:val="16"/>
          <w:szCs w:val="16"/>
          <w:color w:val="auto"/>
        </w:rPr>
        <w:t>‑</w:t>
      </w:r>
      <w:r>
        <w:rPr>
          <w:rFonts w:ascii="Arial" w:cs="Arial" w:eastAsia="Arial" w:hAnsi="Arial"/>
          <w:sz w:val="16"/>
          <w:szCs w:val="16"/>
          <w:color w:val="auto"/>
        </w:rPr>
        <w:t>based awards to employees with (i) service</w:t>
      </w:r>
      <w:r>
        <w:rPr>
          <w:rFonts w:ascii="MS PGothic" w:cs="MS PGothic" w:eastAsia="MS PGothic" w:hAnsi="MS PGothic"/>
          <w:sz w:val="16"/>
          <w:szCs w:val="16"/>
          <w:color w:val="auto"/>
        </w:rPr>
        <w:t>‑</w:t>
      </w:r>
      <w:r>
        <w:rPr>
          <w:rFonts w:ascii="Arial" w:cs="Arial" w:eastAsia="Arial" w:hAnsi="Arial"/>
          <w:sz w:val="16"/>
          <w:szCs w:val="16"/>
          <w:color w:val="auto"/>
        </w:rPr>
        <w:t>based vesting conditions or (ii) service</w:t>
      </w:r>
      <w:r>
        <w:rPr>
          <w:rFonts w:ascii="MS PGothic" w:cs="MS PGothic" w:eastAsia="MS PGothic" w:hAnsi="MS PGothic"/>
          <w:sz w:val="16"/>
          <w:szCs w:val="16"/>
          <w:color w:val="auto"/>
        </w:rPr>
        <w:t>‑</w:t>
      </w:r>
      <w:r>
        <w:rPr>
          <w:rFonts w:ascii="Arial" w:cs="Arial" w:eastAsia="Arial" w:hAnsi="Arial"/>
          <w:sz w:val="16"/>
          <w:szCs w:val="16"/>
          <w:color w:val="auto"/>
        </w:rPr>
        <w:t>based and performance</w:t>
      </w:r>
      <w:r>
        <w:rPr>
          <w:rFonts w:ascii="MS PGothic" w:cs="MS PGothic" w:eastAsia="MS PGothic" w:hAnsi="MS PGothic"/>
          <w:sz w:val="16"/>
          <w:szCs w:val="16"/>
          <w:color w:val="auto"/>
        </w:rPr>
        <w:t>‑</w:t>
      </w:r>
      <w:r>
        <w:rPr>
          <w:rFonts w:ascii="Arial" w:cs="Arial" w:eastAsia="Arial" w:hAnsi="Arial"/>
          <w:sz w:val="16"/>
          <w:szCs w:val="16"/>
          <w:color w:val="auto"/>
        </w:rPr>
        <w:t>based vesting conditions. We measure stock</w:t>
      </w:r>
      <w:r>
        <w:rPr>
          <w:rFonts w:ascii="MS PGothic" w:cs="MS PGothic" w:eastAsia="MS PGothic" w:hAnsi="MS PGothic"/>
          <w:sz w:val="16"/>
          <w:szCs w:val="16"/>
          <w:color w:val="auto"/>
        </w:rPr>
        <w:t>‑</w:t>
      </w:r>
      <w:r>
        <w:rPr>
          <w:rFonts w:ascii="Arial" w:cs="Arial" w:eastAsia="Arial" w:hAnsi="Arial"/>
          <w:sz w:val="16"/>
          <w:szCs w:val="16"/>
          <w:color w:val="auto"/>
        </w:rPr>
        <w:t>based awards based on the deemed fair value on the date of grant for accounting purposes, and recognize the corresponding compensation expense of those awards over the requisite service period, which is generally the vesting period of the respective award. The Company accounts for forfeitures in compensation expense when they occur. For awards with only service</w:t>
      </w:r>
      <w:r>
        <w:rPr>
          <w:rFonts w:ascii="MS PGothic" w:cs="MS PGothic" w:eastAsia="MS PGothic" w:hAnsi="MS PGothic"/>
          <w:sz w:val="16"/>
          <w:szCs w:val="16"/>
          <w:color w:val="auto"/>
        </w:rPr>
        <w:t>‑</w:t>
      </w:r>
      <w:r>
        <w:rPr>
          <w:rFonts w:ascii="Arial" w:cs="Arial" w:eastAsia="Arial" w:hAnsi="Arial"/>
          <w:sz w:val="16"/>
          <w:szCs w:val="16"/>
          <w:color w:val="auto"/>
        </w:rPr>
        <w:t>based vesting conditions, compensation expense is recorded using the straight</w:t>
      </w:r>
      <w:r>
        <w:rPr>
          <w:rFonts w:ascii="MS PGothic" w:cs="MS PGothic" w:eastAsia="MS PGothic" w:hAnsi="MS PGothic"/>
          <w:sz w:val="16"/>
          <w:szCs w:val="16"/>
          <w:color w:val="auto"/>
        </w:rPr>
        <w:t>‑</w:t>
      </w:r>
      <w:r>
        <w:rPr>
          <w:rFonts w:ascii="Arial" w:cs="Arial" w:eastAsia="Arial" w:hAnsi="Arial"/>
          <w:sz w:val="16"/>
          <w:szCs w:val="16"/>
          <w:color w:val="auto"/>
        </w:rPr>
        <w:t>line method. For awards with performance-based vesting conditions, the measurement of the expense is based on the Company’s level of achievement of the applicable cumulative Adjusted EBITDA performance metrics.</w:t>
      </w:r>
    </w:p>
    <w:p>
      <w:pPr>
        <w:spacing w:after="0" w:line="203" w:lineRule="exact"/>
        <w:rPr>
          <w:sz w:val="20"/>
          <w:szCs w:val="20"/>
          <w:color w:val="auto"/>
        </w:rPr>
      </w:pPr>
    </w:p>
    <w:p>
      <w:pPr>
        <w:ind w:left="380" w:right="399" w:firstLine="648"/>
        <w:spacing w:after="0" w:line="291" w:lineRule="auto"/>
        <w:rPr>
          <w:sz w:val="20"/>
          <w:szCs w:val="20"/>
          <w:color w:val="auto"/>
        </w:rPr>
      </w:pPr>
      <w:r>
        <w:rPr>
          <w:rFonts w:ascii="Arial" w:cs="Arial" w:eastAsia="Arial" w:hAnsi="Arial"/>
          <w:sz w:val="16"/>
          <w:szCs w:val="16"/>
          <w:color w:val="auto"/>
        </w:rPr>
        <w:t>Compensation expense for performance-based awards is recorded over the related service period when achievement of the performance targets is deemed probable, which requires management judgment. For example, the expense recorded during the year ended December 31, 2017 related to the performance-based stock units granted in 2017 was based on management’s best estimate of the three-year cumulative adjusted EBITDA forecast as of December 31, 2017. As a result, if factors change and we use different assumptions, our share-based compensation expense could be materially different in the future. Refer to “Notes to Consolidated Financial Statements – Note 17 – Equity Incentive Plans” for a further discussion on share-based compensation.</w:t>
      </w:r>
    </w:p>
    <w:p>
      <w:pPr>
        <w:spacing w:after="0" w:line="167" w:lineRule="exact"/>
        <w:rPr>
          <w:sz w:val="20"/>
          <w:szCs w:val="20"/>
          <w:color w:val="auto"/>
        </w:rPr>
      </w:pPr>
    </w:p>
    <w:p>
      <w:pPr>
        <w:ind w:left="380" w:right="439" w:firstLine="648"/>
        <w:spacing w:after="0" w:line="259" w:lineRule="auto"/>
        <w:rPr>
          <w:sz w:val="20"/>
          <w:szCs w:val="20"/>
          <w:color w:val="auto"/>
        </w:rPr>
      </w:pPr>
      <w:r>
        <w:rPr>
          <w:rFonts w:ascii="Arial" w:cs="Arial" w:eastAsia="Arial" w:hAnsi="Arial"/>
          <w:sz w:val="18"/>
          <w:szCs w:val="18"/>
          <w:color w:val="auto"/>
        </w:rPr>
        <w:t>As of December 31, 2017, we had $17.9 million of unrecognized compensation expense expected to be recognized over a weighted average period of 1.4 years. This unrecognized compensation expense reflects expense related to the performance-based stock units based on the performance target multiplier deemed probable as of December 31, 2017.</w:t>
      </w:r>
    </w:p>
    <w:p>
      <w:pPr>
        <w:spacing w:after="0" w:line="187"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For the year ended December 31, 2015, we accounted for compensation expense related to our</w:t>
      </w:r>
    </w:p>
    <w:p>
      <w:pPr>
        <w:spacing w:after="0" w:line="23" w:lineRule="exact"/>
        <w:rPr>
          <w:sz w:val="20"/>
          <w:szCs w:val="20"/>
          <w:color w:val="auto"/>
        </w:rPr>
      </w:pPr>
    </w:p>
    <w:p>
      <w:pPr>
        <w:ind w:left="380" w:right="399"/>
        <w:spacing w:after="0" w:line="216" w:lineRule="exact"/>
        <w:rPr>
          <w:sz w:val="20"/>
          <w:szCs w:val="20"/>
          <w:color w:val="auto"/>
        </w:rPr>
      </w:pPr>
      <w:r>
        <w:rPr>
          <w:rFonts w:ascii="Arial" w:cs="Arial" w:eastAsia="Arial" w:hAnsi="Arial"/>
          <w:sz w:val="17"/>
          <w:szCs w:val="17"/>
          <w:color w:val="auto"/>
        </w:rPr>
        <w:t>share</w:t>
      </w:r>
      <w:r>
        <w:rPr>
          <w:rFonts w:ascii="MS PGothic" w:cs="MS PGothic" w:eastAsia="MS PGothic" w:hAnsi="MS PGothic"/>
          <w:sz w:val="17"/>
          <w:szCs w:val="17"/>
          <w:color w:val="auto"/>
        </w:rPr>
        <w:t>‑</w:t>
      </w:r>
      <w:r>
        <w:rPr>
          <w:rFonts w:ascii="Arial" w:cs="Arial" w:eastAsia="Arial" w:hAnsi="Arial"/>
          <w:sz w:val="17"/>
          <w:szCs w:val="17"/>
          <w:color w:val="auto"/>
        </w:rPr>
        <w:t>based compensation awards, including EARs under our EAR Plan and stock options granted in connection with the Acquisition, using the intrinsic value method, as permitted by ASC 718 for nonpublic entities, with changes to the value of the share</w:t>
      </w:r>
      <w:r>
        <w:rPr>
          <w:rFonts w:ascii="MS PGothic" w:cs="MS PGothic" w:eastAsia="MS PGothic" w:hAnsi="MS PGothic"/>
          <w:sz w:val="17"/>
          <w:szCs w:val="17"/>
          <w:color w:val="auto"/>
        </w:rPr>
        <w:t>‑</w:t>
      </w:r>
      <w:r>
        <w:rPr>
          <w:rFonts w:ascii="Arial" w:cs="Arial" w:eastAsia="Arial" w:hAnsi="Arial"/>
          <w:sz w:val="17"/>
          <w:szCs w:val="17"/>
          <w:color w:val="auto"/>
        </w:rPr>
        <w:t>based compensation awards recognized as compensation expense at each reporting date. Compensation expense for the EAR Plan was based on CSE value as defined in the EAR Plan documents, which was the highest of (1) an amount calculated by using a formula based on certain financial metrics of Acushnet Company as of and for the year ended December 31, 2015, (2) an amount calculated by using a formula based on certain financial metrics of Acushnet Company as of and for the year ending December 31, 2016 and (3) if an IPO has occurred, an amount calculated based on the average per share closing price of the publicly traded common stock for the first three full trading days following the pricing of common stock in the IPO. Based on the plan definition, the CSE value as of December 31, 2016 was based on the amount calculated by using a formula based on certain financial metrics of Acushnet Company as of and for the year ending December 31, 2016. We had the option to settle up to 50% of our outstanding EARs using our common stock. However, we settled the entire amount due under the EARs in cash during the first quarter of 2017, which payments were funded from borrowings under our delayed draw term loan A facility and borrowings under our revolving credit facility.</w:t>
      </w:r>
    </w:p>
    <w:p>
      <w:pPr>
        <w:spacing w:after="0" w:line="205" w:lineRule="exact"/>
        <w:rPr>
          <w:sz w:val="20"/>
          <w:szCs w:val="20"/>
          <w:color w:val="auto"/>
        </w:rPr>
      </w:pPr>
    </w:p>
    <w:p>
      <w:pPr>
        <w:ind w:left="380" w:right="399" w:firstLine="648"/>
        <w:spacing w:after="0" w:line="218" w:lineRule="exact"/>
        <w:rPr>
          <w:sz w:val="20"/>
          <w:szCs w:val="20"/>
          <w:color w:val="auto"/>
        </w:rPr>
      </w:pPr>
      <w:r>
        <w:rPr>
          <w:rFonts w:ascii="Arial" w:cs="Arial" w:eastAsia="Arial" w:hAnsi="Arial"/>
          <w:sz w:val="18"/>
          <w:szCs w:val="18"/>
          <w:color w:val="auto"/>
        </w:rPr>
        <w:t>Prior to our initial public offering, as there was no market for our common stock, the fair value of our common stock was determined as of the date of each stock</w:t>
      </w:r>
      <w:r>
        <w:rPr>
          <w:rFonts w:ascii="MS PGothic" w:cs="MS PGothic" w:eastAsia="MS PGothic" w:hAnsi="MS PGothic"/>
          <w:sz w:val="18"/>
          <w:szCs w:val="18"/>
          <w:color w:val="auto"/>
        </w:rPr>
        <w:t>‑</w:t>
      </w:r>
      <w:r>
        <w:rPr>
          <w:rFonts w:ascii="Arial" w:cs="Arial" w:eastAsia="Arial" w:hAnsi="Arial"/>
          <w:sz w:val="18"/>
          <w:szCs w:val="18"/>
          <w:color w:val="auto"/>
        </w:rPr>
        <w:t>award grant based on our most recently available third</w:t>
      </w:r>
      <w:r>
        <w:rPr>
          <w:rFonts w:ascii="MS PGothic" w:cs="MS PGothic" w:eastAsia="MS PGothic" w:hAnsi="MS PGothic"/>
          <w:sz w:val="18"/>
          <w:szCs w:val="18"/>
          <w:color w:val="auto"/>
        </w:rPr>
        <w:t>‑</w:t>
      </w:r>
      <w:r>
        <w:rPr>
          <w:rFonts w:ascii="Arial" w:cs="Arial" w:eastAsia="Arial" w:hAnsi="Arial"/>
          <w:sz w:val="18"/>
          <w:szCs w:val="18"/>
          <w:color w:val="auto"/>
        </w:rPr>
        <w:t>party valuation of common stock. From our Acquisition in 2011 until our initial public offering, we had a third</w:t>
      </w:r>
      <w:r>
        <w:rPr>
          <w:rFonts w:ascii="MS PGothic" w:cs="MS PGothic" w:eastAsia="MS PGothic" w:hAnsi="MS PGothic"/>
          <w:sz w:val="18"/>
          <w:szCs w:val="18"/>
          <w:color w:val="auto"/>
        </w:rPr>
        <w:t>‑</w:t>
      </w:r>
      <w:r>
        <w:rPr>
          <w:rFonts w:ascii="Arial" w:cs="Arial" w:eastAsia="Arial" w:hAnsi="Arial"/>
          <w:sz w:val="18"/>
          <w:szCs w:val="18"/>
          <w:color w:val="auto"/>
        </w:rPr>
        <w:t>party valuation prepared at the end of each quarter in connection with a valuation of the warrants to purchase our common stock needed for the preparation of our consolidated financial statements. The third</w:t>
      </w:r>
      <w:r>
        <w:rPr>
          <w:rFonts w:ascii="MS PGothic" w:cs="MS PGothic" w:eastAsia="MS PGothic" w:hAnsi="MS PGothic"/>
          <w:sz w:val="18"/>
          <w:szCs w:val="18"/>
          <w:color w:val="auto"/>
        </w:rPr>
        <w:t>‑</w:t>
      </w:r>
      <w:r>
        <w:rPr>
          <w:rFonts w:ascii="Arial" w:cs="Arial" w:eastAsia="Arial" w:hAnsi="Arial"/>
          <w:sz w:val="18"/>
          <w:szCs w:val="18"/>
          <w:color w:val="auto"/>
        </w:rPr>
        <w:t>party valuations used for the grants described below were prepared using a combination of an income approach, which utilized a discounted cash flow model, and market approach, which utilized a comparative market multiple model. The results from each of the models were then weighted and combined into a single estimate of common stock fair value.</w:t>
      </w:r>
    </w:p>
    <w:p>
      <w:pPr>
        <w:spacing w:after="0" w:line="205" w:lineRule="exact"/>
        <w:rPr>
          <w:sz w:val="20"/>
          <w:szCs w:val="20"/>
          <w:color w:val="auto"/>
        </w:rPr>
      </w:pPr>
    </w:p>
    <w:p>
      <w:pPr>
        <w:ind w:left="380" w:right="639" w:firstLine="648"/>
        <w:spacing w:after="0" w:line="277" w:lineRule="auto"/>
        <w:rPr>
          <w:sz w:val="20"/>
          <w:szCs w:val="20"/>
          <w:color w:val="auto"/>
        </w:rPr>
      </w:pPr>
      <w:r>
        <w:rPr>
          <w:rFonts w:ascii="Arial" w:cs="Arial" w:eastAsia="Arial" w:hAnsi="Arial"/>
          <w:sz w:val="18"/>
          <w:szCs w:val="18"/>
          <w:color w:val="auto"/>
        </w:rPr>
        <w:t>Following our initial public offering, the fair value of our common stock was determined based on the quoted market price of our common stock.</w:t>
      </w:r>
    </w:p>
    <w:p>
      <w:pPr>
        <w:spacing w:after="0" w:line="168"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78" w:name="page79"/>
    <w:bookmarkEnd w:id="78"/>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1040"/>
        <w:spacing w:after="0"/>
        <w:rPr>
          <w:sz w:val="20"/>
          <w:szCs w:val="20"/>
          <w:color w:val="auto"/>
        </w:rPr>
      </w:pPr>
      <w:r>
        <w:rPr>
          <w:rFonts w:ascii="Arial" w:cs="Arial" w:eastAsia="Arial" w:hAnsi="Arial"/>
          <w:sz w:val="18"/>
          <w:szCs w:val="18"/>
          <w:b w:val="1"/>
          <w:bCs w:val="1"/>
          <w:i w:val="1"/>
          <w:iCs w:val="1"/>
          <w:color w:val="auto"/>
        </w:rPr>
        <w:t>Derivatives</w:t>
      </w:r>
    </w:p>
    <w:p>
      <w:pPr>
        <w:spacing w:after="0" w:line="225" w:lineRule="exact"/>
        <w:rPr>
          <w:sz w:val="20"/>
          <w:szCs w:val="20"/>
          <w:color w:val="auto"/>
        </w:rPr>
      </w:pPr>
    </w:p>
    <w:p>
      <w:pPr>
        <w:ind w:left="380" w:right="379" w:firstLine="648"/>
        <w:spacing w:after="0" w:line="254" w:lineRule="auto"/>
        <w:rPr>
          <w:sz w:val="20"/>
          <w:szCs w:val="20"/>
          <w:color w:val="auto"/>
        </w:rPr>
      </w:pPr>
      <w:r>
        <w:rPr>
          <w:rFonts w:ascii="Arial" w:cs="Arial" w:eastAsia="Arial" w:hAnsi="Arial"/>
          <w:sz w:val="18"/>
          <w:szCs w:val="18"/>
          <w:color w:val="auto"/>
        </w:rPr>
        <w:t>All derivatives are recognized as either assets or liabilities on the consolidated balance sheet and measurement of these instruments is at fair value. If the derivative is designated as a fair value hedge, the changes in the fair value of the derivative and of the hedged item attributable to the hedged risk are recognized in earnings in the same period. If the derivative is designated as a cash flow hedge, the effective portions of changes in the fair value of the derivative are recorded as a component of accumulated other comprehensive income (loss) and are recognized in the consolidated statement of operations when the hedged item affects earnings. Any portion of the change in fair value that is determined to be ineffective is immediately recognized in earnings as cost of goods sold.</w:t>
      </w:r>
    </w:p>
    <w:p>
      <w:pPr>
        <w:spacing w:after="0" w:line="188" w:lineRule="exact"/>
        <w:rPr>
          <w:sz w:val="20"/>
          <w:szCs w:val="20"/>
          <w:color w:val="auto"/>
        </w:rPr>
      </w:pPr>
    </w:p>
    <w:p>
      <w:pPr>
        <w:ind w:left="380"/>
        <w:spacing w:after="0"/>
        <w:rPr>
          <w:sz w:val="20"/>
          <w:szCs w:val="20"/>
          <w:color w:val="auto"/>
        </w:rPr>
      </w:pPr>
      <w:r>
        <w:rPr>
          <w:rFonts w:ascii="Arial" w:cs="Arial" w:eastAsia="Arial" w:hAnsi="Arial"/>
          <w:sz w:val="18"/>
          <w:szCs w:val="18"/>
          <w:b w:val="1"/>
          <w:bCs w:val="1"/>
          <w:color w:val="auto"/>
        </w:rPr>
        <w:t>Recently Issued Accounting Pronouncements</w:t>
      </w:r>
    </w:p>
    <w:p>
      <w:pPr>
        <w:spacing w:after="0" w:line="229" w:lineRule="exact"/>
        <w:rPr>
          <w:sz w:val="20"/>
          <w:szCs w:val="20"/>
          <w:color w:val="auto"/>
        </w:rPr>
      </w:pPr>
    </w:p>
    <w:p>
      <w:pPr>
        <w:ind w:left="380" w:right="499" w:firstLine="648"/>
        <w:spacing w:after="0" w:line="279" w:lineRule="auto"/>
        <w:rPr>
          <w:sz w:val="20"/>
          <w:szCs w:val="20"/>
          <w:color w:val="auto"/>
        </w:rPr>
      </w:pPr>
      <w:r>
        <w:rPr>
          <w:rFonts w:ascii="Arial" w:cs="Arial" w:eastAsia="Arial" w:hAnsi="Arial"/>
          <w:sz w:val="17"/>
          <w:szCs w:val="17"/>
          <w:color w:val="auto"/>
        </w:rPr>
        <w:t>We have reviewed all recently issued standards and have determined that, other than as disclosed in “Notes to Consolidated Financial Statements – Note 2 – Summary of Significant Accounting Policies”, Item 8 of Part II, included elsewhere in this report, such standards will not have a significant impact on our consolidated financial statements or do not otherwise apply to our operations.</w:t>
      </w:r>
    </w:p>
    <w:p>
      <w:pPr>
        <w:spacing w:after="0" w:line="167" w:lineRule="exact"/>
        <w:rPr>
          <w:sz w:val="20"/>
          <w:szCs w:val="20"/>
          <w:color w:val="auto"/>
        </w:rPr>
      </w:pPr>
    </w:p>
    <w:p>
      <w:pPr>
        <w:ind w:left="380"/>
        <w:spacing w:after="0"/>
        <w:tabs>
          <w:tab w:leader="none" w:pos="1700" w:val="left"/>
        </w:tabs>
        <w:rPr>
          <w:sz w:val="20"/>
          <w:szCs w:val="20"/>
          <w:color w:val="auto"/>
        </w:rPr>
      </w:pPr>
      <w:r>
        <w:rPr>
          <w:rFonts w:ascii="Arial" w:cs="Arial" w:eastAsia="Arial" w:hAnsi="Arial"/>
          <w:sz w:val="18"/>
          <w:szCs w:val="18"/>
          <w:b w:val="1"/>
          <w:bCs w:val="1"/>
          <w:color w:val="auto"/>
        </w:rPr>
        <w:t>ITEM 7A.</w:t>
      </w:r>
      <w:r>
        <w:rPr>
          <w:sz w:val="20"/>
          <w:szCs w:val="20"/>
          <w:color w:val="auto"/>
        </w:rPr>
        <w:tab/>
      </w:r>
      <w:r>
        <w:rPr>
          <w:rFonts w:ascii="Arial" w:cs="Arial" w:eastAsia="Arial" w:hAnsi="Arial"/>
          <w:sz w:val="18"/>
          <w:szCs w:val="18"/>
          <w:b w:val="1"/>
          <w:bCs w:val="1"/>
          <w:color w:val="auto"/>
        </w:rPr>
        <w:t>QUANTITATIVE AND QUALITATIVE DISCLOSURES ABOUT MARKET RISK</w:t>
      </w:r>
    </w:p>
    <w:p>
      <w:pPr>
        <w:spacing w:after="0" w:line="229" w:lineRule="exact"/>
        <w:rPr>
          <w:sz w:val="20"/>
          <w:szCs w:val="20"/>
          <w:color w:val="auto"/>
        </w:rPr>
      </w:pPr>
    </w:p>
    <w:p>
      <w:pPr>
        <w:ind w:left="380" w:right="419" w:firstLine="648"/>
        <w:spacing w:after="0" w:line="259" w:lineRule="auto"/>
        <w:rPr>
          <w:sz w:val="20"/>
          <w:szCs w:val="20"/>
          <w:color w:val="auto"/>
        </w:rPr>
      </w:pPr>
      <w:r>
        <w:rPr>
          <w:rFonts w:ascii="Arial" w:cs="Arial" w:eastAsia="Arial" w:hAnsi="Arial"/>
          <w:sz w:val="18"/>
          <w:szCs w:val="18"/>
          <w:color w:val="auto"/>
        </w:rPr>
        <w:t>We are exposed to various market risks, which may result in potential losses arising from adverse changes in market rates, such as interest rates, foreign exchange rates and commodity prices. We do not enter into derivatives or other financial instruments for trading or speculative purposes and do not believe we are exposed to material market risk with respect to our cash and cash equivalents.</w:t>
      </w:r>
    </w:p>
    <w:p>
      <w:pPr>
        <w:spacing w:after="0" w:line="187" w:lineRule="exact"/>
        <w:rPr>
          <w:sz w:val="20"/>
          <w:szCs w:val="20"/>
          <w:color w:val="auto"/>
        </w:rPr>
      </w:pPr>
    </w:p>
    <w:p>
      <w:pPr>
        <w:ind w:left="380"/>
        <w:spacing w:after="0"/>
        <w:rPr>
          <w:sz w:val="20"/>
          <w:szCs w:val="20"/>
          <w:color w:val="auto"/>
        </w:rPr>
      </w:pPr>
      <w:r>
        <w:rPr>
          <w:rFonts w:ascii="Arial" w:cs="Arial" w:eastAsia="Arial" w:hAnsi="Arial"/>
          <w:sz w:val="18"/>
          <w:szCs w:val="18"/>
          <w:b w:val="1"/>
          <w:bCs w:val="1"/>
          <w:i w:val="1"/>
          <w:iCs w:val="1"/>
          <w:color w:val="auto"/>
        </w:rPr>
        <w:t>Interest Rate Risk</w:t>
      </w:r>
    </w:p>
    <w:p>
      <w:pPr>
        <w:spacing w:after="0" w:line="225" w:lineRule="exact"/>
        <w:rPr>
          <w:sz w:val="20"/>
          <w:szCs w:val="20"/>
          <w:color w:val="auto"/>
        </w:rPr>
      </w:pPr>
    </w:p>
    <w:p>
      <w:pPr>
        <w:ind w:left="380" w:right="439" w:firstLine="648"/>
        <w:spacing w:after="0" w:line="259" w:lineRule="auto"/>
        <w:rPr>
          <w:sz w:val="20"/>
          <w:szCs w:val="20"/>
          <w:color w:val="auto"/>
        </w:rPr>
      </w:pPr>
      <w:r>
        <w:rPr>
          <w:rFonts w:ascii="Arial" w:cs="Arial" w:eastAsia="Arial" w:hAnsi="Arial"/>
          <w:sz w:val="18"/>
          <w:szCs w:val="18"/>
          <w:color w:val="auto"/>
        </w:rPr>
        <w:t>We are exposed to interest rate risk under our various credit facilities which accrue interest at variable rates, as described in “Notes to Consolidated Financial Statements – Note 9 - Debt and Financing Arrangements.” We currently do not engage in any interest rate hedging activity but may enter into interest rate swaps or pursue other interest rate hedging strategies in the future.</w:t>
      </w:r>
    </w:p>
    <w:p>
      <w:pPr>
        <w:spacing w:after="0" w:line="187" w:lineRule="exact"/>
        <w:rPr>
          <w:sz w:val="20"/>
          <w:szCs w:val="20"/>
          <w:color w:val="auto"/>
        </w:rPr>
      </w:pPr>
    </w:p>
    <w:p>
      <w:pPr>
        <w:ind w:left="380" w:right="719" w:firstLine="648"/>
        <w:spacing w:after="0" w:line="220" w:lineRule="exact"/>
        <w:rPr>
          <w:sz w:val="20"/>
          <w:szCs w:val="20"/>
          <w:color w:val="auto"/>
        </w:rPr>
      </w:pPr>
      <w:r>
        <w:rPr>
          <w:rFonts w:ascii="Arial" w:cs="Arial" w:eastAsia="Arial" w:hAnsi="Arial"/>
          <w:sz w:val="16"/>
          <w:szCs w:val="16"/>
          <w:color w:val="auto"/>
        </w:rPr>
        <w:t>As of December 31, 2017 and 2016, we had $466.9 million and $412.8 million of outstanding indebtedness (excluding unamortized debt issuance costs), at variable interest rates, respectively. A 1.00% increase in the interest rate applied to these borrowings would have resulted in an increase of $5.3 million and $4.6 million in our annual pre</w:t>
      </w:r>
      <w:r>
        <w:rPr>
          <w:rFonts w:ascii="MS PGothic" w:cs="MS PGothic" w:eastAsia="MS PGothic" w:hAnsi="MS PGothic"/>
          <w:sz w:val="16"/>
          <w:szCs w:val="16"/>
          <w:color w:val="auto"/>
        </w:rPr>
        <w:t>‑</w:t>
      </w:r>
      <w:r>
        <w:rPr>
          <w:rFonts w:ascii="Arial" w:cs="Arial" w:eastAsia="Arial" w:hAnsi="Arial"/>
          <w:sz w:val="16"/>
          <w:szCs w:val="16"/>
          <w:color w:val="auto"/>
        </w:rPr>
        <w:t>tax interest expense as of December 31, 2017 and 2016, respectively.</w:t>
      </w:r>
    </w:p>
    <w:p>
      <w:pPr>
        <w:spacing w:after="0" w:line="203" w:lineRule="exact"/>
        <w:rPr>
          <w:sz w:val="20"/>
          <w:szCs w:val="20"/>
          <w:color w:val="auto"/>
        </w:rPr>
      </w:pPr>
    </w:p>
    <w:p>
      <w:pPr>
        <w:ind w:left="380" w:right="399" w:firstLine="648"/>
        <w:spacing w:after="0" w:line="276" w:lineRule="auto"/>
        <w:rPr>
          <w:sz w:val="20"/>
          <w:szCs w:val="20"/>
          <w:color w:val="auto"/>
        </w:rPr>
      </w:pPr>
      <w:r>
        <w:rPr>
          <w:rFonts w:ascii="Arial" w:cs="Arial" w:eastAsia="Arial" w:hAnsi="Arial"/>
          <w:sz w:val="17"/>
          <w:szCs w:val="17"/>
          <w:color w:val="auto"/>
        </w:rPr>
        <w:t>Interest rate risk is highly sensitive due to many factors, including U.S. monetary and tax policies, U.S. and international economic factors and other factors beyond our control. We are exposed to changes in the level of interest rates and to changes in the relationship or spread between interest rates for our floating rate debt. Our floating rate debt requires payments based on a variable interest rate index such as LIBOR. Therefore, increases in interest rates may reduce our net income by increasing the cost of our debt.</w:t>
      </w:r>
    </w:p>
    <w:p>
      <w:pPr>
        <w:spacing w:after="0" w:line="173" w:lineRule="exact"/>
        <w:rPr>
          <w:sz w:val="20"/>
          <w:szCs w:val="20"/>
          <w:color w:val="auto"/>
        </w:rPr>
      </w:pPr>
    </w:p>
    <w:p>
      <w:pPr>
        <w:ind w:left="380"/>
        <w:spacing w:after="0"/>
        <w:rPr>
          <w:sz w:val="20"/>
          <w:szCs w:val="20"/>
          <w:color w:val="auto"/>
        </w:rPr>
      </w:pPr>
      <w:r>
        <w:rPr>
          <w:rFonts w:ascii="Arial" w:cs="Arial" w:eastAsia="Arial" w:hAnsi="Arial"/>
          <w:sz w:val="18"/>
          <w:szCs w:val="18"/>
          <w:b w:val="1"/>
          <w:bCs w:val="1"/>
          <w:i w:val="1"/>
          <w:iCs w:val="1"/>
          <w:color w:val="auto"/>
        </w:rPr>
        <w:t>Foreign Exchange Risk</w:t>
      </w:r>
    </w:p>
    <w:p>
      <w:pPr>
        <w:spacing w:after="0" w:line="225" w:lineRule="exact"/>
        <w:rPr>
          <w:sz w:val="20"/>
          <w:szCs w:val="20"/>
          <w:color w:val="auto"/>
        </w:rPr>
      </w:pPr>
    </w:p>
    <w:p>
      <w:pPr>
        <w:ind w:left="380" w:right="419" w:firstLine="648"/>
        <w:spacing w:after="0" w:line="219" w:lineRule="exact"/>
        <w:rPr>
          <w:sz w:val="20"/>
          <w:szCs w:val="20"/>
          <w:color w:val="auto"/>
        </w:rPr>
      </w:pPr>
      <w:r>
        <w:rPr>
          <w:rFonts w:ascii="Arial" w:cs="Arial" w:eastAsia="Arial" w:hAnsi="Arial"/>
          <w:sz w:val="16"/>
          <w:szCs w:val="16"/>
          <w:color w:val="auto"/>
        </w:rPr>
        <w:t>In the normal course of business, we are exposed to gains and losses resulting from fluctuations in foreign currency exchange rates relating to transactions outside the United States denominated in foreign currencies, which include, but are not limited to, the Japanese yen, the Korean won, the British pound sterling, the euro and the Canadian dollar. In addition, we are exposed to gains and losses resulting from the translation of the operating results of our non</w:t>
      </w:r>
      <w:r>
        <w:rPr>
          <w:rFonts w:ascii="MS PGothic" w:cs="MS PGothic" w:eastAsia="MS PGothic" w:hAnsi="MS PGothic"/>
          <w:sz w:val="16"/>
          <w:szCs w:val="16"/>
          <w:color w:val="auto"/>
        </w:rPr>
        <w:t>‑</w:t>
      </w:r>
      <w:r>
        <w:rPr>
          <w:rFonts w:ascii="Arial" w:cs="Arial" w:eastAsia="Arial" w:hAnsi="Arial"/>
          <w:sz w:val="16"/>
          <w:szCs w:val="16"/>
          <w:color w:val="auto"/>
        </w:rPr>
        <w:t>U.S. subsidiaries into U.S. dollars for financial reporting purposes.</w:t>
      </w:r>
    </w:p>
    <w:p>
      <w:pPr>
        <w:spacing w:after="0" w:line="204" w:lineRule="exact"/>
        <w:rPr>
          <w:sz w:val="20"/>
          <w:szCs w:val="20"/>
          <w:color w:val="auto"/>
        </w:rPr>
      </w:pPr>
    </w:p>
    <w:p>
      <w:pPr>
        <w:ind w:left="380" w:right="559" w:firstLine="648"/>
        <w:spacing w:after="0" w:line="291" w:lineRule="auto"/>
        <w:rPr>
          <w:sz w:val="20"/>
          <w:szCs w:val="20"/>
          <w:color w:val="auto"/>
        </w:rPr>
      </w:pPr>
      <w:r>
        <w:rPr>
          <w:rFonts w:ascii="Arial" w:cs="Arial" w:eastAsia="Arial" w:hAnsi="Arial"/>
          <w:sz w:val="16"/>
          <w:szCs w:val="16"/>
          <w:color w:val="auto"/>
        </w:rPr>
        <w:t>We use financial instruments to reduce the impact of changes in foreign currency exchange rates. The principal financial instruments we enter into on a routine basis are foreign exchange forward contracts. The primary foreign exchange forward contracts pertain to the Japanese yen, the Korean won, the British pound sterling, the euro and the Canadian dollar. Foreign exchange forward contracts are primarily used to hedge purchases denominated in select foreign currencies. The periods of the foreign exchange forward contracts correspond to the periods of the forecasted transactions, which do not exceed 24 months subsequent to the latest balance sheet date. We do not enter into foreign exchange forward contracts for trading or speculative purposes.</w:t>
      </w:r>
    </w:p>
    <w:p>
      <w:pPr>
        <w:spacing w:after="0" w:line="165"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79" w:name="page80"/>
    <w:bookmarkEnd w:id="79"/>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380" w:right="419" w:firstLine="648"/>
        <w:spacing w:after="0" w:line="297" w:lineRule="auto"/>
        <w:rPr>
          <w:sz w:val="20"/>
          <w:szCs w:val="20"/>
          <w:color w:val="auto"/>
        </w:rPr>
      </w:pPr>
      <w:r>
        <w:rPr>
          <w:rFonts w:ascii="Arial" w:cs="Arial" w:eastAsia="Arial" w:hAnsi="Arial"/>
          <w:sz w:val="16"/>
          <w:szCs w:val="16"/>
          <w:color w:val="auto"/>
        </w:rPr>
        <w:t>The gross U.S. dollar equivalent notional amount of all foreign currency forward contracts outstanding at December 31, 2017 and 2016, was $278.9 million and $371.2 million, respectively, representing a net settlement liability of $1.4 million and a net settlement asset of $15.5 million, respectively. Gains and losses on the foreign exchange forward contracts that we account for as hedges offset losses and gains on these foreign currency purchases and reduce the earnings and shareholders’ equity volatility relating to foreign exchange.</w:t>
      </w:r>
    </w:p>
    <w:p>
      <w:pPr>
        <w:spacing w:after="0" w:line="158" w:lineRule="exact"/>
        <w:rPr>
          <w:sz w:val="20"/>
          <w:szCs w:val="20"/>
          <w:color w:val="auto"/>
        </w:rPr>
      </w:pPr>
    </w:p>
    <w:p>
      <w:pPr>
        <w:ind w:left="380" w:right="419" w:firstLine="648"/>
        <w:spacing w:after="0" w:line="289" w:lineRule="auto"/>
        <w:rPr>
          <w:sz w:val="20"/>
          <w:szCs w:val="20"/>
          <w:color w:val="auto"/>
        </w:rPr>
      </w:pPr>
      <w:r>
        <w:rPr>
          <w:rFonts w:ascii="Arial" w:cs="Arial" w:eastAsia="Arial" w:hAnsi="Arial"/>
          <w:sz w:val="16"/>
          <w:szCs w:val="16"/>
          <w:color w:val="auto"/>
        </w:rPr>
        <w:t>We performed a sensitivity analysis to assess potential changes in the fair value of our foreign exchange forward contracts relating to a hypothetical movement in foreign currency exchange rates. The sensitivity analysis of changes in the fair value of our foreign exchange forward contracts outstanding at December 31, 2017, while not predictive in nature, indicated that if the U.S. dollar uniformly weakened by 10% against all currencies covered by our contracts, the net settlement liability of $1.4 million would increase by $24.7 million resulting in a net settlement liability of $26.1 million. The same sensitivity analysis of changes in the fair value of our foreign exchange forward contracts outstanding at December 31, 2016 indicated that if the U.S. dollar uniformly weakened by 10% against all currencies covered by our contracts, the net settlement asset of $15.5 million would have decreased by $33.2 million resulting in a net settlement liability of $17.7 million.</w:t>
      </w:r>
    </w:p>
    <w:p>
      <w:pPr>
        <w:spacing w:after="0" w:line="167" w:lineRule="exact"/>
        <w:rPr>
          <w:sz w:val="20"/>
          <w:szCs w:val="20"/>
          <w:color w:val="auto"/>
        </w:rPr>
      </w:pPr>
    </w:p>
    <w:p>
      <w:pPr>
        <w:ind w:left="380" w:right="459" w:firstLine="648"/>
        <w:spacing w:after="0" w:line="272" w:lineRule="auto"/>
        <w:rPr>
          <w:sz w:val="20"/>
          <w:szCs w:val="20"/>
          <w:color w:val="auto"/>
        </w:rPr>
      </w:pPr>
      <w:r>
        <w:rPr>
          <w:rFonts w:ascii="Arial" w:cs="Arial" w:eastAsia="Arial" w:hAnsi="Arial"/>
          <w:sz w:val="17"/>
          <w:szCs w:val="17"/>
          <w:color w:val="auto"/>
        </w:rPr>
        <w:t>The sensitivity analysis described above recalculates the fair value of the foreign exchange forward contracts outstanding by replacing the actual foreign currency exchange rates and current month forward rates with foreign currency exchange rates and forward rates that reflect a 10% weakening of the U.S. dollar against all currencies covered by our contracts. All other factors are held constant. The sensitivity analysis disregards the possibility that currency exchange rates can move in opposite directions and that gains from one currency may or may not be offset by losses from another currency. The analysis also disregards the offsetting change in value of the underlying hedged transactions and balances.</w:t>
      </w:r>
    </w:p>
    <w:p>
      <w:pPr>
        <w:spacing w:after="0" w:line="178" w:lineRule="exact"/>
        <w:rPr>
          <w:sz w:val="20"/>
          <w:szCs w:val="20"/>
          <w:color w:val="auto"/>
        </w:rPr>
      </w:pPr>
    </w:p>
    <w:p>
      <w:pPr>
        <w:ind w:left="380" w:right="539" w:firstLine="648"/>
        <w:spacing w:after="0" w:line="221" w:lineRule="exact"/>
        <w:rPr>
          <w:sz w:val="20"/>
          <w:szCs w:val="20"/>
          <w:color w:val="auto"/>
        </w:rPr>
      </w:pPr>
      <w:r>
        <w:rPr>
          <w:rFonts w:ascii="Arial" w:cs="Arial" w:eastAsia="Arial" w:hAnsi="Arial"/>
          <w:sz w:val="18"/>
          <w:szCs w:val="18"/>
          <w:color w:val="auto"/>
        </w:rPr>
        <w:t>The financial markets and currency volatility may limit our ability to cost</w:t>
      </w:r>
      <w:r>
        <w:rPr>
          <w:rFonts w:ascii="MS PGothic" w:cs="MS PGothic" w:eastAsia="MS PGothic" w:hAnsi="MS PGothic"/>
          <w:sz w:val="18"/>
          <w:szCs w:val="18"/>
          <w:color w:val="auto"/>
        </w:rPr>
        <w:t>‑</w:t>
      </w:r>
      <w:r>
        <w:rPr>
          <w:rFonts w:ascii="Arial" w:cs="Arial" w:eastAsia="Arial" w:hAnsi="Arial"/>
          <w:sz w:val="18"/>
          <w:szCs w:val="18"/>
          <w:color w:val="auto"/>
        </w:rPr>
        <w:t>effectively hedge these exposures. The counterparties to derivative contracts are major financial institutions. We assess credit risk of the counterparties on an ongoing basis.</w:t>
      </w:r>
    </w:p>
    <w:p>
      <w:pPr>
        <w:spacing w:after="0" w:line="202" w:lineRule="exact"/>
        <w:rPr>
          <w:sz w:val="20"/>
          <w:szCs w:val="20"/>
          <w:color w:val="auto"/>
        </w:rPr>
      </w:pPr>
    </w:p>
    <w:p>
      <w:pPr>
        <w:ind w:left="380"/>
        <w:spacing w:after="0"/>
        <w:rPr>
          <w:sz w:val="20"/>
          <w:szCs w:val="20"/>
          <w:color w:val="auto"/>
        </w:rPr>
      </w:pPr>
      <w:r>
        <w:rPr>
          <w:rFonts w:ascii="Arial" w:cs="Arial" w:eastAsia="Arial" w:hAnsi="Arial"/>
          <w:sz w:val="18"/>
          <w:szCs w:val="18"/>
          <w:b w:val="1"/>
          <w:bCs w:val="1"/>
          <w:i w:val="1"/>
          <w:iCs w:val="1"/>
          <w:color w:val="auto"/>
        </w:rPr>
        <w:t>Commodity Price Risk</w:t>
      </w:r>
    </w:p>
    <w:p>
      <w:pPr>
        <w:spacing w:after="0" w:line="225" w:lineRule="exact"/>
        <w:rPr>
          <w:sz w:val="20"/>
          <w:szCs w:val="20"/>
          <w:color w:val="auto"/>
        </w:rPr>
      </w:pPr>
    </w:p>
    <w:p>
      <w:pPr>
        <w:ind w:left="380" w:right="379" w:firstLine="648"/>
        <w:spacing w:after="0" w:line="220" w:lineRule="exact"/>
        <w:rPr>
          <w:sz w:val="20"/>
          <w:szCs w:val="20"/>
          <w:color w:val="auto"/>
        </w:rPr>
      </w:pPr>
      <w:r>
        <w:rPr>
          <w:rFonts w:ascii="Arial" w:cs="Arial" w:eastAsia="Arial" w:hAnsi="Arial"/>
          <w:sz w:val="16"/>
          <w:szCs w:val="16"/>
          <w:color w:val="auto"/>
        </w:rPr>
        <w:t>We are exposed to commodity price risk with respect to certain materials and components used by us, our suppliers and our manufacturers, including polybutadiene, urethane and Surlyn for the manufacturing of our golf balls, titanium and steel for the assembly of our golf clubs, leather and synthetic fabrics for our golf shoes, golf gloves, golf gear and golf apparel, and resin and other petroleum</w:t>
      </w:r>
      <w:r>
        <w:rPr>
          <w:rFonts w:ascii="MS PGothic" w:cs="MS PGothic" w:eastAsia="MS PGothic" w:hAnsi="MS PGothic"/>
          <w:sz w:val="16"/>
          <w:szCs w:val="16"/>
          <w:color w:val="auto"/>
        </w:rPr>
        <w:t>‑</w:t>
      </w:r>
      <w:r>
        <w:rPr>
          <w:rFonts w:ascii="Arial" w:cs="Arial" w:eastAsia="Arial" w:hAnsi="Arial"/>
          <w:sz w:val="16"/>
          <w:szCs w:val="16"/>
          <w:color w:val="auto"/>
        </w:rPr>
        <w:t>based materials for a number of our products.</w:t>
      </w:r>
    </w:p>
    <w:p>
      <w:pPr>
        <w:spacing w:after="0" w:line="203" w:lineRule="exact"/>
        <w:rPr>
          <w:sz w:val="20"/>
          <w:szCs w:val="20"/>
          <w:color w:val="auto"/>
        </w:rPr>
      </w:pPr>
    </w:p>
    <w:p>
      <w:pPr>
        <w:ind w:left="380"/>
        <w:spacing w:after="0"/>
        <w:rPr>
          <w:sz w:val="20"/>
          <w:szCs w:val="20"/>
          <w:color w:val="auto"/>
        </w:rPr>
      </w:pPr>
      <w:r>
        <w:rPr>
          <w:rFonts w:ascii="Arial" w:cs="Arial" w:eastAsia="Arial" w:hAnsi="Arial"/>
          <w:sz w:val="18"/>
          <w:szCs w:val="18"/>
          <w:b w:val="1"/>
          <w:bCs w:val="1"/>
          <w:i w:val="1"/>
          <w:iCs w:val="1"/>
          <w:color w:val="auto"/>
        </w:rPr>
        <w:t>Impact of Inflation</w:t>
      </w:r>
    </w:p>
    <w:p>
      <w:pPr>
        <w:spacing w:after="0" w:line="225" w:lineRule="exact"/>
        <w:rPr>
          <w:sz w:val="20"/>
          <w:szCs w:val="20"/>
          <w:color w:val="auto"/>
        </w:rPr>
      </w:pPr>
    </w:p>
    <w:p>
      <w:pPr>
        <w:ind w:left="380" w:right="579" w:firstLine="648"/>
        <w:spacing w:after="0" w:line="312" w:lineRule="auto"/>
        <w:rPr>
          <w:sz w:val="20"/>
          <w:szCs w:val="20"/>
          <w:color w:val="auto"/>
        </w:rPr>
      </w:pPr>
      <w:r>
        <w:rPr>
          <w:rFonts w:ascii="Arial" w:cs="Arial" w:eastAsia="Arial" w:hAnsi="Arial"/>
          <w:sz w:val="16"/>
          <w:szCs w:val="16"/>
          <w:color w:val="auto"/>
        </w:rPr>
        <w:t>Our results of operations and financial condition are presented based on historical cost. While it is difficult to accurately measure the impact of inflation due to the imprecise nature of the estimates required, we believe the effects of inflation, if any, on our results of operations and financial condition have been immaterial.</w:t>
      </w:r>
    </w:p>
    <w:p>
      <w:pPr>
        <w:spacing w:after="0" w:line="143" w:lineRule="exact"/>
        <w:rPr>
          <w:sz w:val="20"/>
          <w:szCs w:val="20"/>
          <w:color w:val="auto"/>
        </w:rPr>
      </w:pPr>
    </w:p>
    <w:p>
      <w:pPr>
        <w:ind w:left="380"/>
        <w:spacing w:after="0"/>
        <w:tabs>
          <w:tab w:leader="none" w:pos="1660" w:val="left"/>
        </w:tabs>
        <w:rPr>
          <w:sz w:val="20"/>
          <w:szCs w:val="20"/>
          <w:color w:val="auto"/>
        </w:rPr>
      </w:pPr>
      <w:r>
        <w:rPr>
          <w:rFonts w:ascii="Arial" w:cs="Arial" w:eastAsia="Arial" w:hAnsi="Arial"/>
          <w:sz w:val="18"/>
          <w:szCs w:val="18"/>
          <w:b w:val="1"/>
          <w:bCs w:val="1"/>
          <w:color w:val="auto"/>
        </w:rPr>
        <w:t>ITEM 8.</w:t>
      </w:r>
      <w:r>
        <w:rPr>
          <w:sz w:val="20"/>
          <w:szCs w:val="20"/>
          <w:color w:val="auto"/>
        </w:rPr>
        <w:tab/>
      </w:r>
      <w:r>
        <w:rPr>
          <w:rFonts w:ascii="Arial" w:cs="Arial" w:eastAsia="Arial" w:hAnsi="Arial"/>
          <w:sz w:val="17"/>
          <w:szCs w:val="17"/>
          <w:b w:val="1"/>
          <w:bCs w:val="1"/>
          <w:color w:val="auto"/>
        </w:rPr>
        <w:t>FINANCIAL STATEMENTS AND SUPPLEMENTARY DATA</w:t>
      </w:r>
    </w:p>
    <w:p>
      <w:pPr>
        <w:spacing w:after="0" w:line="229" w:lineRule="exact"/>
        <w:rPr>
          <w:sz w:val="20"/>
          <w:szCs w:val="20"/>
          <w:color w:val="auto"/>
        </w:rPr>
      </w:pPr>
    </w:p>
    <w:p>
      <w:pPr>
        <w:ind w:left="380" w:right="579" w:firstLine="648"/>
        <w:spacing w:after="0" w:line="223" w:lineRule="exact"/>
        <w:rPr>
          <w:sz w:val="20"/>
          <w:szCs w:val="20"/>
          <w:color w:val="auto"/>
        </w:rPr>
      </w:pPr>
      <w:r>
        <w:rPr>
          <w:rFonts w:ascii="Arial" w:cs="Arial" w:eastAsia="Arial" w:hAnsi="Arial"/>
          <w:sz w:val="18"/>
          <w:szCs w:val="18"/>
          <w:color w:val="auto"/>
        </w:rPr>
        <w:t>See the Index to Consolidated Financial Statements and financial statements commencing on page F</w:t>
      </w:r>
      <w:r>
        <w:rPr>
          <w:rFonts w:ascii="MS PGothic" w:cs="MS PGothic" w:eastAsia="MS PGothic" w:hAnsi="MS PGothic"/>
          <w:sz w:val="18"/>
          <w:szCs w:val="18"/>
          <w:color w:val="auto"/>
        </w:rPr>
        <w:t>‑</w:t>
      </w:r>
      <w:r>
        <w:rPr>
          <w:rFonts w:ascii="Arial" w:cs="Arial" w:eastAsia="Arial" w:hAnsi="Arial"/>
          <w:sz w:val="18"/>
          <w:szCs w:val="18"/>
          <w:color w:val="auto"/>
        </w:rPr>
        <w:t>1, which are incorporated herein by reference.</w:t>
      </w:r>
    </w:p>
    <w:p>
      <w:pPr>
        <w:spacing w:after="0" w:line="199" w:lineRule="exact"/>
        <w:rPr>
          <w:sz w:val="20"/>
          <w:szCs w:val="20"/>
          <w:color w:val="auto"/>
        </w:rPr>
      </w:pPr>
    </w:p>
    <w:p>
      <w:pPr>
        <w:ind w:left="1680" w:right="559" w:hanging="1296"/>
        <w:spacing w:after="0" w:line="282" w:lineRule="auto"/>
        <w:tabs>
          <w:tab w:leader="none" w:pos="1660" w:val="left"/>
        </w:tabs>
        <w:rPr>
          <w:sz w:val="20"/>
          <w:szCs w:val="20"/>
          <w:color w:val="auto"/>
        </w:rPr>
      </w:pPr>
      <w:r>
        <w:rPr>
          <w:rFonts w:ascii="Arial" w:cs="Arial" w:eastAsia="Arial" w:hAnsi="Arial"/>
          <w:sz w:val="18"/>
          <w:szCs w:val="18"/>
          <w:b w:val="1"/>
          <w:bCs w:val="1"/>
          <w:color w:val="auto"/>
        </w:rPr>
        <w:t>ITEM 9.</w:t>
      </w:r>
      <w:r>
        <w:rPr>
          <w:sz w:val="20"/>
          <w:szCs w:val="20"/>
          <w:color w:val="auto"/>
        </w:rPr>
        <w:tab/>
      </w:r>
      <w:r>
        <w:rPr>
          <w:rFonts w:ascii="Arial" w:cs="Arial" w:eastAsia="Arial" w:hAnsi="Arial"/>
          <w:sz w:val="18"/>
          <w:szCs w:val="18"/>
          <w:b w:val="1"/>
          <w:bCs w:val="1"/>
          <w:color w:val="auto"/>
        </w:rPr>
        <w:t>CHANGES IN AND DISAGREEMENTS WITH ACCOUNTANTS ON ACCOUNTING AND FINANCIAL DISCLOSURES</w:t>
      </w:r>
    </w:p>
    <w:p>
      <w:pPr>
        <w:spacing w:after="0" w:line="166" w:lineRule="exact"/>
        <w:rPr>
          <w:sz w:val="20"/>
          <w:szCs w:val="20"/>
          <w:color w:val="auto"/>
        </w:rPr>
      </w:pPr>
    </w:p>
    <w:p>
      <w:pPr>
        <w:ind w:left="1040"/>
        <w:spacing w:after="0"/>
        <w:rPr>
          <w:sz w:val="20"/>
          <w:szCs w:val="20"/>
          <w:color w:val="auto"/>
        </w:rPr>
      </w:pPr>
      <w:r>
        <w:rPr>
          <w:rFonts w:ascii="Arial" w:cs="Arial" w:eastAsia="Arial" w:hAnsi="Arial"/>
          <w:sz w:val="16"/>
          <w:szCs w:val="16"/>
          <w:color w:val="auto"/>
        </w:rPr>
        <w:t>There were no changes in or disagreements with our accountants on accounting and financial disclosure</w:t>
      </w:r>
    </w:p>
    <w:p>
      <w:pPr>
        <w:spacing w:after="0" w:line="46" w:lineRule="exact"/>
        <w:rPr>
          <w:sz w:val="20"/>
          <w:szCs w:val="20"/>
          <w:color w:val="auto"/>
        </w:rPr>
      </w:pPr>
    </w:p>
    <w:p>
      <w:pPr>
        <w:ind w:left="380"/>
        <w:spacing w:after="0"/>
        <w:rPr>
          <w:sz w:val="20"/>
          <w:szCs w:val="20"/>
          <w:color w:val="auto"/>
        </w:rPr>
      </w:pPr>
      <w:r>
        <w:rPr>
          <w:rFonts w:ascii="Arial" w:cs="Arial" w:eastAsia="Arial" w:hAnsi="Arial"/>
          <w:sz w:val="18"/>
          <w:szCs w:val="18"/>
          <w:color w:val="auto"/>
        </w:rPr>
        <w:t>matters.</w:t>
      </w:r>
    </w:p>
    <w:p>
      <w:pPr>
        <w:spacing w:after="0" w:line="207" w:lineRule="exact"/>
        <w:rPr>
          <w:sz w:val="20"/>
          <w:szCs w:val="20"/>
          <w:color w:val="auto"/>
        </w:rPr>
      </w:pPr>
    </w:p>
    <w:p>
      <w:pPr>
        <w:ind w:left="380"/>
        <w:spacing w:after="0"/>
        <w:tabs>
          <w:tab w:leader="none" w:pos="1700" w:val="left"/>
        </w:tabs>
        <w:rPr>
          <w:sz w:val="20"/>
          <w:szCs w:val="20"/>
          <w:color w:val="auto"/>
        </w:rPr>
      </w:pPr>
      <w:r>
        <w:rPr>
          <w:rFonts w:ascii="Arial" w:cs="Arial" w:eastAsia="Arial" w:hAnsi="Arial"/>
          <w:sz w:val="18"/>
          <w:szCs w:val="18"/>
          <w:b w:val="1"/>
          <w:bCs w:val="1"/>
          <w:color w:val="auto"/>
        </w:rPr>
        <w:t>ITEM 9A.</w:t>
      </w:r>
      <w:r>
        <w:rPr>
          <w:sz w:val="20"/>
          <w:szCs w:val="20"/>
          <w:color w:val="auto"/>
        </w:rPr>
        <w:tab/>
      </w:r>
      <w:r>
        <w:rPr>
          <w:rFonts w:ascii="Arial" w:cs="Arial" w:eastAsia="Arial" w:hAnsi="Arial"/>
          <w:sz w:val="17"/>
          <w:szCs w:val="17"/>
          <w:b w:val="1"/>
          <w:bCs w:val="1"/>
          <w:color w:val="auto"/>
        </w:rPr>
        <w:t>CONTROLS AND PROCEDURES</w:t>
      </w:r>
    </w:p>
    <w:p>
      <w:pPr>
        <w:spacing w:after="0" w:line="229" w:lineRule="exact"/>
        <w:rPr>
          <w:sz w:val="20"/>
          <w:szCs w:val="20"/>
          <w:color w:val="auto"/>
        </w:rPr>
      </w:pPr>
    </w:p>
    <w:p>
      <w:pPr>
        <w:ind w:left="380" w:right="459" w:firstLine="648"/>
        <w:spacing w:after="0" w:line="259" w:lineRule="auto"/>
        <w:rPr>
          <w:sz w:val="20"/>
          <w:szCs w:val="20"/>
          <w:color w:val="auto"/>
        </w:rPr>
      </w:pPr>
      <w:r>
        <w:rPr>
          <w:rFonts w:ascii="Arial" w:cs="Arial" w:eastAsia="Arial" w:hAnsi="Arial"/>
          <w:sz w:val="18"/>
          <w:szCs w:val="18"/>
          <w:color w:val="auto"/>
        </w:rPr>
        <w:t>The required certifications of our chief executive officer and our principal financial officer are included as Exhibit 31.1 and 31.2 to this Annual Report on Form 10-K. The disclosures set forth in this Item 9A contain information concerning the evaluation of our disclosure controls and procedures, management's report on internal control over</w:t>
      </w:r>
    </w:p>
    <w:p>
      <w:pPr>
        <w:spacing w:after="0" w:line="184"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80" w:name="page81"/>
    <w:bookmarkEnd w:id="80"/>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380" w:right="379"/>
        <w:spacing w:after="0" w:line="264" w:lineRule="auto"/>
        <w:rPr>
          <w:sz w:val="20"/>
          <w:szCs w:val="20"/>
          <w:color w:val="auto"/>
        </w:rPr>
      </w:pPr>
      <w:r>
        <w:rPr>
          <w:rFonts w:ascii="Arial" w:cs="Arial" w:eastAsia="Arial" w:hAnsi="Arial"/>
          <w:sz w:val="18"/>
          <w:szCs w:val="18"/>
          <w:color w:val="auto"/>
        </w:rPr>
        <w:t>financial reporting and changes in internal control over financial reporting referred to in those certifications. These certifications should be read in conjunction with this Item 9A for a more complete understanding of the matters covered by the certifications.</w:t>
      </w:r>
    </w:p>
    <w:p>
      <w:pPr>
        <w:spacing w:after="0" w:line="181" w:lineRule="exact"/>
        <w:rPr>
          <w:sz w:val="20"/>
          <w:szCs w:val="20"/>
          <w:color w:val="auto"/>
        </w:rPr>
      </w:pPr>
    </w:p>
    <w:p>
      <w:pPr>
        <w:ind w:left="380"/>
        <w:spacing w:after="0"/>
        <w:rPr>
          <w:sz w:val="20"/>
          <w:szCs w:val="20"/>
          <w:color w:val="auto"/>
        </w:rPr>
      </w:pPr>
      <w:r>
        <w:rPr>
          <w:rFonts w:ascii="Arial" w:cs="Arial" w:eastAsia="Arial" w:hAnsi="Arial"/>
          <w:sz w:val="18"/>
          <w:szCs w:val="18"/>
          <w:b w:val="1"/>
          <w:bCs w:val="1"/>
          <w:i w:val="1"/>
          <w:iCs w:val="1"/>
          <w:color w:val="auto"/>
        </w:rPr>
        <w:t>Evaluation of Disclosure Controls and Procedures</w:t>
      </w:r>
    </w:p>
    <w:p>
      <w:pPr>
        <w:spacing w:after="0" w:line="225" w:lineRule="exact"/>
        <w:rPr>
          <w:sz w:val="20"/>
          <w:szCs w:val="20"/>
          <w:color w:val="auto"/>
        </w:rPr>
      </w:pPr>
    </w:p>
    <w:p>
      <w:pPr>
        <w:ind w:left="380" w:right="439" w:firstLine="501"/>
        <w:spacing w:after="0" w:line="288" w:lineRule="auto"/>
        <w:rPr>
          <w:sz w:val="20"/>
          <w:szCs w:val="20"/>
          <w:color w:val="auto"/>
        </w:rPr>
      </w:pPr>
      <w:r>
        <w:rPr>
          <w:rFonts w:ascii="Arial" w:cs="Arial" w:eastAsia="Arial" w:hAnsi="Arial"/>
          <w:sz w:val="16"/>
          <w:szCs w:val="16"/>
          <w:color w:val="auto"/>
        </w:rPr>
        <w:t>We maintain disclosure controls and procedures, as defined in Rules 13a-15(e) and 15d-15(e) under the Exchange Act, that are designed to ensure that information required to be disclosed by a company in the reports that it files or submits under the Securities Exchange Act, as amended, (the “ Exchange Act”) is recorded, processed, summarized, and reported, within the time periods specified in the SEC’s rules and forms; and that such information is accumulated and communicated to management, including our principal executive officer and principal financial officer, as appropriate, to allow timely decisions regarding required disclosure. Our management, with the participation of our principal executive officer and principal financial officer, evaluated the effectiveness of our disclosure controls and procedures as of December 31, 2017, the last day of the period covered by this Annual Report. Based on this evaluation, our principal executive officer and principal financial officer have concluded that our disclosure controls and procedures were effective as of December 31, 2017.</w:t>
      </w:r>
    </w:p>
    <w:p>
      <w:pPr>
        <w:spacing w:after="0" w:line="169" w:lineRule="exact"/>
        <w:rPr>
          <w:sz w:val="20"/>
          <w:szCs w:val="20"/>
          <w:color w:val="auto"/>
        </w:rPr>
      </w:pPr>
    </w:p>
    <w:p>
      <w:pPr>
        <w:ind w:left="380"/>
        <w:spacing w:after="0"/>
        <w:rPr>
          <w:sz w:val="20"/>
          <w:szCs w:val="20"/>
          <w:color w:val="auto"/>
        </w:rPr>
      </w:pPr>
      <w:r>
        <w:rPr>
          <w:rFonts w:ascii="Arial" w:cs="Arial" w:eastAsia="Arial" w:hAnsi="Arial"/>
          <w:sz w:val="18"/>
          <w:szCs w:val="18"/>
          <w:b w:val="1"/>
          <w:bCs w:val="1"/>
          <w:i w:val="1"/>
          <w:iCs w:val="1"/>
          <w:color w:val="auto"/>
        </w:rPr>
        <w:t>Management’s Report on Internal Control over Financial Reporting</w:t>
      </w:r>
    </w:p>
    <w:p>
      <w:pPr>
        <w:spacing w:after="0" w:line="225" w:lineRule="exact"/>
        <w:rPr>
          <w:sz w:val="20"/>
          <w:szCs w:val="20"/>
          <w:color w:val="auto"/>
        </w:rPr>
      </w:pPr>
    </w:p>
    <w:p>
      <w:pPr>
        <w:jc w:val="both"/>
        <w:ind w:left="380" w:right="379" w:firstLine="324"/>
        <w:spacing w:after="0" w:line="255" w:lineRule="auto"/>
        <w:rPr>
          <w:sz w:val="20"/>
          <w:szCs w:val="20"/>
          <w:color w:val="auto"/>
        </w:rPr>
      </w:pPr>
      <w:r>
        <w:rPr>
          <w:rFonts w:ascii="Arial" w:cs="Arial" w:eastAsia="Arial" w:hAnsi="Arial"/>
          <w:sz w:val="18"/>
          <w:szCs w:val="18"/>
          <w:color w:val="auto"/>
        </w:rPr>
        <w:t>Management is responsible for establishing and maintaining adequate internal control over financial reporting. Internal control over financial reporting is defined in Rule 13a-15(f) and 15d-15(f) promulgated under the Exchange Act as a process designed by, or under the supervision of, our principal executive and principal financial officers and effected by our board of directors, management and other personnel, to provide reasonable assurance regarding the reliability of financial reporting and the preparation of financial statements for external purposes in accordance with generally accepted accounting principles and includes those policies and procedures that:</w:t>
      </w:r>
    </w:p>
    <w:p>
      <w:pPr>
        <w:spacing w:after="0" w:line="189" w:lineRule="exact"/>
        <w:rPr>
          <w:sz w:val="20"/>
          <w:szCs w:val="20"/>
          <w:color w:val="auto"/>
        </w:rPr>
      </w:pPr>
    </w:p>
    <w:p>
      <w:pPr>
        <w:ind w:left="1360" w:right="379" w:hanging="329"/>
        <w:spacing w:after="0" w:line="258" w:lineRule="auto"/>
        <w:tabs>
          <w:tab w:leader="none" w:pos="1360" w:val="left"/>
        </w:tabs>
        <w:numPr>
          <w:ilvl w:val="0"/>
          <w:numId w:val="27"/>
        </w:numPr>
        <w:rPr>
          <w:rFonts w:ascii="Arial" w:cs="Arial" w:eastAsia="Arial" w:hAnsi="Arial"/>
          <w:sz w:val="18"/>
          <w:szCs w:val="18"/>
          <w:color w:val="auto"/>
        </w:rPr>
      </w:pPr>
      <w:r>
        <w:rPr>
          <w:rFonts w:ascii="Arial" w:cs="Arial" w:eastAsia="Arial" w:hAnsi="Arial"/>
          <w:sz w:val="18"/>
          <w:szCs w:val="18"/>
          <w:color w:val="auto"/>
        </w:rPr>
        <w:t>Pertain to the maintenance of records that in reasonable detail accurately and fairly reflect the transactions and dispositions of the assets of the company;</w:t>
      </w:r>
    </w:p>
    <w:p>
      <w:pPr>
        <w:spacing w:after="0" w:line="1" w:lineRule="exact"/>
        <w:rPr>
          <w:rFonts w:ascii="Arial" w:cs="Arial" w:eastAsia="Arial" w:hAnsi="Arial"/>
          <w:sz w:val="18"/>
          <w:szCs w:val="18"/>
          <w:color w:val="auto"/>
        </w:rPr>
      </w:pPr>
    </w:p>
    <w:p>
      <w:pPr>
        <w:jc w:val="both"/>
        <w:ind w:left="1360" w:right="379" w:hanging="329"/>
        <w:spacing w:after="0" w:line="250" w:lineRule="auto"/>
        <w:tabs>
          <w:tab w:leader="none" w:pos="1360" w:val="left"/>
        </w:tabs>
        <w:numPr>
          <w:ilvl w:val="0"/>
          <w:numId w:val="27"/>
        </w:numPr>
        <w:rPr>
          <w:rFonts w:ascii="Arial" w:cs="Arial" w:eastAsia="Arial" w:hAnsi="Arial"/>
          <w:sz w:val="18"/>
          <w:szCs w:val="18"/>
          <w:color w:val="auto"/>
        </w:rPr>
      </w:pPr>
      <w:r>
        <w:rPr>
          <w:rFonts w:ascii="Arial" w:cs="Arial" w:eastAsia="Arial" w:hAnsi="Arial"/>
          <w:sz w:val="18"/>
          <w:szCs w:val="18"/>
          <w:color w:val="auto"/>
        </w:rPr>
        <w:t>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w:t>
      </w:r>
    </w:p>
    <w:p>
      <w:pPr>
        <w:spacing w:after="0" w:line="1" w:lineRule="exact"/>
        <w:rPr>
          <w:rFonts w:ascii="Arial" w:cs="Arial" w:eastAsia="Arial" w:hAnsi="Arial"/>
          <w:sz w:val="18"/>
          <w:szCs w:val="18"/>
          <w:color w:val="auto"/>
        </w:rPr>
      </w:pPr>
    </w:p>
    <w:p>
      <w:pPr>
        <w:jc w:val="both"/>
        <w:ind w:left="1360" w:right="399" w:hanging="329"/>
        <w:spacing w:after="0" w:line="255" w:lineRule="auto"/>
        <w:tabs>
          <w:tab w:leader="none" w:pos="1360" w:val="left"/>
        </w:tabs>
        <w:numPr>
          <w:ilvl w:val="0"/>
          <w:numId w:val="27"/>
        </w:numPr>
        <w:rPr>
          <w:rFonts w:ascii="Arial" w:cs="Arial" w:eastAsia="Arial" w:hAnsi="Arial"/>
          <w:sz w:val="18"/>
          <w:szCs w:val="18"/>
          <w:color w:val="auto"/>
        </w:rPr>
      </w:pPr>
      <w:r>
        <w:rPr>
          <w:rFonts w:ascii="Arial" w:cs="Arial" w:eastAsia="Arial" w:hAnsi="Arial"/>
          <w:sz w:val="18"/>
          <w:szCs w:val="18"/>
          <w:color w:val="auto"/>
        </w:rPr>
        <w:t>Provide reasonable assurance regarding prevention or timely detection of unauthorized acquisition, use or disposition of the company’s assets that could have a material effect on the financial statements</w:t>
      </w:r>
    </w:p>
    <w:p>
      <w:pPr>
        <w:spacing w:after="0" w:line="190" w:lineRule="exact"/>
        <w:rPr>
          <w:sz w:val="20"/>
          <w:szCs w:val="20"/>
          <w:color w:val="auto"/>
        </w:rPr>
      </w:pPr>
    </w:p>
    <w:p>
      <w:pPr>
        <w:jc w:val="both"/>
        <w:ind w:left="380" w:right="379" w:firstLine="324"/>
        <w:spacing w:after="0" w:line="259" w:lineRule="auto"/>
        <w:rPr>
          <w:sz w:val="20"/>
          <w:szCs w:val="20"/>
          <w:color w:val="auto"/>
        </w:rPr>
      </w:pPr>
      <w:r>
        <w:rPr>
          <w:rFonts w:ascii="Arial" w:cs="Arial" w:eastAsia="Arial" w:hAnsi="Arial"/>
          <w:sz w:val="18"/>
          <w:szCs w:val="18"/>
          <w:color w:val="auto"/>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pPr>
        <w:spacing w:after="0" w:line="187" w:lineRule="exact"/>
        <w:rPr>
          <w:sz w:val="20"/>
          <w:szCs w:val="20"/>
          <w:color w:val="auto"/>
        </w:rPr>
      </w:pPr>
    </w:p>
    <w:p>
      <w:pPr>
        <w:jc w:val="both"/>
        <w:ind w:left="380" w:right="379" w:firstLine="324"/>
        <w:spacing w:after="0" w:line="259" w:lineRule="auto"/>
        <w:rPr>
          <w:sz w:val="20"/>
          <w:szCs w:val="20"/>
          <w:color w:val="auto"/>
        </w:rPr>
      </w:pPr>
      <w:r>
        <w:rPr>
          <w:rFonts w:ascii="Arial" w:cs="Arial" w:eastAsia="Arial" w:hAnsi="Arial"/>
          <w:sz w:val="18"/>
          <w:szCs w:val="18"/>
          <w:color w:val="auto"/>
        </w:rPr>
        <w:t>Our management assessed the effectiveness of the Company’s internal control over financial reporting as of December 31, 2017. In making this assessment, our management used the criteria set forth by the Committee of Sponsoring Organizations of the Treadway Commission (COSO) in “Internal Control – Integrated Framework (2013)”.</w:t>
      </w:r>
    </w:p>
    <w:p>
      <w:pPr>
        <w:spacing w:after="0" w:line="187" w:lineRule="exact"/>
        <w:rPr>
          <w:sz w:val="20"/>
          <w:szCs w:val="20"/>
          <w:color w:val="auto"/>
        </w:rPr>
      </w:pPr>
    </w:p>
    <w:p>
      <w:pPr>
        <w:jc w:val="both"/>
        <w:ind w:left="380" w:right="379" w:firstLine="324"/>
        <w:spacing w:after="0" w:line="277" w:lineRule="auto"/>
        <w:rPr>
          <w:sz w:val="20"/>
          <w:szCs w:val="20"/>
          <w:color w:val="auto"/>
        </w:rPr>
      </w:pPr>
      <w:r>
        <w:rPr>
          <w:rFonts w:ascii="Arial" w:cs="Arial" w:eastAsia="Arial" w:hAnsi="Arial"/>
          <w:sz w:val="18"/>
          <w:szCs w:val="18"/>
          <w:color w:val="auto"/>
        </w:rPr>
        <w:t>Based on our assessment, our management determined that, as of December 31, 2017, our internal control over financial reporting is effective.</w:t>
      </w:r>
    </w:p>
    <w:p>
      <w:pPr>
        <w:spacing w:after="0" w:line="170" w:lineRule="exact"/>
        <w:rPr>
          <w:sz w:val="20"/>
          <w:szCs w:val="20"/>
          <w:color w:val="auto"/>
        </w:rPr>
      </w:pPr>
    </w:p>
    <w:p>
      <w:pPr>
        <w:ind w:left="380" w:right="459" w:firstLine="501"/>
        <w:spacing w:after="0" w:line="264" w:lineRule="auto"/>
        <w:rPr>
          <w:sz w:val="20"/>
          <w:szCs w:val="20"/>
          <w:color w:val="auto"/>
        </w:rPr>
      </w:pPr>
      <w:r>
        <w:rPr>
          <w:rFonts w:ascii="Arial" w:cs="Arial" w:eastAsia="Arial" w:hAnsi="Arial"/>
          <w:sz w:val="18"/>
          <w:szCs w:val="18"/>
          <w:color w:val="auto"/>
        </w:rPr>
        <w:t>PricewaterhouseCoopers LLP, an independent registered public accounting firm, has audited the effectiveness of our internal control over financial reporting as stated in their report which appears on page F-2 of this Annual Report on Form 10-K.</w:t>
      </w:r>
    </w:p>
    <w:p>
      <w:pPr>
        <w:spacing w:after="0" w:line="395"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77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81" w:name="page82"/>
    <w:bookmarkEnd w:id="81"/>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380"/>
        <w:spacing w:after="0"/>
        <w:rPr>
          <w:sz w:val="20"/>
          <w:szCs w:val="20"/>
          <w:color w:val="auto"/>
        </w:rPr>
      </w:pPr>
      <w:r>
        <w:rPr>
          <w:rFonts w:ascii="Arial" w:cs="Arial" w:eastAsia="Arial" w:hAnsi="Arial"/>
          <w:sz w:val="16"/>
          <w:szCs w:val="16"/>
          <w:b w:val="1"/>
          <w:bCs w:val="1"/>
          <w:i w:val="1"/>
          <w:iCs w:val="1"/>
          <w:color w:val="auto"/>
        </w:rPr>
        <w:t>Remediation of Previously-Identified Material Weaknesses in Internal Control over Financial Reporting</w:t>
      </w:r>
    </w:p>
    <w:p>
      <w:pPr>
        <w:spacing w:after="0" w:line="248" w:lineRule="exact"/>
        <w:rPr>
          <w:sz w:val="20"/>
          <w:szCs w:val="20"/>
          <w:color w:val="auto"/>
        </w:rPr>
      </w:pPr>
    </w:p>
    <w:p>
      <w:pPr>
        <w:ind w:left="380" w:right="399" w:firstLine="501"/>
        <w:spacing w:after="0" w:line="257" w:lineRule="auto"/>
        <w:rPr>
          <w:sz w:val="20"/>
          <w:szCs w:val="20"/>
          <w:color w:val="auto"/>
        </w:rPr>
      </w:pPr>
      <w:r>
        <w:rPr>
          <w:rFonts w:ascii="Arial" w:cs="Arial" w:eastAsia="Arial" w:hAnsi="Arial"/>
          <w:sz w:val="18"/>
          <w:szCs w:val="18"/>
          <w:color w:val="auto"/>
        </w:rPr>
        <w:t>As we disclosed in our Annual Report on Form 10-K for the year ended December 31, 2016, our management previously identified material weaknesses in our internal control over financial reporting. A material weakness is a deficiency, or a combination of deficiencies, in internal control over financial reporting such that there is a reasonable possibility that a material misstatement of our annual or interim consolidated financial statements will not be prevented or detected on a timely basis.</w:t>
      </w:r>
    </w:p>
    <w:p>
      <w:pPr>
        <w:spacing w:after="0" w:line="188" w:lineRule="exact"/>
        <w:rPr>
          <w:sz w:val="20"/>
          <w:szCs w:val="20"/>
          <w:color w:val="auto"/>
        </w:rPr>
      </w:pPr>
    </w:p>
    <w:p>
      <w:pPr>
        <w:ind w:left="380" w:right="419" w:firstLine="501"/>
        <w:spacing w:after="0" w:line="271" w:lineRule="auto"/>
        <w:rPr>
          <w:sz w:val="20"/>
          <w:szCs w:val="20"/>
          <w:color w:val="auto"/>
        </w:rPr>
      </w:pPr>
      <w:r>
        <w:rPr>
          <w:rFonts w:ascii="Arial" w:cs="Arial" w:eastAsia="Arial" w:hAnsi="Arial"/>
          <w:sz w:val="17"/>
          <w:szCs w:val="17"/>
          <w:color w:val="auto"/>
        </w:rPr>
        <w:t>The material weaknesses identified related to our not having in place an effective control environment with a sufficient number of accounting personnel with the appropriate technical training in, and experience with, U.S. GAAP to allow for a detailed review of complex accounting transactions that would identify errors in a timely manner. Further, we did not design effective control activities relating to formally documented and implemented accounting processes and procedures across business cycles, including income taxes, derivatives, certain compensation and benefits, certain revenue transactions, and functional currency, and internal communication protocols related to matters impacting income tax and benefit accounts. We also did not maintain effective segregation of duties in our internal control over financial reporting.</w:t>
      </w:r>
    </w:p>
    <w:p>
      <w:pPr>
        <w:spacing w:after="0" w:line="179" w:lineRule="exact"/>
        <w:rPr>
          <w:sz w:val="20"/>
          <w:szCs w:val="20"/>
          <w:color w:val="auto"/>
        </w:rPr>
      </w:pPr>
    </w:p>
    <w:p>
      <w:pPr>
        <w:ind w:left="380" w:right="759" w:firstLine="501"/>
        <w:spacing w:after="0" w:line="342" w:lineRule="auto"/>
        <w:rPr>
          <w:sz w:val="20"/>
          <w:szCs w:val="20"/>
          <w:color w:val="auto"/>
        </w:rPr>
      </w:pPr>
      <w:r>
        <w:rPr>
          <w:rFonts w:ascii="Arial" w:cs="Arial" w:eastAsia="Arial" w:hAnsi="Arial"/>
          <w:sz w:val="16"/>
          <w:szCs w:val="16"/>
          <w:color w:val="auto"/>
        </w:rPr>
        <w:t>In response to the identified material weaknesses, we took a number of actions to improve our internal control over financial reporting during the year ended December 31, 2017, including the following:</w:t>
      </w:r>
    </w:p>
    <w:p>
      <w:pPr>
        <w:spacing w:after="0" w:line="124" w:lineRule="exact"/>
        <w:rPr>
          <w:sz w:val="20"/>
          <w:szCs w:val="20"/>
          <w:color w:val="auto"/>
        </w:rPr>
      </w:pPr>
    </w:p>
    <w:p>
      <w:pPr>
        <w:ind w:left="1520" w:right="899" w:hanging="327"/>
        <w:spacing w:after="0" w:line="258" w:lineRule="auto"/>
        <w:tabs>
          <w:tab w:leader="none" w:pos="1520" w:val="left"/>
        </w:tabs>
        <w:numPr>
          <w:ilvl w:val="0"/>
          <w:numId w:val="28"/>
        </w:numPr>
        <w:rPr>
          <w:rFonts w:ascii="Arial" w:cs="Arial" w:eastAsia="Arial" w:hAnsi="Arial"/>
          <w:sz w:val="18"/>
          <w:szCs w:val="18"/>
          <w:color w:val="auto"/>
        </w:rPr>
      </w:pPr>
      <w:r>
        <w:rPr>
          <w:rFonts w:ascii="Arial" w:cs="Arial" w:eastAsia="Arial" w:hAnsi="Arial"/>
          <w:sz w:val="18"/>
          <w:szCs w:val="18"/>
          <w:color w:val="auto"/>
        </w:rPr>
        <w:t>We have hired a Chief Accounting Officer and additional financial reporting personnel with technical accounting and financial reporting experience</w:t>
      </w:r>
    </w:p>
    <w:p>
      <w:pPr>
        <w:spacing w:after="0" w:line="1" w:lineRule="exact"/>
        <w:rPr>
          <w:rFonts w:ascii="Arial" w:cs="Arial" w:eastAsia="Arial" w:hAnsi="Arial"/>
          <w:sz w:val="18"/>
          <w:szCs w:val="18"/>
          <w:color w:val="auto"/>
        </w:rPr>
      </w:pPr>
    </w:p>
    <w:p>
      <w:pPr>
        <w:ind w:left="1520" w:right="699" w:hanging="327"/>
        <w:spacing w:after="0" w:line="250" w:lineRule="auto"/>
        <w:tabs>
          <w:tab w:leader="none" w:pos="1520" w:val="left"/>
        </w:tabs>
        <w:numPr>
          <w:ilvl w:val="0"/>
          <w:numId w:val="28"/>
        </w:numPr>
        <w:rPr>
          <w:rFonts w:ascii="Arial" w:cs="Arial" w:eastAsia="Arial" w:hAnsi="Arial"/>
          <w:sz w:val="18"/>
          <w:szCs w:val="18"/>
          <w:color w:val="auto"/>
        </w:rPr>
      </w:pPr>
      <w:r>
        <w:rPr>
          <w:rFonts w:ascii="Arial" w:cs="Arial" w:eastAsia="Arial" w:hAnsi="Arial"/>
          <w:sz w:val="18"/>
          <w:szCs w:val="18"/>
          <w:color w:val="auto"/>
        </w:rPr>
        <w:t>We have formalized our accounting policies and procedures, and enhanced our internal review procedures during the financial statement close process</w:t>
      </w:r>
    </w:p>
    <w:p>
      <w:pPr>
        <w:ind w:left="1520" w:right="399" w:hanging="327"/>
        <w:spacing w:after="0" w:line="250" w:lineRule="auto"/>
        <w:tabs>
          <w:tab w:leader="none" w:pos="1520" w:val="left"/>
        </w:tabs>
        <w:numPr>
          <w:ilvl w:val="0"/>
          <w:numId w:val="28"/>
        </w:numPr>
        <w:rPr>
          <w:rFonts w:ascii="Arial" w:cs="Arial" w:eastAsia="Arial" w:hAnsi="Arial"/>
          <w:sz w:val="18"/>
          <w:szCs w:val="18"/>
          <w:color w:val="auto"/>
        </w:rPr>
      </w:pPr>
      <w:r>
        <w:rPr>
          <w:rFonts w:ascii="Arial" w:cs="Arial" w:eastAsia="Arial" w:hAnsi="Arial"/>
          <w:sz w:val="18"/>
          <w:szCs w:val="18"/>
          <w:color w:val="auto"/>
        </w:rPr>
        <w:t>We engaged an accounting firm to evaluate and document the design and operating effectiveness of our internal controls and assist with the remediation and implementation of our internal controls as required</w:t>
      </w:r>
    </w:p>
    <w:p>
      <w:pPr>
        <w:spacing w:after="0" w:line="1" w:lineRule="exact"/>
        <w:rPr>
          <w:rFonts w:ascii="Arial" w:cs="Arial" w:eastAsia="Arial" w:hAnsi="Arial"/>
          <w:sz w:val="18"/>
          <w:szCs w:val="18"/>
          <w:color w:val="auto"/>
        </w:rPr>
      </w:pPr>
    </w:p>
    <w:p>
      <w:pPr>
        <w:ind w:left="1520" w:right="799" w:hanging="327"/>
        <w:spacing w:after="0" w:line="261" w:lineRule="auto"/>
        <w:tabs>
          <w:tab w:leader="none" w:pos="1520" w:val="left"/>
        </w:tabs>
        <w:numPr>
          <w:ilvl w:val="0"/>
          <w:numId w:val="28"/>
        </w:numPr>
        <w:rPr>
          <w:rFonts w:ascii="Arial" w:cs="Arial" w:eastAsia="Arial" w:hAnsi="Arial"/>
          <w:sz w:val="18"/>
          <w:szCs w:val="18"/>
          <w:color w:val="auto"/>
        </w:rPr>
      </w:pPr>
      <w:r>
        <w:rPr>
          <w:rFonts w:ascii="Arial" w:cs="Arial" w:eastAsia="Arial" w:hAnsi="Arial"/>
          <w:sz w:val="18"/>
          <w:szCs w:val="18"/>
          <w:color w:val="auto"/>
        </w:rPr>
        <w:t>We reviewed our financial accounting and reporting processes and have made changes where appropriate to ensure we have adequate segregation of duties.</w:t>
      </w:r>
    </w:p>
    <w:p>
      <w:pPr>
        <w:spacing w:after="0" w:line="184" w:lineRule="exact"/>
        <w:rPr>
          <w:sz w:val="20"/>
          <w:szCs w:val="20"/>
          <w:color w:val="auto"/>
        </w:rPr>
      </w:pPr>
    </w:p>
    <w:p>
      <w:pPr>
        <w:ind w:left="380" w:right="799" w:firstLine="501"/>
        <w:spacing w:after="0" w:line="264" w:lineRule="auto"/>
        <w:rPr>
          <w:sz w:val="20"/>
          <w:szCs w:val="20"/>
          <w:color w:val="auto"/>
        </w:rPr>
      </w:pPr>
      <w:r>
        <w:rPr>
          <w:rFonts w:ascii="Arial" w:cs="Arial" w:eastAsia="Arial" w:hAnsi="Arial"/>
          <w:sz w:val="18"/>
          <w:szCs w:val="18"/>
          <w:color w:val="auto"/>
        </w:rPr>
        <w:t>Management believes that, as a result of the implementation of these actions during the year ended December 31, 2017, our remediation efforts have been successful, and that the previously-identified material weaknesses in our internal controls have been remediated.</w:t>
      </w:r>
    </w:p>
    <w:p>
      <w:pPr>
        <w:spacing w:after="0" w:line="181" w:lineRule="exact"/>
        <w:rPr>
          <w:sz w:val="20"/>
          <w:szCs w:val="20"/>
          <w:color w:val="auto"/>
        </w:rPr>
      </w:pPr>
    </w:p>
    <w:p>
      <w:pPr>
        <w:ind w:left="380"/>
        <w:spacing w:after="0"/>
        <w:rPr>
          <w:sz w:val="20"/>
          <w:szCs w:val="20"/>
          <w:color w:val="auto"/>
        </w:rPr>
      </w:pPr>
      <w:r>
        <w:rPr>
          <w:rFonts w:ascii="Arial" w:cs="Arial" w:eastAsia="Arial" w:hAnsi="Arial"/>
          <w:sz w:val="18"/>
          <w:szCs w:val="18"/>
          <w:b w:val="1"/>
          <w:bCs w:val="1"/>
          <w:i w:val="1"/>
          <w:iCs w:val="1"/>
          <w:color w:val="auto"/>
        </w:rPr>
        <w:t>Changes in Internal Control over Financial Reporting</w:t>
      </w:r>
    </w:p>
    <w:p>
      <w:pPr>
        <w:spacing w:after="0" w:line="225" w:lineRule="exact"/>
        <w:rPr>
          <w:sz w:val="20"/>
          <w:szCs w:val="20"/>
          <w:color w:val="auto"/>
        </w:rPr>
      </w:pPr>
    </w:p>
    <w:p>
      <w:pPr>
        <w:ind w:left="380" w:right="519" w:firstLine="501"/>
        <w:spacing w:after="0" w:line="276" w:lineRule="auto"/>
        <w:rPr>
          <w:sz w:val="20"/>
          <w:szCs w:val="20"/>
          <w:color w:val="auto"/>
        </w:rPr>
      </w:pPr>
      <w:r>
        <w:rPr>
          <w:rFonts w:ascii="Arial" w:cs="Arial" w:eastAsia="Arial" w:hAnsi="Arial"/>
          <w:sz w:val="17"/>
          <w:szCs w:val="17"/>
          <w:color w:val="auto"/>
        </w:rPr>
        <w:t>As disclosed above under “Remediation of Previously-Identified Material Weaknesses in Internal Control over Financial Reporting” we have remediated our previously reported material weaknesses. There have been no changes in our internal control over financial reporting (as defined in Rules 13a-15(f) and 15d-15(f) under the Exchange Act) that occurred during the quarter ended December 31, 2017 that have materially affected, or are reasonably likely to materially affect, our internal control over financial reporting.</w:t>
      </w:r>
    </w:p>
    <w:p>
      <w:pPr>
        <w:spacing w:after="0" w:line="385" w:lineRule="exact"/>
        <w:rPr>
          <w:sz w:val="20"/>
          <w:szCs w:val="20"/>
          <w:color w:val="auto"/>
        </w:rPr>
      </w:pPr>
    </w:p>
    <w:p>
      <w:pPr>
        <w:ind w:left="380"/>
        <w:spacing w:after="0"/>
        <w:tabs>
          <w:tab w:leader="none" w:pos="1720" w:val="left"/>
        </w:tabs>
        <w:rPr>
          <w:sz w:val="20"/>
          <w:szCs w:val="20"/>
          <w:color w:val="auto"/>
        </w:rPr>
      </w:pPr>
      <w:r>
        <w:rPr>
          <w:rFonts w:ascii="Arial" w:cs="Arial" w:eastAsia="Arial" w:hAnsi="Arial"/>
          <w:sz w:val="18"/>
          <w:szCs w:val="18"/>
          <w:b w:val="1"/>
          <w:bCs w:val="1"/>
          <w:color w:val="auto"/>
        </w:rPr>
        <w:t>ITEM 9B.</w:t>
      </w:r>
      <w:r>
        <w:rPr>
          <w:sz w:val="20"/>
          <w:szCs w:val="20"/>
          <w:color w:val="auto"/>
        </w:rPr>
        <w:tab/>
      </w:r>
      <w:r>
        <w:rPr>
          <w:rFonts w:ascii="Arial" w:cs="Arial" w:eastAsia="Arial" w:hAnsi="Arial"/>
          <w:sz w:val="18"/>
          <w:szCs w:val="18"/>
          <w:b w:val="1"/>
          <w:bCs w:val="1"/>
          <w:color w:val="auto"/>
        </w:rPr>
        <w:t>OTHER INFORMATION</w:t>
      </w:r>
    </w:p>
    <w:p>
      <w:pPr>
        <w:spacing w:after="0" w:line="229" w:lineRule="exact"/>
        <w:rPr>
          <w:sz w:val="20"/>
          <w:szCs w:val="20"/>
          <w:color w:val="auto"/>
        </w:rPr>
      </w:pPr>
    </w:p>
    <w:p>
      <w:pPr>
        <w:ind w:left="1040"/>
        <w:spacing w:after="0"/>
        <w:rPr>
          <w:sz w:val="20"/>
          <w:szCs w:val="20"/>
          <w:color w:val="auto"/>
        </w:rPr>
      </w:pPr>
      <w:r>
        <w:rPr>
          <w:rFonts w:ascii="Arial" w:cs="Arial" w:eastAsia="Arial" w:hAnsi="Arial"/>
          <w:sz w:val="18"/>
          <w:szCs w:val="18"/>
          <w:color w:val="auto"/>
        </w:rPr>
        <w:t>None.</w:t>
      </w:r>
    </w:p>
    <w:p>
      <w:pPr>
        <w:spacing w:after="0" w:line="223"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78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82" w:name="page83"/>
    <w:bookmarkEnd w:id="82"/>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PART III</w:t>
      </w:r>
    </w:p>
    <w:p>
      <w:pPr>
        <w:spacing w:after="0" w:line="225" w:lineRule="exact"/>
        <w:rPr>
          <w:sz w:val="20"/>
          <w:szCs w:val="20"/>
          <w:color w:val="auto"/>
        </w:rPr>
      </w:pPr>
    </w:p>
    <w:p>
      <w:pPr>
        <w:ind w:left="380"/>
        <w:spacing w:after="0"/>
        <w:tabs>
          <w:tab w:leader="none" w:pos="1700" w:val="left"/>
        </w:tabs>
        <w:rPr>
          <w:sz w:val="20"/>
          <w:szCs w:val="20"/>
          <w:color w:val="auto"/>
        </w:rPr>
      </w:pPr>
      <w:r>
        <w:rPr>
          <w:rFonts w:ascii="Arial" w:cs="Arial" w:eastAsia="Arial" w:hAnsi="Arial"/>
          <w:sz w:val="18"/>
          <w:szCs w:val="18"/>
          <w:b w:val="1"/>
          <w:bCs w:val="1"/>
          <w:color w:val="auto"/>
        </w:rPr>
        <w:t>ITEM 10.</w:t>
      </w:r>
      <w:r>
        <w:rPr>
          <w:sz w:val="20"/>
          <w:szCs w:val="20"/>
          <w:color w:val="auto"/>
        </w:rPr>
        <w:tab/>
      </w:r>
      <w:r>
        <w:rPr>
          <w:rFonts w:ascii="Arial" w:cs="Arial" w:eastAsia="Arial" w:hAnsi="Arial"/>
          <w:sz w:val="18"/>
          <w:szCs w:val="18"/>
          <w:b w:val="1"/>
          <w:bCs w:val="1"/>
          <w:color w:val="auto"/>
        </w:rPr>
        <w:t>DIRECTORS, EXECUTIVE OFFICERS AND CORPORATE GOVERNANCE</w:t>
      </w:r>
    </w:p>
    <w:p>
      <w:pPr>
        <w:spacing w:after="0" w:line="229" w:lineRule="exact"/>
        <w:rPr>
          <w:sz w:val="20"/>
          <w:szCs w:val="20"/>
          <w:color w:val="auto"/>
        </w:rPr>
      </w:pPr>
    </w:p>
    <w:p>
      <w:pPr>
        <w:ind w:left="380" w:right="399" w:firstLine="648"/>
        <w:spacing w:after="0" w:line="221" w:lineRule="exact"/>
        <w:rPr>
          <w:sz w:val="20"/>
          <w:szCs w:val="20"/>
          <w:color w:val="auto"/>
        </w:rPr>
      </w:pPr>
      <w:r>
        <w:rPr>
          <w:rFonts w:ascii="Arial" w:cs="Arial" w:eastAsia="Arial" w:hAnsi="Arial"/>
          <w:sz w:val="18"/>
          <w:szCs w:val="18"/>
          <w:color w:val="auto"/>
        </w:rPr>
        <w:t>The Information about our executive officers is contained in the discussion entitled “Executive Officers of the Registrant” in Part I of this Form 10</w:t>
      </w:r>
      <w:r>
        <w:rPr>
          <w:rFonts w:ascii="MS PGothic" w:cs="MS PGothic" w:eastAsia="MS PGothic" w:hAnsi="MS PGothic"/>
          <w:sz w:val="18"/>
          <w:szCs w:val="18"/>
          <w:color w:val="auto"/>
        </w:rPr>
        <w:t>‑</w:t>
      </w:r>
      <w:r>
        <w:rPr>
          <w:rFonts w:ascii="Arial" w:cs="Arial" w:eastAsia="Arial" w:hAnsi="Arial"/>
          <w:sz w:val="18"/>
          <w:szCs w:val="18"/>
          <w:color w:val="auto"/>
        </w:rPr>
        <w:t>K. The remaining information required by this Item will be included in our Proxy Statement and is incorporated herein by reference.</w:t>
      </w:r>
    </w:p>
    <w:p>
      <w:pPr>
        <w:spacing w:after="0" w:line="198" w:lineRule="exact"/>
        <w:rPr>
          <w:sz w:val="20"/>
          <w:szCs w:val="20"/>
          <w:color w:val="auto"/>
        </w:rPr>
      </w:pPr>
    </w:p>
    <w:p>
      <w:pPr>
        <w:ind w:left="380"/>
        <w:spacing w:after="0"/>
        <w:tabs>
          <w:tab w:leader="none" w:pos="1680" w:val="left"/>
        </w:tabs>
        <w:rPr>
          <w:sz w:val="20"/>
          <w:szCs w:val="20"/>
          <w:color w:val="auto"/>
        </w:rPr>
      </w:pPr>
      <w:r>
        <w:rPr>
          <w:rFonts w:ascii="Arial" w:cs="Arial" w:eastAsia="Arial" w:hAnsi="Arial"/>
          <w:sz w:val="18"/>
          <w:szCs w:val="18"/>
          <w:b w:val="1"/>
          <w:bCs w:val="1"/>
          <w:color w:val="auto"/>
        </w:rPr>
        <w:t>ITEM 11.</w:t>
      </w:r>
      <w:r>
        <w:rPr>
          <w:sz w:val="20"/>
          <w:szCs w:val="20"/>
          <w:color w:val="auto"/>
        </w:rPr>
        <w:tab/>
      </w:r>
      <w:r>
        <w:rPr>
          <w:rFonts w:ascii="Arial" w:cs="Arial" w:eastAsia="Arial" w:hAnsi="Arial"/>
          <w:sz w:val="18"/>
          <w:szCs w:val="18"/>
          <w:b w:val="1"/>
          <w:bCs w:val="1"/>
          <w:color w:val="auto"/>
        </w:rPr>
        <w:t>EXECUTIVE COMPENSATION</w:t>
      </w:r>
    </w:p>
    <w:p>
      <w:pPr>
        <w:spacing w:after="0" w:line="229" w:lineRule="exact"/>
        <w:rPr>
          <w:sz w:val="20"/>
          <w:szCs w:val="20"/>
          <w:color w:val="auto"/>
        </w:rPr>
      </w:pPr>
    </w:p>
    <w:p>
      <w:pPr>
        <w:ind w:left="380" w:right="439" w:firstLine="648"/>
        <w:spacing w:after="0" w:line="277" w:lineRule="auto"/>
        <w:rPr>
          <w:sz w:val="20"/>
          <w:szCs w:val="20"/>
          <w:color w:val="auto"/>
        </w:rPr>
      </w:pPr>
      <w:r>
        <w:rPr>
          <w:rFonts w:ascii="Arial" w:cs="Arial" w:eastAsia="Arial" w:hAnsi="Arial"/>
          <w:sz w:val="18"/>
          <w:szCs w:val="18"/>
          <w:color w:val="auto"/>
        </w:rPr>
        <w:t>The information required by this Item will be included in our Proxy Statement and is incorporated herein by reference.</w:t>
      </w:r>
    </w:p>
    <w:p>
      <w:pPr>
        <w:spacing w:after="0" w:line="166" w:lineRule="exact"/>
        <w:rPr>
          <w:sz w:val="20"/>
          <w:szCs w:val="20"/>
          <w:color w:val="auto"/>
        </w:rPr>
      </w:pPr>
    </w:p>
    <w:p>
      <w:pPr>
        <w:ind w:left="1680" w:right="1659" w:hanging="1296"/>
        <w:spacing w:after="0" w:line="282" w:lineRule="auto"/>
        <w:tabs>
          <w:tab w:leader="none" w:pos="1660" w:val="left"/>
        </w:tabs>
        <w:rPr>
          <w:sz w:val="20"/>
          <w:szCs w:val="20"/>
          <w:color w:val="auto"/>
        </w:rPr>
      </w:pPr>
      <w:r>
        <w:rPr>
          <w:rFonts w:ascii="Arial" w:cs="Arial" w:eastAsia="Arial" w:hAnsi="Arial"/>
          <w:sz w:val="18"/>
          <w:szCs w:val="18"/>
          <w:b w:val="1"/>
          <w:bCs w:val="1"/>
          <w:color w:val="auto"/>
        </w:rPr>
        <w:t>ITEM 12.</w:t>
      </w:r>
      <w:r>
        <w:rPr>
          <w:sz w:val="20"/>
          <w:szCs w:val="20"/>
          <w:color w:val="auto"/>
        </w:rPr>
        <w:tab/>
      </w:r>
      <w:r>
        <w:rPr>
          <w:rFonts w:ascii="Arial" w:cs="Arial" w:eastAsia="Arial" w:hAnsi="Arial"/>
          <w:sz w:val="18"/>
          <w:szCs w:val="18"/>
          <w:b w:val="1"/>
          <w:bCs w:val="1"/>
          <w:color w:val="auto"/>
        </w:rPr>
        <w:t>SECURITY OWNERSHIP OF CERTAIN BENEFICIAL OWNERS AND MANAGEMENT AND RELATED STOCKHOLDER MATTERS</w:t>
      </w:r>
    </w:p>
    <w:p>
      <w:pPr>
        <w:spacing w:after="0" w:line="166" w:lineRule="exact"/>
        <w:rPr>
          <w:sz w:val="20"/>
          <w:szCs w:val="20"/>
          <w:color w:val="auto"/>
        </w:rPr>
      </w:pPr>
    </w:p>
    <w:p>
      <w:pPr>
        <w:ind w:left="380" w:right="439" w:firstLine="648"/>
        <w:spacing w:after="0" w:line="277" w:lineRule="auto"/>
        <w:rPr>
          <w:sz w:val="20"/>
          <w:szCs w:val="20"/>
          <w:color w:val="auto"/>
        </w:rPr>
      </w:pPr>
      <w:r>
        <w:rPr>
          <w:rFonts w:ascii="Arial" w:cs="Arial" w:eastAsia="Arial" w:hAnsi="Arial"/>
          <w:sz w:val="18"/>
          <w:szCs w:val="18"/>
          <w:color w:val="auto"/>
        </w:rPr>
        <w:t>The information required by this Item will be included in our Proxy Statement and is incorporated herein by reference.</w:t>
      </w:r>
    </w:p>
    <w:p>
      <w:pPr>
        <w:spacing w:after="0" w:line="166" w:lineRule="exact"/>
        <w:rPr>
          <w:sz w:val="20"/>
          <w:szCs w:val="20"/>
          <w:color w:val="auto"/>
        </w:rPr>
      </w:pPr>
    </w:p>
    <w:p>
      <w:pPr>
        <w:ind w:left="1680" w:right="719" w:hanging="1296"/>
        <w:spacing w:after="0" w:line="282" w:lineRule="auto"/>
        <w:tabs>
          <w:tab w:leader="none" w:pos="1660" w:val="left"/>
        </w:tabs>
        <w:rPr>
          <w:sz w:val="20"/>
          <w:szCs w:val="20"/>
          <w:color w:val="auto"/>
        </w:rPr>
      </w:pPr>
      <w:r>
        <w:rPr>
          <w:rFonts w:ascii="Arial" w:cs="Arial" w:eastAsia="Arial" w:hAnsi="Arial"/>
          <w:sz w:val="18"/>
          <w:szCs w:val="18"/>
          <w:b w:val="1"/>
          <w:bCs w:val="1"/>
          <w:color w:val="auto"/>
        </w:rPr>
        <w:t>ITEM 13.</w:t>
      </w:r>
      <w:r>
        <w:rPr>
          <w:sz w:val="20"/>
          <w:szCs w:val="20"/>
          <w:color w:val="auto"/>
        </w:rPr>
        <w:tab/>
      </w:r>
      <w:r>
        <w:rPr>
          <w:rFonts w:ascii="Arial" w:cs="Arial" w:eastAsia="Arial" w:hAnsi="Arial"/>
          <w:sz w:val="18"/>
          <w:szCs w:val="18"/>
          <w:b w:val="1"/>
          <w:bCs w:val="1"/>
          <w:color w:val="auto"/>
        </w:rPr>
        <w:t>CERTAIN RELATIONSHIPS AND RELATED TRANSACTIONS, AND DIRECTOR INDEPENDENCE</w:t>
      </w:r>
    </w:p>
    <w:p>
      <w:pPr>
        <w:spacing w:after="0" w:line="166" w:lineRule="exact"/>
        <w:rPr>
          <w:sz w:val="20"/>
          <w:szCs w:val="20"/>
          <w:color w:val="auto"/>
        </w:rPr>
      </w:pPr>
    </w:p>
    <w:p>
      <w:pPr>
        <w:ind w:left="380" w:right="439" w:firstLine="648"/>
        <w:spacing w:after="0" w:line="277" w:lineRule="auto"/>
        <w:rPr>
          <w:sz w:val="20"/>
          <w:szCs w:val="20"/>
          <w:color w:val="auto"/>
        </w:rPr>
      </w:pPr>
      <w:r>
        <w:rPr>
          <w:rFonts w:ascii="Arial" w:cs="Arial" w:eastAsia="Arial" w:hAnsi="Arial"/>
          <w:sz w:val="18"/>
          <w:szCs w:val="18"/>
          <w:color w:val="auto"/>
        </w:rPr>
        <w:t>The information required by this Item will be included in our Proxy Statement and is incorporated herein by reference.</w:t>
      </w:r>
    </w:p>
    <w:p>
      <w:pPr>
        <w:spacing w:after="0" w:line="166" w:lineRule="exact"/>
        <w:rPr>
          <w:sz w:val="20"/>
          <w:szCs w:val="20"/>
          <w:color w:val="auto"/>
        </w:rPr>
      </w:pPr>
    </w:p>
    <w:p>
      <w:pPr>
        <w:ind w:left="380"/>
        <w:spacing w:after="0"/>
        <w:tabs>
          <w:tab w:leader="none" w:pos="1700" w:val="left"/>
        </w:tabs>
        <w:rPr>
          <w:sz w:val="20"/>
          <w:szCs w:val="20"/>
          <w:color w:val="auto"/>
        </w:rPr>
      </w:pPr>
      <w:r>
        <w:rPr>
          <w:rFonts w:ascii="Arial" w:cs="Arial" w:eastAsia="Arial" w:hAnsi="Arial"/>
          <w:sz w:val="18"/>
          <w:szCs w:val="18"/>
          <w:b w:val="1"/>
          <w:bCs w:val="1"/>
          <w:color w:val="auto"/>
        </w:rPr>
        <w:t>ITEM 14.</w:t>
      </w:r>
      <w:r>
        <w:rPr>
          <w:sz w:val="20"/>
          <w:szCs w:val="20"/>
          <w:color w:val="auto"/>
        </w:rPr>
        <w:tab/>
      </w:r>
      <w:r>
        <w:rPr>
          <w:rFonts w:ascii="Arial" w:cs="Arial" w:eastAsia="Arial" w:hAnsi="Arial"/>
          <w:sz w:val="17"/>
          <w:szCs w:val="17"/>
          <w:b w:val="1"/>
          <w:bCs w:val="1"/>
          <w:color w:val="auto"/>
        </w:rPr>
        <w:t>PRINCIPAL ACCOUNTANT FEES AND SERVICES</w:t>
      </w:r>
    </w:p>
    <w:p>
      <w:pPr>
        <w:spacing w:after="0" w:line="229" w:lineRule="exact"/>
        <w:rPr>
          <w:sz w:val="20"/>
          <w:szCs w:val="20"/>
          <w:color w:val="auto"/>
        </w:rPr>
      </w:pPr>
    </w:p>
    <w:p>
      <w:pPr>
        <w:ind w:left="380" w:right="439" w:firstLine="648"/>
        <w:spacing w:after="0" w:line="277" w:lineRule="auto"/>
        <w:rPr>
          <w:sz w:val="20"/>
          <w:szCs w:val="20"/>
          <w:color w:val="auto"/>
        </w:rPr>
      </w:pPr>
      <w:r>
        <w:rPr>
          <w:rFonts w:ascii="Arial" w:cs="Arial" w:eastAsia="Arial" w:hAnsi="Arial"/>
          <w:sz w:val="18"/>
          <w:szCs w:val="18"/>
          <w:color w:val="auto"/>
        </w:rPr>
        <w:t>The information required by this Item will be included in our Proxy Statement and is incorporated herein by reference.</w:t>
      </w:r>
    </w:p>
    <w:p>
      <w:pPr>
        <w:spacing w:after="0" w:line="200" w:lineRule="exact"/>
        <w:rPr>
          <w:sz w:val="20"/>
          <w:szCs w:val="20"/>
          <w:color w:val="auto"/>
        </w:rPr>
      </w:pPr>
    </w:p>
    <w:p>
      <w:pPr>
        <w:spacing w:after="0" w:line="400"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79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83" w:name="page84"/>
    <w:bookmarkEnd w:id="83"/>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PART IV</w:t>
      </w:r>
    </w:p>
    <w:p>
      <w:pPr>
        <w:spacing w:after="0" w:line="225" w:lineRule="exact"/>
        <w:rPr>
          <w:sz w:val="20"/>
          <w:szCs w:val="20"/>
          <w:color w:val="auto"/>
        </w:rPr>
      </w:pPr>
    </w:p>
    <w:p>
      <w:pPr>
        <w:ind w:left="380"/>
        <w:spacing w:after="0"/>
        <w:tabs>
          <w:tab w:leader="none" w:pos="1660" w:val="left"/>
        </w:tabs>
        <w:rPr>
          <w:sz w:val="20"/>
          <w:szCs w:val="20"/>
          <w:color w:val="auto"/>
        </w:rPr>
      </w:pPr>
      <w:r>
        <w:rPr>
          <w:rFonts w:ascii="Arial" w:cs="Arial" w:eastAsia="Arial" w:hAnsi="Arial"/>
          <w:sz w:val="18"/>
          <w:szCs w:val="18"/>
          <w:b w:val="1"/>
          <w:bCs w:val="1"/>
          <w:color w:val="auto"/>
        </w:rPr>
        <w:t>ITEM 15.</w:t>
      </w:r>
      <w:r>
        <w:rPr>
          <w:sz w:val="20"/>
          <w:szCs w:val="20"/>
          <w:color w:val="auto"/>
        </w:rPr>
        <w:tab/>
      </w:r>
      <w:r>
        <w:rPr>
          <w:rFonts w:ascii="Arial" w:cs="Arial" w:eastAsia="Arial" w:hAnsi="Arial"/>
          <w:sz w:val="18"/>
          <w:szCs w:val="18"/>
          <w:b w:val="1"/>
          <w:bCs w:val="1"/>
          <w:color w:val="auto"/>
        </w:rPr>
        <w:t>EXHIBITS AND FINANCIAL STATEMENT SCHEDULES</w:t>
      </w:r>
    </w:p>
    <w:p>
      <w:pPr>
        <w:spacing w:after="0" w:line="229" w:lineRule="exact"/>
        <w:rPr>
          <w:sz w:val="20"/>
          <w:szCs w:val="20"/>
          <w:color w:val="auto"/>
        </w:rPr>
      </w:pPr>
    </w:p>
    <w:p>
      <w:pPr>
        <w:ind w:left="1680" w:hanging="649"/>
        <w:spacing w:after="0"/>
        <w:tabs>
          <w:tab w:leader="none" w:pos="16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The following documents are filed as a part of this report</w:t>
      </w:r>
    </w:p>
    <w:p>
      <w:pPr>
        <w:spacing w:after="0" w:line="225" w:lineRule="exact"/>
        <w:rPr>
          <w:rFonts w:ascii="Arial" w:cs="Arial" w:eastAsia="Arial" w:hAnsi="Arial"/>
          <w:sz w:val="18"/>
          <w:szCs w:val="18"/>
          <w:color w:val="auto"/>
        </w:rPr>
      </w:pPr>
    </w:p>
    <w:p>
      <w:pPr>
        <w:ind w:left="2320" w:right="739" w:hanging="641"/>
        <w:spacing w:after="0" w:line="277" w:lineRule="auto"/>
        <w:tabs>
          <w:tab w:leader="none" w:pos="2320" w:val="left"/>
        </w:tabs>
        <w:numPr>
          <w:ilvl w:val="1"/>
          <w:numId w:val="29"/>
        </w:numPr>
        <w:rPr>
          <w:rFonts w:ascii="Arial" w:cs="Arial" w:eastAsia="Arial" w:hAnsi="Arial"/>
          <w:sz w:val="18"/>
          <w:szCs w:val="18"/>
          <w:color w:val="auto"/>
        </w:rPr>
      </w:pPr>
      <w:r>
        <w:rPr>
          <w:rFonts w:ascii="Arial" w:cs="Arial" w:eastAsia="Arial" w:hAnsi="Arial"/>
          <w:sz w:val="18"/>
          <w:szCs w:val="18"/>
          <w:color w:val="auto"/>
        </w:rPr>
        <w:t>Financial Statements. See Index to Consolidated Financial Statements on page F-1 hereof.</w:t>
      </w:r>
    </w:p>
    <w:p>
      <w:pPr>
        <w:spacing w:after="0" w:line="170" w:lineRule="exact"/>
        <w:rPr>
          <w:rFonts w:ascii="Arial" w:cs="Arial" w:eastAsia="Arial" w:hAnsi="Arial"/>
          <w:sz w:val="18"/>
          <w:szCs w:val="18"/>
          <w:color w:val="auto"/>
        </w:rPr>
      </w:pPr>
    </w:p>
    <w:p>
      <w:pPr>
        <w:jc w:val="both"/>
        <w:ind w:left="2320" w:right="899" w:hanging="641"/>
        <w:spacing w:after="0" w:line="264" w:lineRule="auto"/>
        <w:tabs>
          <w:tab w:leader="none" w:pos="2320" w:val="left"/>
        </w:tabs>
        <w:numPr>
          <w:ilvl w:val="1"/>
          <w:numId w:val="29"/>
        </w:numPr>
        <w:rPr>
          <w:rFonts w:ascii="Arial" w:cs="Arial" w:eastAsia="Arial" w:hAnsi="Arial"/>
          <w:sz w:val="18"/>
          <w:szCs w:val="18"/>
          <w:color w:val="auto"/>
        </w:rPr>
      </w:pPr>
      <w:r>
        <w:rPr>
          <w:rFonts w:ascii="Arial" w:cs="Arial" w:eastAsia="Arial" w:hAnsi="Arial"/>
          <w:sz w:val="18"/>
          <w:szCs w:val="18"/>
          <w:color w:val="auto"/>
        </w:rPr>
        <w:t>Financial statement schedules are omitted because they are not applicable or the required information is shown in the Consolidated Financial Statements or notes thereto.</w:t>
      </w:r>
    </w:p>
    <w:p>
      <w:pPr>
        <w:spacing w:after="0" w:line="181" w:lineRule="exact"/>
        <w:rPr>
          <w:rFonts w:ascii="Arial" w:cs="Arial" w:eastAsia="Arial" w:hAnsi="Arial"/>
          <w:sz w:val="18"/>
          <w:szCs w:val="18"/>
          <w:color w:val="auto"/>
        </w:rPr>
      </w:pPr>
    </w:p>
    <w:p>
      <w:pPr>
        <w:ind w:left="2320" w:hanging="641"/>
        <w:spacing w:after="0"/>
        <w:tabs>
          <w:tab w:leader="none" w:pos="2320" w:val="left"/>
        </w:tabs>
        <w:numPr>
          <w:ilvl w:val="1"/>
          <w:numId w:val="29"/>
        </w:numPr>
        <w:rPr>
          <w:rFonts w:ascii="Arial" w:cs="Arial" w:eastAsia="Arial" w:hAnsi="Arial"/>
          <w:sz w:val="18"/>
          <w:szCs w:val="18"/>
          <w:color w:val="auto"/>
        </w:rPr>
      </w:pPr>
      <w:r>
        <w:rPr>
          <w:rFonts w:ascii="Arial" w:cs="Arial" w:eastAsia="Arial" w:hAnsi="Arial"/>
          <w:sz w:val="18"/>
          <w:szCs w:val="18"/>
          <w:color w:val="auto"/>
        </w:rPr>
        <w:t>Exhibits Index:</w:t>
      </w:r>
    </w:p>
    <w:p>
      <w:pPr>
        <w:spacing w:after="0" w:line="218" w:lineRule="exact"/>
        <w:rPr>
          <w:sz w:val="20"/>
          <w:szCs w:val="20"/>
          <w:color w:val="auto"/>
        </w:rPr>
      </w:pPr>
    </w:p>
    <w:tbl>
      <w:tblPr>
        <w:tblLayout w:type="fixed"/>
        <w:tblInd w:w="380" w:type="dxa"/>
        <w:tblCellMar>
          <w:top w:w="0" w:type="dxa"/>
          <w:left w:w="0" w:type="dxa"/>
          <w:bottom w:w="0" w:type="dxa"/>
          <w:right w:w="0" w:type="dxa"/>
        </w:tblCellMar>
      </w:tblPr>
      <w:tr>
        <w:trPr>
          <w:trHeight w:val="161"/>
        </w:trPr>
        <w:tc>
          <w:tcPr>
            <w:tcW w:w="780" w:type="dxa"/>
            <w:vAlign w:val="bottom"/>
          </w:tcPr>
          <w:p>
            <w:pPr>
              <w:jc w:val="right"/>
              <w:ind w:right="172"/>
              <w:spacing w:after="0"/>
              <w:rPr>
                <w:sz w:val="20"/>
                <w:szCs w:val="20"/>
                <w:color w:val="auto"/>
              </w:rPr>
            </w:pPr>
            <w:r>
              <w:rPr>
                <w:rFonts w:ascii="Arial" w:cs="Arial" w:eastAsia="Arial" w:hAnsi="Arial"/>
                <w:sz w:val="14"/>
                <w:szCs w:val="14"/>
                <w:b w:val="1"/>
                <w:bCs w:val="1"/>
                <w:color w:val="auto"/>
              </w:rPr>
              <w:t>Exhibit</w:t>
            </w:r>
          </w:p>
        </w:tc>
        <w:tc>
          <w:tcPr>
            <w:tcW w:w="13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4360" w:type="dxa"/>
            <w:vAlign w:val="bottom"/>
            <w:gridSpan w:val="26"/>
            <w:vMerge w:val="restart"/>
          </w:tcPr>
          <w:p>
            <w:pPr>
              <w:ind w:left="80"/>
              <w:spacing w:after="0"/>
              <w:rPr>
                <w:sz w:val="20"/>
                <w:szCs w:val="20"/>
                <w:color w:val="auto"/>
              </w:rPr>
            </w:pPr>
            <w:r>
              <w:rPr>
                <w:rFonts w:ascii="Arial" w:cs="Arial" w:eastAsia="Arial" w:hAnsi="Arial"/>
                <w:sz w:val="14"/>
                <w:szCs w:val="14"/>
                <w:b w:val="1"/>
                <w:bCs w:val="1"/>
                <w:color w:val="auto"/>
              </w:rPr>
              <w:t>Description</w:t>
            </w:r>
          </w:p>
        </w:tc>
        <w:tc>
          <w:tcPr>
            <w:tcW w:w="0" w:type="dxa"/>
            <w:vAlign w:val="bottom"/>
          </w:tcPr>
          <w:p>
            <w:pPr>
              <w:spacing w:after="0"/>
              <w:rPr>
                <w:sz w:val="1"/>
                <w:szCs w:val="1"/>
                <w:color w:val="auto"/>
              </w:rPr>
            </w:pPr>
          </w:p>
        </w:tc>
      </w:tr>
      <w:tr>
        <w:trPr>
          <w:trHeight w:val="157"/>
        </w:trPr>
        <w:tc>
          <w:tcPr>
            <w:tcW w:w="780" w:type="dxa"/>
            <w:vAlign w:val="bottom"/>
          </w:tcPr>
          <w:p>
            <w:pPr>
              <w:jc w:val="right"/>
              <w:ind w:right="152"/>
              <w:spacing w:after="0" w:line="157" w:lineRule="exact"/>
              <w:rPr>
                <w:sz w:val="20"/>
                <w:szCs w:val="20"/>
                <w:color w:val="auto"/>
              </w:rPr>
            </w:pPr>
            <w:r>
              <w:rPr>
                <w:rFonts w:ascii="Arial" w:cs="Arial" w:eastAsia="Arial" w:hAnsi="Arial"/>
                <w:sz w:val="14"/>
                <w:szCs w:val="14"/>
                <w:b w:val="1"/>
                <w:bCs w:val="1"/>
                <w:color w:val="auto"/>
                <w:w w:val="98"/>
              </w:rPr>
              <w:t>Number</w:t>
            </w:r>
          </w:p>
        </w:tc>
        <w:tc>
          <w:tcPr>
            <w:tcW w:w="13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400" w:type="dxa"/>
            <w:vAlign w:val="bottom"/>
          </w:tcPr>
          <w:p>
            <w:pPr>
              <w:spacing w:after="0"/>
              <w:rPr>
                <w:sz w:val="13"/>
                <w:szCs w:val="13"/>
                <w:color w:val="auto"/>
              </w:rPr>
            </w:pPr>
          </w:p>
        </w:tc>
        <w:tc>
          <w:tcPr>
            <w:tcW w:w="4360" w:type="dxa"/>
            <w:vAlign w:val="bottom"/>
            <w:gridSpan w:val="26"/>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90"/>
        </w:trPr>
        <w:tc>
          <w:tcPr>
            <w:tcW w:w="780" w:type="dxa"/>
            <w:vAlign w:val="bottom"/>
          </w:tcPr>
          <w:p>
            <w:pPr>
              <w:jc w:val="right"/>
              <w:ind w:right="112"/>
              <w:spacing w:after="0" w:line="190" w:lineRule="exact"/>
              <w:rPr>
                <w:sz w:val="20"/>
                <w:szCs w:val="20"/>
                <w:color w:val="auto"/>
              </w:rPr>
            </w:pPr>
            <w:r>
              <w:rPr>
                <w:rFonts w:ascii="Arial" w:cs="Arial" w:eastAsia="Arial" w:hAnsi="Arial"/>
                <w:sz w:val="18"/>
                <w:szCs w:val="18"/>
                <w:color w:val="auto"/>
              </w:rPr>
              <w:t>3.1</w:t>
            </w:r>
          </w:p>
        </w:tc>
        <w:tc>
          <w:tcPr>
            <w:tcW w:w="7020" w:type="dxa"/>
            <w:vAlign w:val="bottom"/>
            <w:tcBorders>
              <w:bottom w:val="single" w:sz="8" w:color="0000EE"/>
            </w:tcBorders>
            <w:gridSpan w:val="25"/>
          </w:tcPr>
          <w:p>
            <w:pPr>
              <w:spacing w:after="0" w:line="190" w:lineRule="exact"/>
              <w:rPr>
                <w:rFonts w:ascii="Arial" w:cs="Arial" w:eastAsia="Arial" w:hAnsi="Arial"/>
                <w:sz w:val="18"/>
                <w:szCs w:val="18"/>
                <w:color w:val="0000EE"/>
                <w:w w:val="91"/>
              </w:rPr>
            </w:pPr>
            <w:hyperlink r:id="rId103">
              <w:r>
                <w:rPr>
                  <w:rFonts w:ascii="Arial" w:cs="Arial" w:eastAsia="Arial" w:hAnsi="Arial"/>
                  <w:sz w:val="18"/>
                  <w:szCs w:val="18"/>
                  <w:color w:val="0000EE"/>
                  <w:w w:val="91"/>
                </w:rPr>
                <w:t>Amended and Restated Certificate of Incorporation of Acushnet Holdings Corp. (incorporated by</w:t>
              </w:r>
            </w:hyperlink>
          </w:p>
        </w:tc>
        <w:tc>
          <w:tcPr>
            <w:tcW w:w="460" w:type="dxa"/>
            <w:vAlign w:val="bottom"/>
            <w:gridSpan w:val="5"/>
          </w:tcPr>
          <w:p>
            <w:pPr>
              <w:spacing w:after="0"/>
              <w:rPr>
                <w:sz w:val="16"/>
                <w:szCs w:val="16"/>
                <w:color w:val="auto"/>
              </w:rPr>
            </w:pPr>
          </w:p>
        </w:tc>
        <w:tc>
          <w:tcPr>
            <w:tcW w:w="0" w:type="dxa"/>
            <w:vAlign w:val="bottom"/>
          </w:tcPr>
          <w:p>
            <w:pPr>
              <w:spacing w:after="0"/>
              <w:rPr>
                <w:sz w:val="1"/>
                <w:szCs w:val="1"/>
                <w:color w:val="auto"/>
              </w:rPr>
            </w:pPr>
          </w:p>
        </w:tc>
      </w:tr>
      <w:tr>
        <w:trPr>
          <w:trHeight w:val="196"/>
        </w:trPr>
        <w:tc>
          <w:tcPr>
            <w:tcW w:w="780" w:type="dxa"/>
            <w:vAlign w:val="bottom"/>
          </w:tcPr>
          <w:p>
            <w:pPr>
              <w:spacing w:after="0"/>
              <w:rPr>
                <w:sz w:val="17"/>
                <w:szCs w:val="17"/>
                <w:color w:val="auto"/>
              </w:rPr>
            </w:pPr>
          </w:p>
        </w:tc>
        <w:tc>
          <w:tcPr>
            <w:tcW w:w="6760" w:type="dxa"/>
            <w:vAlign w:val="bottom"/>
            <w:tcBorders>
              <w:bottom w:val="single" w:sz="8" w:color="0000EE"/>
            </w:tcBorders>
            <w:gridSpan w:val="20"/>
          </w:tcPr>
          <w:p>
            <w:pPr>
              <w:spacing w:after="0" w:line="196" w:lineRule="exact"/>
              <w:rPr>
                <w:rFonts w:ascii="Arial" w:cs="Arial" w:eastAsia="Arial" w:hAnsi="Arial"/>
                <w:sz w:val="18"/>
                <w:szCs w:val="18"/>
                <w:color w:val="0000EE"/>
                <w:w w:val="91"/>
              </w:rPr>
            </w:pPr>
            <w:hyperlink r:id="rId103">
              <w:r>
                <w:rPr>
                  <w:rFonts w:ascii="Arial" w:cs="Arial" w:eastAsia="Arial" w:hAnsi="Arial"/>
                  <w:sz w:val="18"/>
                  <w:szCs w:val="18"/>
                  <w:color w:val="0000EE"/>
                  <w:w w:val="91"/>
                </w:rPr>
                <w:t>reference to Exhibit 3.1 to the Registrant’s Current Report on Form 8</w:t>
              </w:r>
              <w:r>
                <w:rPr>
                  <w:rFonts w:ascii="MS PGothic" w:cs="MS PGothic" w:eastAsia="MS PGothic" w:hAnsi="MS PGothic"/>
                  <w:sz w:val="18"/>
                  <w:szCs w:val="18"/>
                  <w:color w:val="0000EE"/>
                  <w:w w:val="91"/>
                </w:rPr>
                <w:t>‑</w:t>
              </w:r>
              <w:r>
                <w:rPr>
                  <w:rFonts w:ascii="Arial" w:cs="Arial" w:eastAsia="Arial" w:hAnsi="Arial"/>
                  <w:sz w:val="18"/>
                  <w:szCs w:val="18"/>
                  <w:color w:val="0000EE"/>
                  <w:w w:val="91"/>
                </w:rPr>
                <w:t>K filed on November 2,</w:t>
              </w:r>
            </w:hyperlink>
          </w:p>
        </w:tc>
        <w:tc>
          <w:tcPr>
            <w:tcW w:w="720" w:type="dxa"/>
            <w:vAlign w:val="bottom"/>
            <w:gridSpan w:val="10"/>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780" w:type="dxa"/>
            <w:vAlign w:val="bottom"/>
          </w:tcPr>
          <w:p>
            <w:pPr>
              <w:spacing w:after="0"/>
              <w:rPr>
                <w:sz w:val="17"/>
                <w:szCs w:val="17"/>
                <w:color w:val="auto"/>
              </w:rPr>
            </w:pPr>
          </w:p>
        </w:tc>
        <w:tc>
          <w:tcPr>
            <w:tcW w:w="1720" w:type="dxa"/>
            <w:vAlign w:val="bottom"/>
            <w:tcBorders>
              <w:bottom w:val="single" w:sz="8" w:color="0000EE"/>
            </w:tcBorders>
            <w:gridSpan w:val="3"/>
          </w:tcPr>
          <w:p>
            <w:pPr>
              <w:spacing w:after="0" w:line="196" w:lineRule="exact"/>
              <w:rPr>
                <w:rFonts w:ascii="Arial" w:cs="Arial" w:eastAsia="Arial" w:hAnsi="Arial"/>
                <w:sz w:val="18"/>
                <w:szCs w:val="18"/>
                <w:color w:val="0000EE"/>
                <w:w w:val="91"/>
              </w:rPr>
            </w:pPr>
            <w:hyperlink r:id="rId103">
              <w:r>
                <w:rPr>
                  <w:rFonts w:ascii="Arial" w:cs="Arial" w:eastAsia="Arial" w:hAnsi="Arial"/>
                  <w:sz w:val="18"/>
                  <w:szCs w:val="18"/>
                  <w:color w:val="0000EE"/>
                  <w:w w:val="91"/>
                </w:rPr>
                <w:t>2016 (No. 001</w:t>
              </w:r>
              <w:r>
                <w:rPr>
                  <w:rFonts w:ascii="MS PGothic" w:cs="MS PGothic" w:eastAsia="MS PGothic" w:hAnsi="MS PGothic"/>
                  <w:sz w:val="18"/>
                  <w:szCs w:val="18"/>
                  <w:color w:val="0000EE"/>
                  <w:w w:val="91"/>
                </w:rPr>
                <w:t>‑</w:t>
              </w:r>
              <w:r>
                <w:rPr>
                  <w:rFonts w:ascii="Arial" w:cs="Arial" w:eastAsia="Arial" w:hAnsi="Arial"/>
                  <w:sz w:val="18"/>
                  <w:szCs w:val="18"/>
                  <w:color w:val="0000EE"/>
                  <w:w w:val="91"/>
                </w:rPr>
                <w:t>37935)).</w:t>
              </w:r>
            </w:hyperlink>
          </w:p>
        </w:tc>
        <w:tc>
          <w:tcPr>
            <w:tcW w:w="5760" w:type="dxa"/>
            <w:vAlign w:val="bottom"/>
            <w:gridSpan w:val="27"/>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780" w:type="dxa"/>
            <w:vAlign w:val="bottom"/>
          </w:tcPr>
          <w:p>
            <w:pPr>
              <w:jc w:val="right"/>
              <w:ind w:right="112"/>
              <w:spacing w:after="0" w:line="196" w:lineRule="exact"/>
              <w:rPr>
                <w:sz w:val="20"/>
                <w:szCs w:val="20"/>
                <w:color w:val="auto"/>
              </w:rPr>
            </w:pPr>
            <w:r>
              <w:rPr>
                <w:rFonts w:ascii="Arial" w:cs="Arial" w:eastAsia="Arial" w:hAnsi="Arial"/>
                <w:sz w:val="18"/>
                <w:szCs w:val="18"/>
                <w:color w:val="auto"/>
              </w:rPr>
              <w:t>3.2</w:t>
            </w:r>
          </w:p>
        </w:tc>
        <w:tc>
          <w:tcPr>
            <w:tcW w:w="7480" w:type="dxa"/>
            <w:vAlign w:val="bottom"/>
            <w:gridSpan w:val="30"/>
          </w:tcPr>
          <w:p>
            <w:pPr>
              <w:spacing w:after="0" w:line="196" w:lineRule="exact"/>
              <w:rPr>
                <w:rFonts w:ascii="Arial" w:cs="Arial" w:eastAsia="Arial" w:hAnsi="Arial"/>
                <w:sz w:val="18"/>
                <w:szCs w:val="18"/>
                <w:color w:val="0000EE"/>
              </w:rPr>
            </w:pPr>
            <w:hyperlink r:id="rId104">
              <w:r>
                <w:rPr>
                  <w:rFonts w:ascii="Arial" w:cs="Arial" w:eastAsia="Arial" w:hAnsi="Arial"/>
                  <w:sz w:val="18"/>
                  <w:szCs w:val="18"/>
                  <w:color w:val="0000EE"/>
                </w:rPr>
                <w:t>Amended and Restated Bylaws of Acushnet Holdings Corp. (incorporated by reference to</w:t>
              </w:r>
            </w:hyperlink>
          </w:p>
        </w:tc>
        <w:tc>
          <w:tcPr>
            <w:tcW w:w="0" w:type="dxa"/>
            <w:vAlign w:val="bottom"/>
          </w:tcPr>
          <w:p>
            <w:pPr>
              <w:spacing w:after="0"/>
              <w:rPr>
                <w:sz w:val="1"/>
                <w:szCs w:val="1"/>
                <w:color w:val="auto"/>
              </w:rPr>
            </w:pPr>
          </w:p>
        </w:tc>
      </w:tr>
      <w:tr>
        <w:trPr>
          <w:trHeight w:val="196"/>
        </w:trPr>
        <w:tc>
          <w:tcPr>
            <w:tcW w:w="780" w:type="dxa"/>
            <w:vAlign w:val="bottom"/>
          </w:tcPr>
          <w:p>
            <w:pPr>
              <w:spacing w:after="0"/>
              <w:rPr>
                <w:sz w:val="17"/>
                <w:szCs w:val="17"/>
                <w:color w:val="auto"/>
              </w:rPr>
            </w:pPr>
          </w:p>
        </w:tc>
        <w:tc>
          <w:tcPr>
            <w:tcW w:w="6280" w:type="dxa"/>
            <w:vAlign w:val="bottom"/>
            <w:tcBorders>
              <w:top w:val="single" w:sz="8" w:color="0000EE"/>
              <w:bottom w:val="single" w:sz="8" w:color="0000EE"/>
            </w:tcBorders>
            <w:gridSpan w:val="11"/>
          </w:tcPr>
          <w:p>
            <w:pPr>
              <w:spacing w:after="0" w:line="196" w:lineRule="exact"/>
              <w:rPr>
                <w:rFonts w:ascii="Arial" w:cs="Arial" w:eastAsia="Arial" w:hAnsi="Arial"/>
                <w:sz w:val="18"/>
                <w:szCs w:val="18"/>
                <w:color w:val="0000EE"/>
                <w:w w:val="92"/>
              </w:rPr>
            </w:pPr>
            <w:hyperlink r:id="rId104">
              <w:r>
                <w:rPr>
                  <w:rFonts w:ascii="Arial" w:cs="Arial" w:eastAsia="Arial" w:hAnsi="Arial"/>
                  <w:sz w:val="18"/>
                  <w:szCs w:val="18"/>
                  <w:color w:val="0000EE"/>
                  <w:w w:val="92"/>
                </w:rPr>
                <w:t>Exhibit 3.2 to the Registrant’s Current Report on Form 8</w:t>
              </w:r>
              <w:r>
                <w:rPr>
                  <w:rFonts w:ascii="MS PGothic" w:cs="MS PGothic" w:eastAsia="MS PGothic" w:hAnsi="MS PGothic"/>
                  <w:sz w:val="18"/>
                  <w:szCs w:val="18"/>
                  <w:color w:val="0000EE"/>
                  <w:w w:val="92"/>
                </w:rPr>
                <w:t>‑</w:t>
              </w:r>
              <w:r>
                <w:rPr>
                  <w:rFonts w:ascii="Arial" w:cs="Arial" w:eastAsia="Arial" w:hAnsi="Arial"/>
                  <w:sz w:val="18"/>
                  <w:szCs w:val="18"/>
                  <w:color w:val="0000EE"/>
                  <w:w w:val="92"/>
                </w:rPr>
                <w:t>K filed on November 2, 2016</w:t>
              </w:r>
            </w:hyperlink>
          </w:p>
        </w:tc>
        <w:tc>
          <w:tcPr>
            <w:tcW w:w="180" w:type="dxa"/>
            <w:vAlign w:val="bottom"/>
            <w:tcBorders>
              <w:top w:val="single" w:sz="8" w:color="0000EE"/>
            </w:tcBorders>
            <w:gridSpan w:val="2"/>
          </w:tcPr>
          <w:p>
            <w:pPr>
              <w:spacing w:after="0"/>
              <w:rPr>
                <w:sz w:val="17"/>
                <w:szCs w:val="17"/>
                <w:color w:val="auto"/>
              </w:rPr>
            </w:pPr>
          </w:p>
        </w:tc>
        <w:tc>
          <w:tcPr>
            <w:tcW w:w="1020" w:type="dxa"/>
            <w:vAlign w:val="bottom"/>
            <w:gridSpan w:val="17"/>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780" w:type="dxa"/>
            <w:vAlign w:val="bottom"/>
          </w:tcPr>
          <w:p>
            <w:pPr>
              <w:spacing w:after="0"/>
              <w:rPr>
                <w:sz w:val="17"/>
                <w:szCs w:val="17"/>
                <w:color w:val="auto"/>
              </w:rPr>
            </w:pPr>
          </w:p>
        </w:tc>
        <w:tc>
          <w:tcPr>
            <w:tcW w:w="7480" w:type="dxa"/>
            <w:vAlign w:val="bottom"/>
            <w:gridSpan w:val="30"/>
          </w:tcPr>
          <w:p>
            <w:pPr>
              <w:spacing w:after="0" w:line="196" w:lineRule="exact"/>
              <w:rPr>
                <w:rFonts w:ascii="Arial" w:cs="Arial" w:eastAsia="Arial" w:hAnsi="Arial"/>
                <w:sz w:val="18"/>
                <w:szCs w:val="18"/>
                <w:color w:val="0000EE"/>
              </w:rPr>
            </w:pPr>
            <w:hyperlink r:id="rId104">
              <w:r>
                <w:rPr>
                  <w:rFonts w:ascii="Arial" w:cs="Arial" w:eastAsia="Arial" w:hAnsi="Arial"/>
                  <w:sz w:val="18"/>
                  <w:szCs w:val="18"/>
                  <w:color w:val="0000EE"/>
                </w:rPr>
                <w:t>(No. 001</w:t>
              </w:r>
              <w:r>
                <w:rPr>
                  <w:rFonts w:ascii="MS PGothic" w:cs="MS PGothic" w:eastAsia="MS PGothic" w:hAnsi="MS PGothic"/>
                  <w:sz w:val="18"/>
                  <w:szCs w:val="18"/>
                  <w:color w:val="0000EE"/>
                </w:rPr>
                <w:t>‑</w:t>
              </w:r>
              <w:r>
                <w:rPr>
                  <w:rFonts w:ascii="Arial" w:cs="Arial" w:eastAsia="Arial" w:hAnsi="Arial"/>
                  <w:sz w:val="18"/>
                  <w:szCs w:val="18"/>
                  <w:color w:val="0000EE"/>
                </w:rPr>
                <w:t>37935)).</w:t>
              </w:r>
            </w:hyperlink>
          </w:p>
        </w:tc>
        <w:tc>
          <w:tcPr>
            <w:tcW w:w="0" w:type="dxa"/>
            <w:vAlign w:val="bottom"/>
          </w:tcPr>
          <w:p>
            <w:pPr>
              <w:spacing w:after="0"/>
              <w:rPr>
                <w:sz w:val="1"/>
                <w:szCs w:val="1"/>
                <w:color w:val="auto"/>
              </w:rPr>
            </w:pPr>
          </w:p>
        </w:tc>
      </w:tr>
      <w:tr>
        <w:trPr>
          <w:trHeight w:val="20"/>
        </w:trPr>
        <w:tc>
          <w:tcPr>
            <w:tcW w:w="780" w:type="dxa"/>
            <w:vAlign w:val="bottom"/>
          </w:tcPr>
          <w:p>
            <w:pPr>
              <w:spacing w:after="0" w:line="20" w:lineRule="exact"/>
              <w:rPr>
                <w:sz w:val="1"/>
                <w:szCs w:val="1"/>
                <w:color w:val="auto"/>
              </w:rPr>
            </w:pPr>
          </w:p>
        </w:tc>
        <w:tc>
          <w:tcPr>
            <w:tcW w:w="130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720" w:type="dxa"/>
            <w:vAlign w:val="bottom"/>
            <w:gridSpan w:val="2"/>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780" w:type="dxa"/>
            <w:vAlign w:val="bottom"/>
          </w:tcPr>
          <w:p>
            <w:pPr>
              <w:jc w:val="right"/>
              <w:ind w:right="112"/>
              <w:spacing w:after="0" w:line="196" w:lineRule="exact"/>
              <w:rPr>
                <w:sz w:val="20"/>
                <w:szCs w:val="20"/>
                <w:color w:val="auto"/>
              </w:rPr>
            </w:pPr>
            <w:r>
              <w:rPr>
                <w:rFonts w:ascii="Arial" w:cs="Arial" w:eastAsia="Arial" w:hAnsi="Arial"/>
                <w:sz w:val="18"/>
                <w:szCs w:val="18"/>
                <w:color w:val="auto"/>
              </w:rPr>
              <w:t>10.1†</w:t>
            </w:r>
          </w:p>
        </w:tc>
        <w:tc>
          <w:tcPr>
            <w:tcW w:w="6620" w:type="dxa"/>
            <w:vAlign w:val="bottom"/>
            <w:tcBorders>
              <w:bottom w:val="single" w:sz="8" w:color="0000EE"/>
            </w:tcBorders>
            <w:gridSpan w:val="16"/>
          </w:tcPr>
          <w:p>
            <w:pPr>
              <w:spacing w:after="0" w:line="196" w:lineRule="exact"/>
              <w:rPr>
                <w:rFonts w:ascii="Arial" w:cs="Arial" w:eastAsia="Arial" w:hAnsi="Arial"/>
                <w:sz w:val="18"/>
                <w:szCs w:val="18"/>
                <w:color w:val="0000EE"/>
                <w:w w:val="91"/>
              </w:rPr>
            </w:pPr>
            <w:hyperlink r:id="rId105">
              <w:r>
                <w:rPr>
                  <w:rFonts w:ascii="Arial" w:cs="Arial" w:eastAsia="Arial" w:hAnsi="Arial"/>
                  <w:sz w:val="18"/>
                  <w:szCs w:val="18"/>
                  <w:color w:val="0000EE"/>
                  <w:w w:val="91"/>
                </w:rPr>
                <w:t>Form of Restricted Stock Unit Grant Notice and Restricted Stock Unit Agreement under the</w:t>
              </w:r>
            </w:hyperlink>
          </w:p>
        </w:tc>
        <w:tc>
          <w:tcPr>
            <w:tcW w:w="860" w:type="dxa"/>
            <w:vAlign w:val="bottom"/>
            <w:gridSpan w:val="14"/>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780" w:type="dxa"/>
            <w:vAlign w:val="bottom"/>
          </w:tcPr>
          <w:p>
            <w:pPr>
              <w:spacing w:after="0"/>
              <w:rPr>
                <w:sz w:val="17"/>
                <w:szCs w:val="17"/>
                <w:color w:val="auto"/>
              </w:rPr>
            </w:pPr>
          </w:p>
        </w:tc>
        <w:tc>
          <w:tcPr>
            <w:tcW w:w="7100" w:type="dxa"/>
            <w:vAlign w:val="bottom"/>
            <w:tcBorders>
              <w:bottom w:val="single" w:sz="8" w:color="0000EE"/>
            </w:tcBorders>
            <w:gridSpan w:val="28"/>
          </w:tcPr>
          <w:p>
            <w:pPr>
              <w:spacing w:after="0" w:line="196" w:lineRule="exact"/>
              <w:rPr>
                <w:rFonts w:ascii="Arial" w:cs="Arial" w:eastAsia="Arial" w:hAnsi="Arial"/>
                <w:sz w:val="18"/>
                <w:szCs w:val="18"/>
                <w:color w:val="0000EE"/>
                <w:w w:val="91"/>
              </w:rPr>
            </w:pPr>
            <w:hyperlink r:id="rId105">
              <w:r>
                <w:rPr>
                  <w:rFonts w:ascii="Arial" w:cs="Arial" w:eastAsia="Arial" w:hAnsi="Arial"/>
                  <w:sz w:val="18"/>
                  <w:szCs w:val="18"/>
                  <w:color w:val="0000EE"/>
                  <w:w w:val="91"/>
                </w:rPr>
                <w:t>Acushnet Holdings Corp. 2015 Omnibus Incentive Plan (incorporated by reference to Exhibit 10.7</w:t>
              </w:r>
            </w:hyperlink>
          </w:p>
        </w:tc>
        <w:tc>
          <w:tcPr>
            <w:tcW w:w="380" w:type="dxa"/>
            <w:vAlign w:val="bottom"/>
            <w:gridSpan w:val="2"/>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780" w:type="dxa"/>
            <w:vAlign w:val="bottom"/>
          </w:tcPr>
          <w:p>
            <w:pPr>
              <w:spacing w:after="0"/>
              <w:rPr>
                <w:sz w:val="17"/>
                <w:szCs w:val="17"/>
                <w:color w:val="auto"/>
              </w:rPr>
            </w:pPr>
          </w:p>
        </w:tc>
        <w:tc>
          <w:tcPr>
            <w:tcW w:w="5400" w:type="dxa"/>
            <w:vAlign w:val="bottom"/>
            <w:tcBorders>
              <w:bottom w:val="single" w:sz="8" w:color="0000EE"/>
            </w:tcBorders>
            <w:gridSpan w:val="7"/>
          </w:tcPr>
          <w:p>
            <w:pPr>
              <w:spacing w:after="0" w:line="196" w:lineRule="exact"/>
              <w:rPr>
                <w:rFonts w:ascii="Arial" w:cs="Arial" w:eastAsia="Arial" w:hAnsi="Arial"/>
                <w:sz w:val="18"/>
                <w:szCs w:val="18"/>
                <w:color w:val="0000EE"/>
                <w:w w:val="90"/>
              </w:rPr>
            </w:pPr>
            <w:hyperlink r:id="rId105">
              <w:r>
                <w:rPr>
                  <w:rFonts w:ascii="Arial" w:cs="Arial" w:eastAsia="Arial" w:hAnsi="Arial"/>
                  <w:sz w:val="18"/>
                  <w:szCs w:val="18"/>
                  <w:color w:val="0000EE"/>
                  <w:w w:val="90"/>
                </w:rPr>
                <w:t>to the Registrant’s Registration Statement on Form S</w:t>
              </w:r>
              <w:r>
                <w:rPr>
                  <w:rFonts w:ascii="MS PGothic" w:cs="MS PGothic" w:eastAsia="MS PGothic" w:hAnsi="MS PGothic"/>
                  <w:sz w:val="18"/>
                  <w:szCs w:val="18"/>
                  <w:color w:val="0000EE"/>
                  <w:w w:val="90"/>
                </w:rPr>
                <w:t>‑</w:t>
              </w:r>
              <w:r>
                <w:rPr>
                  <w:rFonts w:ascii="Arial" w:cs="Arial" w:eastAsia="Arial" w:hAnsi="Arial"/>
                  <w:sz w:val="18"/>
                  <w:szCs w:val="18"/>
                  <w:color w:val="0000EE"/>
                  <w:w w:val="90"/>
                </w:rPr>
                <w:t>1 (No. 333</w:t>
              </w:r>
              <w:r>
                <w:rPr>
                  <w:rFonts w:ascii="MS PGothic" w:cs="MS PGothic" w:eastAsia="MS PGothic" w:hAnsi="MS PGothic"/>
                  <w:sz w:val="18"/>
                  <w:szCs w:val="18"/>
                  <w:color w:val="0000EE"/>
                  <w:w w:val="90"/>
                </w:rPr>
                <w:t>‑</w:t>
              </w:r>
              <w:r>
                <w:rPr>
                  <w:rFonts w:ascii="Arial" w:cs="Arial" w:eastAsia="Arial" w:hAnsi="Arial"/>
                  <w:sz w:val="18"/>
                  <w:szCs w:val="18"/>
                  <w:color w:val="0000EE"/>
                  <w:w w:val="90"/>
                </w:rPr>
                <w:t>212116)).</w:t>
              </w:r>
            </w:hyperlink>
          </w:p>
        </w:tc>
        <w:tc>
          <w:tcPr>
            <w:tcW w:w="2080" w:type="dxa"/>
            <w:vAlign w:val="bottom"/>
            <w:gridSpan w:val="23"/>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780" w:type="dxa"/>
            <w:vAlign w:val="bottom"/>
          </w:tcPr>
          <w:p>
            <w:pPr>
              <w:jc w:val="right"/>
              <w:ind w:right="112"/>
              <w:spacing w:after="0" w:line="196" w:lineRule="exact"/>
              <w:rPr>
                <w:sz w:val="20"/>
                <w:szCs w:val="20"/>
                <w:color w:val="auto"/>
              </w:rPr>
            </w:pPr>
            <w:r>
              <w:rPr>
                <w:rFonts w:ascii="Arial" w:cs="Arial" w:eastAsia="Arial" w:hAnsi="Arial"/>
                <w:sz w:val="18"/>
                <w:szCs w:val="18"/>
                <w:color w:val="auto"/>
              </w:rPr>
              <w:t>10.2†</w:t>
            </w:r>
          </w:p>
        </w:tc>
        <w:tc>
          <w:tcPr>
            <w:tcW w:w="7000" w:type="dxa"/>
            <w:vAlign w:val="bottom"/>
            <w:tcBorders>
              <w:bottom w:val="single" w:sz="8" w:color="0000EE"/>
            </w:tcBorders>
            <w:gridSpan w:val="24"/>
          </w:tcPr>
          <w:p>
            <w:pPr>
              <w:spacing w:after="0" w:line="196" w:lineRule="exact"/>
              <w:rPr>
                <w:rFonts w:ascii="Arial" w:cs="Arial" w:eastAsia="Arial" w:hAnsi="Arial"/>
                <w:sz w:val="18"/>
                <w:szCs w:val="18"/>
                <w:color w:val="0000EE"/>
                <w:w w:val="90"/>
              </w:rPr>
            </w:pPr>
            <w:hyperlink r:id="rId106">
              <w:r>
                <w:rPr>
                  <w:rFonts w:ascii="Arial" w:cs="Arial" w:eastAsia="Arial" w:hAnsi="Arial"/>
                  <w:sz w:val="18"/>
                  <w:szCs w:val="18"/>
                  <w:color w:val="0000EE"/>
                  <w:w w:val="90"/>
                </w:rPr>
                <w:t>Form of Performance Stock Unit Grant Notice and Performance Stock Unit Agreement under the</w:t>
              </w:r>
            </w:hyperlink>
          </w:p>
        </w:tc>
        <w:tc>
          <w:tcPr>
            <w:tcW w:w="480" w:type="dxa"/>
            <w:vAlign w:val="bottom"/>
            <w:gridSpan w:val="6"/>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780" w:type="dxa"/>
            <w:vAlign w:val="bottom"/>
          </w:tcPr>
          <w:p>
            <w:pPr>
              <w:spacing w:after="0"/>
              <w:rPr>
                <w:sz w:val="17"/>
                <w:szCs w:val="17"/>
                <w:color w:val="auto"/>
              </w:rPr>
            </w:pPr>
          </w:p>
        </w:tc>
        <w:tc>
          <w:tcPr>
            <w:tcW w:w="7100" w:type="dxa"/>
            <w:vAlign w:val="bottom"/>
            <w:tcBorders>
              <w:bottom w:val="single" w:sz="8" w:color="0000EE"/>
            </w:tcBorders>
            <w:gridSpan w:val="28"/>
          </w:tcPr>
          <w:p>
            <w:pPr>
              <w:spacing w:after="0" w:line="196" w:lineRule="exact"/>
              <w:rPr>
                <w:rFonts w:ascii="Arial" w:cs="Arial" w:eastAsia="Arial" w:hAnsi="Arial"/>
                <w:sz w:val="18"/>
                <w:szCs w:val="18"/>
                <w:color w:val="0000EE"/>
                <w:w w:val="91"/>
              </w:rPr>
            </w:pPr>
            <w:hyperlink r:id="rId106">
              <w:r>
                <w:rPr>
                  <w:rFonts w:ascii="Arial" w:cs="Arial" w:eastAsia="Arial" w:hAnsi="Arial"/>
                  <w:sz w:val="18"/>
                  <w:szCs w:val="18"/>
                  <w:color w:val="0000EE"/>
                  <w:w w:val="91"/>
                </w:rPr>
                <w:t>Acushnet Holdings Corp. 2015 Omnibus Incentive Plan (incorporated by reference to Exhibit 10.8</w:t>
              </w:r>
            </w:hyperlink>
          </w:p>
        </w:tc>
        <w:tc>
          <w:tcPr>
            <w:tcW w:w="380" w:type="dxa"/>
            <w:vAlign w:val="bottom"/>
            <w:gridSpan w:val="2"/>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780" w:type="dxa"/>
            <w:vAlign w:val="bottom"/>
          </w:tcPr>
          <w:p>
            <w:pPr>
              <w:spacing w:after="0"/>
              <w:rPr>
                <w:sz w:val="17"/>
                <w:szCs w:val="17"/>
                <w:color w:val="auto"/>
              </w:rPr>
            </w:pPr>
          </w:p>
        </w:tc>
        <w:tc>
          <w:tcPr>
            <w:tcW w:w="5400" w:type="dxa"/>
            <w:vAlign w:val="bottom"/>
            <w:tcBorders>
              <w:bottom w:val="single" w:sz="8" w:color="0000EE"/>
            </w:tcBorders>
            <w:gridSpan w:val="7"/>
          </w:tcPr>
          <w:p>
            <w:pPr>
              <w:spacing w:after="0" w:line="196" w:lineRule="exact"/>
              <w:rPr>
                <w:rFonts w:ascii="Arial" w:cs="Arial" w:eastAsia="Arial" w:hAnsi="Arial"/>
                <w:sz w:val="18"/>
                <w:szCs w:val="18"/>
                <w:color w:val="0000EE"/>
                <w:w w:val="90"/>
              </w:rPr>
            </w:pPr>
            <w:hyperlink r:id="rId106">
              <w:r>
                <w:rPr>
                  <w:rFonts w:ascii="Arial" w:cs="Arial" w:eastAsia="Arial" w:hAnsi="Arial"/>
                  <w:sz w:val="18"/>
                  <w:szCs w:val="18"/>
                  <w:color w:val="0000EE"/>
                  <w:w w:val="90"/>
                </w:rPr>
                <w:t>to the Registrant’s Registration Statement on Form S</w:t>
              </w:r>
              <w:r>
                <w:rPr>
                  <w:rFonts w:ascii="MS PGothic" w:cs="MS PGothic" w:eastAsia="MS PGothic" w:hAnsi="MS PGothic"/>
                  <w:sz w:val="18"/>
                  <w:szCs w:val="18"/>
                  <w:color w:val="0000EE"/>
                  <w:w w:val="90"/>
                </w:rPr>
                <w:t>‑</w:t>
              </w:r>
              <w:r>
                <w:rPr>
                  <w:rFonts w:ascii="Arial" w:cs="Arial" w:eastAsia="Arial" w:hAnsi="Arial"/>
                  <w:sz w:val="18"/>
                  <w:szCs w:val="18"/>
                  <w:color w:val="0000EE"/>
                  <w:w w:val="90"/>
                </w:rPr>
                <w:t>1 (No. 333</w:t>
              </w:r>
              <w:r>
                <w:rPr>
                  <w:rFonts w:ascii="MS PGothic" w:cs="MS PGothic" w:eastAsia="MS PGothic" w:hAnsi="MS PGothic"/>
                  <w:sz w:val="18"/>
                  <w:szCs w:val="18"/>
                  <w:color w:val="0000EE"/>
                  <w:w w:val="90"/>
                </w:rPr>
                <w:t>‑</w:t>
              </w:r>
              <w:r>
                <w:rPr>
                  <w:rFonts w:ascii="Arial" w:cs="Arial" w:eastAsia="Arial" w:hAnsi="Arial"/>
                  <w:sz w:val="18"/>
                  <w:szCs w:val="18"/>
                  <w:color w:val="0000EE"/>
                  <w:w w:val="90"/>
                </w:rPr>
                <w:t>212116)).</w:t>
              </w:r>
            </w:hyperlink>
          </w:p>
        </w:tc>
        <w:tc>
          <w:tcPr>
            <w:tcW w:w="2080" w:type="dxa"/>
            <w:vAlign w:val="bottom"/>
            <w:gridSpan w:val="23"/>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780" w:type="dxa"/>
            <w:vAlign w:val="bottom"/>
          </w:tcPr>
          <w:p>
            <w:pPr>
              <w:jc w:val="right"/>
              <w:ind w:right="112"/>
              <w:spacing w:after="0" w:line="196" w:lineRule="exact"/>
              <w:rPr>
                <w:sz w:val="20"/>
                <w:szCs w:val="20"/>
                <w:color w:val="auto"/>
              </w:rPr>
            </w:pPr>
            <w:r>
              <w:rPr>
                <w:rFonts w:ascii="Arial" w:cs="Arial" w:eastAsia="Arial" w:hAnsi="Arial"/>
                <w:sz w:val="18"/>
                <w:szCs w:val="18"/>
                <w:color w:val="auto"/>
              </w:rPr>
              <w:t>10.3†</w:t>
            </w:r>
          </w:p>
        </w:tc>
        <w:tc>
          <w:tcPr>
            <w:tcW w:w="6280" w:type="dxa"/>
            <w:vAlign w:val="bottom"/>
            <w:tcBorders>
              <w:bottom w:val="single" w:sz="8" w:color="0000EE"/>
            </w:tcBorders>
            <w:gridSpan w:val="11"/>
          </w:tcPr>
          <w:p>
            <w:pPr>
              <w:spacing w:after="0" w:line="196" w:lineRule="exact"/>
              <w:rPr>
                <w:rFonts w:ascii="Arial" w:cs="Arial" w:eastAsia="Arial" w:hAnsi="Arial"/>
                <w:sz w:val="18"/>
                <w:szCs w:val="18"/>
                <w:color w:val="0000EE"/>
                <w:w w:val="89"/>
              </w:rPr>
            </w:pPr>
            <w:hyperlink r:id="rId107">
              <w:r>
                <w:rPr>
                  <w:rFonts w:ascii="Arial" w:cs="Arial" w:eastAsia="Arial" w:hAnsi="Arial"/>
                  <w:sz w:val="18"/>
                  <w:szCs w:val="18"/>
                  <w:color w:val="0000EE"/>
                  <w:w w:val="89"/>
                </w:rPr>
                <w:t>Acushnet Executive Severance Plan (as amended and restated effective April 29, 2016)</w:t>
              </w:r>
            </w:hyperlink>
          </w:p>
        </w:tc>
        <w:tc>
          <w:tcPr>
            <w:tcW w:w="1200" w:type="dxa"/>
            <w:vAlign w:val="bottom"/>
            <w:gridSpan w:val="19"/>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780" w:type="dxa"/>
            <w:vAlign w:val="bottom"/>
          </w:tcPr>
          <w:p>
            <w:pPr>
              <w:spacing w:after="0"/>
              <w:rPr>
                <w:sz w:val="17"/>
                <w:szCs w:val="17"/>
                <w:color w:val="auto"/>
              </w:rPr>
            </w:pPr>
          </w:p>
        </w:tc>
        <w:tc>
          <w:tcPr>
            <w:tcW w:w="7480" w:type="dxa"/>
            <w:vAlign w:val="bottom"/>
            <w:gridSpan w:val="30"/>
          </w:tcPr>
          <w:p>
            <w:pPr>
              <w:spacing w:after="0" w:line="196" w:lineRule="exact"/>
              <w:rPr>
                <w:rFonts w:ascii="Arial" w:cs="Arial" w:eastAsia="Arial" w:hAnsi="Arial"/>
                <w:sz w:val="18"/>
                <w:szCs w:val="18"/>
                <w:color w:val="0000EE"/>
                <w:w w:val="96"/>
              </w:rPr>
            </w:pPr>
            <w:hyperlink r:id="rId107">
              <w:r>
                <w:rPr>
                  <w:rFonts w:ascii="Arial" w:cs="Arial" w:eastAsia="Arial" w:hAnsi="Arial"/>
                  <w:sz w:val="18"/>
                  <w:szCs w:val="18"/>
                  <w:color w:val="0000EE"/>
                  <w:w w:val="96"/>
                </w:rPr>
                <w:t>(incorporated by reference to Exhibit 10.9 to the Registrant’s Registration Statement on Form S</w:t>
              </w:r>
              <w:r>
                <w:rPr>
                  <w:rFonts w:ascii="MS PGothic" w:cs="MS PGothic" w:eastAsia="MS PGothic" w:hAnsi="MS PGothic"/>
                  <w:sz w:val="18"/>
                  <w:szCs w:val="18"/>
                  <w:color w:val="0000EE"/>
                  <w:w w:val="96"/>
                </w:rPr>
                <w:t>‑</w:t>
              </w:r>
              <w:r>
                <w:rPr>
                  <w:rFonts w:ascii="Arial" w:cs="Arial" w:eastAsia="Arial" w:hAnsi="Arial"/>
                  <w:sz w:val="18"/>
                  <w:szCs w:val="18"/>
                  <w:color w:val="0000EE"/>
                  <w:w w:val="96"/>
                </w:rPr>
                <w:t>1</w:t>
              </w:r>
            </w:hyperlink>
          </w:p>
        </w:tc>
        <w:tc>
          <w:tcPr>
            <w:tcW w:w="0" w:type="dxa"/>
            <w:vAlign w:val="bottom"/>
          </w:tcPr>
          <w:p>
            <w:pPr>
              <w:spacing w:after="0"/>
              <w:rPr>
                <w:sz w:val="1"/>
                <w:szCs w:val="1"/>
                <w:color w:val="auto"/>
              </w:rPr>
            </w:pPr>
          </w:p>
        </w:tc>
      </w:tr>
      <w:tr>
        <w:trPr>
          <w:trHeight w:val="196"/>
        </w:trPr>
        <w:tc>
          <w:tcPr>
            <w:tcW w:w="780" w:type="dxa"/>
            <w:vAlign w:val="bottom"/>
          </w:tcPr>
          <w:p>
            <w:pPr>
              <w:spacing w:after="0"/>
              <w:rPr>
                <w:sz w:val="17"/>
                <w:szCs w:val="17"/>
                <w:color w:val="auto"/>
              </w:rPr>
            </w:pPr>
          </w:p>
        </w:tc>
        <w:tc>
          <w:tcPr>
            <w:tcW w:w="1400" w:type="dxa"/>
            <w:vAlign w:val="bottom"/>
            <w:tcBorders>
              <w:top w:val="single" w:sz="8" w:color="0000EE"/>
              <w:bottom w:val="single" w:sz="8" w:color="0000EE"/>
            </w:tcBorders>
            <w:gridSpan w:val="2"/>
          </w:tcPr>
          <w:p>
            <w:pPr>
              <w:spacing w:after="0" w:line="196" w:lineRule="exact"/>
              <w:rPr>
                <w:rFonts w:ascii="Arial" w:cs="Arial" w:eastAsia="Arial" w:hAnsi="Arial"/>
                <w:sz w:val="18"/>
                <w:szCs w:val="18"/>
                <w:color w:val="0000EE"/>
                <w:w w:val="90"/>
              </w:rPr>
            </w:pPr>
            <w:hyperlink r:id="rId107">
              <w:r>
                <w:rPr>
                  <w:rFonts w:ascii="Arial" w:cs="Arial" w:eastAsia="Arial" w:hAnsi="Arial"/>
                  <w:sz w:val="18"/>
                  <w:szCs w:val="18"/>
                  <w:color w:val="0000EE"/>
                  <w:w w:val="90"/>
                </w:rPr>
                <w:t>(No. 333</w:t>
              </w:r>
              <w:r>
                <w:rPr>
                  <w:rFonts w:ascii="MS PGothic" w:cs="MS PGothic" w:eastAsia="MS PGothic" w:hAnsi="MS PGothic"/>
                  <w:sz w:val="18"/>
                  <w:szCs w:val="18"/>
                  <w:color w:val="0000EE"/>
                  <w:w w:val="90"/>
                </w:rPr>
                <w:t>‑</w:t>
              </w:r>
              <w:r>
                <w:rPr>
                  <w:rFonts w:ascii="Arial" w:cs="Arial" w:eastAsia="Arial" w:hAnsi="Arial"/>
                  <w:sz w:val="18"/>
                  <w:szCs w:val="18"/>
                  <w:color w:val="0000EE"/>
                  <w:w w:val="90"/>
                </w:rPr>
                <w:t>212116)).</w:t>
              </w:r>
            </w:hyperlink>
          </w:p>
        </w:tc>
        <w:tc>
          <w:tcPr>
            <w:tcW w:w="5620" w:type="dxa"/>
            <w:vAlign w:val="bottom"/>
            <w:tcBorders>
              <w:top w:val="single" w:sz="8" w:color="0000EE"/>
            </w:tcBorders>
            <w:gridSpan w:val="23"/>
          </w:tcPr>
          <w:p>
            <w:pPr>
              <w:spacing w:after="0"/>
              <w:rPr>
                <w:sz w:val="17"/>
                <w:szCs w:val="17"/>
                <w:color w:val="auto"/>
              </w:rPr>
            </w:pPr>
          </w:p>
        </w:tc>
        <w:tc>
          <w:tcPr>
            <w:tcW w:w="460" w:type="dxa"/>
            <w:vAlign w:val="bottom"/>
            <w:gridSpan w:val="5"/>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780" w:type="dxa"/>
            <w:vAlign w:val="bottom"/>
          </w:tcPr>
          <w:p>
            <w:pPr>
              <w:jc w:val="right"/>
              <w:ind w:right="112"/>
              <w:spacing w:after="0" w:line="196" w:lineRule="exact"/>
              <w:rPr>
                <w:sz w:val="20"/>
                <w:szCs w:val="20"/>
                <w:color w:val="auto"/>
              </w:rPr>
            </w:pPr>
            <w:r>
              <w:rPr>
                <w:rFonts w:ascii="Arial" w:cs="Arial" w:eastAsia="Arial" w:hAnsi="Arial"/>
                <w:sz w:val="18"/>
                <w:szCs w:val="18"/>
                <w:color w:val="auto"/>
              </w:rPr>
              <w:t>10.4†</w:t>
            </w:r>
          </w:p>
        </w:tc>
        <w:tc>
          <w:tcPr>
            <w:tcW w:w="6200" w:type="dxa"/>
            <w:vAlign w:val="bottom"/>
            <w:tcBorders>
              <w:bottom w:val="single" w:sz="8" w:color="0000EE"/>
            </w:tcBorders>
            <w:gridSpan w:val="9"/>
          </w:tcPr>
          <w:p>
            <w:pPr>
              <w:spacing w:after="0" w:line="196" w:lineRule="exact"/>
              <w:rPr>
                <w:rFonts w:ascii="Arial" w:cs="Arial" w:eastAsia="Arial" w:hAnsi="Arial"/>
                <w:sz w:val="18"/>
                <w:szCs w:val="18"/>
                <w:color w:val="0000EE"/>
                <w:w w:val="89"/>
              </w:rPr>
            </w:pPr>
            <w:hyperlink r:id="rId108">
              <w:r>
                <w:rPr>
                  <w:rFonts w:ascii="Arial" w:cs="Arial" w:eastAsia="Arial" w:hAnsi="Arial"/>
                  <w:sz w:val="18"/>
                  <w:szCs w:val="18"/>
                  <w:color w:val="0000EE"/>
                  <w:w w:val="89"/>
                </w:rPr>
                <w:t>Acushnet Company Supplemental Retirement Plan (as amended and restated effective</w:t>
              </w:r>
            </w:hyperlink>
          </w:p>
        </w:tc>
        <w:tc>
          <w:tcPr>
            <w:tcW w:w="1280" w:type="dxa"/>
            <w:vAlign w:val="bottom"/>
            <w:gridSpan w:val="21"/>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780" w:type="dxa"/>
            <w:vAlign w:val="bottom"/>
          </w:tcPr>
          <w:p>
            <w:pPr>
              <w:spacing w:after="0"/>
              <w:rPr>
                <w:sz w:val="17"/>
                <w:szCs w:val="17"/>
                <w:color w:val="auto"/>
              </w:rPr>
            </w:pPr>
          </w:p>
        </w:tc>
        <w:tc>
          <w:tcPr>
            <w:tcW w:w="6920" w:type="dxa"/>
            <w:vAlign w:val="bottom"/>
            <w:tcBorders>
              <w:bottom w:val="single" w:sz="8" w:color="0000EE"/>
            </w:tcBorders>
            <w:gridSpan w:val="23"/>
          </w:tcPr>
          <w:p>
            <w:pPr>
              <w:spacing w:after="0" w:line="196" w:lineRule="exact"/>
              <w:rPr>
                <w:rFonts w:ascii="Arial" w:cs="Arial" w:eastAsia="Arial" w:hAnsi="Arial"/>
                <w:sz w:val="18"/>
                <w:szCs w:val="18"/>
                <w:color w:val="0000EE"/>
                <w:w w:val="90"/>
              </w:rPr>
            </w:pPr>
            <w:hyperlink r:id="rId108">
              <w:r>
                <w:rPr>
                  <w:rFonts w:ascii="Arial" w:cs="Arial" w:eastAsia="Arial" w:hAnsi="Arial"/>
                  <w:sz w:val="18"/>
                  <w:szCs w:val="18"/>
                  <w:color w:val="0000EE"/>
                  <w:w w:val="90"/>
                </w:rPr>
                <w:t>December 31, 2015) (incorporated by reference to Exhibit 10.10 to the Registrant’s Registration</w:t>
              </w:r>
            </w:hyperlink>
          </w:p>
        </w:tc>
        <w:tc>
          <w:tcPr>
            <w:tcW w:w="560" w:type="dxa"/>
            <w:vAlign w:val="bottom"/>
            <w:gridSpan w:val="7"/>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780" w:type="dxa"/>
            <w:vAlign w:val="bottom"/>
          </w:tcPr>
          <w:p>
            <w:pPr>
              <w:spacing w:after="0"/>
              <w:rPr>
                <w:sz w:val="17"/>
                <w:szCs w:val="17"/>
                <w:color w:val="auto"/>
              </w:rPr>
            </w:pPr>
          </w:p>
        </w:tc>
        <w:tc>
          <w:tcPr>
            <w:tcW w:w="3120" w:type="dxa"/>
            <w:vAlign w:val="bottom"/>
            <w:tcBorders>
              <w:bottom w:val="single" w:sz="8" w:color="0000EE"/>
            </w:tcBorders>
            <w:gridSpan w:val="4"/>
          </w:tcPr>
          <w:p>
            <w:pPr>
              <w:spacing w:after="0" w:line="196" w:lineRule="exact"/>
              <w:rPr>
                <w:rFonts w:ascii="Arial" w:cs="Arial" w:eastAsia="Arial" w:hAnsi="Arial"/>
                <w:sz w:val="18"/>
                <w:szCs w:val="18"/>
                <w:color w:val="0000EE"/>
                <w:w w:val="90"/>
              </w:rPr>
            </w:pPr>
            <w:hyperlink r:id="rId108">
              <w:r>
                <w:rPr>
                  <w:rFonts w:ascii="Arial" w:cs="Arial" w:eastAsia="Arial" w:hAnsi="Arial"/>
                  <w:sz w:val="18"/>
                  <w:szCs w:val="18"/>
                  <w:color w:val="0000EE"/>
                  <w:w w:val="90"/>
                </w:rPr>
                <w:t>Statement on Form S</w:t>
              </w:r>
              <w:r>
                <w:rPr>
                  <w:rFonts w:ascii="MS PGothic" w:cs="MS PGothic" w:eastAsia="MS PGothic" w:hAnsi="MS PGothic"/>
                  <w:sz w:val="18"/>
                  <w:szCs w:val="18"/>
                  <w:color w:val="0000EE"/>
                  <w:w w:val="90"/>
                </w:rPr>
                <w:t>‑</w:t>
              </w:r>
              <w:r>
                <w:rPr>
                  <w:rFonts w:ascii="Arial" w:cs="Arial" w:eastAsia="Arial" w:hAnsi="Arial"/>
                  <w:sz w:val="18"/>
                  <w:szCs w:val="18"/>
                  <w:color w:val="0000EE"/>
                  <w:w w:val="90"/>
                </w:rPr>
                <w:t>1 (No. 333</w:t>
              </w:r>
              <w:r>
                <w:rPr>
                  <w:rFonts w:ascii="MS PGothic" w:cs="MS PGothic" w:eastAsia="MS PGothic" w:hAnsi="MS PGothic"/>
                  <w:sz w:val="18"/>
                  <w:szCs w:val="18"/>
                  <w:color w:val="0000EE"/>
                  <w:w w:val="90"/>
                </w:rPr>
                <w:t>‑</w:t>
              </w:r>
              <w:r>
                <w:rPr>
                  <w:rFonts w:ascii="Arial" w:cs="Arial" w:eastAsia="Arial" w:hAnsi="Arial"/>
                  <w:sz w:val="18"/>
                  <w:szCs w:val="18"/>
                  <w:color w:val="0000EE"/>
                  <w:w w:val="90"/>
                </w:rPr>
                <w:t>212116)).</w:t>
              </w:r>
            </w:hyperlink>
          </w:p>
        </w:tc>
        <w:tc>
          <w:tcPr>
            <w:tcW w:w="4360" w:type="dxa"/>
            <w:vAlign w:val="bottom"/>
            <w:gridSpan w:val="26"/>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780" w:type="dxa"/>
            <w:vAlign w:val="bottom"/>
          </w:tcPr>
          <w:p>
            <w:pPr>
              <w:jc w:val="right"/>
              <w:ind w:right="112"/>
              <w:spacing w:after="0" w:line="196" w:lineRule="exact"/>
              <w:rPr>
                <w:sz w:val="20"/>
                <w:szCs w:val="20"/>
                <w:color w:val="auto"/>
              </w:rPr>
            </w:pPr>
            <w:r>
              <w:rPr>
                <w:rFonts w:ascii="Arial" w:cs="Arial" w:eastAsia="Arial" w:hAnsi="Arial"/>
                <w:sz w:val="18"/>
                <w:szCs w:val="18"/>
                <w:color w:val="auto"/>
              </w:rPr>
              <w:t>10.5†</w:t>
            </w:r>
          </w:p>
        </w:tc>
        <w:tc>
          <w:tcPr>
            <w:tcW w:w="7480" w:type="dxa"/>
            <w:vAlign w:val="bottom"/>
            <w:gridSpan w:val="30"/>
          </w:tcPr>
          <w:p>
            <w:pPr>
              <w:spacing w:after="0" w:line="196" w:lineRule="exact"/>
              <w:rPr>
                <w:rFonts w:ascii="Arial" w:cs="Arial" w:eastAsia="Arial" w:hAnsi="Arial"/>
                <w:sz w:val="18"/>
                <w:szCs w:val="18"/>
                <w:color w:val="0000EE"/>
              </w:rPr>
            </w:pPr>
            <w:hyperlink r:id="rId109">
              <w:r>
                <w:rPr>
                  <w:rFonts w:ascii="Arial" w:cs="Arial" w:eastAsia="Arial" w:hAnsi="Arial"/>
                  <w:sz w:val="18"/>
                  <w:szCs w:val="18"/>
                  <w:color w:val="0000EE"/>
                </w:rPr>
                <w:t>Acushnet Company Amended and Restated Trust Agreement, dated as of August 31, 2016</w:t>
              </w:r>
            </w:hyperlink>
          </w:p>
        </w:tc>
        <w:tc>
          <w:tcPr>
            <w:tcW w:w="0" w:type="dxa"/>
            <w:vAlign w:val="bottom"/>
          </w:tcPr>
          <w:p>
            <w:pPr>
              <w:spacing w:after="0"/>
              <w:rPr>
                <w:sz w:val="1"/>
                <w:szCs w:val="1"/>
                <w:color w:val="auto"/>
              </w:rPr>
            </w:pPr>
          </w:p>
        </w:tc>
      </w:tr>
      <w:tr>
        <w:trPr>
          <w:trHeight w:val="20"/>
        </w:trPr>
        <w:tc>
          <w:tcPr>
            <w:tcW w:w="780" w:type="dxa"/>
            <w:vAlign w:val="bottom"/>
          </w:tcPr>
          <w:p>
            <w:pPr>
              <w:spacing w:after="0" w:line="20" w:lineRule="exact"/>
              <w:rPr>
                <w:sz w:val="1"/>
                <w:szCs w:val="1"/>
                <w:color w:val="auto"/>
              </w:rPr>
            </w:pPr>
          </w:p>
        </w:tc>
        <w:tc>
          <w:tcPr>
            <w:tcW w:w="4040" w:type="dxa"/>
            <w:vAlign w:val="bottom"/>
            <w:gridSpan w:val="5"/>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40" w:type="dxa"/>
            <w:vAlign w:val="bottom"/>
            <w:gridSpan w:val="2"/>
            <w:shd w:val="clear" w:color="auto" w:fill="0000EE"/>
          </w:tcPr>
          <w:p>
            <w:pPr>
              <w:spacing w:after="0" w:line="20" w:lineRule="exact"/>
              <w:rPr>
                <w:sz w:val="1"/>
                <w:szCs w:val="1"/>
                <w:color w:val="auto"/>
              </w:rPr>
            </w:pPr>
          </w:p>
        </w:tc>
        <w:tc>
          <w:tcPr>
            <w:tcW w:w="160" w:type="dxa"/>
            <w:vAlign w:val="bottom"/>
            <w:gridSpan w:val="2"/>
            <w:shd w:val="clear" w:color="auto" w:fill="0000EE"/>
          </w:tcPr>
          <w:p>
            <w:pPr>
              <w:spacing w:after="0" w:line="20" w:lineRule="exact"/>
              <w:rPr>
                <w:sz w:val="1"/>
                <w:szCs w:val="1"/>
                <w:color w:val="auto"/>
              </w:rPr>
            </w:pPr>
          </w:p>
        </w:tc>
        <w:tc>
          <w:tcPr>
            <w:tcW w:w="160" w:type="dxa"/>
            <w:vAlign w:val="bottom"/>
            <w:gridSpan w:val="2"/>
            <w:shd w:val="clear" w:color="auto" w:fill="0000EE"/>
          </w:tcPr>
          <w:p>
            <w:pPr>
              <w:spacing w:after="0" w:line="20" w:lineRule="exact"/>
              <w:rPr>
                <w:sz w:val="1"/>
                <w:szCs w:val="1"/>
                <w:color w:val="auto"/>
              </w:rPr>
            </w:pPr>
          </w:p>
        </w:tc>
        <w:tc>
          <w:tcPr>
            <w:tcW w:w="80" w:type="dxa"/>
            <w:vAlign w:val="bottom"/>
            <w:gridSpan w:val="2"/>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780" w:type="dxa"/>
            <w:vAlign w:val="bottom"/>
          </w:tcPr>
          <w:p>
            <w:pPr>
              <w:spacing w:after="0"/>
              <w:rPr>
                <w:sz w:val="17"/>
                <w:szCs w:val="17"/>
                <w:color w:val="auto"/>
              </w:rPr>
            </w:pPr>
          </w:p>
        </w:tc>
        <w:tc>
          <w:tcPr>
            <w:tcW w:w="7480" w:type="dxa"/>
            <w:vAlign w:val="bottom"/>
            <w:gridSpan w:val="30"/>
          </w:tcPr>
          <w:p>
            <w:pPr>
              <w:spacing w:after="0" w:line="196" w:lineRule="exact"/>
              <w:rPr>
                <w:rFonts w:ascii="Arial" w:cs="Arial" w:eastAsia="Arial" w:hAnsi="Arial"/>
                <w:sz w:val="18"/>
                <w:szCs w:val="18"/>
                <w:color w:val="0000EE"/>
                <w:w w:val="95"/>
              </w:rPr>
            </w:pPr>
            <w:hyperlink r:id="rId109">
              <w:r>
                <w:rPr>
                  <w:rFonts w:ascii="Arial" w:cs="Arial" w:eastAsia="Arial" w:hAnsi="Arial"/>
                  <w:sz w:val="18"/>
                  <w:szCs w:val="18"/>
                  <w:color w:val="0000EE"/>
                  <w:w w:val="95"/>
                </w:rPr>
                <w:t>(incorporated by reference to Exhibit 10.11 to the Registrant’s Registration Statement on Form S</w:t>
              </w:r>
              <w:r>
                <w:rPr>
                  <w:rFonts w:ascii="MS PGothic" w:cs="MS PGothic" w:eastAsia="MS PGothic" w:hAnsi="MS PGothic"/>
                  <w:sz w:val="18"/>
                  <w:szCs w:val="18"/>
                  <w:color w:val="0000EE"/>
                  <w:w w:val="95"/>
                </w:rPr>
                <w:t>‑</w:t>
              </w:r>
              <w:r>
                <w:rPr>
                  <w:rFonts w:ascii="Arial" w:cs="Arial" w:eastAsia="Arial" w:hAnsi="Arial"/>
                  <w:sz w:val="18"/>
                  <w:szCs w:val="18"/>
                  <w:color w:val="0000EE"/>
                  <w:w w:val="95"/>
                </w:rPr>
                <w:t>1</w:t>
              </w:r>
            </w:hyperlink>
          </w:p>
        </w:tc>
        <w:tc>
          <w:tcPr>
            <w:tcW w:w="0" w:type="dxa"/>
            <w:vAlign w:val="bottom"/>
          </w:tcPr>
          <w:p>
            <w:pPr>
              <w:spacing w:after="0"/>
              <w:rPr>
                <w:sz w:val="1"/>
                <w:szCs w:val="1"/>
                <w:color w:val="auto"/>
              </w:rPr>
            </w:pPr>
          </w:p>
        </w:tc>
      </w:tr>
      <w:tr>
        <w:trPr>
          <w:trHeight w:val="196"/>
        </w:trPr>
        <w:tc>
          <w:tcPr>
            <w:tcW w:w="780" w:type="dxa"/>
            <w:vAlign w:val="bottom"/>
          </w:tcPr>
          <w:p>
            <w:pPr>
              <w:spacing w:after="0"/>
              <w:rPr>
                <w:sz w:val="17"/>
                <w:szCs w:val="17"/>
                <w:color w:val="auto"/>
              </w:rPr>
            </w:pPr>
          </w:p>
        </w:tc>
        <w:tc>
          <w:tcPr>
            <w:tcW w:w="1400" w:type="dxa"/>
            <w:vAlign w:val="bottom"/>
            <w:tcBorders>
              <w:top w:val="single" w:sz="8" w:color="0000EE"/>
              <w:bottom w:val="single" w:sz="8" w:color="0000EE"/>
            </w:tcBorders>
            <w:gridSpan w:val="2"/>
          </w:tcPr>
          <w:p>
            <w:pPr>
              <w:spacing w:after="0" w:line="196" w:lineRule="exact"/>
              <w:rPr>
                <w:rFonts w:ascii="Arial" w:cs="Arial" w:eastAsia="Arial" w:hAnsi="Arial"/>
                <w:sz w:val="18"/>
                <w:szCs w:val="18"/>
                <w:color w:val="0000EE"/>
                <w:w w:val="90"/>
              </w:rPr>
            </w:pPr>
            <w:hyperlink r:id="rId109">
              <w:r>
                <w:rPr>
                  <w:rFonts w:ascii="Arial" w:cs="Arial" w:eastAsia="Arial" w:hAnsi="Arial"/>
                  <w:sz w:val="18"/>
                  <w:szCs w:val="18"/>
                  <w:color w:val="0000EE"/>
                  <w:w w:val="90"/>
                </w:rPr>
                <w:t>(No. 333</w:t>
              </w:r>
              <w:r>
                <w:rPr>
                  <w:rFonts w:ascii="MS PGothic" w:cs="MS PGothic" w:eastAsia="MS PGothic" w:hAnsi="MS PGothic"/>
                  <w:sz w:val="18"/>
                  <w:szCs w:val="18"/>
                  <w:color w:val="0000EE"/>
                  <w:w w:val="90"/>
                </w:rPr>
                <w:t>‑</w:t>
              </w:r>
              <w:r>
                <w:rPr>
                  <w:rFonts w:ascii="Arial" w:cs="Arial" w:eastAsia="Arial" w:hAnsi="Arial"/>
                  <w:sz w:val="18"/>
                  <w:szCs w:val="18"/>
                  <w:color w:val="0000EE"/>
                  <w:w w:val="90"/>
                </w:rPr>
                <w:t>212116)).</w:t>
              </w:r>
            </w:hyperlink>
          </w:p>
        </w:tc>
        <w:tc>
          <w:tcPr>
            <w:tcW w:w="5700" w:type="dxa"/>
            <w:vAlign w:val="bottom"/>
            <w:tcBorders>
              <w:top w:val="single" w:sz="8" w:color="0000EE"/>
            </w:tcBorders>
            <w:gridSpan w:val="26"/>
          </w:tcPr>
          <w:p>
            <w:pPr>
              <w:spacing w:after="0"/>
              <w:rPr>
                <w:sz w:val="17"/>
                <w:szCs w:val="17"/>
                <w:color w:val="auto"/>
              </w:rPr>
            </w:pPr>
          </w:p>
        </w:tc>
        <w:tc>
          <w:tcPr>
            <w:tcW w:w="380" w:type="dxa"/>
            <w:vAlign w:val="bottom"/>
            <w:gridSpan w:val="2"/>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780" w:type="dxa"/>
            <w:vAlign w:val="bottom"/>
          </w:tcPr>
          <w:p>
            <w:pPr>
              <w:jc w:val="right"/>
              <w:ind w:right="112"/>
              <w:spacing w:after="0" w:line="196" w:lineRule="exact"/>
              <w:rPr>
                <w:sz w:val="20"/>
                <w:szCs w:val="20"/>
                <w:color w:val="auto"/>
              </w:rPr>
            </w:pPr>
            <w:r>
              <w:rPr>
                <w:rFonts w:ascii="Arial" w:cs="Arial" w:eastAsia="Arial" w:hAnsi="Arial"/>
                <w:sz w:val="18"/>
                <w:szCs w:val="18"/>
                <w:color w:val="auto"/>
              </w:rPr>
              <w:t>10.6†</w:t>
            </w:r>
          </w:p>
        </w:tc>
        <w:tc>
          <w:tcPr>
            <w:tcW w:w="7040" w:type="dxa"/>
            <w:vAlign w:val="bottom"/>
            <w:tcBorders>
              <w:bottom w:val="single" w:sz="8" w:color="0000EE"/>
            </w:tcBorders>
            <w:gridSpan w:val="26"/>
          </w:tcPr>
          <w:p>
            <w:pPr>
              <w:spacing w:after="0" w:line="196" w:lineRule="exact"/>
              <w:rPr>
                <w:rFonts w:ascii="Arial" w:cs="Arial" w:eastAsia="Arial" w:hAnsi="Arial"/>
                <w:sz w:val="18"/>
                <w:szCs w:val="18"/>
                <w:color w:val="0000EE"/>
                <w:w w:val="89"/>
              </w:rPr>
            </w:pPr>
            <w:hyperlink r:id="rId110">
              <w:r>
                <w:rPr>
                  <w:rFonts w:ascii="Arial" w:cs="Arial" w:eastAsia="Arial" w:hAnsi="Arial"/>
                  <w:sz w:val="18"/>
                  <w:szCs w:val="18"/>
                  <w:color w:val="0000EE"/>
                  <w:w w:val="89"/>
                </w:rPr>
                <w:t>Amended and Restated Change in Control Agreement between Acushnet Company and Walter R.</w:t>
              </w:r>
            </w:hyperlink>
          </w:p>
        </w:tc>
        <w:tc>
          <w:tcPr>
            <w:tcW w:w="440" w:type="dxa"/>
            <w:vAlign w:val="bottom"/>
            <w:gridSpan w:val="4"/>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780" w:type="dxa"/>
            <w:vAlign w:val="bottom"/>
          </w:tcPr>
          <w:p>
            <w:pPr>
              <w:spacing w:after="0"/>
              <w:rPr>
                <w:sz w:val="17"/>
                <w:szCs w:val="17"/>
                <w:color w:val="auto"/>
              </w:rPr>
            </w:pPr>
          </w:p>
        </w:tc>
        <w:tc>
          <w:tcPr>
            <w:tcW w:w="6600" w:type="dxa"/>
            <w:vAlign w:val="bottom"/>
            <w:tcBorders>
              <w:bottom w:val="single" w:sz="8" w:color="0000EE"/>
            </w:tcBorders>
            <w:gridSpan w:val="15"/>
          </w:tcPr>
          <w:p>
            <w:pPr>
              <w:spacing w:after="0" w:line="196" w:lineRule="exact"/>
              <w:rPr>
                <w:rFonts w:ascii="Arial" w:cs="Arial" w:eastAsia="Arial" w:hAnsi="Arial"/>
                <w:sz w:val="18"/>
                <w:szCs w:val="18"/>
                <w:color w:val="0000EE"/>
                <w:w w:val="90"/>
              </w:rPr>
            </w:pPr>
            <w:hyperlink r:id="rId110">
              <w:r>
                <w:rPr>
                  <w:rFonts w:ascii="Arial" w:cs="Arial" w:eastAsia="Arial" w:hAnsi="Arial"/>
                  <w:sz w:val="18"/>
                  <w:szCs w:val="18"/>
                  <w:color w:val="0000EE"/>
                  <w:w w:val="90"/>
                </w:rPr>
                <w:t>Uihlein, dated as of July 19, 2013, as amended April 29, 2016 (incorporated by reference to</w:t>
              </w:r>
            </w:hyperlink>
          </w:p>
        </w:tc>
        <w:tc>
          <w:tcPr>
            <w:tcW w:w="880" w:type="dxa"/>
            <w:vAlign w:val="bottom"/>
            <w:gridSpan w:val="15"/>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780" w:type="dxa"/>
            <w:vAlign w:val="bottom"/>
          </w:tcPr>
          <w:p>
            <w:pPr>
              <w:spacing w:after="0"/>
              <w:rPr>
                <w:sz w:val="17"/>
                <w:szCs w:val="17"/>
                <w:color w:val="auto"/>
              </w:rPr>
            </w:pPr>
          </w:p>
        </w:tc>
        <w:tc>
          <w:tcPr>
            <w:tcW w:w="6420" w:type="dxa"/>
            <w:vAlign w:val="bottom"/>
            <w:tcBorders>
              <w:bottom w:val="single" w:sz="8" w:color="0000EE"/>
            </w:tcBorders>
            <w:gridSpan w:val="12"/>
          </w:tcPr>
          <w:p>
            <w:pPr>
              <w:spacing w:after="0" w:line="196" w:lineRule="exact"/>
              <w:rPr>
                <w:rFonts w:ascii="Arial" w:cs="Arial" w:eastAsia="Arial" w:hAnsi="Arial"/>
                <w:sz w:val="18"/>
                <w:szCs w:val="18"/>
                <w:color w:val="0000EE"/>
                <w:w w:val="90"/>
              </w:rPr>
            </w:pPr>
            <w:hyperlink r:id="rId110">
              <w:r>
                <w:rPr>
                  <w:rFonts w:ascii="Arial" w:cs="Arial" w:eastAsia="Arial" w:hAnsi="Arial"/>
                  <w:sz w:val="18"/>
                  <w:szCs w:val="18"/>
                  <w:color w:val="0000EE"/>
                  <w:w w:val="90"/>
                </w:rPr>
                <w:t>Exhibit 10.12 to the Registrant’s Registration Statement on Form S</w:t>
              </w:r>
              <w:r>
                <w:rPr>
                  <w:rFonts w:ascii="MS PGothic" w:cs="MS PGothic" w:eastAsia="MS PGothic" w:hAnsi="MS PGothic"/>
                  <w:sz w:val="18"/>
                  <w:szCs w:val="18"/>
                  <w:color w:val="0000EE"/>
                  <w:w w:val="90"/>
                </w:rPr>
                <w:t>‑</w:t>
              </w:r>
              <w:r>
                <w:rPr>
                  <w:rFonts w:ascii="Arial" w:cs="Arial" w:eastAsia="Arial" w:hAnsi="Arial"/>
                  <w:sz w:val="18"/>
                  <w:szCs w:val="18"/>
                  <w:color w:val="0000EE"/>
                  <w:w w:val="90"/>
                </w:rPr>
                <w:t>1 (No. 333</w:t>
              </w:r>
              <w:r>
                <w:rPr>
                  <w:rFonts w:ascii="MS PGothic" w:cs="MS PGothic" w:eastAsia="MS PGothic" w:hAnsi="MS PGothic"/>
                  <w:sz w:val="18"/>
                  <w:szCs w:val="18"/>
                  <w:color w:val="0000EE"/>
                  <w:w w:val="90"/>
                </w:rPr>
                <w:t>‑</w:t>
              </w:r>
              <w:r>
                <w:rPr>
                  <w:rFonts w:ascii="Arial" w:cs="Arial" w:eastAsia="Arial" w:hAnsi="Arial"/>
                  <w:sz w:val="18"/>
                  <w:szCs w:val="18"/>
                  <w:color w:val="0000EE"/>
                  <w:w w:val="90"/>
                </w:rPr>
                <w:t>212116)).</w:t>
              </w:r>
            </w:hyperlink>
          </w:p>
        </w:tc>
        <w:tc>
          <w:tcPr>
            <w:tcW w:w="1060" w:type="dxa"/>
            <w:vAlign w:val="bottom"/>
            <w:gridSpan w:val="18"/>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780" w:type="dxa"/>
            <w:vAlign w:val="bottom"/>
          </w:tcPr>
          <w:p>
            <w:pPr>
              <w:jc w:val="right"/>
              <w:ind w:right="112"/>
              <w:spacing w:after="0" w:line="196" w:lineRule="exact"/>
              <w:rPr>
                <w:sz w:val="20"/>
                <w:szCs w:val="20"/>
                <w:color w:val="auto"/>
              </w:rPr>
            </w:pPr>
            <w:r>
              <w:rPr>
                <w:rFonts w:ascii="Arial" w:cs="Arial" w:eastAsia="Arial" w:hAnsi="Arial"/>
                <w:sz w:val="18"/>
                <w:szCs w:val="18"/>
                <w:color w:val="auto"/>
              </w:rPr>
              <w:t>10.7†</w:t>
            </w:r>
          </w:p>
        </w:tc>
        <w:tc>
          <w:tcPr>
            <w:tcW w:w="7080" w:type="dxa"/>
            <w:vAlign w:val="bottom"/>
            <w:tcBorders>
              <w:bottom w:val="single" w:sz="8" w:color="0000EE"/>
            </w:tcBorders>
            <w:gridSpan w:val="27"/>
          </w:tcPr>
          <w:p>
            <w:pPr>
              <w:spacing w:after="0" w:line="196" w:lineRule="exact"/>
              <w:rPr>
                <w:rFonts w:ascii="Arial" w:cs="Arial" w:eastAsia="Arial" w:hAnsi="Arial"/>
                <w:sz w:val="18"/>
                <w:szCs w:val="18"/>
                <w:color w:val="0000EE"/>
                <w:w w:val="89"/>
              </w:rPr>
            </w:pPr>
            <w:hyperlink r:id="rId111">
              <w:r>
                <w:rPr>
                  <w:rFonts w:ascii="Arial" w:cs="Arial" w:eastAsia="Arial" w:hAnsi="Arial"/>
                  <w:sz w:val="18"/>
                  <w:szCs w:val="18"/>
                  <w:color w:val="0000EE"/>
                  <w:w w:val="89"/>
                </w:rPr>
                <w:t>Amended and Restated Severance Agreement between Acushnet Company and Walter R. Uihlein,</w:t>
              </w:r>
            </w:hyperlink>
          </w:p>
        </w:tc>
        <w:tc>
          <w:tcPr>
            <w:tcW w:w="400" w:type="dxa"/>
            <w:vAlign w:val="bottom"/>
            <w:gridSpan w:val="3"/>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780" w:type="dxa"/>
            <w:vAlign w:val="bottom"/>
          </w:tcPr>
          <w:p>
            <w:pPr>
              <w:spacing w:after="0"/>
              <w:rPr>
                <w:sz w:val="17"/>
                <w:szCs w:val="17"/>
                <w:color w:val="auto"/>
              </w:rPr>
            </w:pPr>
          </w:p>
        </w:tc>
        <w:tc>
          <w:tcPr>
            <w:tcW w:w="7000" w:type="dxa"/>
            <w:vAlign w:val="bottom"/>
            <w:tcBorders>
              <w:bottom w:val="single" w:sz="8" w:color="0000EE"/>
            </w:tcBorders>
            <w:gridSpan w:val="24"/>
          </w:tcPr>
          <w:p>
            <w:pPr>
              <w:spacing w:after="0" w:line="196" w:lineRule="exact"/>
              <w:rPr>
                <w:rFonts w:ascii="Arial" w:cs="Arial" w:eastAsia="Arial" w:hAnsi="Arial"/>
                <w:sz w:val="18"/>
                <w:szCs w:val="18"/>
                <w:color w:val="0000EE"/>
                <w:w w:val="90"/>
              </w:rPr>
            </w:pPr>
            <w:hyperlink r:id="rId111">
              <w:r>
                <w:rPr>
                  <w:rFonts w:ascii="Arial" w:cs="Arial" w:eastAsia="Arial" w:hAnsi="Arial"/>
                  <w:sz w:val="18"/>
                  <w:szCs w:val="18"/>
                  <w:color w:val="0000EE"/>
                  <w:w w:val="90"/>
                </w:rPr>
                <w:t>dated as of July 19, 2013, as amended April 29, 2016 (incorporated by reference to Exhibit 10.13</w:t>
              </w:r>
            </w:hyperlink>
          </w:p>
        </w:tc>
        <w:tc>
          <w:tcPr>
            <w:tcW w:w="480" w:type="dxa"/>
            <w:vAlign w:val="bottom"/>
            <w:gridSpan w:val="6"/>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780" w:type="dxa"/>
            <w:vAlign w:val="bottom"/>
          </w:tcPr>
          <w:p>
            <w:pPr>
              <w:spacing w:after="0"/>
              <w:rPr>
                <w:sz w:val="17"/>
                <w:szCs w:val="17"/>
                <w:color w:val="auto"/>
              </w:rPr>
            </w:pPr>
          </w:p>
        </w:tc>
        <w:tc>
          <w:tcPr>
            <w:tcW w:w="5400" w:type="dxa"/>
            <w:vAlign w:val="bottom"/>
            <w:tcBorders>
              <w:bottom w:val="single" w:sz="8" w:color="0000EE"/>
            </w:tcBorders>
            <w:gridSpan w:val="7"/>
          </w:tcPr>
          <w:p>
            <w:pPr>
              <w:spacing w:after="0" w:line="196" w:lineRule="exact"/>
              <w:rPr>
                <w:rFonts w:ascii="Arial" w:cs="Arial" w:eastAsia="Arial" w:hAnsi="Arial"/>
                <w:sz w:val="18"/>
                <w:szCs w:val="18"/>
                <w:color w:val="0000EE"/>
                <w:w w:val="90"/>
              </w:rPr>
            </w:pPr>
            <w:hyperlink r:id="rId111">
              <w:r>
                <w:rPr>
                  <w:rFonts w:ascii="Arial" w:cs="Arial" w:eastAsia="Arial" w:hAnsi="Arial"/>
                  <w:sz w:val="18"/>
                  <w:szCs w:val="18"/>
                  <w:color w:val="0000EE"/>
                  <w:w w:val="90"/>
                </w:rPr>
                <w:t>to the Registrant’s Registration Statement on Form S</w:t>
              </w:r>
              <w:r>
                <w:rPr>
                  <w:rFonts w:ascii="MS PGothic" w:cs="MS PGothic" w:eastAsia="MS PGothic" w:hAnsi="MS PGothic"/>
                  <w:sz w:val="18"/>
                  <w:szCs w:val="18"/>
                  <w:color w:val="0000EE"/>
                  <w:w w:val="90"/>
                </w:rPr>
                <w:t>‑</w:t>
              </w:r>
              <w:r>
                <w:rPr>
                  <w:rFonts w:ascii="Arial" w:cs="Arial" w:eastAsia="Arial" w:hAnsi="Arial"/>
                  <w:sz w:val="18"/>
                  <w:szCs w:val="18"/>
                  <w:color w:val="0000EE"/>
                  <w:w w:val="90"/>
                </w:rPr>
                <w:t>1 (No. 333</w:t>
              </w:r>
              <w:r>
                <w:rPr>
                  <w:rFonts w:ascii="MS PGothic" w:cs="MS PGothic" w:eastAsia="MS PGothic" w:hAnsi="MS PGothic"/>
                  <w:sz w:val="18"/>
                  <w:szCs w:val="18"/>
                  <w:color w:val="0000EE"/>
                  <w:w w:val="90"/>
                </w:rPr>
                <w:t>‑</w:t>
              </w:r>
              <w:r>
                <w:rPr>
                  <w:rFonts w:ascii="Arial" w:cs="Arial" w:eastAsia="Arial" w:hAnsi="Arial"/>
                  <w:sz w:val="18"/>
                  <w:szCs w:val="18"/>
                  <w:color w:val="0000EE"/>
                  <w:w w:val="90"/>
                </w:rPr>
                <w:t>212116)).</w:t>
              </w:r>
            </w:hyperlink>
          </w:p>
        </w:tc>
        <w:tc>
          <w:tcPr>
            <w:tcW w:w="2080" w:type="dxa"/>
            <w:vAlign w:val="bottom"/>
            <w:gridSpan w:val="23"/>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780" w:type="dxa"/>
            <w:vAlign w:val="bottom"/>
          </w:tcPr>
          <w:p>
            <w:pPr>
              <w:jc w:val="right"/>
              <w:ind w:right="112"/>
              <w:spacing w:after="0" w:line="196" w:lineRule="exact"/>
              <w:rPr>
                <w:sz w:val="20"/>
                <w:szCs w:val="20"/>
                <w:color w:val="auto"/>
              </w:rPr>
            </w:pPr>
            <w:r>
              <w:rPr>
                <w:rFonts w:ascii="Arial" w:cs="Arial" w:eastAsia="Arial" w:hAnsi="Arial"/>
                <w:sz w:val="18"/>
                <w:szCs w:val="18"/>
                <w:color w:val="auto"/>
              </w:rPr>
              <w:t>10.8†</w:t>
            </w:r>
          </w:p>
        </w:tc>
        <w:tc>
          <w:tcPr>
            <w:tcW w:w="7480" w:type="dxa"/>
            <w:vAlign w:val="bottom"/>
            <w:gridSpan w:val="30"/>
          </w:tcPr>
          <w:p>
            <w:pPr>
              <w:spacing w:after="0" w:line="196" w:lineRule="exact"/>
              <w:rPr>
                <w:rFonts w:ascii="Arial" w:cs="Arial" w:eastAsia="Arial" w:hAnsi="Arial"/>
                <w:sz w:val="18"/>
                <w:szCs w:val="18"/>
                <w:color w:val="0000EE"/>
                <w:w w:val="96"/>
              </w:rPr>
            </w:pPr>
            <w:hyperlink r:id="rId112">
              <w:r>
                <w:rPr>
                  <w:rFonts w:ascii="Arial" w:cs="Arial" w:eastAsia="Arial" w:hAnsi="Arial"/>
                  <w:sz w:val="18"/>
                  <w:szCs w:val="18"/>
                  <w:color w:val="0000EE"/>
                  <w:w w:val="96"/>
                </w:rPr>
                <w:t>Acushnet Company Walter R. Uihlein Trust Agreement dated as of January 1, 2003 (incorporated</w:t>
              </w:r>
            </w:hyperlink>
          </w:p>
        </w:tc>
        <w:tc>
          <w:tcPr>
            <w:tcW w:w="0" w:type="dxa"/>
            <w:vAlign w:val="bottom"/>
          </w:tcPr>
          <w:p>
            <w:pPr>
              <w:spacing w:after="0"/>
              <w:rPr>
                <w:sz w:val="1"/>
                <w:szCs w:val="1"/>
                <w:color w:val="auto"/>
              </w:rPr>
            </w:pPr>
          </w:p>
        </w:tc>
      </w:tr>
      <w:tr>
        <w:trPr>
          <w:trHeight w:val="196"/>
        </w:trPr>
        <w:tc>
          <w:tcPr>
            <w:tcW w:w="780" w:type="dxa"/>
            <w:vAlign w:val="bottom"/>
          </w:tcPr>
          <w:p>
            <w:pPr>
              <w:spacing w:after="0"/>
              <w:rPr>
                <w:sz w:val="17"/>
                <w:szCs w:val="17"/>
                <w:color w:val="auto"/>
              </w:rPr>
            </w:pPr>
          </w:p>
        </w:tc>
        <w:tc>
          <w:tcPr>
            <w:tcW w:w="6100" w:type="dxa"/>
            <w:vAlign w:val="bottom"/>
            <w:tcBorders>
              <w:top w:val="single" w:sz="8" w:color="0000EE"/>
              <w:bottom w:val="single" w:sz="8" w:color="0000EE"/>
            </w:tcBorders>
            <w:gridSpan w:val="8"/>
          </w:tcPr>
          <w:p>
            <w:pPr>
              <w:spacing w:after="0" w:line="196" w:lineRule="exact"/>
              <w:rPr>
                <w:rFonts w:ascii="Arial" w:cs="Arial" w:eastAsia="Arial" w:hAnsi="Arial"/>
                <w:sz w:val="18"/>
                <w:szCs w:val="18"/>
                <w:color w:val="0000EE"/>
                <w:w w:val="90"/>
              </w:rPr>
            </w:pPr>
            <w:hyperlink r:id="rId112">
              <w:r>
                <w:rPr>
                  <w:rFonts w:ascii="Arial" w:cs="Arial" w:eastAsia="Arial" w:hAnsi="Arial"/>
                  <w:sz w:val="18"/>
                  <w:szCs w:val="18"/>
                  <w:color w:val="0000EE"/>
                  <w:w w:val="90"/>
                </w:rPr>
                <w:t>by reference to Exhibit 10.14 to the Registrant’s Registration Statement on Form S</w:t>
              </w:r>
              <w:r>
                <w:rPr>
                  <w:rFonts w:ascii="MS PGothic" w:cs="MS PGothic" w:eastAsia="MS PGothic" w:hAnsi="MS PGothic"/>
                  <w:sz w:val="18"/>
                  <w:szCs w:val="18"/>
                  <w:color w:val="0000EE"/>
                  <w:w w:val="90"/>
                </w:rPr>
                <w:t>‑</w:t>
              </w:r>
              <w:r>
                <w:rPr>
                  <w:rFonts w:ascii="Arial" w:cs="Arial" w:eastAsia="Arial" w:hAnsi="Arial"/>
                  <w:sz w:val="18"/>
                  <w:szCs w:val="18"/>
                  <w:color w:val="0000EE"/>
                  <w:w w:val="90"/>
                </w:rPr>
                <w:t>1</w:t>
              </w:r>
            </w:hyperlink>
          </w:p>
        </w:tc>
        <w:tc>
          <w:tcPr>
            <w:tcW w:w="920" w:type="dxa"/>
            <w:vAlign w:val="bottom"/>
            <w:tcBorders>
              <w:top w:val="single" w:sz="8" w:color="0000EE"/>
            </w:tcBorders>
            <w:gridSpan w:val="17"/>
          </w:tcPr>
          <w:p>
            <w:pPr>
              <w:spacing w:after="0"/>
              <w:rPr>
                <w:sz w:val="17"/>
                <w:szCs w:val="17"/>
                <w:color w:val="auto"/>
              </w:rPr>
            </w:pPr>
          </w:p>
        </w:tc>
        <w:tc>
          <w:tcPr>
            <w:tcW w:w="460" w:type="dxa"/>
            <w:vAlign w:val="bottom"/>
            <w:gridSpan w:val="5"/>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780" w:type="dxa"/>
            <w:vAlign w:val="bottom"/>
          </w:tcPr>
          <w:p>
            <w:pPr>
              <w:spacing w:after="0"/>
              <w:rPr>
                <w:sz w:val="17"/>
                <w:szCs w:val="17"/>
                <w:color w:val="auto"/>
              </w:rPr>
            </w:pPr>
          </w:p>
        </w:tc>
        <w:tc>
          <w:tcPr>
            <w:tcW w:w="1400" w:type="dxa"/>
            <w:vAlign w:val="bottom"/>
            <w:tcBorders>
              <w:bottom w:val="single" w:sz="8" w:color="0000EE"/>
            </w:tcBorders>
            <w:gridSpan w:val="2"/>
          </w:tcPr>
          <w:p>
            <w:pPr>
              <w:spacing w:after="0" w:line="196" w:lineRule="exact"/>
              <w:rPr>
                <w:rFonts w:ascii="Arial" w:cs="Arial" w:eastAsia="Arial" w:hAnsi="Arial"/>
                <w:sz w:val="18"/>
                <w:szCs w:val="18"/>
                <w:color w:val="0000EE"/>
                <w:w w:val="90"/>
              </w:rPr>
            </w:pPr>
            <w:hyperlink r:id="rId112">
              <w:r>
                <w:rPr>
                  <w:rFonts w:ascii="Arial" w:cs="Arial" w:eastAsia="Arial" w:hAnsi="Arial"/>
                  <w:sz w:val="18"/>
                  <w:szCs w:val="18"/>
                  <w:color w:val="0000EE"/>
                  <w:w w:val="90"/>
                </w:rPr>
                <w:t>(No. 333</w:t>
              </w:r>
              <w:r>
                <w:rPr>
                  <w:rFonts w:ascii="MS PGothic" w:cs="MS PGothic" w:eastAsia="MS PGothic" w:hAnsi="MS PGothic"/>
                  <w:sz w:val="18"/>
                  <w:szCs w:val="18"/>
                  <w:color w:val="0000EE"/>
                  <w:w w:val="90"/>
                </w:rPr>
                <w:t>‑</w:t>
              </w:r>
              <w:r>
                <w:rPr>
                  <w:rFonts w:ascii="Arial" w:cs="Arial" w:eastAsia="Arial" w:hAnsi="Arial"/>
                  <w:sz w:val="18"/>
                  <w:szCs w:val="18"/>
                  <w:color w:val="0000EE"/>
                  <w:w w:val="90"/>
                </w:rPr>
                <w:t>212116)).</w:t>
              </w:r>
            </w:hyperlink>
          </w:p>
        </w:tc>
        <w:tc>
          <w:tcPr>
            <w:tcW w:w="6080" w:type="dxa"/>
            <w:vAlign w:val="bottom"/>
            <w:gridSpan w:val="28"/>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780" w:type="dxa"/>
            <w:vAlign w:val="bottom"/>
          </w:tcPr>
          <w:p>
            <w:pPr>
              <w:jc w:val="right"/>
              <w:ind w:right="112"/>
              <w:spacing w:after="0" w:line="196" w:lineRule="exact"/>
              <w:rPr>
                <w:sz w:val="20"/>
                <w:szCs w:val="20"/>
                <w:color w:val="auto"/>
              </w:rPr>
            </w:pPr>
            <w:r>
              <w:rPr>
                <w:rFonts w:ascii="Arial" w:cs="Arial" w:eastAsia="Arial" w:hAnsi="Arial"/>
                <w:sz w:val="18"/>
                <w:szCs w:val="18"/>
                <w:color w:val="auto"/>
              </w:rPr>
              <w:t>10.9†</w:t>
            </w:r>
          </w:p>
        </w:tc>
        <w:tc>
          <w:tcPr>
            <w:tcW w:w="6680" w:type="dxa"/>
            <w:vAlign w:val="bottom"/>
            <w:tcBorders>
              <w:bottom w:val="single" w:sz="8" w:color="0000EE"/>
            </w:tcBorders>
            <w:gridSpan w:val="18"/>
          </w:tcPr>
          <w:p>
            <w:pPr>
              <w:spacing w:after="0" w:line="196" w:lineRule="exact"/>
              <w:rPr>
                <w:rFonts w:ascii="Arial" w:cs="Arial" w:eastAsia="Arial" w:hAnsi="Arial"/>
                <w:sz w:val="18"/>
                <w:szCs w:val="18"/>
                <w:color w:val="0000EE"/>
                <w:w w:val="90"/>
              </w:rPr>
            </w:pPr>
            <w:hyperlink r:id="rId113">
              <w:r>
                <w:rPr>
                  <w:rFonts w:ascii="Arial" w:cs="Arial" w:eastAsia="Arial" w:hAnsi="Arial"/>
                  <w:sz w:val="18"/>
                  <w:szCs w:val="18"/>
                  <w:color w:val="0000EE"/>
                  <w:w w:val="90"/>
                </w:rPr>
                <w:t>Amended and Restated Acushnet Company Excess Deferral Plan II (effective July 29, 2011)</w:t>
              </w:r>
            </w:hyperlink>
          </w:p>
        </w:tc>
        <w:tc>
          <w:tcPr>
            <w:tcW w:w="800" w:type="dxa"/>
            <w:vAlign w:val="bottom"/>
            <w:gridSpan w:val="12"/>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780" w:type="dxa"/>
            <w:vAlign w:val="bottom"/>
          </w:tcPr>
          <w:p>
            <w:pPr>
              <w:spacing w:after="0"/>
              <w:rPr>
                <w:sz w:val="17"/>
                <w:szCs w:val="17"/>
                <w:color w:val="auto"/>
              </w:rPr>
            </w:pPr>
          </w:p>
        </w:tc>
        <w:tc>
          <w:tcPr>
            <w:tcW w:w="7120" w:type="dxa"/>
            <w:vAlign w:val="bottom"/>
            <w:tcBorders>
              <w:bottom w:val="single" w:sz="8" w:color="0000EE"/>
            </w:tcBorders>
            <w:gridSpan w:val="29"/>
          </w:tcPr>
          <w:p>
            <w:pPr>
              <w:spacing w:after="0" w:line="196" w:lineRule="exact"/>
              <w:rPr>
                <w:rFonts w:ascii="Arial" w:cs="Arial" w:eastAsia="Arial" w:hAnsi="Arial"/>
                <w:sz w:val="18"/>
                <w:szCs w:val="18"/>
                <w:color w:val="0000EE"/>
                <w:w w:val="90"/>
              </w:rPr>
            </w:pPr>
            <w:hyperlink r:id="rId113">
              <w:r>
                <w:rPr>
                  <w:rFonts w:ascii="Arial" w:cs="Arial" w:eastAsia="Arial" w:hAnsi="Arial"/>
                  <w:sz w:val="18"/>
                  <w:szCs w:val="18"/>
                  <w:color w:val="0000EE"/>
                  <w:w w:val="90"/>
                </w:rPr>
                <w:t>(incorporated by reference to Exhibit 10.16 to the Registrant’s Registration Statement on Form S</w:t>
              </w:r>
              <w:r>
                <w:rPr>
                  <w:rFonts w:ascii="MS PGothic" w:cs="MS PGothic" w:eastAsia="MS PGothic" w:hAnsi="MS PGothic"/>
                  <w:sz w:val="18"/>
                  <w:szCs w:val="18"/>
                  <w:color w:val="0000EE"/>
                  <w:w w:val="90"/>
                </w:rPr>
                <w:t>‑</w:t>
              </w:r>
              <w:r>
                <w:rPr>
                  <w:rFonts w:ascii="Arial" w:cs="Arial" w:eastAsia="Arial" w:hAnsi="Arial"/>
                  <w:sz w:val="18"/>
                  <w:szCs w:val="18"/>
                  <w:color w:val="0000EE"/>
                  <w:w w:val="90"/>
                </w:rPr>
                <w:t>1</w:t>
              </w:r>
            </w:hyperlink>
          </w:p>
        </w:tc>
        <w:tc>
          <w:tcPr>
            <w:tcW w:w="3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780" w:type="dxa"/>
            <w:vAlign w:val="bottom"/>
          </w:tcPr>
          <w:p>
            <w:pPr>
              <w:spacing w:after="0"/>
              <w:rPr>
                <w:sz w:val="17"/>
                <w:szCs w:val="17"/>
                <w:color w:val="auto"/>
              </w:rPr>
            </w:pPr>
          </w:p>
        </w:tc>
        <w:tc>
          <w:tcPr>
            <w:tcW w:w="1400" w:type="dxa"/>
            <w:vAlign w:val="bottom"/>
            <w:tcBorders>
              <w:bottom w:val="single" w:sz="8" w:color="0000EE"/>
            </w:tcBorders>
            <w:gridSpan w:val="2"/>
          </w:tcPr>
          <w:p>
            <w:pPr>
              <w:spacing w:after="0" w:line="196" w:lineRule="exact"/>
              <w:rPr>
                <w:rFonts w:ascii="Arial" w:cs="Arial" w:eastAsia="Arial" w:hAnsi="Arial"/>
                <w:sz w:val="18"/>
                <w:szCs w:val="18"/>
                <w:color w:val="0000EE"/>
                <w:w w:val="90"/>
              </w:rPr>
            </w:pPr>
            <w:hyperlink r:id="rId113">
              <w:r>
                <w:rPr>
                  <w:rFonts w:ascii="Arial" w:cs="Arial" w:eastAsia="Arial" w:hAnsi="Arial"/>
                  <w:sz w:val="18"/>
                  <w:szCs w:val="18"/>
                  <w:color w:val="0000EE"/>
                  <w:w w:val="90"/>
                </w:rPr>
                <w:t>(No. 333</w:t>
              </w:r>
              <w:r>
                <w:rPr>
                  <w:rFonts w:ascii="MS PGothic" w:cs="MS PGothic" w:eastAsia="MS PGothic" w:hAnsi="MS PGothic"/>
                  <w:sz w:val="18"/>
                  <w:szCs w:val="18"/>
                  <w:color w:val="0000EE"/>
                  <w:w w:val="90"/>
                </w:rPr>
                <w:t>‑</w:t>
              </w:r>
              <w:r>
                <w:rPr>
                  <w:rFonts w:ascii="Arial" w:cs="Arial" w:eastAsia="Arial" w:hAnsi="Arial"/>
                  <w:sz w:val="18"/>
                  <w:szCs w:val="18"/>
                  <w:color w:val="0000EE"/>
                  <w:w w:val="90"/>
                </w:rPr>
                <w:t>212116)).</w:t>
              </w:r>
            </w:hyperlink>
          </w:p>
        </w:tc>
        <w:tc>
          <w:tcPr>
            <w:tcW w:w="6080" w:type="dxa"/>
            <w:vAlign w:val="bottom"/>
            <w:gridSpan w:val="28"/>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780" w:type="dxa"/>
            <w:vAlign w:val="bottom"/>
          </w:tcPr>
          <w:p>
            <w:pPr>
              <w:jc w:val="right"/>
              <w:ind w:right="112"/>
              <w:spacing w:after="0"/>
              <w:rPr>
                <w:sz w:val="20"/>
                <w:szCs w:val="20"/>
                <w:color w:val="auto"/>
              </w:rPr>
            </w:pPr>
            <w:r>
              <w:rPr>
                <w:rFonts w:ascii="Arial" w:cs="Arial" w:eastAsia="Arial" w:hAnsi="Arial"/>
                <w:sz w:val="18"/>
                <w:szCs w:val="18"/>
                <w:color w:val="auto"/>
              </w:rPr>
              <w:t>10.10</w:t>
            </w:r>
          </w:p>
        </w:tc>
        <w:tc>
          <w:tcPr>
            <w:tcW w:w="6860" w:type="dxa"/>
            <w:vAlign w:val="bottom"/>
            <w:tcBorders>
              <w:bottom w:val="single" w:sz="8" w:color="0000EE"/>
            </w:tcBorders>
            <w:gridSpan w:val="22"/>
          </w:tcPr>
          <w:p>
            <w:pPr>
              <w:spacing w:after="0"/>
              <w:rPr>
                <w:rFonts w:ascii="Arial" w:cs="Arial" w:eastAsia="Arial" w:hAnsi="Arial"/>
                <w:sz w:val="18"/>
                <w:szCs w:val="18"/>
                <w:color w:val="0000EE"/>
                <w:w w:val="90"/>
              </w:rPr>
            </w:pPr>
            <w:hyperlink r:id="rId114">
              <w:r>
                <w:rPr>
                  <w:rFonts w:ascii="Arial" w:cs="Arial" w:eastAsia="Arial" w:hAnsi="Arial"/>
                  <w:sz w:val="18"/>
                  <w:szCs w:val="18"/>
                  <w:color w:val="0000EE"/>
                  <w:w w:val="90"/>
                </w:rPr>
                <w:t>Senior Secured Credit Agreement, dated as of April 27, 2016 among Acushnet Holdings Corp.,</w:t>
              </w:r>
            </w:hyperlink>
          </w:p>
        </w:tc>
        <w:tc>
          <w:tcPr>
            <w:tcW w:w="620" w:type="dxa"/>
            <w:vAlign w:val="bottom"/>
            <w:gridSpan w:val="8"/>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780" w:type="dxa"/>
            <w:vAlign w:val="bottom"/>
          </w:tcPr>
          <w:p>
            <w:pPr>
              <w:spacing w:after="0"/>
              <w:rPr>
                <w:sz w:val="17"/>
                <w:szCs w:val="17"/>
                <w:color w:val="auto"/>
              </w:rPr>
            </w:pPr>
          </w:p>
        </w:tc>
        <w:tc>
          <w:tcPr>
            <w:tcW w:w="6920" w:type="dxa"/>
            <w:vAlign w:val="bottom"/>
            <w:tcBorders>
              <w:bottom w:val="single" w:sz="8" w:color="0000EE"/>
            </w:tcBorders>
            <w:gridSpan w:val="23"/>
          </w:tcPr>
          <w:p>
            <w:pPr>
              <w:spacing w:after="0" w:line="196" w:lineRule="exact"/>
              <w:rPr>
                <w:rFonts w:ascii="Arial" w:cs="Arial" w:eastAsia="Arial" w:hAnsi="Arial"/>
                <w:sz w:val="18"/>
                <w:szCs w:val="18"/>
                <w:color w:val="0000EE"/>
                <w:w w:val="90"/>
              </w:rPr>
            </w:pPr>
            <w:hyperlink r:id="rId114">
              <w:r>
                <w:rPr>
                  <w:rFonts w:ascii="Arial" w:cs="Arial" w:eastAsia="Arial" w:hAnsi="Arial"/>
                  <w:sz w:val="18"/>
                  <w:szCs w:val="18"/>
                  <w:color w:val="0000EE"/>
                  <w:w w:val="90"/>
                </w:rPr>
                <w:t>Acushnet Company, Acushnet Canada Inc., Acushnet Europe Limited, certain other subsidiaries</w:t>
              </w:r>
            </w:hyperlink>
          </w:p>
        </w:tc>
        <w:tc>
          <w:tcPr>
            <w:tcW w:w="560" w:type="dxa"/>
            <w:vAlign w:val="bottom"/>
            <w:gridSpan w:val="7"/>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780" w:type="dxa"/>
            <w:vAlign w:val="bottom"/>
          </w:tcPr>
          <w:p>
            <w:pPr>
              <w:spacing w:after="0"/>
              <w:rPr>
                <w:sz w:val="17"/>
                <w:szCs w:val="17"/>
                <w:color w:val="auto"/>
              </w:rPr>
            </w:pPr>
          </w:p>
        </w:tc>
        <w:tc>
          <w:tcPr>
            <w:tcW w:w="6660" w:type="dxa"/>
            <w:vAlign w:val="bottom"/>
            <w:tcBorders>
              <w:bottom w:val="single" w:sz="8" w:color="0000EE"/>
            </w:tcBorders>
            <w:gridSpan w:val="17"/>
          </w:tcPr>
          <w:p>
            <w:pPr>
              <w:spacing w:after="0" w:line="196" w:lineRule="exact"/>
              <w:rPr>
                <w:rFonts w:ascii="Arial" w:cs="Arial" w:eastAsia="Arial" w:hAnsi="Arial"/>
                <w:sz w:val="18"/>
                <w:szCs w:val="18"/>
                <w:color w:val="0000EE"/>
                <w:w w:val="90"/>
              </w:rPr>
            </w:pPr>
            <w:hyperlink r:id="rId114">
              <w:r>
                <w:rPr>
                  <w:rFonts w:ascii="Arial" w:cs="Arial" w:eastAsia="Arial" w:hAnsi="Arial"/>
                  <w:sz w:val="18"/>
                  <w:szCs w:val="18"/>
                  <w:color w:val="0000EE"/>
                  <w:w w:val="90"/>
                </w:rPr>
                <w:t>party thereto, Wells Fargo Bank, National Association as the administrative agent, swingline</w:t>
              </w:r>
            </w:hyperlink>
          </w:p>
        </w:tc>
        <w:tc>
          <w:tcPr>
            <w:tcW w:w="820" w:type="dxa"/>
            <w:vAlign w:val="bottom"/>
            <w:gridSpan w:val="13"/>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780" w:type="dxa"/>
            <w:vAlign w:val="bottom"/>
          </w:tcPr>
          <w:p>
            <w:pPr>
              <w:spacing w:after="0"/>
              <w:rPr>
                <w:sz w:val="17"/>
                <w:szCs w:val="17"/>
                <w:color w:val="auto"/>
              </w:rPr>
            </w:pPr>
          </w:p>
        </w:tc>
        <w:tc>
          <w:tcPr>
            <w:tcW w:w="7040" w:type="dxa"/>
            <w:vAlign w:val="bottom"/>
            <w:tcBorders>
              <w:bottom w:val="single" w:sz="8" w:color="0000EE"/>
            </w:tcBorders>
            <w:gridSpan w:val="26"/>
          </w:tcPr>
          <w:p>
            <w:pPr>
              <w:spacing w:after="0" w:line="196" w:lineRule="exact"/>
              <w:rPr>
                <w:rFonts w:ascii="Arial" w:cs="Arial" w:eastAsia="Arial" w:hAnsi="Arial"/>
                <w:sz w:val="18"/>
                <w:szCs w:val="18"/>
                <w:color w:val="0000EE"/>
                <w:w w:val="91"/>
              </w:rPr>
            </w:pPr>
            <w:hyperlink r:id="rId114">
              <w:r>
                <w:rPr>
                  <w:rFonts w:ascii="Arial" w:cs="Arial" w:eastAsia="Arial" w:hAnsi="Arial"/>
                  <w:sz w:val="18"/>
                  <w:szCs w:val="18"/>
                  <w:color w:val="0000EE"/>
                  <w:w w:val="91"/>
                </w:rPr>
                <w:t>lender and issuing bank, Wells Fargo Securities, LLC and PNC Capital Markets LLC as joint lead</w:t>
              </w:r>
            </w:hyperlink>
          </w:p>
        </w:tc>
        <w:tc>
          <w:tcPr>
            <w:tcW w:w="440" w:type="dxa"/>
            <w:vAlign w:val="bottom"/>
            <w:gridSpan w:val="4"/>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780" w:type="dxa"/>
            <w:vAlign w:val="bottom"/>
          </w:tcPr>
          <w:p>
            <w:pPr>
              <w:spacing w:after="0"/>
              <w:rPr>
                <w:sz w:val="17"/>
                <w:szCs w:val="17"/>
                <w:color w:val="auto"/>
              </w:rPr>
            </w:pPr>
          </w:p>
        </w:tc>
        <w:tc>
          <w:tcPr>
            <w:tcW w:w="7000" w:type="dxa"/>
            <w:vAlign w:val="bottom"/>
            <w:tcBorders>
              <w:bottom w:val="single" w:sz="8" w:color="0000EE"/>
            </w:tcBorders>
            <w:gridSpan w:val="24"/>
          </w:tcPr>
          <w:p>
            <w:pPr>
              <w:spacing w:after="0" w:line="196" w:lineRule="exact"/>
              <w:rPr>
                <w:rFonts w:ascii="Arial" w:cs="Arial" w:eastAsia="Arial" w:hAnsi="Arial"/>
                <w:sz w:val="18"/>
                <w:szCs w:val="18"/>
                <w:color w:val="0000EE"/>
                <w:w w:val="90"/>
              </w:rPr>
            </w:pPr>
            <w:hyperlink r:id="rId114">
              <w:r>
                <w:rPr>
                  <w:rFonts w:ascii="Arial" w:cs="Arial" w:eastAsia="Arial" w:hAnsi="Arial"/>
                  <w:sz w:val="18"/>
                  <w:szCs w:val="18"/>
                  <w:color w:val="0000EE"/>
                  <w:w w:val="90"/>
                </w:rPr>
                <w:t>arrangers and joint bookrunners, PNC Capital Markets LLC as syndication agent, and the lenders</w:t>
              </w:r>
            </w:hyperlink>
          </w:p>
        </w:tc>
        <w:tc>
          <w:tcPr>
            <w:tcW w:w="480" w:type="dxa"/>
            <w:vAlign w:val="bottom"/>
            <w:gridSpan w:val="6"/>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780" w:type="dxa"/>
            <w:vAlign w:val="bottom"/>
          </w:tcPr>
          <w:p>
            <w:pPr>
              <w:spacing w:after="0"/>
              <w:rPr>
                <w:sz w:val="17"/>
                <w:szCs w:val="17"/>
                <w:color w:val="auto"/>
              </w:rPr>
            </w:pPr>
          </w:p>
        </w:tc>
        <w:tc>
          <w:tcPr>
            <w:tcW w:w="6740" w:type="dxa"/>
            <w:vAlign w:val="bottom"/>
            <w:tcBorders>
              <w:bottom w:val="single" w:sz="8" w:color="0000EE"/>
            </w:tcBorders>
            <w:gridSpan w:val="19"/>
          </w:tcPr>
          <w:p>
            <w:pPr>
              <w:spacing w:after="0" w:line="196" w:lineRule="exact"/>
              <w:rPr>
                <w:rFonts w:ascii="Arial" w:cs="Arial" w:eastAsia="Arial" w:hAnsi="Arial"/>
                <w:sz w:val="18"/>
                <w:szCs w:val="18"/>
                <w:color w:val="0000EE"/>
                <w:w w:val="91"/>
              </w:rPr>
            </w:pPr>
            <w:hyperlink r:id="rId114">
              <w:r>
                <w:rPr>
                  <w:rFonts w:ascii="Arial" w:cs="Arial" w:eastAsia="Arial" w:hAnsi="Arial"/>
                  <w:sz w:val="18"/>
                  <w:szCs w:val="18"/>
                  <w:color w:val="0000EE"/>
                  <w:w w:val="91"/>
                </w:rPr>
                <w:t>from time to time party thereto (incorporated by reference to Exhibit 10.17 to the Registrant’s</w:t>
              </w:r>
            </w:hyperlink>
          </w:p>
        </w:tc>
        <w:tc>
          <w:tcPr>
            <w:tcW w:w="740" w:type="dxa"/>
            <w:vAlign w:val="bottom"/>
            <w:gridSpan w:val="11"/>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780" w:type="dxa"/>
            <w:vAlign w:val="bottom"/>
          </w:tcPr>
          <w:p>
            <w:pPr>
              <w:spacing w:after="0"/>
              <w:rPr>
                <w:sz w:val="17"/>
                <w:szCs w:val="17"/>
                <w:color w:val="auto"/>
              </w:rPr>
            </w:pPr>
          </w:p>
        </w:tc>
        <w:tc>
          <w:tcPr>
            <w:tcW w:w="4040" w:type="dxa"/>
            <w:vAlign w:val="bottom"/>
            <w:tcBorders>
              <w:bottom w:val="single" w:sz="8" w:color="0000EE"/>
            </w:tcBorders>
            <w:gridSpan w:val="5"/>
          </w:tcPr>
          <w:p>
            <w:pPr>
              <w:spacing w:after="0" w:line="196" w:lineRule="exact"/>
              <w:rPr>
                <w:rFonts w:ascii="Arial" w:cs="Arial" w:eastAsia="Arial" w:hAnsi="Arial"/>
                <w:sz w:val="18"/>
                <w:szCs w:val="18"/>
                <w:color w:val="0000EE"/>
                <w:w w:val="90"/>
              </w:rPr>
            </w:pPr>
            <w:hyperlink r:id="rId114">
              <w:r>
                <w:rPr>
                  <w:rFonts w:ascii="Arial" w:cs="Arial" w:eastAsia="Arial" w:hAnsi="Arial"/>
                  <w:sz w:val="18"/>
                  <w:szCs w:val="18"/>
                  <w:color w:val="0000EE"/>
                  <w:w w:val="90"/>
                </w:rPr>
                <w:t>Registration Statement on Form S</w:t>
              </w:r>
              <w:r>
                <w:rPr>
                  <w:rFonts w:ascii="MS PGothic" w:cs="MS PGothic" w:eastAsia="MS PGothic" w:hAnsi="MS PGothic"/>
                  <w:sz w:val="18"/>
                  <w:szCs w:val="18"/>
                  <w:color w:val="0000EE"/>
                  <w:w w:val="90"/>
                </w:rPr>
                <w:t>‑</w:t>
              </w:r>
              <w:r>
                <w:rPr>
                  <w:rFonts w:ascii="Arial" w:cs="Arial" w:eastAsia="Arial" w:hAnsi="Arial"/>
                  <w:sz w:val="18"/>
                  <w:szCs w:val="18"/>
                  <w:color w:val="0000EE"/>
                  <w:w w:val="90"/>
                </w:rPr>
                <w:t>1 (No. 333</w:t>
              </w:r>
              <w:r>
                <w:rPr>
                  <w:rFonts w:ascii="MS PGothic" w:cs="MS PGothic" w:eastAsia="MS PGothic" w:hAnsi="MS PGothic"/>
                  <w:sz w:val="18"/>
                  <w:szCs w:val="18"/>
                  <w:color w:val="0000EE"/>
                  <w:w w:val="90"/>
                </w:rPr>
                <w:t>‑</w:t>
              </w:r>
              <w:r>
                <w:rPr>
                  <w:rFonts w:ascii="Arial" w:cs="Arial" w:eastAsia="Arial" w:hAnsi="Arial"/>
                  <w:sz w:val="18"/>
                  <w:szCs w:val="18"/>
                  <w:color w:val="0000EE"/>
                  <w:w w:val="90"/>
                </w:rPr>
                <w:t>212116)).</w:t>
              </w:r>
            </w:hyperlink>
          </w:p>
        </w:tc>
        <w:tc>
          <w:tcPr>
            <w:tcW w:w="3440" w:type="dxa"/>
            <w:vAlign w:val="bottom"/>
            <w:gridSpan w:val="25"/>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780" w:type="dxa"/>
            <w:vAlign w:val="bottom"/>
          </w:tcPr>
          <w:p>
            <w:pPr>
              <w:jc w:val="right"/>
              <w:ind w:right="112"/>
              <w:spacing w:after="0" w:line="196" w:lineRule="exact"/>
              <w:rPr>
                <w:sz w:val="20"/>
                <w:szCs w:val="20"/>
                <w:color w:val="auto"/>
              </w:rPr>
            </w:pPr>
            <w:r>
              <w:rPr>
                <w:rFonts w:ascii="Arial" w:cs="Arial" w:eastAsia="Arial" w:hAnsi="Arial"/>
                <w:sz w:val="18"/>
                <w:szCs w:val="18"/>
                <w:color w:val="auto"/>
              </w:rPr>
              <w:t>10.11</w:t>
            </w:r>
          </w:p>
        </w:tc>
        <w:tc>
          <w:tcPr>
            <w:tcW w:w="7480" w:type="dxa"/>
            <w:vAlign w:val="bottom"/>
            <w:gridSpan w:val="30"/>
          </w:tcPr>
          <w:p>
            <w:pPr>
              <w:spacing w:after="0" w:line="196" w:lineRule="exact"/>
              <w:rPr>
                <w:rFonts w:ascii="Arial" w:cs="Arial" w:eastAsia="Arial" w:hAnsi="Arial"/>
                <w:sz w:val="18"/>
                <w:szCs w:val="18"/>
                <w:color w:val="0000EE"/>
                <w:w w:val="99"/>
              </w:rPr>
            </w:pPr>
            <w:hyperlink r:id="rId115">
              <w:r>
                <w:rPr>
                  <w:rFonts w:ascii="Arial" w:cs="Arial" w:eastAsia="Arial" w:hAnsi="Arial"/>
                  <w:sz w:val="18"/>
                  <w:szCs w:val="18"/>
                  <w:color w:val="0000EE"/>
                  <w:w w:val="99"/>
                </w:rPr>
                <w:t>Joint Venture Agreement between Acushnet Cayman Limited and Myre Overseas Corporation,</w:t>
              </w:r>
            </w:hyperlink>
          </w:p>
        </w:tc>
        <w:tc>
          <w:tcPr>
            <w:tcW w:w="0" w:type="dxa"/>
            <w:vAlign w:val="bottom"/>
          </w:tcPr>
          <w:p>
            <w:pPr>
              <w:spacing w:after="0"/>
              <w:rPr>
                <w:sz w:val="1"/>
                <w:szCs w:val="1"/>
                <w:color w:val="auto"/>
              </w:rPr>
            </w:pPr>
          </w:p>
        </w:tc>
      </w:tr>
      <w:tr>
        <w:trPr>
          <w:trHeight w:val="196"/>
        </w:trPr>
        <w:tc>
          <w:tcPr>
            <w:tcW w:w="780" w:type="dxa"/>
            <w:vAlign w:val="bottom"/>
          </w:tcPr>
          <w:p>
            <w:pPr>
              <w:spacing w:after="0"/>
              <w:rPr>
                <w:sz w:val="17"/>
                <w:szCs w:val="17"/>
                <w:color w:val="auto"/>
              </w:rPr>
            </w:pPr>
          </w:p>
        </w:tc>
        <w:tc>
          <w:tcPr>
            <w:tcW w:w="6260" w:type="dxa"/>
            <w:vAlign w:val="bottom"/>
            <w:tcBorders>
              <w:top w:val="single" w:sz="8" w:color="0000EE"/>
              <w:bottom w:val="single" w:sz="8" w:color="0000EE"/>
            </w:tcBorders>
            <w:gridSpan w:val="10"/>
          </w:tcPr>
          <w:p>
            <w:pPr>
              <w:spacing w:after="0" w:line="196" w:lineRule="exact"/>
              <w:rPr>
                <w:rFonts w:ascii="Arial" w:cs="Arial" w:eastAsia="Arial" w:hAnsi="Arial"/>
                <w:sz w:val="18"/>
                <w:szCs w:val="18"/>
                <w:color w:val="0000EE"/>
                <w:w w:val="89"/>
              </w:rPr>
            </w:pPr>
            <w:hyperlink r:id="rId115">
              <w:r>
                <w:rPr>
                  <w:rFonts w:ascii="Arial" w:cs="Arial" w:eastAsia="Arial" w:hAnsi="Arial"/>
                  <w:sz w:val="18"/>
                  <w:szCs w:val="18"/>
                  <w:color w:val="0000EE"/>
                  <w:w w:val="89"/>
                </w:rPr>
                <w:t>dated as of June 1, 1995 (incorporated by reference to Exhibit 10.18 to the Registrant’s</w:t>
              </w:r>
            </w:hyperlink>
          </w:p>
        </w:tc>
        <w:tc>
          <w:tcPr>
            <w:tcW w:w="560" w:type="dxa"/>
            <w:vAlign w:val="bottom"/>
            <w:tcBorders>
              <w:top w:val="single" w:sz="8" w:color="0000EE"/>
            </w:tcBorders>
            <w:gridSpan w:val="11"/>
          </w:tcPr>
          <w:p>
            <w:pPr>
              <w:spacing w:after="0"/>
              <w:rPr>
                <w:sz w:val="17"/>
                <w:szCs w:val="17"/>
                <w:color w:val="auto"/>
              </w:rPr>
            </w:pPr>
          </w:p>
        </w:tc>
        <w:tc>
          <w:tcPr>
            <w:tcW w:w="660" w:type="dxa"/>
            <w:vAlign w:val="bottom"/>
            <w:gridSpan w:val="9"/>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780" w:type="dxa"/>
            <w:vAlign w:val="bottom"/>
          </w:tcPr>
          <w:p>
            <w:pPr>
              <w:spacing w:after="0"/>
              <w:rPr>
                <w:sz w:val="17"/>
                <w:szCs w:val="17"/>
                <w:color w:val="auto"/>
              </w:rPr>
            </w:pPr>
          </w:p>
        </w:tc>
        <w:tc>
          <w:tcPr>
            <w:tcW w:w="4040" w:type="dxa"/>
            <w:vAlign w:val="bottom"/>
            <w:tcBorders>
              <w:bottom w:val="single" w:sz="8" w:color="0000EE"/>
            </w:tcBorders>
            <w:gridSpan w:val="5"/>
          </w:tcPr>
          <w:p>
            <w:pPr>
              <w:spacing w:after="0" w:line="196" w:lineRule="exact"/>
              <w:rPr>
                <w:rFonts w:ascii="Arial" w:cs="Arial" w:eastAsia="Arial" w:hAnsi="Arial"/>
                <w:sz w:val="18"/>
                <w:szCs w:val="18"/>
                <w:color w:val="0000EE"/>
                <w:w w:val="90"/>
              </w:rPr>
            </w:pPr>
            <w:hyperlink r:id="rId115">
              <w:r>
                <w:rPr>
                  <w:rFonts w:ascii="Arial" w:cs="Arial" w:eastAsia="Arial" w:hAnsi="Arial"/>
                  <w:sz w:val="18"/>
                  <w:szCs w:val="18"/>
                  <w:color w:val="0000EE"/>
                  <w:w w:val="90"/>
                </w:rPr>
                <w:t>Registration Statement on Form S</w:t>
              </w:r>
              <w:r>
                <w:rPr>
                  <w:rFonts w:ascii="MS PGothic" w:cs="MS PGothic" w:eastAsia="MS PGothic" w:hAnsi="MS PGothic"/>
                  <w:sz w:val="18"/>
                  <w:szCs w:val="18"/>
                  <w:color w:val="0000EE"/>
                  <w:w w:val="90"/>
                </w:rPr>
                <w:t>‑</w:t>
              </w:r>
              <w:r>
                <w:rPr>
                  <w:rFonts w:ascii="Arial" w:cs="Arial" w:eastAsia="Arial" w:hAnsi="Arial"/>
                  <w:sz w:val="18"/>
                  <w:szCs w:val="18"/>
                  <w:color w:val="0000EE"/>
                  <w:w w:val="90"/>
                </w:rPr>
                <w:t>1 (No. 333</w:t>
              </w:r>
              <w:r>
                <w:rPr>
                  <w:rFonts w:ascii="MS PGothic" w:cs="MS PGothic" w:eastAsia="MS PGothic" w:hAnsi="MS PGothic"/>
                  <w:sz w:val="18"/>
                  <w:szCs w:val="18"/>
                  <w:color w:val="0000EE"/>
                  <w:w w:val="90"/>
                </w:rPr>
                <w:t>‑</w:t>
              </w:r>
              <w:r>
                <w:rPr>
                  <w:rFonts w:ascii="Arial" w:cs="Arial" w:eastAsia="Arial" w:hAnsi="Arial"/>
                  <w:sz w:val="18"/>
                  <w:szCs w:val="18"/>
                  <w:color w:val="0000EE"/>
                  <w:w w:val="90"/>
                </w:rPr>
                <w:t>212116)).</w:t>
              </w:r>
            </w:hyperlink>
          </w:p>
        </w:tc>
        <w:tc>
          <w:tcPr>
            <w:tcW w:w="3440" w:type="dxa"/>
            <w:vAlign w:val="bottom"/>
            <w:gridSpan w:val="25"/>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780" w:type="dxa"/>
            <w:vAlign w:val="bottom"/>
          </w:tcPr>
          <w:p>
            <w:pPr>
              <w:jc w:val="right"/>
              <w:ind w:right="112"/>
              <w:spacing w:after="0" w:line="196" w:lineRule="exact"/>
              <w:rPr>
                <w:sz w:val="20"/>
                <w:szCs w:val="20"/>
                <w:color w:val="auto"/>
              </w:rPr>
            </w:pPr>
            <w:r>
              <w:rPr>
                <w:rFonts w:ascii="Arial" w:cs="Arial" w:eastAsia="Arial" w:hAnsi="Arial"/>
                <w:sz w:val="18"/>
                <w:szCs w:val="18"/>
                <w:color w:val="auto"/>
              </w:rPr>
              <w:t>10.12</w:t>
            </w:r>
          </w:p>
        </w:tc>
        <w:tc>
          <w:tcPr>
            <w:tcW w:w="7480" w:type="dxa"/>
            <w:vAlign w:val="bottom"/>
            <w:gridSpan w:val="30"/>
          </w:tcPr>
          <w:p>
            <w:pPr>
              <w:spacing w:after="0" w:line="196" w:lineRule="exact"/>
              <w:rPr>
                <w:rFonts w:ascii="Arial" w:cs="Arial" w:eastAsia="Arial" w:hAnsi="Arial"/>
                <w:sz w:val="18"/>
                <w:szCs w:val="18"/>
                <w:color w:val="0000EE"/>
                <w:w w:val="95"/>
              </w:rPr>
            </w:pPr>
            <w:hyperlink r:id="rId116">
              <w:r>
                <w:rPr>
                  <w:rFonts w:ascii="Arial" w:cs="Arial" w:eastAsia="Arial" w:hAnsi="Arial"/>
                  <w:sz w:val="18"/>
                  <w:szCs w:val="18"/>
                  <w:color w:val="0000EE"/>
                  <w:w w:val="95"/>
                </w:rPr>
                <w:t>Registration Rights Agreement, dated October 26, 2016, among the Company and the Holders (as</w:t>
              </w:r>
            </w:hyperlink>
          </w:p>
        </w:tc>
        <w:tc>
          <w:tcPr>
            <w:tcW w:w="0" w:type="dxa"/>
            <w:vAlign w:val="bottom"/>
          </w:tcPr>
          <w:p>
            <w:pPr>
              <w:spacing w:after="0"/>
              <w:rPr>
                <w:sz w:val="1"/>
                <w:szCs w:val="1"/>
                <w:color w:val="auto"/>
              </w:rPr>
            </w:pPr>
          </w:p>
        </w:tc>
      </w:tr>
      <w:tr>
        <w:trPr>
          <w:trHeight w:val="196"/>
        </w:trPr>
        <w:tc>
          <w:tcPr>
            <w:tcW w:w="780" w:type="dxa"/>
            <w:vAlign w:val="bottom"/>
          </w:tcPr>
          <w:p>
            <w:pPr>
              <w:spacing w:after="0"/>
              <w:rPr>
                <w:sz w:val="17"/>
                <w:szCs w:val="17"/>
                <w:color w:val="auto"/>
              </w:rPr>
            </w:pPr>
          </w:p>
        </w:tc>
        <w:tc>
          <w:tcPr>
            <w:tcW w:w="6920" w:type="dxa"/>
            <w:vAlign w:val="bottom"/>
            <w:tcBorders>
              <w:top w:val="single" w:sz="8" w:color="0000EE"/>
              <w:bottom w:val="single" w:sz="8" w:color="0000EE"/>
            </w:tcBorders>
            <w:gridSpan w:val="23"/>
          </w:tcPr>
          <w:p>
            <w:pPr>
              <w:spacing w:after="0" w:line="196" w:lineRule="exact"/>
              <w:rPr>
                <w:rFonts w:ascii="Arial" w:cs="Arial" w:eastAsia="Arial" w:hAnsi="Arial"/>
                <w:sz w:val="18"/>
                <w:szCs w:val="18"/>
                <w:color w:val="0000EE"/>
                <w:w w:val="90"/>
              </w:rPr>
            </w:pPr>
            <w:hyperlink r:id="rId116">
              <w:r>
                <w:rPr>
                  <w:rFonts w:ascii="Arial" w:cs="Arial" w:eastAsia="Arial" w:hAnsi="Arial"/>
                  <w:sz w:val="18"/>
                  <w:szCs w:val="18"/>
                  <w:color w:val="0000EE"/>
                  <w:w w:val="90"/>
                </w:rPr>
                <w:t>defined therein) (incorporated by reference to Exhibit 10.1 to the Registrant’s Current Report on</w:t>
              </w:r>
            </w:hyperlink>
          </w:p>
        </w:tc>
        <w:tc>
          <w:tcPr>
            <w:tcW w:w="120" w:type="dxa"/>
            <w:vAlign w:val="bottom"/>
            <w:tcBorders>
              <w:top w:val="single" w:sz="8" w:color="0000EE"/>
            </w:tcBorders>
            <w:gridSpan w:val="3"/>
          </w:tcPr>
          <w:p>
            <w:pPr>
              <w:spacing w:after="0"/>
              <w:rPr>
                <w:sz w:val="17"/>
                <w:szCs w:val="17"/>
                <w:color w:val="auto"/>
              </w:rPr>
            </w:pPr>
          </w:p>
        </w:tc>
        <w:tc>
          <w:tcPr>
            <w:tcW w:w="440" w:type="dxa"/>
            <w:vAlign w:val="bottom"/>
            <w:gridSpan w:val="4"/>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780" w:type="dxa"/>
            <w:vAlign w:val="bottom"/>
          </w:tcPr>
          <w:p>
            <w:pPr>
              <w:spacing w:after="0"/>
              <w:rPr>
                <w:sz w:val="17"/>
                <w:szCs w:val="17"/>
                <w:color w:val="auto"/>
              </w:rPr>
            </w:pPr>
          </w:p>
        </w:tc>
        <w:tc>
          <w:tcPr>
            <w:tcW w:w="7480" w:type="dxa"/>
            <w:vAlign w:val="bottom"/>
            <w:gridSpan w:val="30"/>
          </w:tcPr>
          <w:p>
            <w:pPr>
              <w:spacing w:after="0" w:line="196" w:lineRule="exact"/>
              <w:rPr>
                <w:rFonts w:ascii="Arial" w:cs="Arial" w:eastAsia="Arial" w:hAnsi="Arial"/>
                <w:sz w:val="18"/>
                <w:szCs w:val="18"/>
                <w:color w:val="0000EE"/>
              </w:rPr>
            </w:pPr>
            <w:hyperlink r:id="rId116">
              <w:r>
                <w:rPr>
                  <w:rFonts w:ascii="Arial" w:cs="Arial" w:eastAsia="Arial" w:hAnsi="Arial"/>
                  <w:sz w:val="18"/>
                  <w:szCs w:val="18"/>
                  <w:color w:val="0000EE"/>
                </w:rPr>
                <w:t>Form 8</w:t>
              </w:r>
              <w:r>
                <w:rPr>
                  <w:rFonts w:ascii="MS PGothic" w:cs="MS PGothic" w:eastAsia="MS PGothic" w:hAnsi="MS PGothic"/>
                  <w:sz w:val="18"/>
                  <w:szCs w:val="18"/>
                  <w:color w:val="0000EE"/>
                </w:rPr>
                <w:t>‑</w:t>
              </w:r>
              <w:r>
                <w:rPr>
                  <w:rFonts w:ascii="Arial" w:cs="Arial" w:eastAsia="Arial" w:hAnsi="Arial"/>
                  <w:sz w:val="18"/>
                  <w:szCs w:val="18"/>
                  <w:color w:val="0000EE"/>
                </w:rPr>
                <w:t>K filed on November 1, 2016 (No. 001</w:t>
              </w:r>
              <w:r>
                <w:rPr>
                  <w:rFonts w:ascii="MS PGothic" w:cs="MS PGothic" w:eastAsia="MS PGothic" w:hAnsi="MS PGothic"/>
                  <w:sz w:val="18"/>
                  <w:szCs w:val="18"/>
                  <w:color w:val="0000EE"/>
                </w:rPr>
                <w:t>‑</w:t>
              </w:r>
              <w:r>
                <w:rPr>
                  <w:rFonts w:ascii="Arial" w:cs="Arial" w:eastAsia="Arial" w:hAnsi="Arial"/>
                  <w:sz w:val="18"/>
                  <w:szCs w:val="18"/>
                  <w:color w:val="0000EE"/>
                </w:rPr>
                <w:t>37935)).</w:t>
              </w:r>
            </w:hyperlink>
          </w:p>
        </w:tc>
        <w:tc>
          <w:tcPr>
            <w:tcW w:w="0" w:type="dxa"/>
            <w:vAlign w:val="bottom"/>
          </w:tcPr>
          <w:p>
            <w:pPr>
              <w:spacing w:after="0"/>
              <w:rPr>
                <w:sz w:val="1"/>
                <w:szCs w:val="1"/>
                <w:color w:val="auto"/>
              </w:rPr>
            </w:pPr>
          </w:p>
        </w:tc>
      </w:tr>
      <w:tr>
        <w:trPr>
          <w:trHeight w:val="470"/>
        </w:trPr>
        <w:tc>
          <w:tcPr>
            <w:tcW w:w="780" w:type="dxa"/>
            <w:vAlign w:val="bottom"/>
          </w:tcPr>
          <w:p>
            <w:pPr>
              <w:spacing w:after="0"/>
              <w:rPr>
                <w:sz w:val="24"/>
                <w:szCs w:val="24"/>
                <w:color w:val="auto"/>
              </w:rPr>
            </w:pPr>
          </w:p>
        </w:tc>
        <w:tc>
          <w:tcPr>
            <w:tcW w:w="4040" w:type="dxa"/>
            <w:vAlign w:val="bottom"/>
            <w:tcBorders>
              <w:top w:val="single" w:sz="8" w:color="0000EE"/>
            </w:tcBorders>
            <w:gridSpan w:val="5"/>
          </w:tcPr>
          <w:p>
            <w:pPr>
              <w:ind w:left="3260"/>
              <w:spacing w:after="0"/>
              <w:rPr>
                <w:sz w:val="20"/>
                <w:szCs w:val="20"/>
                <w:color w:val="auto"/>
              </w:rPr>
            </w:pPr>
            <w:r>
              <w:rPr>
                <w:rFonts w:ascii="Arial" w:cs="Arial" w:eastAsia="Arial" w:hAnsi="Arial"/>
                <w:sz w:val="20"/>
                <w:szCs w:val="20"/>
                <w:color w:val="auto"/>
              </w:rPr>
              <w:t>80</w:t>
            </w:r>
          </w:p>
        </w:tc>
        <w:tc>
          <w:tcPr>
            <w:tcW w:w="20" w:type="dxa"/>
            <w:vAlign w:val="bottom"/>
            <w:tcBorders>
              <w:top w:val="single" w:sz="8" w:color="0000EE"/>
            </w:tcBorders>
          </w:tcPr>
          <w:p>
            <w:pPr>
              <w:spacing w:after="0"/>
              <w:rPr>
                <w:sz w:val="24"/>
                <w:szCs w:val="24"/>
                <w:color w:val="auto"/>
              </w:rPr>
            </w:pPr>
          </w:p>
        </w:tc>
        <w:tc>
          <w:tcPr>
            <w:tcW w:w="13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4"/>
        </w:trPr>
        <w:tc>
          <w:tcPr>
            <w:tcW w:w="780" w:type="dxa"/>
            <w:vAlign w:val="bottom"/>
            <w:tcBorders>
              <w:bottom w:val="single" w:sz="8" w:color="auto"/>
            </w:tcBorders>
          </w:tcPr>
          <w:p>
            <w:pPr>
              <w:spacing w:after="0"/>
              <w:rPr>
                <w:sz w:val="24"/>
                <w:szCs w:val="24"/>
                <w:color w:val="auto"/>
              </w:rPr>
            </w:pPr>
          </w:p>
        </w:tc>
        <w:tc>
          <w:tcPr>
            <w:tcW w:w="13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019"/>
          </w:cols>
          <w:pgMar w:left="1440" w:top="125" w:right="1440" w:bottom="1049" w:gutter="0" w:footer="0" w:header="0"/>
        </w:sectPr>
      </w:pPr>
    </w:p>
    <w:bookmarkStart w:id="84" w:name="page85"/>
    <w:bookmarkEnd w:id="84"/>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32" w:lineRule="exact"/>
        <w:rPr>
          <w:sz w:val="20"/>
          <w:szCs w:val="20"/>
          <w:color w:val="auto"/>
        </w:rPr>
      </w:pPr>
    </w:p>
    <w:tbl>
      <w:tblPr>
        <w:tblLayout w:type="fixed"/>
        <w:tblInd w:w="460" w:type="dxa"/>
        <w:tblCellMar>
          <w:top w:w="0" w:type="dxa"/>
          <w:left w:w="0" w:type="dxa"/>
          <w:bottom w:w="0" w:type="dxa"/>
          <w:right w:w="0" w:type="dxa"/>
        </w:tblCellMar>
      </w:tblPr>
      <w:tr>
        <w:trPr>
          <w:trHeight w:val="207"/>
        </w:trPr>
        <w:tc>
          <w:tcPr>
            <w:tcW w:w="680" w:type="dxa"/>
            <w:vAlign w:val="bottom"/>
          </w:tcPr>
          <w:p>
            <w:pPr>
              <w:jc w:val="right"/>
              <w:ind w:right="110"/>
              <w:spacing w:after="0"/>
              <w:rPr>
                <w:sz w:val="20"/>
                <w:szCs w:val="20"/>
                <w:color w:val="auto"/>
              </w:rPr>
            </w:pPr>
            <w:r>
              <w:rPr>
                <w:rFonts w:ascii="Arial" w:cs="Arial" w:eastAsia="Arial" w:hAnsi="Arial"/>
                <w:sz w:val="18"/>
                <w:szCs w:val="18"/>
                <w:color w:val="auto"/>
                <w:w w:val="83"/>
              </w:rPr>
              <w:t>10.13†</w:t>
            </w:r>
          </w:p>
        </w:tc>
        <w:tc>
          <w:tcPr>
            <w:tcW w:w="6880" w:type="dxa"/>
            <w:vAlign w:val="bottom"/>
            <w:tcBorders>
              <w:bottom w:val="single" w:sz="8" w:color="0000EE"/>
            </w:tcBorders>
            <w:gridSpan w:val="15"/>
          </w:tcPr>
          <w:p>
            <w:pPr>
              <w:spacing w:after="0"/>
              <w:rPr>
                <w:rFonts w:ascii="Arial" w:cs="Arial" w:eastAsia="Arial" w:hAnsi="Arial"/>
                <w:sz w:val="18"/>
                <w:szCs w:val="18"/>
                <w:color w:val="0000EE"/>
                <w:w w:val="92"/>
              </w:rPr>
            </w:pPr>
            <w:hyperlink r:id="rId117">
              <w:r>
                <w:rPr>
                  <w:rFonts w:ascii="Arial" w:cs="Arial" w:eastAsia="Arial" w:hAnsi="Arial"/>
                  <w:sz w:val="18"/>
                  <w:szCs w:val="18"/>
                  <w:color w:val="0000EE"/>
                  <w:w w:val="92"/>
                </w:rPr>
                <w:t>Form of Restricted Stock Unit Grant Notice and Restricted Stock Unit Agreement for Directors</w:t>
              </w:r>
            </w:hyperlink>
          </w:p>
        </w:tc>
        <w:tc>
          <w:tcPr>
            <w:tcW w:w="260" w:type="dxa"/>
            <w:vAlign w:val="bottom"/>
            <w:gridSpan w:val="5"/>
          </w:tcPr>
          <w:p>
            <w:pPr>
              <w:spacing w:after="0"/>
              <w:rPr>
                <w:sz w:val="17"/>
                <w:szCs w:val="17"/>
                <w:color w:val="auto"/>
              </w:rPr>
            </w:pPr>
          </w:p>
        </w:tc>
      </w:tr>
      <w:tr>
        <w:trPr>
          <w:trHeight w:val="196"/>
        </w:trPr>
        <w:tc>
          <w:tcPr>
            <w:tcW w:w="680" w:type="dxa"/>
            <w:vAlign w:val="bottom"/>
          </w:tcPr>
          <w:p>
            <w:pPr>
              <w:spacing w:after="0"/>
              <w:rPr>
                <w:sz w:val="17"/>
                <w:szCs w:val="17"/>
                <w:color w:val="auto"/>
              </w:rPr>
            </w:pPr>
          </w:p>
        </w:tc>
        <w:tc>
          <w:tcPr>
            <w:tcW w:w="7140" w:type="dxa"/>
            <w:vAlign w:val="bottom"/>
            <w:gridSpan w:val="20"/>
          </w:tcPr>
          <w:p>
            <w:pPr>
              <w:spacing w:after="0" w:line="196" w:lineRule="exact"/>
              <w:rPr>
                <w:rFonts w:ascii="Arial" w:cs="Arial" w:eastAsia="Arial" w:hAnsi="Arial"/>
                <w:sz w:val="18"/>
                <w:szCs w:val="18"/>
                <w:color w:val="0000EE"/>
                <w:w w:val="94"/>
              </w:rPr>
            </w:pPr>
            <w:hyperlink r:id="rId117">
              <w:r>
                <w:rPr>
                  <w:rFonts w:ascii="Arial" w:cs="Arial" w:eastAsia="Arial" w:hAnsi="Arial"/>
                  <w:sz w:val="18"/>
                  <w:szCs w:val="18"/>
                  <w:color w:val="0000EE"/>
                  <w:w w:val="94"/>
                </w:rPr>
                <w:t>under the Acushnet Holdings Corp. 2015 Omnibus Incentive Plan (incorporated by reference to</w:t>
              </w:r>
            </w:hyperlink>
          </w:p>
        </w:tc>
      </w:tr>
      <w:tr>
        <w:trPr>
          <w:trHeight w:val="196"/>
        </w:trPr>
        <w:tc>
          <w:tcPr>
            <w:tcW w:w="680" w:type="dxa"/>
            <w:vAlign w:val="bottom"/>
          </w:tcPr>
          <w:p>
            <w:pPr>
              <w:spacing w:after="0"/>
              <w:rPr>
                <w:sz w:val="17"/>
                <w:szCs w:val="17"/>
                <w:color w:val="auto"/>
              </w:rPr>
            </w:pPr>
          </w:p>
        </w:tc>
        <w:tc>
          <w:tcPr>
            <w:tcW w:w="6880" w:type="dxa"/>
            <w:vAlign w:val="bottom"/>
            <w:tcBorders>
              <w:top w:val="single" w:sz="8" w:color="0000EE"/>
            </w:tcBorders>
            <w:gridSpan w:val="15"/>
          </w:tcPr>
          <w:p>
            <w:pPr>
              <w:spacing w:after="0" w:line="196" w:lineRule="exact"/>
              <w:rPr>
                <w:rFonts w:ascii="Arial" w:cs="Arial" w:eastAsia="Arial" w:hAnsi="Arial"/>
                <w:sz w:val="18"/>
                <w:szCs w:val="18"/>
                <w:color w:val="0000EE"/>
                <w:w w:val="97"/>
              </w:rPr>
            </w:pPr>
            <w:hyperlink r:id="rId117">
              <w:r>
                <w:rPr>
                  <w:rFonts w:ascii="Arial" w:cs="Arial" w:eastAsia="Arial" w:hAnsi="Arial"/>
                  <w:sz w:val="18"/>
                  <w:szCs w:val="18"/>
                  <w:color w:val="0000EE"/>
                  <w:w w:val="97"/>
                </w:rPr>
                <w:t>Exhibit 10.20 to the Registrant’s Registration Statement on Form S</w:t>
              </w:r>
              <w:r>
                <w:rPr>
                  <w:rFonts w:ascii="MS PGothic" w:cs="MS PGothic" w:eastAsia="MS PGothic" w:hAnsi="MS PGothic"/>
                  <w:sz w:val="18"/>
                  <w:szCs w:val="18"/>
                  <w:color w:val="0000EE"/>
                  <w:w w:val="97"/>
                </w:rPr>
                <w:t>‑</w:t>
              </w:r>
              <w:r>
                <w:rPr>
                  <w:rFonts w:ascii="Arial" w:cs="Arial" w:eastAsia="Arial" w:hAnsi="Arial"/>
                  <w:sz w:val="18"/>
                  <w:szCs w:val="18"/>
                  <w:color w:val="0000EE"/>
                  <w:w w:val="97"/>
                </w:rPr>
                <w:t>1 (No. 333</w:t>
              </w:r>
              <w:r>
                <w:rPr>
                  <w:rFonts w:ascii="MS PGothic" w:cs="MS PGothic" w:eastAsia="MS PGothic" w:hAnsi="MS PGothic"/>
                  <w:sz w:val="18"/>
                  <w:szCs w:val="18"/>
                  <w:color w:val="0000EE"/>
                  <w:w w:val="97"/>
                </w:rPr>
                <w:t>‑</w:t>
              </w:r>
              <w:r>
                <w:rPr>
                  <w:rFonts w:ascii="Arial" w:cs="Arial" w:eastAsia="Arial" w:hAnsi="Arial"/>
                  <w:sz w:val="18"/>
                  <w:szCs w:val="18"/>
                  <w:color w:val="0000EE"/>
                  <w:w w:val="97"/>
                </w:rPr>
                <w:t>212116)).</w:t>
              </w:r>
            </w:hyperlink>
          </w:p>
        </w:tc>
        <w:tc>
          <w:tcPr>
            <w:tcW w:w="260" w:type="dxa"/>
            <w:vAlign w:val="bottom"/>
            <w:gridSpan w:val="5"/>
          </w:tcPr>
          <w:p>
            <w:pPr>
              <w:spacing w:after="0"/>
              <w:rPr>
                <w:sz w:val="17"/>
                <w:szCs w:val="17"/>
                <w:color w:val="auto"/>
              </w:rPr>
            </w:pPr>
          </w:p>
        </w:tc>
      </w:tr>
      <w:tr>
        <w:trPr>
          <w:trHeight w:val="20"/>
        </w:trPr>
        <w:tc>
          <w:tcPr>
            <w:tcW w:w="680" w:type="dxa"/>
            <w:vAlign w:val="bottom"/>
          </w:tcPr>
          <w:p>
            <w:pPr>
              <w:spacing w:after="0" w:line="20" w:lineRule="exact"/>
              <w:rPr>
                <w:sz w:val="1"/>
                <w:szCs w:val="1"/>
                <w:color w:val="auto"/>
              </w:rPr>
            </w:pPr>
          </w:p>
        </w:tc>
        <w:tc>
          <w:tcPr>
            <w:tcW w:w="620" w:type="dxa"/>
            <w:vAlign w:val="bottom"/>
            <w:gridSpan w:val="2"/>
            <w:shd w:val="clear" w:color="auto" w:fill="0000EE"/>
          </w:tcPr>
          <w:p>
            <w:pPr>
              <w:spacing w:after="0" w:line="20" w:lineRule="exact"/>
              <w:rPr>
                <w:sz w:val="1"/>
                <w:szCs w:val="1"/>
                <w:color w:val="auto"/>
              </w:rPr>
            </w:pPr>
          </w:p>
        </w:tc>
        <w:tc>
          <w:tcPr>
            <w:tcW w:w="1960" w:type="dxa"/>
            <w:vAlign w:val="bottom"/>
            <w:tcBorders>
              <w:right w:val="single" w:sz="8" w:color="0000EE"/>
            </w:tcBorders>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44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580" w:type="dxa"/>
            <w:vAlign w:val="bottom"/>
            <w:shd w:val="clear" w:color="auto" w:fill="0000EE"/>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196"/>
        </w:trPr>
        <w:tc>
          <w:tcPr>
            <w:tcW w:w="680" w:type="dxa"/>
            <w:vAlign w:val="bottom"/>
          </w:tcPr>
          <w:p>
            <w:pPr>
              <w:jc w:val="right"/>
              <w:ind w:right="110"/>
              <w:spacing w:after="0" w:line="196" w:lineRule="exact"/>
              <w:rPr>
                <w:sz w:val="20"/>
                <w:szCs w:val="20"/>
                <w:color w:val="auto"/>
              </w:rPr>
            </w:pPr>
            <w:r>
              <w:rPr>
                <w:rFonts w:ascii="Arial" w:cs="Arial" w:eastAsia="Arial" w:hAnsi="Arial"/>
                <w:sz w:val="18"/>
                <w:szCs w:val="18"/>
                <w:color w:val="auto"/>
                <w:w w:val="83"/>
              </w:rPr>
              <w:t>10.14†</w:t>
            </w:r>
          </w:p>
        </w:tc>
        <w:tc>
          <w:tcPr>
            <w:tcW w:w="6640" w:type="dxa"/>
            <w:vAlign w:val="bottom"/>
            <w:tcBorders>
              <w:bottom w:val="single" w:sz="8" w:color="0000EE"/>
            </w:tcBorders>
            <w:gridSpan w:val="12"/>
          </w:tcPr>
          <w:p>
            <w:pPr>
              <w:spacing w:after="0" w:line="196" w:lineRule="exact"/>
              <w:rPr>
                <w:rFonts w:ascii="Arial" w:cs="Arial" w:eastAsia="Arial" w:hAnsi="Arial"/>
                <w:sz w:val="18"/>
                <w:szCs w:val="18"/>
                <w:color w:val="0000EE"/>
                <w:w w:val="91"/>
              </w:rPr>
            </w:pPr>
            <w:hyperlink r:id="rId118">
              <w:r>
                <w:rPr>
                  <w:rFonts w:ascii="Arial" w:cs="Arial" w:eastAsia="Arial" w:hAnsi="Arial"/>
                  <w:sz w:val="18"/>
                  <w:szCs w:val="18"/>
                  <w:color w:val="0000EE"/>
                  <w:w w:val="91"/>
                </w:rPr>
                <w:t>Acushnet Holdings Corp. Independent Directors Deferral Plan (incorporated by reference to</w:t>
              </w:r>
            </w:hyperlink>
          </w:p>
        </w:tc>
        <w:tc>
          <w:tcPr>
            <w:tcW w:w="500" w:type="dxa"/>
            <w:vAlign w:val="bottom"/>
            <w:gridSpan w:val="8"/>
          </w:tcPr>
          <w:p>
            <w:pPr>
              <w:spacing w:after="0"/>
              <w:rPr>
                <w:sz w:val="17"/>
                <w:szCs w:val="17"/>
                <w:color w:val="auto"/>
              </w:rPr>
            </w:pPr>
          </w:p>
        </w:tc>
      </w:tr>
      <w:tr>
        <w:trPr>
          <w:trHeight w:val="196"/>
        </w:trPr>
        <w:tc>
          <w:tcPr>
            <w:tcW w:w="680" w:type="dxa"/>
            <w:vAlign w:val="bottom"/>
          </w:tcPr>
          <w:p>
            <w:pPr>
              <w:spacing w:after="0"/>
              <w:rPr>
                <w:sz w:val="17"/>
                <w:szCs w:val="17"/>
                <w:color w:val="auto"/>
              </w:rPr>
            </w:pPr>
          </w:p>
        </w:tc>
        <w:tc>
          <w:tcPr>
            <w:tcW w:w="7140" w:type="dxa"/>
            <w:vAlign w:val="bottom"/>
            <w:gridSpan w:val="20"/>
          </w:tcPr>
          <w:p>
            <w:pPr>
              <w:spacing w:after="0" w:line="196" w:lineRule="exact"/>
              <w:rPr>
                <w:rFonts w:ascii="Arial" w:cs="Arial" w:eastAsia="Arial" w:hAnsi="Arial"/>
                <w:sz w:val="18"/>
                <w:szCs w:val="18"/>
                <w:color w:val="0000EE"/>
              </w:rPr>
            </w:pPr>
            <w:hyperlink r:id="rId118">
              <w:r>
                <w:rPr>
                  <w:rFonts w:ascii="Arial" w:cs="Arial" w:eastAsia="Arial" w:hAnsi="Arial"/>
                  <w:sz w:val="18"/>
                  <w:szCs w:val="18"/>
                  <w:color w:val="0000EE"/>
                </w:rPr>
                <w:t>Exhibit 10.21 to the Registrant’s Registration Statement on Form S</w:t>
              </w:r>
              <w:r>
                <w:rPr>
                  <w:rFonts w:ascii="MS PGothic" w:cs="MS PGothic" w:eastAsia="MS PGothic" w:hAnsi="MS PGothic"/>
                  <w:sz w:val="18"/>
                  <w:szCs w:val="18"/>
                  <w:color w:val="0000EE"/>
                </w:rPr>
                <w:t>‑</w:t>
              </w:r>
              <w:r>
                <w:rPr>
                  <w:rFonts w:ascii="Arial" w:cs="Arial" w:eastAsia="Arial" w:hAnsi="Arial"/>
                  <w:sz w:val="18"/>
                  <w:szCs w:val="18"/>
                  <w:color w:val="0000EE"/>
                </w:rPr>
                <w:t>1 (No. 333</w:t>
              </w:r>
              <w:r>
                <w:rPr>
                  <w:rFonts w:ascii="MS PGothic" w:cs="MS PGothic" w:eastAsia="MS PGothic" w:hAnsi="MS PGothic"/>
                  <w:sz w:val="18"/>
                  <w:szCs w:val="18"/>
                  <w:color w:val="0000EE"/>
                </w:rPr>
                <w:t>‑</w:t>
              </w:r>
              <w:r>
                <w:rPr>
                  <w:rFonts w:ascii="Arial" w:cs="Arial" w:eastAsia="Arial" w:hAnsi="Arial"/>
                  <w:sz w:val="18"/>
                  <w:szCs w:val="18"/>
                  <w:color w:val="0000EE"/>
                </w:rPr>
                <w:t>212116)).</w:t>
              </w:r>
            </w:hyperlink>
          </w:p>
        </w:tc>
      </w:tr>
      <w:tr>
        <w:trPr>
          <w:trHeight w:val="20"/>
        </w:trPr>
        <w:tc>
          <w:tcPr>
            <w:tcW w:w="680" w:type="dxa"/>
            <w:vAlign w:val="bottom"/>
          </w:tcPr>
          <w:p>
            <w:pPr>
              <w:spacing w:after="0" w:line="20" w:lineRule="exact"/>
              <w:rPr>
                <w:sz w:val="1"/>
                <w:szCs w:val="1"/>
                <w:color w:val="auto"/>
              </w:rPr>
            </w:pPr>
          </w:p>
        </w:tc>
        <w:tc>
          <w:tcPr>
            <w:tcW w:w="620" w:type="dxa"/>
            <w:vAlign w:val="bottom"/>
            <w:gridSpan w:val="2"/>
            <w:shd w:val="clear" w:color="auto" w:fill="0000EE"/>
          </w:tcPr>
          <w:p>
            <w:pPr>
              <w:spacing w:after="0" w:line="20" w:lineRule="exact"/>
              <w:rPr>
                <w:sz w:val="1"/>
                <w:szCs w:val="1"/>
                <w:color w:val="auto"/>
              </w:rPr>
            </w:pPr>
          </w:p>
        </w:tc>
        <w:tc>
          <w:tcPr>
            <w:tcW w:w="1960" w:type="dxa"/>
            <w:vAlign w:val="bottom"/>
            <w:tcBorders>
              <w:right w:val="single" w:sz="8" w:color="0000EE"/>
            </w:tcBorders>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44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580" w:type="dxa"/>
            <w:vAlign w:val="bottom"/>
            <w:shd w:val="clear" w:color="auto" w:fill="0000EE"/>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196"/>
        </w:trPr>
        <w:tc>
          <w:tcPr>
            <w:tcW w:w="680" w:type="dxa"/>
            <w:vAlign w:val="bottom"/>
          </w:tcPr>
          <w:p>
            <w:pPr>
              <w:jc w:val="right"/>
              <w:ind w:right="110"/>
              <w:spacing w:after="0" w:line="196" w:lineRule="exact"/>
              <w:rPr>
                <w:sz w:val="20"/>
                <w:szCs w:val="20"/>
                <w:color w:val="auto"/>
              </w:rPr>
            </w:pPr>
            <w:r>
              <w:rPr>
                <w:rFonts w:ascii="Arial" w:cs="Arial" w:eastAsia="Arial" w:hAnsi="Arial"/>
                <w:sz w:val="18"/>
                <w:szCs w:val="18"/>
                <w:color w:val="auto"/>
                <w:w w:val="83"/>
              </w:rPr>
              <w:t>10.15†</w:t>
            </w:r>
          </w:p>
        </w:tc>
        <w:tc>
          <w:tcPr>
            <w:tcW w:w="7140" w:type="dxa"/>
            <w:vAlign w:val="bottom"/>
            <w:gridSpan w:val="20"/>
          </w:tcPr>
          <w:p>
            <w:pPr>
              <w:spacing w:after="0" w:line="196" w:lineRule="exact"/>
              <w:rPr>
                <w:rFonts w:ascii="Arial" w:cs="Arial" w:eastAsia="Arial" w:hAnsi="Arial"/>
                <w:sz w:val="18"/>
                <w:szCs w:val="18"/>
                <w:color w:val="0000EE"/>
                <w:w w:val="93"/>
              </w:rPr>
            </w:pPr>
            <w:hyperlink r:id="rId119">
              <w:r>
                <w:rPr>
                  <w:rFonts w:ascii="Arial" w:cs="Arial" w:eastAsia="Arial" w:hAnsi="Arial"/>
                  <w:sz w:val="18"/>
                  <w:szCs w:val="18"/>
                  <w:color w:val="0000EE"/>
                  <w:w w:val="93"/>
                </w:rPr>
                <w:t>Acushnet Holdings Corp. 2015 Omnibus Incentive Plan (incorporated by reference to Exhibit 4.3</w:t>
              </w:r>
            </w:hyperlink>
          </w:p>
        </w:tc>
      </w:tr>
      <w:tr>
        <w:trPr>
          <w:trHeight w:val="196"/>
        </w:trPr>
        <w:tc>
          <w:tcPr>
            <w:tcW w:w="680" w:type="dxa"/>
            <w:vAlign w:val="bottom"/>
          </w:tcPr>
          <w:p>
            <w:pPr>
              <w:spacing w:after="0"/>
              <w:rPr>
                <w:sz w:val="17"/>
                <w:szCs w:val="17"/>
                <w:color w:val="auto"/>
              </w:rPr>
            </w:pPr>
          </w:p>
        </w:tc>
        <w:tc>
          <w:tcPr>
            <w:tcW w:w="7000" w:type="dxa"/>
            <w:vAlign w:val="bottom"/>
            <w:tcBorders>
              <w:top w:val="single" w:sz="8" w:color="0000EE"/>
            </w:tcBorders>
            <w:gridSpan w:val="17"/>
          </w:tcPr>
          <w:p>
            <w:pPr>
              <w:spacing w:after="0" w:line="196" w:lineRule="exact"/>
              <w:rPr>
                <w:rFonts w:ascii="Arial" w:cs="Arial" w:eastAsia="Arial" w:hAnsi="Arial"/>
                <w:sz w:val="18"/>
                <w:szCs w:val="18"/>
                <w:color w:val="0000EE"/>
                <w:w w:val="96"/>
              </w:rPr>
            </w:pPr>
            <w:hyperlink r:id="rId119">
              <w:r>
                <w:rPr>
                  <w:rFonts w:ascii="Arial" w:cs="Arial" w:eastAsia="Arial" w:hAnsi="Arial"/>
                  <w:sz w:val="18"/>
                  <w:szCs w:val="18"/>
                  <w:color w:val="0000EE"/>
                  <w:w w:val="96"/>
                </w:rPr>
                <w:t>to the Registrant’s Registration Statement on Form S-8 filed on October 27, 2016 (No. 001-</w:t>
              </w:r>
            </w:hyperlink>
          </w:p>
        </w:tc>
        <w:tc>
          <w:tcPr>
            <w:tcW w:w="140" w:type="dxa"/>
            <w:vAlign w:val="bottom"/>
            <w:gridSpan w:val="3"/>
          </w:tcPr>
          <w:p>
            <w:pPr>
              <w:spacing w:after="0"/>
              <w:rPr>
                <w:sz w:val="17"/>
                <w:szCs w:val="17"/>
                <w:color w:val="auto"/>
              </w:rPr>
            </w:pPr>
          </w:p>
        </w:tc>
      </w:tr>
      <w:tr>
        <w:trPr>
          <w:trHeight w:val="196"/>
        </w:trPr>
        <w:tc>
          <w:tcPr>
            <w:tcW w:w="680" w:type="dxa"/>
            <w:vAlign w:val="bottom"/>
          </w:tcPr>
          <w:p>
            <w:pPr>
              <w:spacing w:after="0"/>
              <w:rPr>
                <w:sz w:val="17"/>
                <w:szCs w:val="17"/>
                <w:color w:val="auto"/>
              </w:rPr>
            </w:pPr>
          </w:p>
        </w:tc>
        <w:tc>
          <w:tcPr>
            <w:tcW w:w="620" w:type="dxa"/>
            <w:vAlign w:val="bottom"/>
            <w:tcBorders>
              <w:top w:val="single" w:sz="8" w:color="0000EE"/>
              <w:bottom w:val="single" w:sz="8" w:color="0000EE"/>
            </w:tcBorders>
            <w:gridSpan w:val="2"/>
          </w:tcPr>
          <w:p>
            <w:pPr>
              <w:spacing w:after="0" w:line="196" w:lineRule="exact"/>
              <w:rPr>
                <w:rFonts w:ascii="Arial" w:cs="Arial" w:eastAsia="Arial" w:hAnsi="Arial"/>
                <w:sz w:val="18"/>
                <w:szCs w:val="18"/>
                <w:color w:val="0000EE"/>
                <w:w w:val="89"/>
              </w:rPr>
            </w:pPr>
            <w:hyperlink r:id="rId119">
              <w:r>
                <w:rPr>
                  <w:rFonts w:ascii="Arial" w:cs="Arial" w:eastAsia="Arial" w:hAnsi="Arial"/>
                  <w:sz w:val="18"/>
                  <w:szCs w:val="18"/>
                  <w:color w:val="0000EE"/>
                  <w:w w:val="89"/>
                </w:rPr>
                <w:t>37935)</w:t>
              </w:r>
              <w:r>
                <w:rPr>
                  <w:rFonts w:ascii="Arial" w:cs="Arial" w:eastAsia="Arial" w:hAnsi="Arial"/>
                  <w:sz w:val="18"/>
                  <w:szCs w:val="18"/>
                  <w:u w:val="single" w:color="auto"/>
                  <w:color w:val="0000EE"/>
                  <w:w w:val="89"/>
                </w:rPr>
                <w:t>)</w:t>
              </w:r>
              <w:r>
                <w:rPr>
                  <w:rFonts w:ascii="Arial" w:cs="Arial" w:eastAsia="Arial" w:hAnsi="Arial"/>
                  <w:sz w:val="18"/>
                  <w:szCs w:val="18"/>
                  <w:color w:val="0000EE"/>
                  <w:w w:val="89"/>
                </w:rPr>
                <w:t>.</w:t>
              </w:r>
            </w:hyperlink>
          </w:p>
        </w:tc>
        <w:tc>
          <w:tcPr>
            <w:tcW w:w="1960" w:type="dxa"/>
            <w:vAlign w:val="bottom"/>
            <w:tcBorders>
              <w:top w:val="single" w:sz="8" w:color="0000EE"/>
            </w:tcBorders>
          </w:tcPr>
          <w:p>
            <w:pPr>
              <w:spacing w:after="0"/>
              <w:rPr>
                <w:sz w:val="17"/>
                <w:szCs w:val="17"/>
                <w:color w:val="auto"/>
              </w:rPr>
            </w:pPr>
          </w:p>
        </w:tc>
        <w:tc>
          <w:tcPr>
            <w:tcW w:w="40" w:type="dxa"/>
            <w:vAlign w:val="bottom"/>
            <w:tcBorders>
              <w:top w:val="single" w:sz="8" w:color="0000EE"/>
            </w:tcBorders>
          </w:tcPr>
          <w:p>
            <w:pPr>
              <w:spacing w:after="0"/>
              <w:rPr>
                <w:sz w:val="17"/>
                <w:szCs w:val="17"/>
                <w:color w:val="auto"/>
              </w:rPr>
            </w:pPr>
          </w:p>
        </w:tc>
        <w:tc>
          <w:tcPr>
            <w:tcW w:w="1440" w:type="dxa"/>
            <w:vAlign w:val="bottom"/>
            <w:tcBorders>
              <w:top w:val="single" w:sz="8" w:color="0000EE"/>
            </w:tcBorders>
          </w:tcPr>
          <w:p>
            <w:pPr>
              <w:spacing w:after="0"/>
              <w:rPr>
                <w:sz w:val="17"/>
                <w:szCs w:val="17"/>
                <w:color w:val="auto"/>
              </w:rPr>
            </w:pPr>
          </w:p>
        </w:tc>
        <w:tc>
          <w:tcPr>
            <w:tcW w:w="140" w:type="dxa"/>
            <w:vAlign w:val="bottom"/>
            <w:tcBorders>
              <w:top w:val="single" w:sz="8" w:color="0000EE"/>
            </w:tcBorders>
          </w:tcPr>
          <w:p>
            <w:pPr>
              <w:spacing w:after="0"/>
              <w:rPr>
                <w:sz w:val="17"/>
                <w:szCs w:val="17"/>
                <w:color w:val="auto"/>
              </w:rPr>
            </w:pPr>
          </w:p>
        </w:tc>
        <w:tc>
          <w:tcPr>
            <w:tcW w:w="580" w:type="dxa"/>
            <w:vAlign w:val="bottom"/>
            <w:tcBorders>
              <w:top w:val="single" w:sz="8" w:color="0000EE"/>
            </w:tcBorders>
          </w:tcPr>
          <w:p>
            <w:pPr>
              <w:spacing w:after="0"/>
              <w:rPr>
                <w:sz w:val="17"/>
                <w:szCs w:val="17"/>
                <w:color w:val="auto"/>
              </w:rPr>
            </w:pPr>
          </w:p>
        </w:tc>
        <w:tc>
          <w:tcPr>
            <w:tcW w:w="4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1580" w:type="dxa"/>
            <w:vAlign w:val="bottom"/>
            <w:tcBorders>
              <w:top w:val="single" w:sz="8" w:color="0000EE"/>
            </w:tcBorders>
          </w:tcPr>
          <w:p>
            <w:pPr>
              <w:spacing w:after="0"/>
              <w:rPr>
                <w:sz w:val="17"/>
                <w:szCs w:val="17"/>
                <w:color w:val="auto"/>
              </w:rPr>
            </w:pPr>
          </w:p>
        </w:tc>
        <w:tc>
          <w:tcPr>
            <w:tcW w:w="180" w:type="dxa"/>
            <w:vAlign w:val="bottom"/>
            <w:tcBorders>
              <w:top w:val="single" w:sz="8" w:color="0000EE"/>
            </w:tcBorders>
          </w:tcPr>
          <w:p>
            <w:pPr>
              <w:spacing w:after="0"/>
              <w:rPr>
                <w:sz w:val="17"/>
                <w:szCs w:val="17"/>
                <w:color w:val="auto"/>
              </w:rPr>
            </w:pP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80" w:type="dxa"/>
            <w:vAlign w:val="bottom"/>
          </w:tcPr>
          <w:p>
            <w:pPr>
              <w:spacing w:after="0"/>
              <w:rPr>
                <w:sz w:val="17"/>
                <w:szCs w:val="17"/>
                <w:color w:val="auto"/>
              </w:rPr>
            </w:pPr>
          </w:p>
        </w:tc>
      </w:tr>
      <w:tr>
        <w:trPr>
          <w:trHeight w:val="196"/>
        </w:trPr>
        <w:tc>
          <w:tcPr>
            <w:tcW w:w="680" w:type="dxa"/>
            <w:vAlign w:val="bottom"/>
          </w:tcPr>
          <w:p>
            <w:pPr>
              <w:jc w:val="right"/>
              <w:ind w:right="110"/>
              <w:spacing w:after="0" w:line="196" w:lineRule="exact"/>
              <w:rPr>
                <w:sz w:val="20"/>
                <w:szCs w:val="20"/>
                <w:color w:val="auto"/>
              </w:rPr>
            </w:pPr>
            <w:r>
              <w:rPr>
                <w:rFonts w:ascii="Arial" w:cs="Arial" w:eastAsia="Arial" w:hAnsi="Arial"/>
                <w:sz w:val="18"/>
                <w:szCs w:val="18"/>
                <w:color w:val="auto"/>
                <w:w w:val="83"/>
              </w:rPr>
              <w:t>10.16†</w:t>
            </w:r>
          </w:p>
        </w:tc>
        <w:tc>
          <w:tcPr>
            <w:tcW w:w="7020" w:type="dxa"/>
            <w:vAlign w:val="bottom"/>
            <w:tcBorders>
              <w:bottom w:val="single" w:sz="8" w:color="0000EE"/>
            </w:tcBorders>
            <w:gridSpan w:val="18"/>
          </w:tcPr>
          <w:p>
            <w:pPr>
              <w:spacing w:after="0" w:line="196" w:lineRule="exact"/>
              <w:rPr>
                <w:rFonts w:ascii="Arial" w:cs="Arial" w:eastAsia="Arial" w:hAnsi="Arial"/>
                <w:sz w:val="18"/>
                <w:szCs w:val="18"/>
                <w:color w:val="0000EE"/>
                <w:w w:val="90"/>
              </w:rPr>
            </w:pPr>
            <w:hyperlink r:id="rId120">
              <w:r>
                <w:rPr>
                  <w:rFonts w:ascii="Arial" w:cs="Arial" w:eastAsia="Arial" w:hAnsi="Arial"/>
                  <w:sz w:val="18"/>
                  <w:szCs w:val="18"/>
                  <w:color w:val="0000EE"/>
                  <w:w w:val="90"/>
                </w:rPr>
                <w:t>Letter Agreement between Acushnet Holdings Corp. and Joseph J. Nauman, dated as of April 18,</w:t>
              </w:r>
            </w:hyperlink>
          </w:p>
        </w:tc>
        <w:tc>
          <w:tcPr>
            <w:tcW w:w="120" w:type="dxa"/>
            <w:vAlign w:val="bottom"/>
            <w:gridSpan w:val="2"/>
          </w:tcPr>
          <w:p>
            <w:pPr>
              <w:spacing w:after="0"/>
              <w:rPr>
                <w:sz w:val="17"/>
                <w:szCs w:val="17"/>
                <w:color w:val="auto"/>
              </w:rPr>
            </w:pPr>
          </w:p>
        </w:tc>
      </w:tr>
      <w:tr>
        <w:trPr>
          <w:trHeight w:val="196"/>
        </w:trPr>
        <w:tc>
          <w:tcPr>
            <w:tcW w:w="680" w:type="dxa"/>
            <w:vAlign w:val="bottom"/>
          </w:tcPr>
          <w:p>
            <w:pPr>
              <w:spacing w:after="0"/>
              <w:rPr>
                <w:sz w:val="17"/>
                <w:szCs w:val="17"/>
                <w:color w:val="auto"/>
              </w:rPr>
            </w:pPr>
          </w:p>
        </w:tc>
        <w:tc>
          <w:tcPr>
            <w:tcW w:w="7140" w:type="dxa"/>
            <w:vAlign w:val="bottom"/>
            <w:tcBorders>
              <w:bottom w:val="single" w:sz="8" w:color="0000EE"/>
            </w:tcBorders>
            <w:gridSpan w:val="20"/>
          </w:tcPr>
          <w:p>
            <w:pPr>
              <w:spacing w:after="0" w:line="196" w:lineRule="exact"/>
              <w:rPr>
                <w:rFonts w:ascii="Arial" w:cs="Arial" w:eastAsia="Arial" w:hAnsi="Arial"/>
                <w:sz w:val="18"/>
                <w:szCs w:val="18"/>
                <w:color w:val="0000EE"/>
                <w:w w:val="91"/>
              </w:rPr>
            </w:pPr>
            <w:hyperlink r:id="rId120">
              <w:r>
                <w:rPr>
                  <w:rFonts w:ascii="Arial" w:cs="Arial" w:eastAsia="Arial" w:hAnsi="Arial"/>
                  <w:sz w:val="18"/>
                  <w:szCs w:val="18"/>
                  <w:color w:val="0000EE"/>
                  <w:w w:val="91"/>
                </w:rPr>
                <w:t>2017 (incorporated by reference to Exhibit 10.1 to the Registrant’s Quarterly Report on Form 10-Q</w:t>
              </w:r>
            </w:hyperlink>
          </w:p>
        </w:tc>
      </w:tr>
      <w:tr>
        <w:trPr>
          <w:trHeight w:val="196"/>
        </w:trPr>
        <w:tc>
          <w:tcPr>
            <w:tcW w:w="680" w:type="dxa"/>
            <w:vAlign w:val="bottom"/>
          </w:tcPr>
          <w:p>
            <w:pPr>
              <w:spacing w:after="0"/>
              <w:rPr>
                <w:sz w:val="17"/>
                <w:szCs w:val="17"/>
                <w:color w:val="auto"/>
              </w:rPr>
            </w:pPr>
          </w:p>
        </w:tc>
        <w:tc>
          <w:tcPr>
            <w:tcW w:w="4060" w:type="dxa"/>
            <w:vAlign w:val="bottom"/>
            <w:tcBorders>
              <w:bottom w:val="single" w:sz="8" w:color="0000EE"/>
            </w:tcBorders>
            <w:gridSpan w:val="5"/>
          </w:tcPr>
          <w:p>
            <w:pPr>
              <w:spacing w:after="0" w:line="196" w:lineRule="exact"/>
              <w:rPr>
                <w:rFonts w:ascii="Arial" w:cs="Arial" w:eastAsia="Arial" w:hAnsi="Arial"/>
                <w:sz w:val="18"/>
                <w:szCs w:val="18"/>
                <w:color w:val="0000EE"/>
                <w:w w:val="90"/>
              </w:rPr>
            </w:pPr>
            <w:hyperlink r:id="rId120">
              <w:r>
                <w:rPr>
                  <w:rFonts w:ascii="Arial" w:cs="Arial" w:eastAsia="Arial" w:hAnsi="Arial"/>
                  <w:sz w:val="18"/>
                  <w:szCs w:val="18"/>
                  <w:color w:val="0000EE"/>
                  <w:w w:val="90"/>
                </w:rPr>
                <w:t>for the quarter ended March 31, 2017 (No. 001-37935)).</w:t>
              </w:r>
            </w:hyperlink>
          </w:p>
        </w:tc>
        <w:tc>
          <w:tcPr>
            <w:tcW w:w="3080" w:type="dxa"/>
            <w:vAlign w:val="bottom"/>
            <w:gridSpan w:val="15"/>
          </w:tcPr>
          <w:p>
            <w:pPr>
              <w:spacing w:after="0"/>
              <w:rPr>
                <w:sz w:val="17"/>
                <w:szCs w:val="17"/>
                <w:color w:val="auto"/>
              </w:rPr>
            </w:pPr>
          </w:p>
        </w:tc>
      </w:tr>
      <w:tr>
        <w:trPr>
          <w:trHeight w:val="196"/>
        </w:trPr>
        <w:tc>
          <w:tcPr>
            <w:tcW w:w="680" w:type="dxa"/>
            <w:vAlign w:val="bottom"/>
          </w:tcPr>
          <w:p>
            <w:pPr>
              <w:jc w:val="right"/>
              <w:ind w:right="110"/>
              <w:spacing w:after="0" w:line="196" w:lineRule="exact"/>
              <w:rPr>
                <w:sz w:val="20"/>
                <w:szCs w:val="20"/>
                <w:color w:val="auto"/>
              </w:rPr>
            </w:pPr>
            <w:r>
              <w:rPr>
                <w:rFonts w:ascii="Arial" w:cs="Arial" w:eastAsia="Arial" w:hAnsi="Arial"/>
                <w:sz w:val="18"/>
                <w:szCs w:val="18"/>
                <w:color w:val="auto"/>
                <w:w w:val="83"/>
              </w:rPr>
              <w:t>10.17†</w:t>
            </w:r>
          </w:p>
        </w:tc>
        <w:tc>
          <w:tcPr>
            <w:tcW w:w="7140" w:type="dxa"/>
            <w:vAlign w:val="bottom"/>
            <w:gridSpan w:val="20"/>
          </w:tcPr>
          <w:p>
            <w:pPr>
              <w:spacing w:after="0" w:line="196" w:lineRule="exact"/>
              <w:rPr>
                <w:rFonts w:ascii="Arial" w:cs="Arial" w:eastAsia="Arial" w:hAnsi="Arial"/>
                <w:sz w:val="18"/>
                <w:szCs w:val="18"/>
                <w:color w:val="0000EE"/>
                <w:w w:val="97"/>
              </w:rPr>
            </w:pPr>
            <w:hyperlink w:anchor="page143">
              <w:r>
                <w:rPr>
                  <w:rFonts w:ascii="Arial" w:cs="Arial" w:eastAsia="Arial" w:hAnsi="Arial"/>
                  <w:sz w:val="18"/>
                  <w:szCs w:val="18"/>
                  <w:color w:val="0000EE"/>
                  <w:w w:val="97"/>
                </w:rPr>
                <w:t>Employment Agreement between Acushnet Holdings Corp. and David E. Maher, dated as of</w:t>
              </w:r>
            </w:hyperlink>
          </w:p>
        </w:tc>
      </w:tr>
      <w:tr>
        <w:trPr>
          <w:trHeight w:val="196"/>
        </w:trPr>
        <w:tc>
          <w:tcPr>
            <w:tcW w:w="680" w:type="dxa"/>
            <w:vAlign w:val="bottom"/>
          </w:tcPr>
          <w:p>
            <w:pPr>
              <w:spacing w:after="0"/>
              <w:rPr>
                <w:sz w:val="17"/>
                <w:szCs w:val="17"/>
                <w:color w:val="auto"/>
              </w:rPr>
            </w:pPr>
          </w:p>
        </w:tc>
        <w:tc>
          <w:tcPr>
            <w:tcW w:w="6660" w:type="dxa"/>
            <w:vAlign w:val="bottom"/>
            <w:tcBorders>
              <w:top w:val="single" w:sz="8" w:color="0000EE"/>
            </w:tcBorders>
            <w:gridSpan w:val="13"/>
          </w:tcPr>
          <w:p>
            <w:pPr>
              <w:spacing w:after="0" w:line="196" w:lineRule="exact"/>
              <w:rPr>
                <w:rFonts w:ascii="Arial" w:cs="Arial" w:eastAsia="Arial" w:hAnsi="Arial"/>
                <w:sz w:val="18"/>
                <w:szCs w:val="18"/>
                <w:color w:val="0000EE"/>
              </w:rPr>
            </w:pPr>
            <w:hyperlink w:anchor="page143">
              <w:r>
                <w:rPr>
                  <w:rFonts w:ascii="Arial" w:cs="Arial" w:eastAsia="Arial" w:hAnsi="Arial"/>
                  <w:sz w:val="18"/>
                  <w:szCs w:val="18"/>
                  <w:color w:val="0000EE"/>
                </w:rPr>
                <w:t>December 22, 2017 (filed herewith)</w:t>
              </w:r>
              <w:r>
                <w:rPr>
                  <w:rFonts w:ascii="Arial" w:cs="Arial" w:eastAsia="Arial" w:hAnsi="Arial"/>
                  <w:sz w:val="18"/>
                  <w:szCs w:val="18"/>
                  <w:color w:val="000000"/>
                </w:rPr>
                <w:t>.</w:t>
              </w:r>
            </w:hyperlink>
          </w:p>
        </w:tc>
        <w:tc>
          <w:tcPr>
            <w:tcW w:w="480" w:type="dxa"/>
            <w:vAlign w:val="bottom"/>
            <w:gridSpan w:val="7"/>
          </w:tcPr>
          <w:p>
            <w:pPr>
              <w:spacing w:after="0"/>
              <w:rPr>
                <w:sz w:val="17"/>
                <w:szCs w:val="17"/>
                <w:color w:val="auto"/>
              </w:rPr>
            </w:pPr>
          </w:p>
        </w:tc>
      </w:tr>
      <w:tr>
        <w:trPr>
          <w:trHeight w:val="20"/>
        </w:trPr>
        <w:tc>
          <w:tcPr>
            <w:tcW w:w="680" w:type="dxa"/>
            <w:vAlign w:val="bottom"/>
          </w:tcPr>
          <w:p>
            <w:pPr>
              <w:spacing w:after="0" w:line="20" w:lineRule="exact"/>
              <w:rPr>
                <w:sz w:val="1"/>
                <w:szCs w:val="1"/>
                <w:color w:val="auto"/>
              </w:rPr>
            </w:pPr>
          </w:p>
        </w:tc>
        <w:tc>
          <w:tcPr>
            <w:tcW w:w="2580" w:type="dxa"/>
            <w:vAlign w:val="bottom"/>
            <w:tcBorders>
              <w:right w:val="single" w:sz="8" w:color="0000EE"/>
            </w:tcBorders>
            <w:gridSpan w:val="3"/>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580" w:type="dxa"/>
            <w:vAlign w:val="bottom"/>
            <w:gridSpan w:val="2"/>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0" w:type="dxa"/>
            <w:vAlign w:val="bottom"/>
            <w:gridSpan w:val="5"/>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196"/>
        </w:trPr>
        <w:tc>
          <w:tcPr>
            <w:tcW w:w="680" w:type="dxa"/>
            <w:vAlign w:val="bottom"/>
          </w:tcPr>
          <w:p>
            <w:pPr>
              <w:jc w:val="right"/>
              <w:ind w:right="110"/>
              <w:spacing w:after="0" w:line="196" w:lineRule="exact"/>
              <w:rPr>
                <w:sz w:val="20"/>
                <w:szCs w:val="20"/>
                <w:color w:val="auto"/>
              </w:rPr>
            </w:pPr>
            <w:r>
              <w:rPr>
                <w:rFonts w:ascii="Arial" w:cs="Arial" w:eastAsia="Arial" w:hAnsi="Arial"/>
                <w:sz w:val="18"/>
                <w:szCs w:val="18"/>
                <w:color w:val="auto"/>
                <w:w w:val="83"/>
              </w:rPr>
              <w:t>10.18†</w:t>
            </w:r>
          </w:p>
        </w:tc>
        <w:tc>
          <w:tcPr>
            <w:tcW w:w="7140" w:type="dxa"/>
            <w:vAlign w:val="bottom"/>
            <w:gridSpan w:val="20"/>
          </w:tcPr>
          <w:p>
            <w:pPr>
              <w:spacing w:after="0" w:line="196" w:lineRule="exact"/>
              <w:rPr>
                <w:rFonts w:ascii="Arial" w:cs="Arial" w:eastAsia="Arial" w:hAnsi="Arial"/>
                <w:sz w:val="18"/>
                <w:szCs w:val="18"/>
                <w:color w:val="0000EE"/>
              </w:rPr>
            </w:pPr>
            <w:hyperlink w:anchor="page160">
              <w:r>
                <w:rPr>
                  <w:rFonts w:ascii="Arial" w:cs="Arial" w:eastAsia="Arial" w:hAnsi="Arial"/>
                  <w:sz w:val="18"/>
                  <w:szCs w:val="18"/>
                  <w:color w:val="0000EE"/>
                </w:rPr>
                <w:t>Acushnet Holdings Corp. Employee Deferral Plan (filed herewith)</w:t>
              </w:r>
            </w:hyperlink>
          </w:p>
        </w:tc>
      </w:tr>
      <w:tr>
        <w:trPr>
          <w:trHeight w:val="196"/>
        </w:trPr>
        <w:tc>
          <w:tcPr>
            <w:tcW w:w="680" w:type="dxa"/>
            <w:vAlign w:val="bottom"/>
          </w:tcPr>
          <w:p>
            <w:pPr>
              <w:jc w:val="right"/>
              <w:ind w:right="110"/>
              <w:spacing w:after="0" w:line="196" w:lineRule="exact"/>
              <w:rPr>
                <w:sz w:val="20"/>
                <w:szCs w:val="20"/>
                <w:color w:val="auto"/>
              </w:rPr>
            </w:pPr>
            <w:r>
              <w:rPr>
                <w:rFonts w:ascii="Arial" w:cs="Arial" w:eastAsia="Arial" w:hAnsi="Arial"/>
                <w:sz w:val="18"/>
                <w:szCs w:val="18"/>
                <w:color w:val="auto"/>
              </w:rPr>
              <w:t>21.1</w:t>
            </w:r>
          </w:p>
        </w:tc>
        <w:tc>
          <w:tcPr>
            <w:tcW w:w="2620" w:type="dxa"/>
            <w:vAlign w:val="bottom"/>
            <w:tcBorders>
              <w:top w:val="single" w:sz="8" w:color="0000EE"/>
              <w:bottom w:val="single" w:sz="8" w:color="0000EE"/>
            </w:tcBorders>
            <w:gridSpan w:val="4"/>
          </w:tcPr>
          <w:p>
            <w:pPr>
              <w:spacing w:after="0" w:line="196" w:lineRule="exact"/>
              <w:rPr>
                <w:rFonts w:ascii="Arial" w:cs="Arial" w:eastAsia="Arial" w:hAnsi="Arial"/>
                <w:sz w:val="18"/>
                <w:szCs w:val="18"/>
                <w:color w:val="0000EE"/>
                <w:w w:val="93"/>
              </w:rPr>
            </w:pPr>
            <w:hyperlink w:anchor="page166">
              <w:r>
                <w:rPr>
                  <w:rFonts w:ascii="Arial" w:cs="Arial" w:eastAsia="Arial" w:hAnsi="Arial"/>
                  <w:sz w:val="18"/>
                  <w:szCs w:val="18"/>
                  <w:color w:val="0000EE"/>
                  <w:w w:val="93"/>
                </w:rPr>
                <w:t>List of Subsidiaries (filed herewith).</w:t>
              </w:r>
            </w:hyperlink>
          </w:p>
        </w:tc>
        <w:tc>
          <w:tcPr>
            <w:tcW w:w="2160" w:type="dxa"/>
            <w:vAlign w:val="bottom"/>
            <w:tcBorders>
              <w:top w:val="single" w:sz="8" w:color="0000EE"/>
            </w:tcBorders>
            <w:gridSpan w:val="3"/>
          </w:tcPr>
          <w:p>
            <w:pPr>
              <w:spacing w:after="0"/>
              <w:rPr>
                <w:sz w:val="17"/>
                <w:szCs w:val="17"/>
                <w:color w:val="auto"/>
              </w:rPr>
            </w:pPr>
          </w:p>
        </w:tc>
        <w:tc>
          <w:tcPr>
            <w:tcW w:w="2360" w:type="dxa"/>
            <w:vAlign w:val="bottom"/>
            <w:gridSpan w:val="13"/>
          </w:tcPr>
          <w:p>
            <w:pPr>
              <w:spacing w:after="0"/>
              <w:rPr>
                <w:sz w:val="17"/>
                <w:szCs w:val="17"/>
                <w:color w:val="auto"/>
              </w:rPr>
            </w:pPr>
          </w:p>
        </w:tc>
      </w:tr>
      <w:tr>
        <w:trPr>
          <w:trHeight w:val="196"/>
        </w:trPr>
        <w:tc>
          <w:tcPr>
            <w:tcW w:w="680" w:type="dxa"/>
            <w:vAlign w:val="bottom"/>
          </w:tcPr>
          <w:p>
            <w:pPr>
              <w:jc w:val="right"/>
              <w:ind w:right="110"/>
              <w:spacing w:after="0" w:line="196" w:lineRule="exact"/>
              <w:rPr>
                <w:sz w:val="20"/>
                <w:szCs w:val="20"/>
                <w:color w:val="auto"/>
              </w:rPr>
            </w:pPr>
            <w:r>
              <w:rPr>
                <w:rFonts w:ascii="Arial" w:cs="Arial" w:eastAsia="Arial" w:hAnsi="Arial"/>
                <w:sz w:val="18"/>
                <w:szCs w:val="18"/>
                <w:color w:val="auto"/>
              </w:rPr>
              <w:t>23.1</w:t>
            </w:r>
          </w:p>
        </w:tc>
        <w:tc>
          <w:tcPr>
            <w:tcW w:w="4200" w:type="dxa"/>
            <w:vAlign w:val="bottom"/>
            <w:tcBorders>
              <w:bottom w:val="single" w:sz="8" w:color="0000EE"/>
            </w:tcBorders>
            <w:gridSpan w:val="6"/>
          </w:tcPr>
          <w:p>
            <w:pPr>
              <w:spacing w:after="0" w:line="196" w:lineRule="exact"/>
              <w:rPr>
                <w:rFonts w:ascii="Arial" w:cs="Arial" w:eastAsia="Arial" w:hAnsi="Arial"/>
                <w:sz w:val="18"/>
                <w:szCs w:val="18"/>
                <w:color w:val="0000EE"/>
                <w:w w:val="91"/>
              </w:rPr>
            </w:pPr>
            <w:hyperlink w:anchor="page167">
              <w:r>
                <w:rPr>
                  <w:rFonts w:ascii="Arial" w:cs="Arial" w:eastAsia="Arial" w:hAnsi="Arial"/>
                  <w:sz w:val="18"/>
                  <w:szCs w:val="18"/>
                  <w:color w:val="0000EE"/>
                  <w:w w:val="91"/>
                </w:rPr>
                <w:t>Consent of PricewaterhouseCoopers LLP (filed herewith).</w:t>
              </w:r>
            </w:hyperlink>
          </w:p>
        </w:tc>
        <w:tc>
          <w:tcPr>
            <w:tcW w:w="2940" w:type="dxa"/>
            <w:vAlign w:val="bottom"/>
            <w:gridSpan w:val="14"/>
          </w:tcPr>
          <w:p>
            <w:pPr>
              <w:spacing w:after="0"/>
              <w:rPr>
                <w:sz w:val="17"/>
                <w:szCs w:val="17"/>
                <w:color w:val="auto"/>
              </w:rPr>
            </w:pPr>
          </w:p>
        </w:tc>
      </w:tr>
      <w:tr>
        <w:trPr>
          <w:trHeight w:val="196"/>
        </w:trPr>
        <w:tc>
          <w:tcPr>
            <w:tcW w:w="680" w:type="dxa"/>
            <w:vAlign w:val="bottom"/>
          </w:tcPr>
          <w:p>
            <w:pPr>
              <w:jc w:val="right"/>
              <w:ind w:right="110"/>
              <w:spacing w:after="0" w:line="196" w:lineRule="exact"/>
              <w:rPr>
                <w:sz w:val="20"/>
                <w:szCs w:val="20"/>
                <w:color w:val="auto"/>
              </w:rPr>
            </w:pPr>
            <w:r>
              <w:rPr>
                <w:rFonts w:ascii="Arial" w:cs="Arial" w:eastAsia="Arial" w:hAnsi="Arial"/>
                <w:sz w:val="18"/>
                <w:szCs w:val="18"/>
                <w:color w:val="auto"/>
              </w:rPr>
              <w:t>24.1</w:t>
            </w:r>
          </w:p>
        </w:tc>
        <w:tc>
          <w:tcPr>
            <w:tcW w:w="2580" w:type="dxa"/>
            <w:vAlign w:val="bottom"/>
            <w:tcBorders>
              <w:bottom w:val="single" w:sz="8" w:color="0000EE"/>
            </w:tcBorders>
            <w:gridSpan w:val="3"/>
          </w:tcPr>
          <w:p>
            <w:pPr>
              <w:spacing w:after="0" w:line="196" w:lineRule="exact"/>
              <w:rPr>
                <w:rFonts w:ascii="Arial" w:cs="Arial" w:eastAsia="Arial" w:hAnsi="Arial"/>
                <w:sz w:val="18"/>
                <w:szCs w:val="18"/>
                <w:color w:val="0000EE"/>
                <w:w w:val="93"/>
              </w:rPr>
            </w:pPr>
            <w:hyperlink w:anchor="page168">
              <w:r>
                <w:rPr>
                  <w:rFonts w:ascii="Arial" w:cs="Arial" w:eastAsia="Arial" w:hAnsi="Arial"/>
                  <w:sz w:val="18"/>
                  <w:szCs w:val="18"/>
                  <w:color w:val="0000EE"/>
                  <w:w w:val="93"/>
                </w:rPr>
                <w:t>Power of Attorney (filed herewith).</w:t>
              </w:r>
            </w:hyperlink>
          </w:p>
        </w:tc>
        <w:tc>
          <w:tcPr>
            <w:tcW w:w="4560" w:type="dxa"/>
            <w:vAlign w:val="bottom"/>
            <w:gridSpan w:val="17"/>
          </w:tcPr>
          <w:p>
            <w:pPr>
              <w:spacing w:after="0"/>
              <w:rPr>
                <w:sz w:val="17"/>
                <w:szCs w:val="17"/>
                <w:color w:val="auto"/>
              </w:rPr>
            </w:pPr>
          </w:p>
        </w:tc>
      </w:tr>
      <w:tr>
        <w:trPr>
          <w:trHeight w:val="196"/>
        </w:trPr>
        <w:tc>
          <w:tcPr>
            <w:tcW w:w="680" w:type="dxa"/>
            <w:vAlign w:val="bottom"/>
          </w:tcPr>
          <w:p>
            <w:pPr>
              <w:jc w:val="right"/>
              <w:ind w:right="110"/>
              <w:spacing w:after="0" w:line="196" w:lineRule="exact"/>
              <w:rPr>
                <w:sz w:val="20"/>
                <w:szCs w:val="20"/>
                <w:color w:val="auto"/>
              </w:rPr>
            </w:pPr>
            <w:r>
              <w:rPr>
                <w:rFonts w:ascii="Arial" w:cs="Arial" w:eastAsia="Arial" w:hAnsi="Arial"/>
                <w:sz w:val="18"/>
                <w:szCs w:val="18"/>
                <w:color w:val="auto"/>
              </w:rPr>
              <w:t>31.1</w:t>
            </w:r>
          </w:p>
        </w:tc>
        <w:tc>
          <w:tcPr>
            <w:tcW w:w="6900" w:type="dxa"/>
            <w:vAlign w:val="bottom"/>
            <w:tcBorders>
              <w:bottom w:val="single" w:sz="8" w:color="0000EE"/>
            </w:tcBorders>
            <w:gridSpan w:val="16"/>
          </w:tcPr>
          <w:p>
            <w:pPr>
              <w:spacing w:after="0" w:line="196" w:lineRule="exact"/>
              <w:rPr>
                <w:rFonts w:ascii="Arial" w:cs="Arial" w:eastAsia="Arial" w:hAnsi="Arial"/>
                <w:sz w:val="18"/>
                <w:szCs w:val="18"/>
                <w:color w:val="0000EE"/>
                <w:w w:val="91"/>
              </w:rPr>
            </w:pPr>
            <w:hyperlink w:anchor="page169">
              <w:r>
                <w:rPr>
                  <w:rFonts w:ascii="Arial" w:cs="Arial" w:eastAsia="Arial" w:hAnsi="Arial"/>
                  <w:sz w:val="18"/>
                  <w:szCs w:val="18"/>
                  <w:color w:val="0000EE"/>
                  <w:w w:val="91"/>
                </w:rPr>
                <w:t>Certification of Periodic Report by Chief Executive Officer Pursuant to Rule 13a–14(a) or 15d–</w:t>
              </w:r>
            </w:hyperlink>
          </w:p>
        </w:tc>
        <w:tc>
          <w:tcPr>
            <w:tcW w:w="240" w:type="dxa"/>
            <w:vAlign w:val="bottom"/>
            <w:gridSpan w:val="4"/>
          </w:tcPr>
          <w:p>
            <w:pPr>
              <w:spacing w:after="0"/>
              <w:rPr>
                <w:sz w:val="17"/>
                <w:szCs w:val="17"/>
                <w:color w:val="auto"/>
              </w:rPr>
            </w:pPr>
          </w:p>
        </w:tc>
      </w:tr>
      <w:tr>
        <w:trPr>
          <w:trHeight w:val="196"/>
        </w:trPr>
        <w:tc>
          <w:tcPr>
            <w:tcW w:w="680" w:type="dxa"/>
            <w:vAlign w:val="bottom"/>
          </w:tcPr>
          <w:p>
            <w:pPr>
              <w:spacing w:after="0"/>
              <w:rPr>
                <w:sz w:val="17"/>
                <w:szCs w:val="17"/>
                <w:color w:val="auto"/>
              </w:rPr>
            </w:pPr>
          </w:p>
        </w:tc>
        <w:tc>
          <w:tcPr>
            <w:tcW w:w="7140" w:type="dxa"/>
            <w:vAlign w:val="bottom"/>
            <w:tcBorders>
              <w:bottom w:val="single" w:sz="8" w:color="0000EE"/>
            </w:tcBorders>
            <w:gridSpan w:val="20"/>
          </w:tcPr>
          <w:p>
            <w:pPr>
              <w:spacing w:after="0" w:line="196" w:lineRule="exact"/>
              <w:rPr>
                <w:rFonts w:ascii="Arial" w:cs="Arial" w:eastAsia="Arial" w:hAnsi="Arial"/>
                <w:sz w:val="18"/>
                <w:szCs w:val="18"/>
                <w:color w:val="0000EE"/>
                <w:w w:val="89"/>
              </w:rPr>
            </w:pPr>
            <w:hyperlink w:anchor="page169">
              <w:r>
                <w:rPr>
                  <w:rFonts w:ascii="Arial" w:cs="Arial" w:eastAsia="Arial" w:hAnsi="Arial"/>
                  <w:sz w:val="18"/>
                  <w:szCs w:val="18"/>
                  <w:color w:val="0000EE"/>
                  <w:w w:val="89"/>
                </w:rPr>
                <w:t>14(a) of the Securities Exchange Act of 1934, as Adopted Pursuant to Section 302 of the Sarbanes-</w:t>
              </w:r>
            </w:hyperlink>
          </w:p>
        </w:tc>
      </w:tr>
      <w:tr>
        <w:trPr>
          <w:trHeight w:val="196"/>
        </w:trPr>
        <w:tc>
          <w:tcPr>
            <w:tcW w:w="680" w:type="dxa"/>
            <w:vAlign w:val="bottom"/>
          </w:tcPr>
          <w:p>
            <w:pPr>
              <w:spacing w:after="0"/>
              <w:rPr>
                <w:sz w:val="17"/>
                <w:szCs w:val="17"/>
                <w:color w:val="auto"/>
              </w:rPr>
            </w:pPr>
          </w:p>
        </w:tc>
        <w:tc>
          <w:tcPr>
            <w:tcW w:w="2580" w:type="dxa"/>
            <w:vAlign w:val="bottom"/>
            <w:tcBorders>
              <w:bottom w:val="single" w:sz="8" w:color="0000EE"/>
            </w:tcBorders>
            <w:gridSpan w:val="3"/>
          </w:tcPr>
          <w:p>
            <w:pPr>
              <w:spacing w:after="0" w:line="196" w:lineRule="exact"/>
              <w:rPr>
                <w:rFonts w:ascii="Arial" w:cs="Arial" w:eastAsia="Arial" w:hAnsi="Arial"/>
                <w:sz w:val="18"/>
                <w:szCs w:val="18"/>
                <w:color w:val="0000EE"/>
                <w:w w:val="94"/>
              </w:rPr>
            </w:pPr>
            <w:hyperlink w:anchor="page169">
              <w:r>
                <w:rPr>
                  <w:rFonts w:ascii="Arial" w:cs="Arial" w:eastAsia="Arial" w:hAnsi="Arial"/>
                  <w:sz w:val="18"/>
                  <w:szCs w:val="18"/>
                  <w:color w:val="0000EE"/>
                  <w:w w:val="94"/>
                </w:rPr>
                <w:t>Oxley Act of 2002 (filed herewith).</w:t>
              </w:r>
            </w:hyperlink>
          </w:p>
        </w:tc>
        <w:tc>
          <w:tcPr>
            <w:tcW w:w="4560" w:type="dxa"/>
            <w:vAlign w:val="bottom"/>
            <w:gridSpan w:val="17"/>
          </w:tcPr>
          <w:p>
            <w:pPr>
              <w:spacing w:after="0"/>
              <w:rPr>
                <w:sz w:val="17"/>
                <w:szCs w:val="17"/>
                <w:color w:val="auto"/>
              </w:rPr>
            </w:pPr>
          </w:p>
        </w:tc>
      </w:tr>
      <w:tr>
        <w:trPr>
          <w:trHeight w:val="196"/>
        </w:trPr>
        <w:tc>
          <w:tcPr>
            <w:tcW w:w="680" w:type="dxa"/>
            <w:vAlign w:val="bottom"/>
          </w:tcPr>
          <w:p>
            <w:pPr>
              <w:jc w:val="right"/>
              <w:ind w:right="110"/>
              <w:spacing w:after="0" w:line="196" w:lineRule="exact"/>
              <w:rPr>
                <w:sz w:val="20"/>
                <w:szCs w:val="20"/>
                <w:color w:val="auto"/>
              </w:rPr>
            </w:pPr>
            <w:r>
              <w:rPr>
                <w:rFonts w:ascii="Arial" w:cs="Arial" w:eastAsia="Arial" w:hAnsi="Arial"/>
                <w:sz w:val="18"/>
                <w:szCs w:val="18"/>
                <w:color w:val="auto"/>
              </w:rPr>
              <w:t>31.2</w:t>
            </w:r>
          </w:p>
        </w:tc>
        <w:tc>
          <w:tcPr>
            <w:tcW w:w="7140" w:type="dxa"/>
            <w:vAlign w:val="bottom"/>
            <w:gridSpan w:val="20"/>
          </w:tcPr>
          <w:p>
            <w:pPr>
              <w:spacing w:after="0" w:line="196" w:lineRule="exact"/>
              <w:rPr>
                <w:rFonts w:ascii="Arial" w:cs="Arial" w:eastAsia="Arial" w:hAnsi="Arial"/>
                <w:sz w:val="18"/>
                <w:szCs w:val="18"/>
                <w:color w:val="0000EE"/>
                <w:w w:val="95"/>
              </w:rPr>
            </w:pPr>
            <w:hyperlink w:anchor="page170">
              <w:r>
                <w:rPr>
                  <w:rFonts w:ascii="Arial" w:cs="Arial" w:eastAsia="Arial" w:hAnsi="Arial"/>
                  <w:sz w:val="18"/>
                  <w:szCs w:val="18"/>
                  <w:color w:val="0000EE"/>
                  <w:w w:val="95"/>
                </w:rPr>
                <w:t>Certification of Periodic Report by Chief Financial Officer Pursuant to Rule 13a–14(a) or 15d–</w:t>
              </w:r>
            </w:hyperlink>
          </w:p>
        </w:tc>
      </w:tr>
      <w:tr>
        <w:trPr>
          <w:trHeight w:val="20"/>
        </w:trPr>
        <w:tc>
          <w:tcPr>
            <w:tcW w:w="680" w:type="dxa"/>
            <w:vAlign w:val="bottom"/>
          </w:tcPr>
          <w:p>
            <w:pPr>
              <w:spacing w:after="0" w:line="20" w:lineRule="exact"/>
              <w:rPr>
                <w:sz w:val="1"/>
                <w:szCs w:val="1"/>
                <w:color w:val="auto"/>
              </w:rPr>
            </w:pPr>
          </w:p>
        </w:tc>
        <w:tc>
          <w:tcPr>
            <w:tcW w:w="4820" w:type="dxa"/>
            <w:vAlign w:val="bottom"/>
            <w:gridSpan w:val="8"/>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00" w:type="dxa"/>
            <w:vAlign w:val="bottom"/>
            <w:gridSpan w:val="5"/>
            <w:shd w:val="clear" w:color="auto" w:fill="0000EE"/>
          </w:tcPr>
          <w:p>
            <w:pPr>
              <w:spacing w:after="0" w:line="20" w:lineRule="exact"/>
              <w:rPr>
                <w:sz w:val="1"/>
                <w:szCs w:val="1"/>
                <w:color w:val="auto"/>
              </w:rPr>
            </w:pPr>
          </w:p>
        </w:tc>
        <w:tc>
          <w:tcPr>
            <w:tcW w:w="160" w:type="dxa"/>
            <w:vAlign w:val="bottom"/>
            <w:gridSpan w:val="3"/>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196"/>
        </w:trPr>
        <w:tc>
          <w:tcPr>
            <w:tcW w:w="680" w:type="dxa"/>
            <w:vAlign w:val="bottom"/>
          </w:tcPr>
          <w:p>
            <w:pPr>
              <w:spacing w:after="0"/>
              <w:rPr>
                <w:sz w:val="17"/>
                <w:szCs w:val="17"/>
                <w:color w:val="auto"/>
              </w:rPr>
            </w:pPr>
          </w:p>
        </w:tc>
        <w:tc>
          <w:tcPr>
            <w:tcW w:w="7140" w:type="dxa"/>
            <w:vAlign w:val="bottom"/>
            <w:tcBorders>
              <w:bottom w:val="single" w:sz="8" w:color="0000EE"/>
            </w:tcBorders>
            <w:gridSpan w:val="20"/>
          </w:tcPr>
          <w:p>
            <w:pPr>
              <w:spacing w:after="0" w:line="196" w:lineRule="exact"/>
              <w:rPr>
                <w:rFonts w:ascii="Arial" w:cs="Arial" w:eastAsia="Arial" w:hAnsi="Arial"/>
                <w:sz w:val="18"/>
                <w:szCs w:val="18"/>
                <w:color w:val="0000EE"/>
                <w:w w:val="89"/>
              </w:rPr>
            </w:pPr>
            <w:hyperlink w:anchor="page170">
              <w:r>
                <w:rPr>
                  <w:rFonts w:ascii="Arial" w:cs="Arial" w:eastAsia="Arial" w:hAnsi="Arial"/>
                  <w:sz w:val="18"/>
                  <w:szCs w:val="18"/>
                  <w:color w:val="0000EE"/>
                  <w:w w:val="89"/>
                </w:rPr>
                <w:t>14(a) of the Securities Exchange Act of 1934, as Adopted Pursuant to Section 302 of the Sarbanes-</w:t>
              </w:r>
            </w:hyperlink>
          </w:p>
        </w:tc>
      </w:tr>
      <w:tr>
        <w:trPr>
          <w:trHeight w:val="196"/>
        </w:trPr>
        <w:tc>
          <w:tcPr>
            <w:tcW w:w="680" w:type="dxa"/>
            <w:vAlign w:val="bottom"/>
          </w:tcPr>
          <w:p>
            <w:pPr>
              <w:spacing w:after="0"/>
              <w:rPr>
                <w:sz w:val="17"/>
                <w:szCs w:val="17"/>
                <w:color w:val="auto"/>
              </w:rPr>
            </w:pPr>
          </w:p>
        </w:tc>
        <w:tc>
          <w:tcPr>
            <w:tcW w:w="2580" w:type="dxa"/>
            <w:vAlign w:val="bottom"/>
            <w:tcBorders>
              <w:bottom w:val="single" w:sz="8" w:color="0000EE"/>
            </w:tcBorders>
            <w:gridSpan w:val="3"/>
          </w:tcPr>
          <w:p>
            <w:pPr>
              <w:spacing w:after="0" w:line="196" w:lineRule="exact"/>
              <w:rPr>
                <w:rFonts w:ascii="Arial" w:cs="Arial" w:eastAsia="Arial" w:hAnsi="Arial"/>
                <w:sz w:val="18"/>
                <w:szCs w:val="18"/>
                <w:color w:val="0000EE"/>
                <w:w w:val="94"/>
              </w:rPr>
            </w:pPr>
            <w:hyperlink w:anchor="page170">
              <w:r>
                <w:rPr>
                  <w:rFonts w:ascii="Arial" w:cs="Arial" w:eastAsia="Arial" w:hAnsi="Arial"/>
                  <w:sz w:val="18"/>
                  <w:szCs w:val="18"/>
                  <w:color w:val="0000EE"/>
                  <w:w w:val="94"/>
                </w:rPr>
                <w:t>Oxley Act of 2002 (filed herewith).</w:t>
              </w:r>
            </w:hyperlink>
          </w:p>
        </w:tc>
        <w:tc>
          <w:tcPr>
            <w:tcW w:w="4560" w:type="dxa"/>
            <w:vAlign w:val="bottom"/>
            <w:gridSpan w:val="17"/>
          </w:tcPr>
          <w:p>
            <w:pPr>
              <w:spacing w:after="0"/>
              <w:rPr>
                <w:sz w:val="17"/>
                <w:szCs w:val="17"/>
                <w:color w:val="auto"/>
              </w:rPr>
            </w:pPr>
          </w:p>
        </w:tc>
      </w:tr>
      <w:tr>
        <w:trPr>
          <w:trHeight w:val="196"/>
        </w:trPr>
        <w:tc>
          <w:tcPr>
            <w:tcW w:w="680" w:type="dxa"/>
            <w:vAlign w:val="bottom"/>
          </w:tcPr>
          <w:p>
            <w:pPr>
              <w:jc w:val="right"/>
              <w:ind w:right="110"/>
              <w:spacing w:after="0" w:line="196" w:lineRule="exact"/>
              <w:rPr>
                <w:sz w:val="20"/>
                <w:szCs w:val="20"/>
                <w:color w:val="auto"/>
              </w:rPr>
            </w:pPr>
            <w:r>
              <w:rPr>
                <w:rFonts w:ascii="Arial" w:cs="Arial" w:eastAsia="Arial" w:hAnsi="Arial"/>
                <w:sz w:val="18"/>
                <w:szCs w:val="18"/>
                <w:color w:val="auto"/>
              </w:rPr>
              <w:t>32.1</w:t>
            </w:r>
          </w:p>
        </w:tc>
        <w:tc>
          <w:tcPr>
            <w:tcW w:w="7060" w:type="dxa"/>
            <w:vAlign w:val="bottom"/>
            <w:tcBorders>
              <w:bottom w:val="single" w:sz="8" w:color="0000EE"/>
            </w:tcBorders>
            <w:gridSpan w:val="19"/>
          </w:tcPr>
          <w:p>
            <w:pPr>
              <w:spacing w:after="0" w:line="196" w:lineRule="exact"/>
              <w:rPr>
                <w:rFonts w:ascii="Arial" w:cs="Arial" w:eastAsia="Arial" w:hAnsi="Arial"/>
                <w:sz w:val="18"/>
                <w:szCs w:val="18"/>
                <w:color w:val="0000EE"/>
                <w:w w:val="91"/>
              </w:rPr>
            </w:pPr>
            <w:hyperlink w:anchor="page171">
              <w:r>
                <w:rPr>
                  <w:rFonts w:ascii="Arial" w:cs="Arial" w:eastAsia="Arial" w:hAnsi="Arial"/>
                  <w:sz w:val="18"/>
                  <w:szCs w:val="18"/>
                  <w:color w:val="0000EE"/>
                  <w:w w:val="91"/>
                </w:rPr>
                <w:t>Certification of Chief Executive Officer Pursuant to 18 U.S.C. Section 1350, as Adopted Pursuant</w:t>
              </w:r>
            </w:hyperlink>
          </w:p>
        </w:tc>
        <w:tc>
          <w:tcPr>
            <w:tcW w:w="80" w:type="dxa"/>
            <w:vAlign w:val="bottom"/>
          </w:tcPr>
          <w:p>
            <w:pPr>
              <w:spacing w:after="0"/>
              <w:rPr>
                <w:sz w:val="17"/>
                <w:szCs w:val="17"/>
                <w:color w:val="auto"/>
              </w:rPr>
            </w:pPr>
          </w:p>
        </w:tc>
      </w:tr>
      <w:tr>
        <w:trPr>
          <w:trHeight w:val="196"/>
        </w:trPr>
        <w:tc>
          <w:tcPr>
            <w:tcW w:w="680" w:type="dxa"/>
            <w:vAlign w:val="bottom"/>
          </w:tcPr>
          <w:p>
            <w:pPr>
              <w:spacing w:after="0"/>
              <w:rPr>
                <w:sz w:val="17"/>
                <w:szCs w:val="17"/>
                <w:color w:val="auto"/>
              </w:rPr>
            </w:pPr>
          </w:p>
        </w:tc>
        <w:tc>
          <w:tcPr>
            <w:tcW w:w="4840" w:type="dxa"/>
            <w:vAlign w:val="bottom"/>
            <w:tcBorders>
              <w:bottom w:val="single" w:sz="8" w:color="0000EE"/>
            </w:tcBorders>
            <w:gridSpan w:val="9"/>
          </w:tcPr>
          <w:p>
            <w:pPr>
              <w:spacing w:after="0" w:line="196" w:lineRule="exact"/>
              <w:rPr>
                <w:rFonts w:ascii="Arial" w:cs="Arial" w:eastAsia="Arial" w:hAnsi="Arial"/>
                <w:sz w:val="18"/>
                <w:szCs w:val="18"/>
                <w:color w:val="0000EE"/>
                <w:w w:val="92"/>
              </w:rPr>
            </w:pPr>
            <w:hyperlink w:anchor="page171">
              <w:r>
                <w:rPr>
                  <w:rFonts w:ascii="Arial" w:cs="Arial" w:eastAsia="Arial" w:hAnsi="Arial"/>
                  <w:sz w:val="18"/>
                  <w:szCs w:val="18"/>
                  <w:color w:val="0000EE"/>
                  <w:w w:val="92"/>
                </w:rPr>
                <w:t>to Section 906 of the Sarbanes-Oxley Act of 2002 (filed herewith).</w:t>
              </w:r>
            </w:hyperlink>
          </w:p>
        </w:tc>
        <w:tc>
          <w:tcPr>
            <w:tcW w:w="2300" w:type="dxa"/>
            <w:vAlign w:val="bottom"/>
            <w:gridSpan w:val="11"/>
          </w:tcPr>
          <w:p>
            <w:pPr>
              <w:spacing w:after="0"/>
              <w:rPr>
                <w:sz w:val="17"/>
                <w:szCs w:val="17"/>
                <w:color w:val="auto"/>
              </w:rPr>
            </w:pPr>
          </w:p>
        </w:tc>
      </w:tr>
      <w:tr>
        <w:trPr>
          <w:trHeight w:val="196"/>
        </w:trPr>
        <w:tc>
          <w:tcPr>
            <w:tcW w:w="680" w:type="dxa"/>
            <w:vAlign w:val="bottom"/>
          </w:tcPr>
          <w:p>
            <w:pPr>
              <w:jc w:val="right"/>
              <w:ind w:right="110"/>
              <w:spacing w:after="0" w:line="196" w:lineRule="exact"/>
              <w:rPr>
                <w:sz w:val="20"/>
                <w:szCs w:val="20"/>
                <w:color w:val="auto"/>
              </w:rPr>
            </w:pPr>
            <w:r>
              <w:rPr>
                <w:rFonts w:ascii="Arial" w:cs="Arial" w:eastAsia="Arial" w:hAnsi="Arial"/>
                <w:sz w:val="18"/>
                <w:szCs w:val="18"/>
                <w:color w:val="auto"/>
              </w:rPr>
              <w:t>32.2</w:t>
            </w:r>
          </w:p>
        </w:tc>
        <w:tc>
          <w:tcPr>
            <w:tcW w:w="7140" w:type="dxa"/>
            <w:vAlign w:val="bottom"/>
            <w:gridSpan w:val="20"/>
          </w:tcPr>
          <w:p>
            <w:pPr>
              <w:spacing w:after="0" w:line="196" w:lineRule="exact"/>
              <w:rPr>
                <w:rFonts w:ascii="Arial" w:cs="Arial" w:eastAsia="Arial" w:hAnsi="Arial"/>
                <w:sz w:val="18"/>
                <w:szCs w:val="18"/>
                <w:color w:val="0000EE"/>
                <w:w w:val="93"/>
              </w:rPr>
            </w:pPr>
            <w:hyperlink w:anchor="page172">
              <w:r>
                <w:rPr>
                  <w:rFonts w:ascii="Arial" w:cs="Arial" w:eastAsia="Arial" w:hAnsi="Arial"/>
                  <w:sz w:val="18"/>
                  <w:szCs w:val="18"/>
                  <w:color w:val="0000EE"/>
                  <w:w w:val="93"/>
                </w:rPr>
                <w:t>Certification of Chief Financial Officer Pursuant to 18 U.S.C. Section 1350, as Adopted Pursuant</w:t>
              </w:r>
            </w:hyperlink>
          </w:p>
        </w:tc>
      </w:tr>
      <w:tr>
        <w:trPr>
          <w:trHeight w:val="196"/>
        </w:trPr>
        <w:tc>
          <w:tcPr>
            <w:tcW w:w="680" w:type="dxa"/>
            <w:vAlign w:val="bottom"/>
          </w:tcPr>
          <w:p>
            <w:pPr>
              <w:spacing w:after="0"/>
              <w:rPr>
                <w:sz w:val="17"/>
                <w:szCs w:val="17"/>
                <w:color w:val="auto"/>
              </w:rPr>
            </w:pPr>
          </w:p>
        </w:tc>
        <w:tc>
          <w:tcPr>
            <w:tcW w:w="4820" w:type="dxa"/>
            <w:vAlign w:val="bottom"/>
            <w:tcBorders>
              <w:top w:val="single" w:sz="8" w:color="0000EE"/>
              <w:bottom w:val="single" w:sz="8" w:color="0000EE"/>
            </w:tcBorders>
            <w:gridSpan w:val="8"/>
          </w:tcPr>
          <w:p>
            <w:pPr>
              <w:spacing w:after="0" w:line="196" w:lineRule="exact"/>
              <w:rPr>
                <w:rFonts w:ascii="Arial" w:cs="Arial" w:eastAsia="Arial" w:hAnsi="Arial"/>
                <w:sz w:val="18"/>
                <w:szCs w:val="18"/>
                <w:color w:val="0000EE"/>
                <w:w w:val="91"/>
              </w:rPr>
            </w:pPr>
            <w:hyperlink w:anchor="page172">
              <w:r>
                <w:rPr>
                  <w:rFonts w:ascii="Arial" w:cs="Arial" w:eastAsia="Arial" w:hAnsi="Arial"/>
                  <w:sz w:val="18"/>
                  <w:szCs w:val="18"/>
                  <w:color w:val="0000EE"/>
                  <w:w w:val="91"/>
                </w:rPr>
                <w:t>to Section 906 of the Sarbanes-Oxley Act of 2002 (filed herewith).</w:t>
              </w:r>
            </w:hyperlink>
          </w:p>
        </w:tc>
        <w:tc>
          <w:tcPr>
            <w:tcW w:w="2180" w:type="dxa"/>
            <w:vAlign w:val="bottom"/>
            <w:tcBorders>
              <w:top w:val="single" w:sz="8" w:color="0000EE"/>
            </w:tcBorders>
            <w:gridSpan w:val="9"/>
          </w:tcPr>
          <w:p>
            <w:pPr>
              <w:spacing w:after="0"/>
              <w:rPr>
                <w:sz w:val="17"/>
                <w:szCs w:val="17"/>
                <w:color w:val="auto"/>
              </w:rPr>
            </w:pPr>
          </w:p>
        </w:tc>
        <w:tc>
          <w:tcPr>
            <w:tcW w:w="140" w:type="dxa"/>
            <w:vAlign w:val="bottom"/>
            <w:gridSpan w:val="3"/>
          </w:tcPr>
          <w:p>
            <w:pPr>
              <w:spacing w:after="0"/>
              <w:rPr>
                <w:sz w:val="17"/>
                <w:szCs w:val="17"/>
                <w:color w:val="auto"/>
              </w:rPr>
            </w:pPr>
          </w:p>
        </w:tc>
      </w:tr>
      <w:tr>
        <w:trPr>
          <w:trHeight w:val="222"/>
        </w:trPr>
        <w:tc>
          <w:tcPr>
            <w:tcW w:w="900" w:type="dxa"/>
            <w:vAlign w:val="bottom"/>
            <w:gridSpan w:val="2"/>
          </w:tcPr>
          <w:p>
            <w:pPr>
              <w:jc w:val="right"/>
              <w:ind w:right="10"/>
              <w:spacing w:after="0"/>
              <w:rPr>
                <w:sz w:val="20"/>
                <w:szCs w:val="20"/>
                <w:color w:val="auto"/>
              </w:rPr>
            </w:pPr>
            <w:r>
              <w:rPr>
                <w:rFonts w:ascii="Arial" w:cs="Arial" w:eastAsia="Arial" w:hAnsi="Arial"/>
                <w:sz w:val="18"/>
                <w:szCs w:val="18"/>
                <w:color w:val="auto"/>
              </w:rPr>
              <w:t>101.INS</w:t>
            </w:r>
          </w:p>
        </w:tc>
        <w:tc>
          <w:tcPr>
            <w:tcW w:w="6920" w:type="dxa"/>
            <w:vAlign w:val="bottom"/>
            <w:gridSpan w:val="19"/>
          </w:tcPr>
          <w:p>
            <w:pPr>
              <w:ind w:left="80"/>
              <w:spacing w:after="0"/>
              <w:rPr>
                <w:sz w:val="20"/>
                <w:szCs w:val="20"/>
                <w:color w:val="auto"/>
              </w:rPr>
            </w:pPr>
            <w:r>
              <w:rPr>
                <w:rFonts w:ascii="Arial" w:cs="Arial" w:eastAsia="Arial" w:hAnsi="Arial"/>
                <w:sz w:val="18"/>
                <w:szCs w:val="18"/>
                <w:color w:val="auto"/>
              </w:rPr>
              <w:t>XBRL Instance Document (filed herewith).</w:t>
            </w:r>
          </w:p>
        </w:tc>
      </w:tr>
      <w:tr>
        <w:trPr>
          <w:trHeight w:val="216"/>
        </w:trPr>
        <w:tc>
          <w:tcPr>
            <w:tcW w:w="900" w:type="dxa"/>
            <w:vAlign w:val="bottom"/>
            <w:gridSpan w:val="2"/>
          </w:tcPr>
          <w:p>
            <w:pPr>
              <w:jc w:val="right"/>
              <w:ind w:right="10"/>
              <w:spacing w:after="0"/>
              <w:rPr>
                <w:sz w:val="20"/>
                <w:szCs w:val="20"/>
                <w:color w:val="auto"/>
              </w:rPr>
            </w:pPr>
            <w:r>
              <w:rPr>
                <w:rFonts w:ascii="Arial" w:cs="Arial" w:eastAsia="Arial" w:hAnsi="Arial"/>
                <w:sz w:val="18"/>
                <w:szCs w:val="18"/>
                <w:color w:val="auto"/>
              </w:rPr>
              <w:t>101.SCH</w:t>
            </w:r>
          </w:p>
        </w:tc>
        <w:tc>
          <w:tcPr>
            <w:tcW w:w="6920" w:type="dxa"/>
            <w:vAlign w:val="bottom"/>
            <w:gridSpan w:val="19"/>
          </w:tcPr>
          <w:p>
            <w:pPr>
              <w:ind w:left="80"/>
              <w:spacing w:after="0"/>
              <w:rPr>
                <w:sz w:val="20"/>
                <w:szCs w:val="20"/>
                <w:color w:val="auto"/>
              </w:rPr>
            </w:pPr>
            <w:r>
              <w:rPr>
                <w:rFonts w:ascii="Arial" w:cs="Arial" w:eastAsia="Arial" w:hAnsi="Arial"/>
                <w:sz w:val="18"/>
                <w:szCs w:val="18"/>
                <w:color w:val="auto"/>
              </w:rPr>
              <w:t>XBRL Taxonomy Extension Schema (filed herewith).</w:t>
            </w:r>
          </w:p>
        </w:tc>
      </w:tr>
      <w:tr>
        <w:trPr>
          <w:trHeight w:val="216"/>
        </w:trPr>
        <w:tc>
          <w:tcPr>
            <w:tcW w:w="900" w:type="dxa"/>
            <w:vAlign w:val="bottom"/>
            <w:gridSpan w:val="2"/>
          </w:tcPr>
          <w:p>
            <w:pPr>
              <w:jc w:val="right"/>
              <w:ind w:right="10"/>
              <w:spacing w:after="0"/>
              <w:rPr>
                <w:sz w:val="20"/>
                <w:szCs w:val="20"/>
                <w:color w:val="auto"/>
              </w:rPr>
            </w:pPr>
            <w:r>
              <w:rPr>
                <w:rFonts w:ascii="Arial" w:cs="Arial" w:eastAsia="Arial" w:hAnsi="Arial"/>
                <w:sz w:val="18"/>
                <w:szCs w:val="18"/>
                <w:color w:val="auto"/>
              </w:rPr>
              <w:t>101.CAL</w:t>
            </w:r>
          </w:p>
        </w:tc>
        <w:tc>
          <w:tcPr>
            <w:tcW w:w="6920" w:type="dxa"/>
            <w:vAlign w:val="bottom"/>
            <w:gridSpan w:val="19"/>
          </w:tcPr>
          <w:p>
            <w:pPr>
              <w:ind w:left="80"/>
              <w:spacing w:after="0"/>
              <w:rPr>
                <w:sz w:val="20"/>
                <w:szCs w:val="20"/>
                <w:color w:val="auto"/>
              </w:rPr>
            </w:pPr>
            <w:r>
              <w:rPr>
                <w:rFonts w:ascii="Arial" w:cs="Arial" w:eastAsia="Arial" w:hAnsi="Arial"/>
                <w:sz w:val="18"/>
                <w:szCs w:val="18"/>
                <w:color w:val="auto"/>
              </w:rPr>
              <w:t>XBRL Taxonomy Extension Calculation Linkbase (filed herewith).</w:t>
            </w:r>
          </w:p>
        </w:tc>
      </w:tr>
      <w:tr>
        <w:trPr>
          <w:trHeight w:val="216"/>
        </w:trPr>
        <w:tc>
          <w:tcPr>
            <w:tcW w:w="900" w:type="dxa"/>
            <w:vAlign w:val="bottom"/>
            <w:gridSpan w:val="2"/>
          </w:tcPr>
          <w:p>
            <w:pPr>
              <w:jc w:val="right"/>
              <w:ind w:right="10"/>
              <w:spacing w:after="0"/>
              <w:rPr>
                <w:sz w:val="20"/>
                <w:szCs w:val="20"/>
                <w:color w:val="auto"/>
              </w:rPr>
            </w:pPr>
            <w:r>
              <w:rPr>
                <w:rFonts w:ascii="Arial" w:cs="Arial" w:eastAsia="Arial" w:hAnsi="Arial"/>
                <w:sz w:val="18"/>
                <w:szCs w:val="18"/>
                <w:color w:val="auto"/>
              </w:rPr>
              <w:t>101.DEF</w:t>
            </w:r>
          </w:p>
        </w:tc>
        <w:tc>
          <w:tcPr>
            <w:tcW w:w="6920" w:type="dxa"/>
            <w:vAlign w:val="bottom"/>
            <w:gridSpan w:val="19"/>
          </w:tcPr>
          <w:p>
            <w:pPr>
              <w:ind w:left="80"/>
              <w:spacing w:after="0"/>
              <w:rPr>
                <w:sz w:val="20"/>
                <w:szCs w:val="20"/>
                <w:color w:val="auto"/>
              </w:rPr>
            </w:pPr>
            <w:r>
              <w:rPr>
                <w:rFonts w:ascii="Arial" w:cs="Arial" w:eastAsia="Arial" w:hAnsi="Arial"/>
                <w:sz w:val="18"/>
                <w:szCs w:val="18"/>
                <w:color w:val="auto"/>
              </w:rPr>
              <w:t>XBRL Taxonomy Extension Definition Linkbase (filed herewith).</w:t>
            </w:r>
          </w:p>
        </w:tc>
      </w:tr>
      <w:tr>
        <w:trPr>
          <w:trHeight w:val="216"/>
        </w:trPr>
        <w:tc>
          <w:tcPr>
            <w:tcW w:w="900" w:type="dxa"/>
            <w:vAlign w:val="bottom"/>
            <w:gridSpan w:val="2"/>
          </w:tcPr>
          <w:p>
            <w:pPr>
              <w:jc w:val="right"/>
              <w:ind w:right="10"/>
              <w:spacing w:after="0"/>
              <w:rPr>
                <w:sz w:val="20"/>
                <w:szCs w:val="20"/>
                <w:color w:val="auto"/>
              </w:rPr>
            </w:pPr>
            <w:r>
              <w:rPr>
                <w:rFonts w:ascii="Arial" w:cs="Arial" w:eastAsia="Arial" w:hAnsi="Arial"/>
                <w:sz w:val="18"/>
                <w:szCs w:val="18"/>
                <w:color w:val="auto"/>
              </w:rPr>
              <w:t>101.LAB</w:t>
            </w:r>
          </w:p>
        </w:tc>
        <w:tc>
          <w:tcPr>
            <w:tcW w:w="6920" w:type="dxa"/>
            <w:vAlign w:val="bottom"/>
            <w:gridSpan w:val="19"/>
          </w:tcPr>
          <w:p>
            <w:pPr>
              <w:ind w:left="80"/>
              <w:spacing w:after="0"/>
              <w:rPr>
                <w:sz w:val="20"/>
                <w:szCs w:val="20"/>
                <w:color w:val="auto"/>
              </w:rPr>
            </w:pPr>
            <w:r>
              <w:rPr>
                <w:rFonts w:ascii="Arial" w:cs="Arial" w:eastAsia="Arial" w:hAnsi="Arial"/>
                <w:sz w:val="18"/>
                <w:szCs w:val="18"/>
                <w:color w:val="auto"/>
              </w:rPr>
              <w:t>XBRL Taxonomy Extension Label Linkbase (filed herewith).</w:t>
            </w:r>
          </w:p>
        </w:tc>
      </w:tr>
      <w:tr>
        <w:trPr>
          <w:trHeight w:val="230"/>
        </w:trPr>
        <w:tc>
          <w:tcPr>
            <w:tcW w:w="900" w:type="dxa"/>
            <w:vAlign w:val="bottom"/>
            <w:gridSpan w:val="2"/>
          </w:tcPr>
          <w:p>
            <w:pPr>
              <w:jc w:val="right"/>
              <w:ind w:right="10"/>
              <w:spacing w:after="0"/>
              <w:rPr>
                <w:sz w:val="20"/>
                <w:szCs w:val="20"/>
                <w:color w:val="auto"/>
              </w:rPr>
            </w:pPr>
            <w:r>
              <w:rPr>
                <w:rFonts w:ascii="Arial" w:cs="Arial" w:eastAsia="Arial" w:hAnsi="Arial"/>
                <w:sz w:val="18"/>
                <w:szCs w:val="18"/>
                <w:color w:val="auto"/>
              </w:rPr>
              <w:t>101.PRE</w:t>
            </w:r>
          </w:p>
        </w:tc>
        <w:tc>
          <w:tcPr>
            <w:tcW w:w="6920" w:type="dxa"/>
            <w:vAlign w:val="bottom"/>
            <w:gridSpan w:val="19"/>
          </w:tcPr>
          <w:p>
            <w:pPr>
              <w:ind w:left="80"/>
              <w:spacing w:after="0"/>
              <w:rPr>
                <w:sz w:val="20"/>
                <w:szCs w:val="20"/>
                <w:color w:val="auto"/>
              </w:rPr>
            </w:pPr>
            <w:r>
              <w:rPr>
                <w:rFonts w:ascii="Arial" w:cs="Arial" w:eastAsia="Arial" w:hAnsi="Arial"/>
                <w:sz w:val="18"/>
                <w:szCs w:val="18"/>
                <w:color w:val="auto"/>
              </w:rPr>
              <w:t>XBRL Taxonomy Extension Presentation Linkbase (filed herewith).</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68580</wp:posOffset>
            </wp:positionV>
            <wp:extent cx="1311910" cy="889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1">
                      <a:extLst>
                        <a:ext uri="{28A0092B-C50C-407E-A947-70E740481C1C}"/>
                      </a:extLst>
                    </a:blip>
                    <a:srcRect/>
                    <a:stretch>
                      <a:fillRect/>
                    </a:stretch>
                  </pic:blipFill>
                  <pic:spPr bwMode="auto">
                    <a:xfrm>
                      <a:off x="0" y="0"/>
                      <a:ext cx="1311910" cy="8890"/>
                    </a:xfrm>
                    <a:prstGeom prst="rect">
                      <a:avLst/>
                    </a:prstGeom>
                    <a:noFill/>
                  </pic:spPr>
                </pic:pic>
              </a:graphicData>
            </a:graphic>
          </wp:anchor>
        </w:drawing>
      </w:r>
    </w:p>
    <w:p>
      <w:pPr>
        <w:spacing w:after="0" w:line="195" w:lineRule="exact"/>
        <w:rPr>
          <w:sz w:val="20"/>
          <w:szCs w:val="20"/>
          <w:color w:val="auto"/>
        </w:rPr>
      </w:pPr>
    </w:p>
    <w:p>
      <w:pPr>
        <w:ind w:left="680" w:hanging="298"/>
        <w:spacing w:after="0"/>
        <w:tabs>
          <w:tab w:leader="none" w:pos="6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Identifies exhibits that consist of a management contract or compensatory plan or arrangement.</w:t>
      </w:r>
    </w:p>
    <w:p>
      <w:pPr>
        <w:spacing w:after="0" w:line="221" w:lineRule="exact"/>
        <w:rPr>
          <w:sz w:val="20"/>
          <w:szCs w:val="20"/>
          <w:color w:val="auto"/>
        </w:rPr>
      </w:pPr>
    </w:p>
    <w:p>
      <w:pPr>
        <w:ind w:left="380"/>
        <w:spacing w:after="0" w:line="207" w:lineRule="exact"/>
        <w:tabs>
          <w:tab w:leader="none" w:pos="1660" w:val="left"/>
        </w:tabs>
        <w:rPr>
          <w:sz w:val="20"/>
          <w:szCs w:val="20"/>
          <w:color w:val="auto"/>
        </w:rPr>
      </w:pPr>
      <w:r>
        <w:rPr>
          <w:rFonts w:ascii="Arial" w:cs="Arial" w:eastAsia="Arial" w:hAnsi="Arial"/>
          <w:sz w:val="18"/>
          <w:szCs w:val="18"/>
          <w:b w:val="1"/>
          <w:bCs w:val="1"/>
          <w:color w:val="auto"/>
        </w:rPr>
        <w:t>ITEM 16.</w:t>
      </w:r>
      <w:r>
        <w:rPr>
          <w:sz w:val="20"/>
          <w:szCs w:val="20"/>
          <w:color w:val="auto"/>
        </w:rPr>
        <w:tab/>
      </w:r>
      <w:r>
        <w:rPr>
          <w:rFonts w:ascii="Arial" w:cs="Arial" w:eastAsia="Arial" w:hAnsi="Arial"/>
          <w:sz w:val="18"/>
          <w:szCs w:val="18"/>
          <w:b w:val="1"/>
          <w:bCs w:val="1"/>
          <w:color w:val="auto"/>
        </w:rPr>
        <w:t>FORM 10</w:t>
      </w:r>
      <w:r>
        <w:rPr>
          <w:rFonts w:ascii="MS PGothic" w:cs="MS PGothic" w:eastAsia="MS PGothic" w:hAnsi="MS PGothic"/>
          <w:sz w:val="18"/>
          <w:szCs w:val="18"/>
          <w:b w:val="1"/>
          <w:bCs w:val="1"/>
          <w:color w:val="auto"/>
        </w:rPr>
        <w:t>‑</w:t>
      </w:r>
      <w:r>
        <w:rPr>
          <w:rFonts w:ascii="Arial" w:cs="Arial" w:eastAsia="Arial" w:hAnsi="Arial"/>
          <w:sz w:val="18"/>
          <w:szCs w:val="18"/>
          <w:b w:val="1"/>
          <w:bCs w:val="1"/>
          <w:color w:val="auto"/>
        </w:rPr>
        <w:t>K SUMMARY</w:t>
      </w:r>
    </w:p>
    <w:p>
      <w:pPr>
        <w:spacing w:after="0" w:line="229" w:lineRule="exact"/>
        <w:rPr>
          <w:sz w:val="20"/>
          <w:szCs w:val="20"/>
          <w:color w:val="auto"/>
        </w:rPr>
      </w:pPr>
    </w:p>
    <w:p>
      <w:pPr>
        <w:ind w:left="1040"/>
        <w:spacing w:after="0"/>
        <w:rPr>
          <w:sz w:val="20"/>
          <w:szCs w:val="20"/>
          <w:color w:val="auto"/>
        </w:rPr>
      </w:pPr>
      <w:r>
        <w:rPr>
          <w:rFonts w:ascii="Arial" w:cs="Arial" w:eastAsia="Arial" w:hAnsi="Arial"/>
          <w:sz w:val="18"/>
          <w:szCs w:val="18"/>
          <w:color w:val="auto"/>
        </w:rPr>
        <w:t>None.</w:t>
      </w:r>
    </w:p>
    <w:p>
      <w:pPr>
        <w:spacing w:after="0" w:line="223"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81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22">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85" w:name="page86"/>
    <w:bookmarkEnd w:id="85"/>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jc w:val="both"/>
        <w:ind w:left="380" w:right="439" w:firstLine="648"/>
        <w:spacing w:after="0" w:line="342" w:lineRule="auto"/>
        <w:rPr>
          <w:sz w:val="20"/>
          <w:szCs w:val="20"/>
          <w:color w:val="auto"/>
        </w:rPr>
      </w:pPr>
      <w:r>
        <w:rPr>
          <w:rFonts w:ascii="Arial" w:cs="Arial" w:eastAsia="Arial" w:hAnsi="Arial"/>
          <w:sz w:val="16"/>
          <w:szCs w:val="16"/>
          <w:color w:val="auto"/>
        </w:rPr>
        <w:t>Pursuant to the requirements of Section 13 or 15(d) of the Securities Exchange Act of 1934, as amended, the registrant has duly caused this report to be signed on its behalf by the undersigned, thereunto duly authorized.</w:t>
      </w:r>
    </w:p>
    <w:p>
      <w:pPr>
        <w:spacing w:after="0" w:line="137" w:lineRule="exact"/>
        <w:rPr>
          <w:sz w:val="20"/>
          <w:szCs w:val="20"/>
          <w:color w:val="auto"/>
        </w:rPr>
      </w:pPr>
    </w:p>
    <w:tbl>
      <w:tblPr>
        <w:tblLayout w:type="fixed"/>
        <w:tblInd w:w="380" w:type="dxa"/>
        <w:tblCellMar>
          <w:top w:w="0" w:type="dxa"/>
          <w:left w:w="0" w:type="dxa"/>
          <w:bottom w:w="0" w:type="dxa"/>
          <w:right w:w="0" w:type="dxa"/>
        </w:tblCellMar>
      </w:tblPr>
      <w:tr>
        <w:trPr>
          <w:trHeight w:val="230"/>
        </w:trPr>
        <w:tc>
          <w:tcPr>
            <w:tcW w:w="2660" w:type="dxa"/>
            <w:vAlign w:val="bottom"/>
          </w:tcPr>
          <w:p>
            <w:pPr>
              <w:spacing w:after="0"/>
              <w:rPr>
                <w:sz w:val="20"/>
                <w:szCs w:val="20"/>
                <w:color w:val="auto"/>
              </w:rPr>
            </w:pPr>
          </w:p>
        </w:tc>
        <w:tc>
          <w:tcPr>
            <w:tcW w:w="5600" w:type="dxa"/>
            <w:vAlign w:val="bottom"/>
            <w:gridSpan w:val="2"/>
          </w:tcPr>
          <w:p>
            <w:pPr>
              <w:ind w:left="1160"/>
              <w:spacing w:after="0"/>
              <w:rPr>
                <w:sz w:val="20"/>
                <w:szCs w:val="20"/>
                <w:color w:val="auto"/>
              </w:rPr>
            </w:pPr>
            <w:r>
              <w:rPr>
                <w:rFonts w:ascii="Arial" w:cs="Arial" w:eastAsia="Arial" w:hAnsi="Arial"/>
                <w:sz w:val="18"/>
                <w:szCs w:val="18"/>
                <w:color w:val="auto"/>
              </w:rPr>
              <w:t>ACUSHNET HOLDINGS CORP.</w:t>
            </w:r>
          </w:p>
        </w:tc>
      </w:tr>
      <w:tr>
        <w:trPr>
          <w:trHeight w:val="432"/>
        </w:trPr>
        <w:tc>
          <w:tcPr>
            <w:tcW w:w="2660" w:type="dxa"/>
            <w:vAlign w:val="bottom"/>
          </w:tcPr>
          <w:p>
            <w:pPr>
              <w:spacing w:after="0"/>
              <w:rPr>
                <w:sz w:val="24"/>
                <w:szCs w:val="24"/>
                <w:color w:val="auto"/>
              </w:rPr>
            </w:pPr>
          </w:p>
        </w:tc>
        <w:tc>
          <w:tcPr>
            <w:tcW w:w="5600" w:type="dxa"/>
            <w:vAlign w:val="bottom"/>
            <w:gridSpan w:val="2"/>
          </w:tcPr>
          <w:p>
            <w:pPr>
              <w:ind w:left="1160"/>
              <w:spacing w:after="0"/>
              <w:rPr>
                <w:sz w:val="20"/>
                <w:szCs w:val="20"/>
                <w:color w:val="auto"/>
              </w:rPr>
            </w:pPr>
            <w:r>
              <w:rPr>
                <w:rFonts w:ascii="Arial" w:cs="Arial" w:eastAsia="Arial" w:hAnsi="Arial"/>
                <w:sz w:val="18"/>
                <w:szCs w:val="18"/>
                <w:color w:val="auto"/>
              </w:rPr>
              <w:t>By:/s/ David Maher</w:t>
            </w:r>
          </w:p>
        </w:tc>
      </w:tr>
      <w:tr>
        <w:trPr>
          <w:trHeight w:val="195"/>
        </w:trPr>
        <w:tc>
          <w:tcPr>
            <w:tcW w:w="2660" w:type="dxa"/>
            <w:vAlign w:val="bottom"/>
          </w:tcPr>
          <w:p>
            <w:pPr>
              <w:spacing w:after="0"/>
              <w:rPr>
                <w:sz w:val="16"/>
                <w:szCs w:val="16"/>
                <w:color w:val="auto"/>
              </w:rPr>
            </w:pPr>
          </w:p>
        </w:tc>
        <w:tc>
          <w:tcPr>
            <w:tcW w:w="1440" w:type="dxa"/>
            <w:vAlign w:val="bottom"/>
          </w:tcPr>
          <w:p>
            <w:pPr>
              <w:spacing w:after="0"/>
              <w:rPr>
                <w:sz w:val="16"/>
                <w:szCs w:val="16"/>
                <w:color w:val="auto"/>
              </w:rPr>
            </w:pPr>
          </w:p>
        </w:tc>
        <w:tc>
          <w:tcPr>
            <w:tcW w:w="416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Name:David Maher</w:t>
            </w:r>
          </w:p>
        </w:tc>
      </w:tr>
      <w:tr>
        <w:trPr>
          <w:trHeight w:val="230"/>
        </w:trPr>
        <w:tc>
          <w:tcPr>
            <w:tcW w:w="2660" w:type="dxa"/>
            <w:vAlign w:val="bottom"/>
          </w:tcPr>
          <w:p>
            <w:pPr>
              <w:spacing w:after="0"/>
              <w:rPr>
                <w:sz w:val="20"/>
                <w:szCs w:val="20"/>
                <w:color w:val="auto"/>
              </w:rPr>
            </w:pPr>
            <w:r>
              <w:rPr>
                <w:rFonts w:ascii="Arial" w:cs="Arial" w:eastAsia="Arial" w:hAnsi="Arial"/>
                <w:sz w:val="18"/>
                <w:szCs w:val="18"/>
                <w:color w:val="auto"/>
              </w:rPr>
              <w:t>Date: March 7, 2018</w:t>
            </w:r>
          </w:p>
        </w:tc>
        <w:tc>
          <w:tcPr>
            <w:tcW w:w="1440" w:type="dxa"/>
            <w:vAlign w:val="bottom"/>
          </w:tcPr>
          <w:p>
            <w:pPr>
              <w:spacing w:after="0"/>
              <w:rPr>
                <w:sz w:val="20"/>
                <w:szCs w:val="20"/>
                <w:color w:val="auto"/>
              </w:rPr>
            </w:pPr>
          </w:p>
        </w:tc>
        <w:tc>
          <w:tcPr>
            <w:tcW w:w="4160" w:type="dxa"/>
            <w:vAlign w:val="bottom"/>
          </w:tcPr>
          <w:p>
            <w:pPr>
              <w:spacing w:after="0"/>
              <w:rPr>
                <w:sz w:val="20"/>
                <w:szCs w:val="20"/>
                <w:color w:val="auto"/>
              </w:rPr>
            </w:pPr>
            <w:r>
              <w:rPr>
                <w:rFonts w:ascii="Arial" w:cs="Arial" w:eastAsia="Arial" w:hAnsi="Arial"/>
                <w:sz w:val="18"/>
                <w:szCs w:val="18"/>
                <w:color w:val="auto"/>
              </w:rPr>
              <w:t xml:space="preserve">Title: </w:t>
            </w:r>
            <w:r>
              <w:rPr>
                <w:rFonts w:ascii="Arial" w:cs="Arial" w:eastAsia="Arial" w:hAnsi="Arial"/>
                <w:sz w:val="18"/>
                <w:szCs w:val="18"/>
                <w:i w:val="1"/>
                <w:iCs w:val="1"/>
                <w:color w:val="auto"/>
              </w:rPr>
              <w:t>President and Chief Executive Officer</w:t>
            </w:r>
          </w:p>
        </w:tc>
      </w:tr>
    </w:tbl>
    <w:p>
      <w:pPr>
        <w:spacing w:after="0" w:line="202" w:lineRule="exact"/>
        <w:rPr>
          <w:sz w:val="20"/>
          <w:szCs w:val="20"/>
          <w:color w:val="auto"/>
        </w:rPr>
      </w:pPr>
    </w:p>
    <w:p>
      <w:pPr>
        <w:ind w:left="380" w:right="559" w:firstLine="648"/>
        <w:spacing w:after="0" w:line="308" w:lineRule="auto"/>
        <w:rPr>
          <w:sz w:val="20"/>
          <w:szCs w:val="20"/>
          <w:color w:val="auto"/>
        </w:rPr>
      </w:pPr>
      <w:r>
        <w:rPr>
          <w:rFonts w:ascii="Arial" w:cs="Arial" w:eastAsia="Arial" w:hAnsi="Arial"/>
          <w:sz w:val="17"/>
          <w:szCs w:val="17"/>
          <w:color w:val="auto"/>
        </w:rPr>
        <w:t>Pursuant to the requirements of the Securities Exchange Act of 1934, this report has been signed below by the following persons on behalf of the registrant and in the capacities and on the dates indicated.</w:t>
      </w:r>
    </w:p>
    <w:p>
      <w:pPr>
        <w:spacing w:after="0" w:line="138" w:lineRule="exact"/>
        <w:rPr>
          <w:sz w:val="20"/>
          <w:szCs w:val="20"/>
          <w:color w:val="auto"/>
        </w:rPr>
      </w:pPr>
    </w:p>
    <w:tbl>
      <w:tblPr>
        <w:tblLayout w:type="fixed"/>
        <w:tblInd w:w="380" w:type="dxa"/>
        <w:tblCellMar>
          <w:top w:w="0" w:type="dxa"/>
          <w:left w:w="0" w:type="dxa"/>
          <w:bottom w:w="0" w:type="dxa"/>
          <w:right w:w="0" w:type="dxa"/>
        </w:tblCellMar>
      </w:tblPr>
      <w:tr>
        <w:trPr>
          <w:trHeight w:val="171"/>
        </w:trPr>
        <w:tc>
          <w:tcPr>
            <w:tcW w:w="16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Signature</w:t>
            </w:r>
          </w:p>
        </w:tc>
        <w:tc>
          <w:tcPr>
            <w:tcW w:w="140" w:type="dxa"/>
            <w:vAlign w:val="bottom"/>
          </w:tcPr>
          <w:p>
            <w:pPr>
              <w:spacing w:after="0"/>
              <w:rPr>
                <w:sz w:val="14"/>
                <w:szCs w:val="14"/>
                <w:color w:val="auto"/>
              </w:rPr>
            </w:pPr>
          </w:p>
        </w:tc>
        <w:tc>
          <w:tcPr>
            <w:tcW w:w="5200" w:type="dxa"/>
            <w:vAlign w:val="bottom"/>
            <w:tcBorders>
              <w:bottom w:val="single" w:sz="8" w:color="auto"/>
            </w:tcBorders>
          </w:tcPr>
          <w:p>
            <w:pPr>
              <w:ind w:left="2320"/>
              <w:spacing w:after="0"/>
              <w:rPr>
                <w:sz w:val="20"/>
                <w:szCs w:val="20"/>
                <w:color w:val="auto"/>
              </w:rPr>
            </w:pPr>
            <w:r>
              <w:rPr>
                <w:rFonts w:ascii="Arial" w:cs="Arial" w:eastAsia="Arial" w:hAnsi="Arial"/>
                <w:sz w:val="14"/>
                <w:szCs w:val="14"/>
                <w:b w:val="1"/>
                <w:bCs w:val="1"/>
                <w:color w:val="auto"/>
              </w:rPr>
              <w:t>Capacity</w:t>
            </w:r>
          </w:p>
        </w:tc>
        <w:tc>
          <w:tcPr>
            <w:tcW w:w="140" w:type="dxa"/>
            <w:vAlign w:val="bottom"/>
          </w:tcPr>
          <w:p>
            <w:pPr>
              <w:spacing w:after="0"/>
              <w:rPr>
                <w:sz w:val="14"/>
                <w:szCs w:val="14"/>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8"/>
              </w:rPr>
              <w:t>Date</w:t>
            </w:r>
          </w:p>
        </w:tc>
      </w:tr>
      <w:tr>
        <w:trPr>
          <w:trHeight w:val="426"/>
        </w:trPr>
        <w:tc>
          <w:tcPr>
            <w:tcW w:w="16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3"/>
              </w:rPr>
              <w:t>/s/ David Maher</w:t>
            </w:r>
          </w:p>
        </w:tc>
        <w:tc>
          <w:tcPr>
            <w:tcW w:w="5480" w:type="dxa"/>
            <w:vAlign w:val="bottom"/>
            <w:gridSpan w:val="3"/>
          </w:tcPr>
          <w:p>
            <w:pPr>
              <w:ind w:left="140"/>
              <w:spacing w:after="0"/>
              <w:rPr>
                <w:sz w:val="20"/>
                <w:szCs w:val="20"/>
                <w:color w:val="auto"/>
              </w:rPr>
            </w:pPr>
            <w:r>
              <w:rPr>
                <w:rFonts w:ascii="Arial" w:cs="Arial" w:eastAsia="Arial" w:hAnsi="Arial"/>
                <w:sz w:val="18"/>
                <w:szCs w:val="18"/>
                <w:color w:val="auto"/>
              </w:rPr>
              <w:t>President and Chief Executive Officer (Principal Executive Officer)</w:t>
            </w:r>
          </w:p>
        </w:tc>
        <w:tc>
          <w:tcPr>
            <w:tcW w:w="1120" w:type="dxa"/>
            <w:vAlign w:val="bottom"/>
          </w:tcPr>
          <w:p>
            <w:pPr>
              <w:jc w:val="center"/>
              <w:spacing w:after="0"/>
              <w:rPr>
                <w:sz w:val="20"/>
                <w:szCs w:val="20"/>
                <w:color w:val="auto"/>
              </w:rPr>
            </w:pPr>
            <w:r>
              <w:rPr>
                <w:rFonts w:ascii="Arial" w:cs="Arial" w:eastAsia="Arial" w:hAnsi="Arial"/>
                <w:sz w:val="18"/>
                <w:szCs w:val="18"/>
                <w:color w:val="auto"/>
                <w:w w:val="92"/>
              </w:rPr>
              <w:t>March 7, 2018</w:t>
            </w:r>
          </w:p>
        </w:tc>
      </w:tr>
      <w:tr>
        <w:trPr>
          <w:trHeight w:val="224"/>
        </w:trPr>
        <w:tc>
          <w:tcPr>
            <w:tcW w:w="1660" w:type="dxa"/>
            <w:vAlign w:val="bottom"/>
          </w:tcPr>
          <w:p>
            <w:pPr>
              <w:jc w:val="center"/>
              <w:spacing w:after="0"/>
              <w:rPr>
                <w:sz w:val="20"/>
                <w:szCs w:val="20"/>
                <w:color w:val="auto"/>
              </w:rPr>
            </w:pPr>
            <w:r>
              <w:rPr>
                <w:rFonts w:ascii="Arial" w:cs="Arial" w:eastAsia="Arial" w:hAnsi="Arial"/>
                <w:sz w:val="18"/>
                <w:szCs w:val="18"/>
                <w:color w:val="auto"/>
                <w:w w:val="94"/>
              </w:rPr>
              <w:t>David Maher</w:t>
            </w:r>
          </w:p>
        </w:tc>
        <w:tc>
          <w:tcPr>
            <w:tcW w:w="140" w:type="dxa"/>
            <w:vAlign w:val="bottom"/>
          </w:tcPr>
          <w:p>
            <w:pPr>
              <w:spacing w:after="0"/>
              <w:rPr>
                <w:sz w:val="19"/>
                <w:szCs w:val="19"/>
                <w:color w:val="auto"/>
              </w:rPr>
            </w:pPr>
          </w:p>
        </w:tc>
        <w:tc>
          <w:tcPr>
            <w:tcW w:w="5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20" w:type="dxa"/>
            <w:vAlign w:val="bottom"/>
          </w:tcPr>
          <w:p>
            <w:pPr>
              <w:spacing w:after="0"/>
              <w:rPr>
                <w:sz w:val="19"/>
                <w:szCs w:val="19"/>
                <w:color w:val="auto"/>
              </w:rPr>
            </w:pPr>
          </w:p>
        </w:tc>
      </w:tr>
      <w:tr>
        <w:trPr>
          <w:trHeight w:val="418"/>
        </w:trPr>
        <w:tc>
          <w:tcPr>
            <w:tcW w:w="16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5"/>
              </w:rPr>
              <w:t>/s/ William Burke</w:t>
            </w:r>
          </w:p>
        </w:tc>
        <w:tc>
          <w:tcPr>
            <w:tcW w:w="5480" w:type="dxa"/>
            <w:vAlign w:val="bottom"/>
            <w:gridSpan w:val="3"/>
          </w:tcPr>
          <w:p>
            <w:pPr>
              <w:ind w:left="140"/>
              <w:spacing w:after="0"/>
              <w:rPr>
                <w:sz w:val="20"/>
                <w:szCs w:val="20"/>
                <w:color w:val="auto"/>
              </w:rPr>
            </w:pPr>
            <w:r>
              <w:rPr>
                <w:rFonts w:ascii="Arial" w:cs="Arial" w:eastAsia="Arial" w:hAnsi="Arial"/>
                <w:sz w:val="18"/>
                <w:szCs w:val="18"/>
                <w:color w:val="auto"/>
              </w:rPr>
              <w:t>Executive Vice President, Chief Financial Officer and Treasurer</w:t>
            </w:r>
          </w:p>
        </w:tc>
        <w:tc>
          <w:tcPr>
            <w:tcW w:w="1120" w:type="dxa"/>
            <w:vAlign w:val="bottom"/>
          </w:tcPr>
          <w:p>
            <w:pPr>
              <w:jc w:val="center"/>
              <w:spacing w:after="0"/>
              <w:rPr>
                <w:sz w:val="20"/>
                <w:szCs w:val="20"/>
                <w:color w:val="auto"/>
              </w:rPr>
            </w:pPr>
            <w:r>
              <w:rPr>
                <w:rFonts w:ascii="Arial" w:cs="Arial" w:eastAsia="Arial" w:hAnsi="Arial"/>
                <w:sz w:val="18"/>
                <w:szCs w:val="18"/>
                <w:color w:val="auto"/>
                <w:w w:val="92"/>
              </w:rPr>
              <w:t>March 7, 2018</w:t>
            </w:r>
          </w:p>
        </w:tc>
      </w:tr>
      <w:tr>
        <w:trPr>
          <w:trHeight w:val="224"/>
        </w:trPr>
        <w:tc>
          <w:tcPr>
            <w:tcW w:w="1660" w:type="dxa"/>
            <w:vAlign w:val="bottom"/>
          </w:tcPr>
          <w:p>
            <w:pPr>
              <w:jc w:val="center"/>
              <w:spacing w:after="0"/>
              <w:rPr>
                <w:sz w:val="20"/>
                <w:szCs w:val="20"/>
                <w:color w:val="auto"/>
              </w:rPr>
            </w:pPr>
            <w:r>
              <w:rPr>
                <w:rFonts w:ascii="Arial" w:cs="Arial" w:eastAsia="Arial" w:hAnsi="Arial"/>
                <w:sz w:val="18"/>
                <w:szCs w:val="18"/>
                <w:color w:val="auto"/>
                <w:w w:val="96"/>
              </w:rPr>
              <w:t>William Burke</w:t>
            </w:r>
          </w:p>
        </w:tc>
        <w:tc>
          <w:tcPr>
            <w:tcW w:w="5480" w:type="dxa"/>
            <w:vAlign w:val="bottom"/>
            <w:gridSpan w:val="3"/>
          </w:tcPr>
          <w:p>
            <w:pPr>
              <w:ind w:left="140"/>
              <w:spacing w:after="0"/>
              <w:rPr>
                <w:sz w:val="20"/>
                <w:szCs w:val="20"/>
                <w:color w:val="auto"/>
              </w:rPr>
            </w:pPr>
            <w:r>
              <w:rPr>
                <w:rFonts w:ascii="Arial" w:cs="Arial" w:eastAsia="Arial" w:hAnsi="Arial"/>
                <w:sz w:val="18"/>
                <w:szCs w:val="18"/>
                <w:color w:val="auto"/>
              </w:rPr>
              <w:t>(Principal Financial Officer)</w:t>
            </w:r>
          </w:p>
        </w:tc>
        <w:tc>
          <w:tcPr>
            <w:tcW w:w="1120" w:type="dxa"/>
            <w:vAlign w:val="bottom"/>
          </w:tcPr>
          <w:p>
            <w:pPr>
              <w:spacing w:after="0"/>
              <w:rPr>
                <w:sz w:val="19"/>
                <w:szCs w:val="19"/>
                <w:color w:val="auto"/>
              </w:rPr>
            </w:pPr>
          </w:p>
        </w:tc>
      </w:tr>
      <w:tr>
        <w:trPr>
          <w:trHeight w:val="418"/>
        </w:trPr>
        <w:tc>
          <w:tcPr>
            <w:tcW w:w="16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7"/>
              </w:rPr>
              <w:t>/s/ Thomas Pacheco</w:t>
            </w:r>
          </w:p>
        </w:tc>
        <w:tc>
          <w:tcPr>
            <w:tcW w:w="5480" w:type="dxa"/>
            <w:vAlign w:val="bottom"/>
            <w:gridSpan w:val="3"/>
          </w:tcPr>
          <w:p>
            <w:pPr>
              <w:ind w:left="140"/>
              <w:spacing w:after="0"/>
              <w:rPr>
                <w:sz w:val="20"/>
                <w:szCs w:val="20"/>
                <w:color w:val="auto"/>
              </w:rPr>
            </w:pPr>
            <w:r>
              <w:rPr>
                <w:rFonts w:ascii="Arial" w:cs="Arial" w:eastAsia="Arial" w:hAnsi="Arial"/>
                <w:sz w:val="18"/>
                <w:szCs w:val="18"/>
                <w:color w:val="auto"/>
                <w:w w:val="94"/>
              </w:rPr>
              <w:t>Senior Vice President, Finance and Chief Accounting Officer (Principal</w:t>
            </w:r>
          </w:p>
        </w:tc>
        <w:tc>
          <w:tcPr>
            <w:tcW w:w="1120" w:type="dxa"/>
            <w:vAlign w:val="bottom"/>
          </w:tcPr>
          <w:p>
            <w:pPr>
              <w:jc w:val="center"/>
              <w:spacing w:after="0"/>
              <w:rPr>
                <w:sz w:val="20"/>
                <w:szCs w:val="20"/>
                <w:color w:val="auto"/>
              </w:rPr>
            </w:pPr>
            <w:r>
              <w:rPr>
                <w:rFonts w:ascii="Arial" w:cs="Arial" w:eastAsia="Arial" w:hAnsi="Arial"/>
                <w:sz w:val="18"/>
                <w:szCs w:val="18"/>
                <w:color w:val="auto"/>
                <w:w w:val="92"/>
              </w:rPr>
              <w:t>March 7, 2018</w:t>
            </w:r>
          </w:p>
        </w:tc>
      </w:tr>
      <w:tr>
        <w:trPr>
          <w:trHeight w:val="224"/>
        </w:trPr>
        <w:tc>
          <w:tcPr>
            <w:tcW w:w="1660" w:type="dxa"/>
            <w:vAlign w:val="bottom"/>
          </w:tcPr>
          <w:p>
            <w:pPr>
              <w:jc w:val="center"/>
              <w:spacing w:after="0"/>
              <w:rPr>
                <w:sz w:val="20"/>
                <w:szCs w:val="20"/>
                <w:color w:val="auto"/>
              </w:rPr>
            </w:pPr>
            <w:r>
              <w:rPr>
                <w:rFonts w:ascii="Arial" w:cs="Arial" w:eastAsia="Arial" w:hAnsi="Arial"/>
                <w:sz w:val="18"/>
                <w:szCs w:val="18"/>
                <w:color w:val="auto"/>
                <w:w w:val="87"/>
              </w:rPr>
              <w:t>Thomas Pacheco</w:t>
            </w:r>
          </w:p>
        </w:tc>
        <w:tc>
          <w:tcPr>
            <w:tcW w:w="5480" w:type="dxa"/>
            <w:vAlign w:val="bottom"/>
            <w:gridSpan w:val="3"/>
          </w:tcPr>
          <w:p>
            <w:pPr>
              <w:ind w:left="140"/>
              <w:spacing w:after="0"/>
              <w:rPr>
                <w:sz w:val="20"/>
                <w:szCs w:val="20"/>
                <w:color w:val="auto"/>
              </w:rPr>
            </w:pPr>
            <w:r>
              <w:rPr>
                <w:rFonts w:ascii="Arial" w:cs="Arial" w:eastAsia="Arial" w:hAnsi="Arial"/>
                <w:sz w:val="18"/>
                <w:szCs w:val="18"/>
                <w:color w:val="auto"/>
              </w:rPr>
              <w:t>Accounting Officer)</w:t>
            </w:r>
          </w:p>
        </w:tc>
        <w:tc>
          <w:tcPr>
            <w:tcW w:w="1120" w:type="dxa"/>
            <w:vAlign w:val="bottom"/>
          </w:tcPr>
          <w:p>
            <w:pPr>
              <w:spacing w:after="0"/>
              <w:rPr>
                <w:sz w:val="19"/>
                <w:szCs w:val="19"/>
                <w:color w:val="auto"/>
              </w:rPr>
            </w:pPr>
          </w:p>
        </w:tc>
      </w:tr>
      <w:tr>
        <w:trPr>
          <w:trHeight w:val="418"/>
        </w:trPr>
        <w:tc>
          <w:tcPr>
            <w:tcW w:w="16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rPr>
              <w:t>*</w:t>
            </w:r>
          </w:p>
        </w:tc>
        <w:tc>
          <w:tcPr>
            <w:tcW w:w="5480" w:type="dxa"/>
            <w:vAlign w:val="bottom"/>
            <w:gridSpan w:val="3"/>
          </w:tcPr>
          <w:p>
            <w:pPr>
              <w:ind w:left="140"/>
              <w:spacing w:after="0"/>
              <w:rPr>
                <w:sz w:val="20"/>
                <w:szCs w:val="20"/>
                <w:color w:val="auto"/>
              </w:rPr>
            </w:pPr>
            <w:r>
              <w:rPr>
                <w:rFonts w:ascii="Arial" w:cs="Arial" w:eastAsia="Arial" w:hAnsi="Arial"/>
                <w:sz w:val="18"/>
                <w:szCs w:val="18"/>
                <w:color w:val="auto"/>
              </w:rPr>
              <w:t>Chairman</w:t>
            </w:r>
          </w:p>
        </w:tc>
        <w:tc>
          <w:tcPr>
            <w:tcW w:w="1120" w:type="dxa"/>
            <w:vAlign w:val="bottom"/>
          </w:tcPr>
          <w:p>
            <w:pPr>
              <w:jc w:val="center"/>
              <w:spacing w:after="0"/>
              <w:rPr>
                <w:sz w:val="20"/>
                <w:szCs w:val="20"/>
                <w:color w:val="auto"/>
              </w:rPr>
            </w:pPr>
            <w:r>
              <w:rPr>
                <w:rFonts w:ascii="Arial" w:cs="Arial" w:eastAsia="Arial" w:hAnsi="Arial"/>
                <w:sz w:val="18"/>
                <w:szCs w:val="18"/>
                <w:color w:val="auto"/>
                <w:w w:val="92"/>
              </w:rPr>
              <w:t>March 7, 2018</w:t>
            </w:r>
          </w:p>
        </w:tc>
      </w:tr>
      <w:tr>
        <w:trPr>
          <w:trHeight w:val="195"/>
        </w:trPr>
        <w:tc>
          <w:tcPr>
            <w:tcW w:w="1660" w:type="dxa"/>
            <w:vAlign w:val="bottom"/>
          </w:tcPr>
          <w:p>
            <w:pPr>
              <w:jc w:val="center"/>
              <w:spacing w:after="0" w:line="195" w:lineRule="exact"/>
              <w:rPr>
                <w:sz w:val="20"/>
                <w:szCs w:val="20"/>
                <w:color w:val="auto"/>
              </w:rPr>
            </w:pPr>
            <w:r>
              <w:rPr>
                <w:rFonts w:ascii="Arial" w:cs="Arial" w:eastAsia="Arial" w:hAnsi="Arial"/>
                <w:sz w:val="18"/>
                <w:szCs w:val="18"/>
                <w:color w:val="auto"/>
                <w:w w:val="89"/>
              </w:rPr>
              <w:t>Yoon Soo (Gene)</w:t>
            </w:r>
          </w:p>
        </w:tc>
        <w:tc>
          <w:tcPr>
            <w:tcW w:w="140" w:type="dxa"/>
            <w:vAlign w:val="bottom"/>
          </w:tcPr>
          <w:p>
            <w:pPr>
              <w:spacing w:after="0"/>
              <w:rPr>
                <w:sz w:val="16"/>
                <w:szCs w:val="16"/>
                <w:color w:val="auto"/>
              </w:rPr>
            </w:pPr>
          </w:p>
        </w:tc>
        <w:tc>
          <w:tcPr>
            <w:tcW w:w="52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20" w:type="dxa"/>
            <w:vAlign w:val="bottom"/>
          </w:tcPr>
          <w:p>
            <w:pPr>
              <w:spacing w:after="0"/>
              <w:rPr>
                <w:sz w:val="16"/>
                <w:szCs w:val="16"/>
                <w:color w:val="auto"/>
              </w:rPr>
            </w:pPr>
          </w:p>
        </w:tc>
      </w:tr>
      <w:tr>
        <w:trPr>
          <w:trHeight w:val="230"/>
        </w:trPr>
        <w:tc>
          <w:tcPr>
            <w:tcW w:w="1660" w:type="dxa"/>
            <w:vAlign w:val="bottom"/>
          </w:tcPr>
          <w:p>
            <w:pPr>
              <w:jc w:val="center"/>
              <w:spacing w:after="0"/>
              <w:rPr>
                <w:sz w:val="20"/>
                <w:szCs w:val="20"/>
                <w:color w:val="auto"/>
              </w:rPr>
            </w:pPr>
            <w:r>
              <w:rPr>
                <w:rFonts w:ascii="Arial" w:cs="Arial" w:eastAsia="Arial" w:hAnsi="Arial"/>
                <w:sz w:val="18"/>
                <w:szCs w:val="18"/>
                <w:color w:val="auto"/>
                <w:w w:val="90"/>
              </w:rPr>
              <w:t>Yoon</w:t>
            </w:r>
          </w:p>
        </w:tc>
        <w:tc>
          <w:tcPr>
            <w:tcW w:w="140" w:type="dxa"/>
            <w:vAlign w:val="bottom"/>
          </w:tcPr>
          <w:p>
            <w:pPr>
              <w:spacing w:after="0"/>
              <w:rPr>
                <w:sz w:val="20"/>
                <w:szCs w:val="20"/>
                <w:color w:val="auto"/>
              </w:rPr>
            </w:pPr>
          </w:p>
        </w:tc>
        <w:tc>
          <w:tcPr>
            <w:tcW w:w="52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20" w:type="dxa"/>
            <w:vAlign w:val="bottom"/>
          </w:tcPr>
          <w:p>
            <w:pPr>
              <w:spacing w:after="0"/>
              <w:rPr>
                <w:sz w:val="20"/>
                <w:szCs w:val="20"/>
                <w:color w:val="auto"/>
              </w:rPr>
            </w:pPr>
          </w:p>
        </w:tc>
      </w:tr>
      <w:tr>
        <w:trPr>
          <w:trHeight w:val="432"/>
        </w:trPr>
        <w:tc>
          <w:tcPr>
            <w:tcW w:w="16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rPr>
              <w:t>*</w:t>
            </w:r>
          </w:p>
        </w:tc>
        <w:tc>
          <w:tcPr>
            <w:tcW w:w="5480" w:type="dxa"/>
            <w:vAlign w:val="bottom"/>
            <w:gridSpan w:val="3"/>
          </w:tcPr>
          <w:p>
            <w:pPr>
              <w:ind w:left="140"/>
              <w:spacing w:after="0"/>
              <w:rPr>
                <w:sz w:val="20"/>
                <w:szCs w:val="20"/>
                <w:color w:val="auto"/>
              </w:rPr>
            </w:pPr>
            <w:r>
              <w:rPr>
                <w:rFonts w:ascii="Arial" w:cs="Arial" w:eastAsia="Arial" w:hAnsi="Arial"/>
                <w:sz w:val="18"/>
                <w:szCs w:val="18"/>
                <w:color w:val="auto"/>
              </w:rPr>
              <w:t>Director</w:t>
            </w:r>
          </w:p>
        </w:tc>
        <w:tc>
          <w:tcPr>
            <w:tcW w:w="1120" w:type="dxa"/>
            <w:vAlign w:val="bottom"/>
          </w:tcPr>
          <w:p>
            <w:pPr>
              <w:jc w:val="center"/>
              <w:spacing w:after="0"/>
              <w:rPr>
                <w:sz w:val="20"/>
                <w:szCs w:val="20"/>
                <w:color w:val="auto"/>
              </w:rPr>
            </w:pPr>
            <w:r>
              <w:rPr>
                <w:rFonts w:ascii="Arial" w:cs="Arial" w:eastAsia="Arial" w:hAnsi="Arial"/>
                <w:sz w:val="18"/>
                <w:szCs w:val="18"/>
                <w:color w:val="auto"/>
                <w:w w:val="92"/>
              </w:rPr>
              <w:t>March 7, 2018</w:t>
            </w:r>
          </w:p>
        </w:tc>
      </w:tr>
      <w:tr>
        <w:trPr>
          <w:trHeight w:val="224"/>
        </w:trPr>
        <w:tc>
          <w:tcPr>
            <w:tcW w:w="1660" w:type="dxa"/>
            <w:vAlign w:val="bottom"/>
          </w:tcPr>
          <w:p>
            <w:pPr>
              <w:jc w:val="center"/>
              <w:spacing w:after="0"/>
              <w:rPr>
                <w:sz w:val="20"/>
                <w:szCs w:val="20"/>
                <w:color w:val="auto"/>
              </w:rPr>
            </w:pPr>
            <w:r>
              <w:rPr>
                <w:rFonts w:ascii="Arial" w:cs="Arial" w:eastAsia="Arial" w:hAnsi="Arial"/>
                <w:sz w:val="18"/>
                <w:szCs w:val="18"/>
                <w:color w:val="auto"/>
                <w:w w:val="90"/>
              </w:rPr>
              <w:t>Jennifer Estabrook</w:t>
            </w:r>
          </w:p>
        </w:tc>
        <w:tc>
          <w:tcPr>
            <w:tcW w:w="140" w:type="dxa"/>
            <w:vAlign w:val="bottom"/>
          </w:tcPr>
          <w:p>
            <w:pPr>
              <w:spacing w:after="0"/>
              <w:rPr>
                <w:sz w:val="19"/>
                <w:szCs w:val="19"/>
                <w:color w:val="auto"/>
              </w:rPr>
            </w:pPr>
          </w:p>
        </w:tc>
        <w:tc>
          <w:tcPr>
            <w:tcW w:w="5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20" w:type="dxa"/>
            <w:vAlign w:val="bottom"/>
          </w:tcPr>
          <w:p>
            <w:pPr>
              <w:spacing w:after="0"/>
              <w:rPr>
                <w:sz w:val="19"/>
                <w:szCs w:val="19"/>
                <w:color w:val="auto"/>
              </w:rPr>
            </w:pPr>
          </w:p>
        </w:tc>
      </w:tr>
      <w:tr>
        <w:trPr>
          <w:trHeight w:val="418"/>
        </w:trPr>
        <w:tc>
          <w:tcPr>
            <w:tcW w:w="16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rPr>
              <w:t>*</w:t>
            </w:r>
          </w:p>
        </w:tc>
        <w:tc>
          <w:tcPr>
            <w:tcW w:w="5480" w:type="dxa"/>
            <w:vAlign w:val="bottom"/>
            <w:gridSpan w:val="3"/>
          </w:tcPr>
          <w:p>
            <w:pPr>
              <w:ind w:left="140"/>
              <w:spacing w:after="0"/>
              <w:rPr>
                <w:sz w:val="20"/>
                <w:szCs w:val="20"/>
                <w:color w:val="auto"/>
              </w:rPr>
            </w:pPr>
            <w:r>
              <w:rPr>
                <w:rFonts w:ascii="Arial" w:cs="Arial" w:eastAsia="Arial" w:hAnsi="Arial"/>
                <w:sz w:val="18"/>
                <w:szCs w:val="18"/>
                <w:color w:val="auto"/>
              </w:rPr>
              <w:t>Director</w:t>
            </w:r>
          </w:p>
        </w:tc>
        <w:tc>
          <w:tcPr>
            <w:tcW w:w="1120" w:type="dxa"/>
            <w:vAlign w:val="bottom"/>
          </w:tcPr>
          <w:p>
            <w:pPr>
              <w:jc w:val="center"/>
              <w:spacing w:after="0"/>
              <w:rPr>
                <w:sz w:val="20"/>
                <w:szCs w:val="20"/>
                <w:color w:val="auto"/>
              </w:rPr>
            </w:pPr>
            <w:r>
              <w:rPr>
                <w:rFonts w:ascii="Arial" w:cs="Arial" w:eastAsia="Arial" w:hAnsi="Arial"/>
                <w:sz w:val="18"/>
                <w:szCs w:val="18"/>
                <w:color w:val="auto"/>
                <w:w w:val="92"/>
              </w:rPr>
              <w:t>March 7, 2018</w:t>
            </w:r>
          </w:p>
        </w:tc>
      </w:tr>
      <w:tr>
        <w:trPr>
          <w:trHeight w:val="224"/>
        </w:trPr>
        <w:tc>
          <w:tcPr>
            <w:tcW w:w="1660" w:type="dxa"/>
            <w:vAlign w:val="bottom"/>
          </w:tcPr>
          <w:p>
            <w:pPr>
              <w:jc w:val="center"/>
              <w:spacing w:after="0"/>
              <w:rPr>
                <w:sz w:val="20"/>
                <w:szCs w:val="20"/>
                <w:color w:val="auto"/>
              </w:rPr>
            </w:pPr>
            <w:r>
              <w:rPr>
                <w:rFonts w:ascii="Arial" w:cs="Arial" w:eastAsia="Arial" w:hAnsi="Arial"/>
                <w:sz w:val="18"/>
                <w:szCs w:val="18"/>
                <w:color w:val="auto"/>
                <w:w w:val="91"/>
              </w:rPr>
              <w:t>Gregory Hewett</w:t>
            </w:r>
          </w:p>
        </w:tc>
        <w:tc>
          <w:tcPr>
            <w:tcW w:w="140" w:type="dxa"/>
            <w:vAlign w:val="bottom"/>
          </w:tcPr>
          <w:p>
            <w:pPr>
              <w:spacing w:after="0"/>
              <w:rPr>
                <w:sz w:val="19"/>
                <w:szCs w:val="19"/>
                <w:color w:val="auto"/>
              </w:rPr>
            </w:pPr>
          </w:p>
        </w:tc>
        <w:tc>
          <w:tcPr>
            <w:tcW w:w="5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20" w:type="dxa"/>
            <w:vAlign w:val="bottom"/>
          </w:tcPr>
          <w:p>
            <w:pPr>
              <w:spacing w:after="0"/>
              <w:rPr>
                <w:sz w:val="19"/>
                <w:szCs w:val="19"/>
                <w:color w:val="auto"/>
              </w:rPr>
            </w:pPr>
          </w:p>
        </w:tc>
      </w:tr>
      <w:tr>
        <w:trPr>
          <w:trHeight w:val="418"/>
        </w:trPr>
        <w:tc>
          <w:tcPr>
            <w:tcW w:w="16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rPr>
              <w:t>*</w:t>
            </w:r>
          </w:p>
        </w:tc>
        <w:tc>
          <w:tcPr>
            <w:tcW w:w="5480" w:type="dxa"/>
            <w:vAlign w:val="bottom"/>
            <w:gridSpan w:val="3"/>
          </w:tcPr>
          <w:p>
            <w:pPr>
              <w:ind w:left="140"/>
              <w:spacing w:after="0"/>
              <w:rPr>
                <w:sz w:val="20"/>
                <w:szCs w:val="20"/>
                <w:color w:val="auto"/>
              </w:rPr>
            </w:pPr>
            <w:r>
              <w:rPr>
                <w:rFonts w:ascii="Arial" w:cs="Arial" w:eastAsia="Arial" w:hAnsi="Arial"/>
                <w:sz w:val="18"/>
                <w:szCs w:val="18"/>
                <w:color w:val="auto"/>
              </w:rPr>
              <w:t>Director</w:t>
            </w:r>
          </w:p>
        </w:tc>
        <w:tc>
          <w:tcPr>
            <w:tcW w:w="1120" w:type="dxa"/>
            <w:vAlign w:val="bottom"/>
          </w:tcPr>
          <w:p>
            <w:pPr>
              <w:jc w:val="center"/>
              <w:spacing w:after="0"/>
              <w:rPr>
                <w:sz w:val="20"/>
                <w:szCs w:val="20"/>
                <w:color w:val="auto"/>
              </w:rPr>
            </w:pPr>
            <w:r>
              <w:rPr>
                <w:rFonts w:ascii="Arial" w:cs="Arial" w:eastAsia="Arial" w:hAnsi="Arial"/>
                <w:sz w:val="18"/>
                <w:szCs w:val="18"/>
                <w:color w:val="auto"/>
                <w:w w:val="92"/>
              </w:rPr>
              <w:t>March 7, 2018</w:t>
            </w:r>
          </w:p>
        </w:tc>
      </w:tr>
      <w:tr>
        <w:trPr>
          <w:trHeight w:val="224"/>
        </w:trPr>
        <w:tc>
          <w:tcPr>
            <w:tcW w:w="1660" w:type="dxa"/>
            <w:vAlign w:val="bottom"/>
          </w:tcPr>
          <w:p>
            <w:pPr>
              <w:jc w:val="center"/>
              <w:spacing w:after="0"/>
              <w:rPr>
                <w:sz w:val="20"/>
                <w:szCs w:val="20"/>
                <w:color w:val="auto"/>
              </w:rPr>
            </w:pPr>
            <w:r>
              <w:rPr>
                <w:rFonts w:ascii="Arial" w:cs="Arial" w:eastAsia="Arial" w:hAnsi="Arial"/>
                <w:sz w:val="18"/>
                <w:szCs w:val="18"/>
                <w:color w:val="auto"/>
                <w:w w:val="91"/>
              </w:rPr>
              <w:t>Christopher Metz</w:t>
            </w:r>
          </w:p>
        </w:tc>
        <w:tc>
          <w:tcPr>
            <w:tcW w:w="140" w:type="dxa"/>
            <w:vAlign w:val="bottom"/>
          </w:tcPr>
          <w:p>
            <w:pPr>
              <w:spacing w:after="0"/>
              <w:rPr>
                <w:sz w:val="19"/>
                <w:szCs w:val="19"/>
                <w:color w:val="auto"/>
              </w:rPr>
            </w:pPr>
          </w:p>
        </w:tc>
        <w:tc>
          <w:tcPr>
            <w:tcW w:w="5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20" w:type="dxa"/>
            <w:vAlign w:val="bottom"/>
          </w:tcPr>
          <w:p>
            <w:pPr>
              <w:spacing w:after="0"/>
              <w:rPr>
                <w:sz w:val="19"/>
                <w:szCs w:val="19"/>
                <w:color w:val="auto"/>
              </w:rPr>
            </w:pPr>
          </w:p>
        </w:tc>
      </w:tr>
      <w:tr>
        <w:trPr>
          <w:trHeight w:val="418"/>
        </w:trPr>
        <w:tc>
          <w:tcPr>
            <w:tcW w:w="16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rPr>
              <w:t>*</w:t>
            </w:r>
          </w:p>
        </w:tc>
        <w:tc>
          <w:tcPr>
            <w:tcW w:w="5480" w:type="dxa"/>
            <w:vAlign w:val="bottom"/>
            <w:gridSpan w:val="3"/>
          </w:tcPr>
          <w:p>
            <w:pPr>
              <w:ind w:left="140"/>
              <w:spacing w:after="0"/>
              <w:rPr>
                <w:sz w:val="20"/>
                <w:szCs w:val="20"/>
                <w:color w:val="auto"/>
              </w:rPr>
            </w:pPr>
            <w:r>
              <w:rPr>
                <w:rFonts w:ascii="Arial" w:cs="Arial" w:eastAsia="Arial" w:hAnsi="Arial"/>
                <w:sz w:val="18"/>
                <w:szCs w:val="18"/>
                <w:color w:val="auto"/>
              </w:rPr>
              <w:t>Director</w:t>
            </w:r>
          </w:p>
        </w:tc>
        <w:tc>
          <w:tcPr>
            <w:tcW w:w="1120" w:type="dxa"/>
            <w:vAlign w:val="bottom"/>
          </w:tcPr>
          <w:p>
            <w:pPr>
              <w:jc w:val="center"/>
              <w:spacing w:after="0"/>
              <w:rPr>
                <w:sz w:val="20"/>
                <w:szCs w:val="20"/>
                <w:color w:val="auto"/>
              </w:rPr>
            </w:pPr>
            <w:r>
              <w:rPr>
                <w:rFonts w:ascii="Arial" w:cs="Arial" w:eastAsia="Arial" w:hAnsi="Arial"/>
                <w:sz w:val="18"/>
                <w:szCs w:val="18"/>
                <w:color w:val="auto"/>
                <w:w w:val="92"/>
              </w:rPr>
              <w:t>March 7, 2018</w:t>
            </w:r>
          </w:p>
        </w:tc>
      </w:tr>
      <w:tr>
        <w:trPr>
          <w:trHeight w:val="224"/>
        </w:trPr>
        <w:tc>
          <w:tcPr>
            <w:tcW w:w="1660" w:type="dxa"/>
            <w:vAlign w:val="bottom"/>
          </w:tcPr>
          <w:p>
            <w:pPr>
              <w:jc w:val="center"/>
              <w:spacing w:after="0"/>
              <w:rPr>
                <w:sz w:val="20"/>
                <w:szCs w:val="20"/>
                <w:color w:val="auto"/>
              </w:rPr>
            </w:pPr>
            <w:r>
              <w:rPr>
                <w:rFonts w:ascii="Arial" w:cs="Arial" w:eastAsia="Arial" w:hAnsi="Arial"/>
                <w:sz w:val="18"/>
                <w:szCs w:val="18"/>
                <w:color w:val="auto"/>
                <w:w w:val="90"/>
              </w:rPr>
              <w:t>Sean Sullivan</w:t>
            </w:r>
          </w:p>
        </w:tc>
        <w:tc>
          <w:tcPr>
            <w:tcW w:w="140" w:type="dxa"/>
            <w:vAlign w:val="bottom"/>
          </w:tcPr>
          <w:p>
            <w:pPr>
              <w:spacing w:after="0"/>
              <w:rPr>
                <w:sz w:val="19"/>
                <w:szCs w:val="19"/>
                <w:color w:val="auto"/>
              </w:rPr>
            </w:pPr>
          </w:p>
        </w:tc>
        <w:tc>
          <w:tcPr>
            <w:tcW w:w="5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20" w:type="dxa"/>
            <w:vAlign w:val="bottom"/>
          </w:tcPr>
          <w:p>
            <w:pPr>
              <w:spacing w:after="0"/>
              <w:rPr>
                <w:sz w:val="19"/>
                <w:szCs w:val="19"/>
                <w:color w:val="auto"/>
              </w:rPr>
            </w:pPr>
          </w:p>
        </w:tc>
      </w:tr>
      <w:tr>
        <w:trPr>
          <w:trHeight w:val="418"/>
        </w:trPr>
        <w:tc>
          <w:tcPr>
            <w:tcW w:w="16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rPr>
              <w:t>*</w:t>
            </w:r>
          </w:p>
        </w:tc>
        <w:tc>
          <w:tcPr>
            <w:tcW w:w="5480" w:type="dxa"/>
            <w:vAlign w:val="bottom"/>
            <w:gridSpan w:val="3"/>
          </w:tcPr>
          <w:p>
            <w:pPr>
              <w:ind w:left="140"/>
              <w:spacing w:after="0"/>
              <w:rPr>
                <w:sz w:val="20"/>
                <w:szCs w:val="20"/>
                <w:color w:val="auto"/>
              </w:rPr>
            </w:pPr>
            <w:r>
              <w:rPr>
                <w:rFonts w:ascii="Arial" w:cs="Arial" w:eastAsia="Arial" w:hAnsi="Arial"/>
                <w:sz w:val="18"/>
                <w:szCs w:val="18"/>
                <w:color w:val="auto"/>
              </w:rPr>
              <w:t>Director</w:t>
            </w:r>
          </w:p>
        </w:tc>
        <w:tc>
          <w:tcPr>
            <w:tcW w:w="1120" w:type="dxa"/>
            <w:vAlign w:val="bottom"/>
          </w:tcPr>
          <w:p>
            <w:pPr>
              <w:jc w:val="center"/>
              <w:spacing w:after="0"/>
              <w:rPr>
                <w:sz w:val="20"/>
                <w:szCs w:val="20"/>
                <w:color w:val="auto"/>
              </w:rPr>
            </w:pPr>
            <w:r>
              <w:rPr>
                <w:rFonts w:ascii="Arial" w:cs="Arial" w:eastAsia="Arial" w:hAnsi="Arial"/>
                <w:sz w:val="18"/>
                <w:szCs w:val="18"/>
                <w:color w:val="auto"/>
                <w:w w:val="92"/>
              </w:rPr>
              <w:t>March 7, 2018</w:t>
            </w:r>
          </w:p>
        </w:tc>
      </w:tr>
      <w:tr>
        <w:trPr>
          <w:trHeight w:val="224"/>
        </w:trPr>
        <w:tc>
          <w:tcPr>
            <w:tcW w:w="1660" w:type="dxa"/>
            <w:vAlign w:val="bottom"/>
          </w:tcPr>
          <w:p>
            <w:pPr>
              <w:jc w:val="center"/>
              <w:spacing w:after="0"/>
              <w:rPr>
                <w:sz w:val="20"/>
                <w:szCs w:val="20"/>
                <w:color w:val="auto"/>
              </w:rPr>
            </w:pPr>
            <w:r>
              <w:rPr>
                <w:rFonts w:ascii="Arial" w:cs="Arial" w:eastAsia="Arial" w:hAnsi="Arial"/>
                <w:sz w:val="18"/>
                <w:szCs w:val="18"/>
                <w:color w:val="auto"/>
                <w:w w:val="89"/>
              </w:rPr>
              <w:t>Steven Tishman</w:t>
            </w:r>
          </w:p>
        </w:tc>
        <w:tc>
          <w:tcPr>
            <w:tcW w:w="140" w:type="dxa"/>
            <w:vAlign w:val="bottom"/>
          </w:tcPr>
          <w:p>
            <w:pPr>
              <w:spacing w:after="0"/>
              <w:rPr>
                <w:sz w:val="19"/>
                <w:szCs w:val="19"/>
                <w:color w:val="auto"/>
              </w:rPr>
            </w:pPr>
          </w:p>
        </w:tc>
        <w:tc>
          <w:tcPr>
            <w:tcW w:w="5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20" w:type="dxa"/>
            <w:vAlign w:val="bottom"/>
          </w:tcPr>
          <w:p>
            <w:pPr>
              <w:spacing w:after="0"/>
              <w:rPr>
                <w:sz w:val="19"/>
                <w:szCs w:val="19"/>
                <w:color w:val="auto"/>
              </w:rPr>
            </w:pPr>
          </w:p>
        </w:tc>
      </w:tr>
      <w:tr>
        <w:trPr>
          <w:trHeight w:val="418"/>
        </w:trPr>
        <w:tc>
          <w:tcPr>
            <w:tcW w:w="16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rPr>
              <w:t>*</w:t>
            </w:r>
          </w:p>
        </w:tc>
        <w:tc>
          <w:tcPr>
            <w:tcW w:w="5480" w:type="dxa"/>
            <w:vAlign w:val="bottom"/>
            <w:gridSpan w:val="3"/>
          </w:tcPr>
          <w:p>
            <w:pPr>
              <w:ind w:left="140"/>
              <w:spacing w:after="0"/>
              <w:rPr>
                <w:sz w:val="20"/>
                <w:szCs w:val="20"/>
                <w:color w:val="auto"/>
              </w:rPr>
            </w:pPr>
            <w:r>
              <w:rPr>
                <w:rFonts w:ascii="Arial" w:cs="Arial" w:eastAsia="Arial" w:hAnsi="Arial"/>
                <w:sz w:val="18"/>
                <w:szCs w:val="18"/>
                <w:color w:val="auto"/>
              </w:rPr>
              <w:t>Director</w:t>
            </w:r>
          </w:p>
        </w:tc>
        <w:tc>
          <w:tcPr>
            <w:tcW w:w="1120" w:type="dxa"/>
            <w:vAlign w:val="bottom"/>
          </w:tcPr>
          <w:p>
            <w:pPr>
              <w:jc w:val="center"/>
              <w:spacing w:after="0"/>
              <w:rPr>
                <w:sz w:val="20"/>
                <w:szCs w:val="20"/>
                <w:color w:val="auto"/>
              </w:rPr>
            </w:pPr>
            <w:r>
              <w:rPr>
                <w:rFonts w:ascii="Arial" w:cs="Arial" w:eastAsia="Arial" w:hAnsi="Arial"/>
                <w:sz w:val="18"/>
                <w:szCs w:val="18"/>
                <w:color w:val="auto"/>
                <w:w w:val="92"/>
              </w:rPr>
              <w:t>March 7, 2018</w:t>
            </w:r>
          </w:p>
        </w:tc>
      </w:tr>
      <w:tr>
        <w:trPr>
          <w:trHeight w:val="224"/>
        </w:trPr>
        <w:tc>
          <w:tcPr>
            <w:tcW w:w="1660" w:type="dxa"/>
            <w:vAlign w:val="bottom"/>
          </w:tcPr>
          <w:p>
            <w:pPr>
              <w:jc w:val="center"/>
              <w:spacing w:after="0"/>
              <w:rPr>
                <w:sz w:val="20"/>
                <w:szCs w:val="20"/>
                <w:color w:val="auto"/>
              </w:rPr>
            </w:pPr>
            <w:r>
              <w:rPr>
                <w:rFonts w:ascii="Arial" w:cs="Arial" w:eastAsia="Arial" w:hAnsi="Arial"/>
                <w:sz w:val="18"/>
                <w:szCs w:val="18"/>
                <w:color w:val="auto"/>
                <w:w w:val="94"/>
              </w:rPr>
              <w:t>Walter Uihlein</w:t>
            </w:r>
          </w:p>
        </w:tc>
        <w:tc>
          <w:tcPr>
            <w:tcW w:w="140" w:type="dxa"/>
            <w:vAlign w:val="bottom"/>
          </w:tcPr>
          <w:p>
            <w:pPr>
              <w:spacing w:after="0"/>
              <w:rPr>
                <w:sz w:val="19"/>
                <w:szCs w:val="19"/>
                <w:color w:val="auto"/>
              </w:rPr>
            </w:pPr>
          </w:p>
        </w:tc>
        <w:tc>
          <w:tcPr>
            <w:tcW w:w="5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20" w:type="dxa"/>
            <w:vAlign w:val="bottom"/>
          </w:tcPr>
          <w:p>
            <w:pPr>
              <w:spacing w:after="0"/>
              <w:rPr>
                <w:sz w:val="19"/>
                <w:szCs w:val="19"/>
                <w:color w:val="auto"/>
              </w:rPr>
            </w:pPr>
          </w:p>
        </w:tc>
      </w:tr>
      <w:tr>
        <w:trPr>
          <w:trHeight w:val="418"/>
        </w:trPr>
        <w:tc>
          <w:tcPr>
            <w:tcW w:w="16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rPr>
              <w:t>*</w:t>
            </w:r>
          </w:p>
        </w:tc>
        <w:tc>
          <w:tcPr>
            <w:tcW w:w="5480" w:type="dxa"/>
            <w:vAlign w:val="bottom"/>
            <w:gridSpan w:val="3"/>
          </w:tcPr>
          <w:p>
            <w:pPr>
              <w:ind w:left="140"/>
              <w:spacing w:after="0"/>
              <w:rPr>
                <w:sz w:val="20"/>
                <w:szCs w:val="20"/>
                <w:color w:val="auto"/>
              </w:rPr>
            </w:pPr>
            <w:r>
              <w:rPr>
                <w:rFonts w:ascii="Arial" w:cs="Arial" w:eastAsia="Arial" w:hAnsi="Arial"/>
                <w:sz w:val="18"/>
                <w:szCs w:val="18"/>
                <w:color w:val="auto"/>
              </w:rPr>
              <w:t>Director</w:t>
            </w:r>
          </w:p>
        </w:tc>
        <w:tc>
          <w:tcPr>
            <w:tcW w:w="1120" w:type="dxa"/>
            <w:vAlign w:val="bottom"/>
          </w:tcPr>
          <w:p>
            <w:pPr>
              <w:jc w:val="center"/>
              <w:spacing w:after="0"/>
              <w:rPr>
                <w:sz w:val="20"/>
                <w:szCs w:val="20"/>
                <w:color w:val="auto"/>
              </w:rPr>
            </w:pPr>
            <w:r>
              <w:rPr>
                <w:rFonts w:ascii="Arial" w:cs="Arial" w:eastAsia="Arial" w:hAnsi="Arial"/>
                <w:sz w:val="18"/>
                <w:szCs w:val="18"/>
                <w:color w:val="auto"/>
                <w:w w:val="92"/>
              </w:rPr>
              <w:t>March 7, 2018</w:t>
            </w:r>
          </w:p>
        </w:tc>
      </w:tr>
      <w:tr>
        <w:trPr>
          <w:trHeight w:val="224"/>
        </w:trPr>
        <w:tc>
          <w:tcPr>
            <w:tcW w:w="1660" w:type="dxa"/>
            <w:vAlign w:val="bottom"/>
          </w:tcPr>
          <w:p>
            <w:pPr>
              <w:jc w:val="center"/>
              <w:spacing w:after="0"/>
              <w:rPr>
                <w:sz w:val="20"/>
                <w:szCs w:val="20"/>
                <w:color w:val="auto"/>
              </w:rPr>
            </w:pPr>
            <w:r>
              <w:rPr>
                <w:rFonts w:ascii="Arial" w:cs="Arial" w:eastAsia="Arial" w:hAnsi="Arial"/>
                <w:sz w:val="18"/>
                <w:szCs w:val="18"/>
                <w:color w:val="auto"/>
                <w:w w:val="93"/>
              </w:rPr>
              <w:t>David Valcourt</w:t>
            </w:r>
          </w:p>
        </w:tc>
        <w:tc>
          <w:tcPr>
            <w:tcW w:w="140" w:type="dxa"/>
            <w:vAlign w:val="bottom"/>
          </w:tcPr>
          <w:p>
            <w:pPr>
              <w:spacing w:after="0"/>
              <w:rPr>
                <w:sz w:val="19"/>
                <w:szCs w:val="19"/>
                <w:color w:val="auto"/>
              </w:rPr>
            </w:pPr>
          </w:p>
        </w:tc>
        <w:tc>
          <w:tcPr>
            <w:tcW w:w="5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20" w:type="dxa"/>
            <w:vAlign w:val="bottom"/>
          </w:tcPr>
          <w:p>
            <w:pPr>
              <w:spacing w:after="0"/>
              <w:rPr>
                <w:sz w:val="19"/>
                <w:szCs w:val="19"/>
                <w:color w:val="auto"/>
              </w:rPr>
            </w:pPr>
          </w:p>
        </w:tc>
      </w:tr>
      <w:tr>
        <w:trPr>
          <w:trHeight w:val="418"/>
        </w:trPr>
        <w:tc>
          <w:tcPr>
            <w:tcW w:w="1660" w:type="dxa"/>
            <w:vAlign w:val="bottom"/>
          </w:tcPr>
          <w:p>
            <w:pPr>
              <w:jc w:val="center"/>
              <w:spacing w:after="0"/>
              <w:rPr>
                <w:sz w:val="20"/>
                <w:szCs w:val="20"/>
                <w:color w:val="auto"/>
              </w:rPr>
            </w:pPr>
            <w:r>
              <w:rPr>
                <w:rFonts w:ascii="Arial" w:cs="Arial" w:eastAsia="Arial" w:hAnsi="Arial"/>
                <w:sz w:val="18"/>
                <w:szCs w:val="18"/>
                <w:color w:val="auto"/>
              </w:rPr>
              <w:t>*</w:t>
            </w:r>
          </w:p>
        </w:tc>
        <w:tc>
          <w:tcPr>
            <w:tcW w:w="5480" w:type="dxa"/>
            <w:vAlign w:val="bottom"/>
            <w:gridSpan w:val="3"/>
          </w:tcPr>
          <w:p>
            <w:pPr>
              <w:ind w:left="140"/>
              <w:spacing w:after="0"/>
              <w:rPr>
                <w:sz w:val="20"/>
                <w:szCs w:val="20"/>
                <w:color w:val="auto"/>
              </w:rPr>
            </w:pPr>
            <w:r>
              <w:rPr>
                <w:rFonts w:ascii="Arial" w:cs="Arial" w:eastAsia="Arial" w:hAnsi="Arial"/>
                <w:sz w:val="18"/>
                <w:szCs w:val="18"/>
                <w:color w:val="auto"/>
              </w:rPr>
              <w:t>Director</w:t>
            </w:r>
          </w:p>
        </w:tc>
        <w:tc>
          <w:tcPr>
            <w:tcW w:w="1120" w:type="dxa"/>
            <w:vAlign w:val="bottom"/>
          </w:tcPr>
          <w:p>
            <w:pPr>
              <w:jc w:val="center"/>
              <w:spacing w:after="0"/>
              <w:rPr>
                <w:sz w:val="20"/>
                <w:szCs w:val="20"/>
                <w:color w:val="auto"/>
              </w:rPr>
            </w:pPr>
            <w:r>
              <w:rPr>
                <w:rFonts w:ascii="Arial" w:cs="Arial" w:eastAsia="Arial" w:hAnsi="Arial"/>
                <w:sz w:val="18"/>
                <w:szCs w:val="18"/>
                <w:color w:val="auto"/>
                <w:w w:val="92"/>
              </w:rPr>
              <w:t>March 7, 2018</w:t>
            </w:r>
          </w:p>
        </w:tc>
      </w:tr>
      <w:tr>
        <w:trPr>
          <w:trHeight w:val="41"/>
        </w:trPr>
        <w:tc>
          <w:tcPr>
            <w:tcW w:w="1660" w:type="dxa"/>
            <w:vAlign w:val="bottom"/>
            <w:tcBorders>
              <w:bottom w:val="single" w:sz="8" w:color="auto"/>
            </w:tcBorders>
          </w:tcPr>
          <w:p>
            <w:pPr>
              <w:spacing w:after="0"/>
              <w:rPr>
                <w:sz w:val="3"/>
                <w:szCs w:val="3"/>
                <w:color w:val="auto"/>
              </w:rPr>
            </w:pPr>
          </w:p>
        </w:tc>
        <w:tc>
          <w:tcPr>
            <w:tcW w:w="140" w:type="dxa"/>
            <w:vAlign w:val="bottom"/>
          </w:tcPr>
          <w:p>
            <w:pPr>
              <w:spacing w:after="0"/>
              <w:rPr>
                <w:sz w:val="3"/>
                <w:szCs w:val="3"/>
                <w:color w:val="auto"/>
              </w:rPr>
            </w:pPr>
          </w:p>
        </w:tc>
        <w:tc>
          <w:tcPr>
            <w:tcW w:w="5200" w:type="dxa"/>
            <w:vAlign w:val="bottom"/>
          </w:tcPr>
          <w:p>
            <w:pPr>
              <w:spacing w:after="0"/>
              <w:rPr>
                <w:sz w:val="3"/>
                <w:szCs w:val="3"/>
                <w:color w:val="auto"/>
              </w:rPr>
            </w:pPr>
          </w:p>
        </w:tc>
        <w:tc>
          <w:tcPr>
            <w:tcW w:w="140" w:type="dxa"/>
            <w:vAlign w:val="bottom"/>
          </w:tcPr>
          <w:p>
            <w:pPr>
              <w:spacing w:after="0"/>
              <w:rPr>
                <w:sz w:val="3"/>
                <w:szCs w:val="3"/>
                <w:color w:val="auto"/>
              </w:rPr>
            </w:pPr>
          </w:p>
        </w:tc>
        <w:tc>
          <w:tcPr>
            <w:tcW w:w="1120" w:type="dxa"/>
            <w:vAlign w:val="bottom"/>
          </w:tcPr>
          <w:p>
            <w:pPr>
              <w:spacing w:after="0"/>
              <w:rPr>
                <w:sz w:val="3"/>
                <w:szCs w:val="3"/>
                <w:color w:val="auto"/>
              </w:rPr>
            </w:pPr>
          </w:p>
        </w:tc>
      </w:tr>
      <w:tr>
        <w:trPr>
          <w:trHeight w:val="224"/>
        </w:trPr>
        <w:tc>
          <w:tcPr>
            <w:tcW w:w="1660" w:type="dxa"/>
            <w:vAlign w:val="bottom"/>
          </w:tcPr>
          <w:p>
            <w:pPr>
              <w:jc w:val="center"/>
              <w:spacing w:after="0"/>
              <w:rPr>
                <w:sz w:val="20"/>
                <w:szCs w:val="20"/>
                <w:color w:val="auto"/>
              </w:rPr>
            </w:pPr>
            <w:r>
              <w:rPr>
                <w:rFonts w:ascii="Arial" w:cs="Arial" w:eastAsia="Arial" w:hAnsi="Arial"/>
                <w:sz w:val="18"/>
                <w:szCs w:val="18"/>
                <w:color w:val="auto"/>
                <w:w w:val="90"/>
              </w:rPr>
              <w:t>Norman Wesley</w:t>
            </w:r>
          </w:p>
        </w:tc>
        <w:tc>
          <w:tcPr>
            <w:tcW w:w="140" w:type="dxa"/>
            <w:vAlign w:val="bottom"/>
          </w:tcPr>
          <w:p>
            <w:pPr>
              <w:spacing w:after="0"/>
              <w:rPr>
                <w:sz w:val="19"/>
                <w:szCs w:val="19"/>
                <w:color w:val="auto"/>
              </w:rPr>
            </w:pPr>
          </w:p>
        </w:tc>
        <w:tc>
          <w:tcPr>
            <w:tcW w:w="5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20" w:type="dxa"/>
            <w:vAlign w:val="bottom"/>
          </w:tcPr>
          <w:p>
            <w:pPr>
              <w:spacing w:after="0"/>
              <w:rPr>
                <w:sz w:val="19"/>
                <w:szCs w:val="19"/>
                <w:color w:val="auto"/>
              </w:rPr>
            </w:pPr>
          </w:p>
        </w:tc>
      </w:tr>
    </w:tbl>
    <w:p>
      <w:pPr>
        <w:spacing w:after="0" w:line="20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*By: /s/ Brendan Gibbons</w:t>
      </w:r>
    </w:p>
    <w:p>
      <w:pPr>
        <w:spacing w:after="0" w:line="36" w:lineRule="exact"/>
        <w:rPr>
          <w:sz w:val="20"/>
          <w:szCs w:val="20"/>
          <w:color w:val="auto"/>
        </w:rPr>
      </w:pPr>
    </w:p>
    <w:p>
      <w:pPr>
        <w:ind w:left="840"/>
        <w:spacing w:after="0"/>
        <w:rPr>
          <w:sz w:val="20"/>
          <w:szCs w:val="20"/>
          <w:color w:val="auto"/>
        </w:rPr>
      </w:pPr>
      <w:r>
        <w:rPr>
          <w:rFonts w:ascii="Arial" w:cs="Arial" w:eastAsia="Arial" w:hAnsi="Arial"/>
          <w:sz w:val="18"/>
          <w:szCs w:val="18"/>
          <w:color w:val="auto"/>
        </w:rPr>
        <w:t>Name: Brendan Gibbons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537845</wp:posOffset>
            </wp:positionH>
            <wp:positionV relativeFrom="paragraph">
              <wp:posOffset>-130175</wp:posOffset>
            </wp:positionV>
            <wp:extent cx="1895475" cy="889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23">
                      <a:extLst>
                        <a:ext uri="{28A0092B-C50C-407E-A947-70E740481C1C}"/>
                      </a:extLst>
                    </a:blip>
                    <a:srcRect/>
                    <a:stretch>
                      <a:fillRect/>
                    </a:stretch>
                  </pic:blipFill>
                  <pic:spPr bwMode="auto">
                    <a:xfrm>
                      <a:off x="0" y="0"/>
                      <a:ext cx="1895475" cy="8890"/>
                    </a:xfrm>
                    <a:prstGeom prst="rect">
                      <a:avLst/>
                    </a:prstGeom>
                    <a:noFill/>
                  </pic:spPr>
                </pic:pic>
              </a:graphicData>
            </a:graphic>
          </wp:anchor>
        </w:drawing>
      </w:r>
    </w:p>
    <w:p>
      <w:pPr>
        <w:spacing w:after="0" w:line="3" w:lineRule="exact"/>
        <w:rPr>
          <w:sz w:val="20"/>
          <w:szCs w:val="20"/>
          <w:color w:val="auto"/>
        </w:rPr>
      </w:pPr>
    </w:p>
    <w:p>
      <w:pPr>
        <w:ind w:left="840"/>
        <w:spacing w:after="0"/>
        <w:tabs>
          <w:tab w:leader="none" w:pos="1420" w:val="left"/>
        </w:tabs>
        <w:rPr>
          <w:sz w:val="20"/>
          <w:szCs w:val="20"/>
          <w:color w:val="auto"/>
        </w:rPr>
      </w:pPr>
      <w:r>
        <w:rPr>
          <w:rFonts w:ascii="Arial" w:cs="Arial" w:eastAsia="Arial" w:hAnsi="Arial"/>
          <w:sz w:val="18"/>
          <w:szCs w:val="18"/>
          <w:color w:val="auto"/>
        </w:rPr>
        <w:t>Title:</w:t>
      </w:r>
      <w:r>
        <w:rPr>
          <w:sz w:val="20"/>
          <w:szCs w:val="20"/>
          <w:color w:val="auto"/>
        </w:rPr>
        <w:tab/>
      </w:r>
      <w:r>
        <w:rPr>
          <w:rFonts w:ascii="Arial" w:cs="Arial" w:eastAsia="Arial" w:hAnsi="Arial"/>
          <w:sz w:val="18"/>
          <w:szCs w:val="18"/>
          <w:i w:val="1"/>
          <w:iCs w:val="1"/>
          <w:color w:val="auto"/>
        </w:rPr>
        <w:t>Attorney In Fact</w:t>
      </w: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82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224790</wp:posOffset>
            </wp:positionV>
            <wp:extent cx="5240020" cy="2603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24">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86" w:name="page87"/>
    <w:bookmarkEnd w:id="86"/>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INDEX TO CONSOLIDATED FINANCIAL STATEMENTS</w:t>
      </w:r>
    </w:p>
    <w:p>
      <w:pPr>
        <w:spacing w:after="0" w:line="288" w:lineRule="exact"/>
        <w:rPr>
          <w:sz w:val="20"/>
          <w:szCs w:val="20"/>
          <w:color w:val="auto"/>
        </w:rPr>
      </w:pPr>
    </w:p>
    <w:tbl>
      <w:tblPr>
        <w:tblLayout w:type="fixed"/>
        <w:tblInd w:w="380" w:type="dxa"/>
        <w:tblCellMar>
          <w:top w:w="0" w:type="dxa"/>
          <w:left w:w="0" w:type="dxa"/>
          <w:bottom w:w="0" w:type="dxa"/>
          <w:right w:w="0" w:type="dxa"/>
        </w:tblCellMar>
      </w:tblPr>
      <w:tr>
        <w:trPr>
          <w:trHeight w:val="171"/>
        </w:trPr>
        <w:tc>
          <w:tcPr>
            <w:tcW w:w="7580" w:type="dxa"/>
            <w:vAlign w:val="bottom"/>
            <w:gridSpan w:val="8"/>
            <w:vMerge w:val="restart"/>
          </w:tcPr>
          <w:p>
            <w:pPr>
              <w:spacing w:after="0"/>
              <w:rPr>
                <w:sz w:val="20"/>
                <w:szCs w:val="20"/>
                <w:color w:val="auto"/>
              </w:rPr>
            </w:pPr>
            <w:r>
              <w:rPr>
                <w:rFonts w:ascii="Arial" w:cs="Arial" w:eastAsia="Arial" w:hAnsi="Arial"/>
                <w:sz w:val="18"/>
                <w:szCs w:val="18"/>
                <w:b w:val="1"/>
                <w:bCs w:val="1"/>
                <w:color w:val="auto"/>
              </w:rPr>
              <w:t>Audited Consolidated Financial Statements</w:t>
            </w:r>
          </w:p>
        </w:tc>
        <w:tc>
          <w:tcPr>
            <w:tcW w:w="680" w:type="dxa"/>
            <w:vAlign w:val="bottom"/>
            <w:tcBorders>
              <w:bottom w:val="single" w:sz="8" w:color="auto"/>
            </w:tcBorders>
          </w:tcPr>
          <w:p>
            <w:pPr>
              <w:ind w:left="120"/>
              <w:spacing w:after="0"/>
              <w:rPr>
                <w:sz w:val="20"/>
                <w:szCs w:val="20"/>
                <w:color w:val="auto"/>
              </w:rPr>
            </w:pPr>
            <w:r>
              <w:rPr>
                <w:rFonts w:ascii="Arial" w:cs="Arial" w:eastAsia="Arial" w:hAnsi="Arial"/>
                <w:sz w:val="14"/>
                <w:szCs w:val="14"/>
                <w:b w:val="1"/>
                <w:bCs w:val="1"/>
                <w:color w:val="auto"/>
              </w:rPr>
              <w:t>Page(s)</w:t>
            </w:r>
          </w:p>
        </w:tc>
        <w:tc>
          <w:tcPr>
            <w:tcW w:w="0" w:type="dxa"/>
            <w:vAlign w:val="bottom"/>
          </w:tcPr>
          <w:p>
            <w:pPr>
              <w:spacing w:after="0"/>
              <w:rPr>
                <w:sz w:val="1"/>
                <w:szCs w:val="1"/>
                <w:color w:val="auto"/>
              </w:rPr>
            </w:pPr>
          </w:p>
        </w:tc>
      </w:tr>
      <w:tr>
        <w:trPr>
          <w:trHeight w:val="196"/>
        </w:trPr>
        <w:tc>
          <w:tcPr>
            <w:tcW w:w="7580" w:type="dxa"/>
            <w:vAlign w:val="bottom"/>
            <w:gridSpan w:val="8"/>
            <w:vMerge w:val="continue"/>
          </w:tcPr>
          <w:p>
            <w:pPr>
              <w:spacing w:after="0"/>
              <w:rPr>
                <w:sz w:val="17"/>
                <w:szCs w:val="17"/>
                <w:color w:val="auto"/>
              </w:rPr>
            </w:pPr>
          </w:p>
        </w:tc>
        <w:tc>
          <w:tcPr>
            <w:tcW w:w="6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59"/>
        </w:trPr>
        <w:tc>
          <w:tcPr>
            <w:tcW w:w="7580" w:type="dxa"/>
            <w:vAlign w:val="bottom"/>
            <w:gridSpan w:val="8"/>
          </w:tcPr>
          <w:p>
            <w:pPr>
              <w:spacing w:after="0"/>
              <w:rPr>
                <w:rFonts w:ascii="Arial" w:cs="Arial" w:eastAsia="Arial" w:hAnsi="Arial"/>
                <w:sz w:val="18"/>
                <w:szCs w:val="18"/>
                <w:color w:val="0000EE"/>
              </w:rPr>
            </w:pPr>
            <w:hyperlink w:anchor="page88">
              <w:r>
                <w:rPr>
                  <w:rFonts w:ascii="Arial" w:cs="Arial" w:eastAsia="Arial" w:hAnsi="Arial"/>
                  <w:sz w:val="18"/>
                  <w:szCs w:val="18"/>
                  <w:color w:val="0000EE"/>
                </w:rPr>
                <w:t>Report of Independent Registered Public Accounting Firm</w:t>
              </w:r>
            </w:hyperlink>
          </w:p>
        </w:tc>
        <w:tc>
          <w:tcPr>
            <w:tcW w:w="680" w:type="dxa"/>
            <w:vAlign w:val="bottom"/>
          </w:tcPr>
          <w:p>
            <w:pPr>
              <w:ind w:left="420"/>
              <w:spacing w:after="0" w:line="207" w:lineRule="exact"/>
              <w:rPr>
                <w:sz w:val="20"/>
                <w:szCs w:val="20"/>
                <w:color w:val="auto"/>
              </w:rPr>
            </w:pPr>
            <w:r>
              <w:rPr>
                <w:rFonts w:ascii="Arial" w:cs="Arial" w:eastAsia="Arial" w:hAnsi="Arial"/>
                <w:sz w:val="18"/>
                <w:szCs w:val="18"/>
                <w:color w:val="auto"/>
                <w:w w:val="90"/>
              </w:rPr>
              <w:t>F</w:t>
            </w:r>
            <w:r>
              <w:rPr>
                <w:rFonts w:ascii="MS PGothic" w:cs="MS PGothic" w:eastAsia="MS PGothic" w:hAnsi="MS PGothic"/>
                <w:sz w:val="18"/>
                <w:szCs w:val="18"/>
                <w:color w:val="auto"/>
                <w:w w:val="90"/>
              </w:rPr>
              <w:t>‑</w:t>
            </w:r>
            <w:r>
              <w:rPr>
                <w:rFonts w:ascii="Arial" w:cs="Arial" w:eastAsia="Arial" w:hAnsi="Arial"/>
                <w:sz w:val="18"/>
                <w:szCs w:val="18"/>
                <w:color w:val="auto"/>
                <w:w w:val="90"/>
              </w:rPr>
              <w:t>2</w:t>
            </w:r>
          </w:p>
        </w:tc>
        <w:tc>
          <w:tcPr>
            <w:tcW w:w="0" w:type="dxa"/>
            <w:vAlign w:val="bottom"/>
          </w:tcPr>
          <w:p>
            <w:pPr>
              <w:spacing w:after="0"/>
              <w:rPr>
                <w:sz w:val="1"/>
                <w:szCs w:val="1"/>
                <w:color w:val="auto"/>
              </w:rPr>
            </w:pPr>
          </w:p>
        </w:tc>
      </w:tr>
      <w:tr>
        <w:trPr>
          <w:trHeight w:val="412"/>
        </w:trPr>
        <w:tc>
          <w:tcPr>
            <w:tcW w:w="2100" w:type="dxa"/>
            <w:vAlign w:val="bottom"/>
            <w:tcBorders>
              <w:top w:val="single" w:sz="8" w:color="0000EE"/>
              <w:bottom w:val="single" w:sz="8" w:color="0000EE"/>
            </w:tcBorders>
          </w:tcPr>
          <w:p>
            <w:pPr>
              <w:spacing w:after="0"/>
              <w:rPr>
                <w:rFonts w:ascii="Arial" w:cs="Arial" w:eastAsia="Arial" w:hAnsi="Arial"/>
                <w:sz w:val="18"/>
                <w:szCs w:val="18"/>
                <w:color w:val="0000EE"/>
                <w:w w:val="88"/>
              </w:rPr>
            </w:pPr>
            <w:hyperlink w:anchor="page90">
              <w:r>
                <w:rPr>
                  <w:rFonts w:ascii="Arial" w:cs="Arial" w:eastAsia="Arial" w:hAnsi="Arial"/>
                  <w:sz w:val="18"/>
                  <w:szCs w:val="18"/>
                  <w:color w:val="0000EE"/>
                  <w:w w:val="88"/>
                </w:rPr>
                <w:t>Consolidated Balance Sheets</w:t>
              </w:r>
            </w:hyperlink>
          </w:p>
        </w:tc>
        <w:tc>
          <w:tcPr>
            <w:tcW w:w="2120" w:type="dxa"/>
            <w:vAlign w:val="bottom"/>
            <w:tcBorders>
              <w:top w:val="single" w:sz="8" w:color="0000EE"/>
            </w:tcBorders>
            <w:gridSpan w:val="5"/>
          </w:tcPr>
          <w:p>
            <w:pPr>
              <w:spacing w:after="0"/>
              <w:rPr>
                <w:sz w:val="24"/>
                <w:szCs w:val="24"/>
                <w:color w:val="auto"/>
              </w:rPr>
            </w:pPr>
          </w:p>
        </w:tc>
        <w:tc>
          <w:tcPr>
            <w:tcW w:w="3360" w:type="dxa"/>
            <w:vAlign w:val="bottom"/>
            <w:gridSpan w:val="2"/>
          </w:tcPr>
          <w:p>
            <w:pPr>
              <w:spacing w:after="0"/>
              <w:rPr>
                <w:sz w:val="24"/>
                <w:szCs w:val="24"/>
                <w:color w:val="auto"/>
              </w:rPr>
            </w:pPr>
          </w:p>
        </w:tc>
        <w:tc>
          <w:tcPr>
            <w:tcW w:w="680" w:type="dxa"/>
            <w:vAlign w:val="bottom"/>
          </w:tcPr>
          <w:p>
            <w:pPr>
              <w:ind w:left="420"/>
              <w:spacing w:after="0" w:line="207" w:lineRule="exact"/>
              <w:rPr>
                <w:sz w:val="20"/>
                <w:szCs w:val="20"/>
                <w:color w:val="auto"/>
              </w:rPr>
            </w:pPr>
            <w:r>
              <w:rPr>
                <w:rFonts w:ascii="Arial" w:cs="Arial" w:eastAsia="Arial" w:hAnsi="Arial"/>
                <w:sz w:val="18"/>
                <w:szCs w:val="18"/>
                <w:color w:val="auto"/>
                <w:w w:val="90"/>
              </w:rPr>
              <w:t>F</w:t>
            </w:r>
            <w:r>
              <w:rPr>
                <w:rFonts w:ascii="MS PGothic" w:cs="MS PGothic" w:eastAsia="MS PGothic" w:hAnsi="MS PGothic"/>
                <w:sz w:val="18"/>
                <w:szCs w:val="18"/>
                <w:color w:val="auto"/>
                <w:w w:val="90"/>
              </w:rPr>
              <w:t>‑</w:t>
            </w:r>
            <w:r>
              <w:rPr>
                <w:rFonts w:ascii="Arial" w:cs="Arial" w:eastAsia="Arial" w:hAnsi="Arial"/>
                <w:sz w:val="18"/>
                <w:szCs w:val="18"/>
                <w:color w:val="auto"/>
                <w:w w:val="90"/>
              </w:rPr>
              <w:t>4</w:t>
            </w:r>
          </w:p>
        </w:tc>
        <w:tc>
          <w:tcPr>
            <w:tcW w:w="0" w:type="dxa"/>
            <w:vAlign w:val="bottom"/>
          </w:tcPr>
          <w:p>
            <w:pPr>
              <w:spacing w:after="0"/>
              <w:rPr>
                <w:sz w:val="1"/>
                <w:szCs w:val="1"/>
                <w:color w:val="auto"/>
              </w:rPr>
            </w:pPr>
          </w:p>
        </w:tc>
      </w:tr>
      <w:tr>
        <w:trPr>
          <w:trHeight w:val="331"/>
        </w:trPr>
        <w:tc>
          <w:tcPr>
            <w:tcW w:w="2820" w:type="dxa"/>
            <w:vAlign w:val="bottom"/>
            <w:tcBorders>
              <w:bottom w:val="single" w:sz="8" w:color="0000EE"/>
            </w:tcBorders>
            <w:gridSpan w:val="2"/>
          </w:tcPr>
          <w:p>
            <w:pPr>
              <w:spacing w:after="0"/>
              <w:rPr>
                <w:rFonts w:ascii="Arial" w:cs="Arial" w:eastAsia="Arial" w:hAnsi="Arial"/>
                <w:sz w:val="18"/>
                <w:szCs w:val="18"/>
                <w:color w:val="0000EE"/>
                <w:w w:val="89"/>
              </w:rPr>
            </w:pPr>
            <w:hyperlink w:anchor="page91">
              <w:r>
                <w:rPr>
                  <w:rFonts w:ascii="Arial" w:cs="Arial" w:eastAsia="Arial" w:hAnsi="Arial"/>
                  <w:sz w:val="18"/>
                  <w:szCs w:val="18"/>
                  <w:color w:val="0000EE"/>
                  <w:w w:val="89"/>
                </w:rPr>
                <w:t>Consolidated Statements of Operations</w:t>
              </w:r>
            </w:hyperlink>
          </w:p>
        </w:tc>
        <w:tc>
          <w:tcPr>
            <w:tcW w:w="4760" w:type="dxa"/>
            <w:vAlign w:val="bottom"/>
            <w:gridSpan w:val="6"/>
          </w:tcPr>
          <w:p>
            <w:pPr>
              <w:spacing w:after="0"/>
              <w:rPr>
                <w:sz w:val="24"/>
                <w:szCs w:val="24"/>
                <w:color w:val="auto"/>
              </w:rPr>
            </w:pPr>
          </w:p>
        </w:tc>
        <w:tc>
          <w:tcPr>
            <w:tcW w:w="680" w:type="dxa"/>
            <w:vAlign w:val="bottom"/>
          </w:tcPr>
          <w:p>
            <w:pPr>
              <w:ind w:left="420"/>
              <w:spacing w:after="0" w:line="207" w:lineRule="exact"/>
              <w:rPr>
                <w:sz w:val="20"/>
                <w:szCs w:val="20"/>
                <w:color w:val="auto"/>
              </w:rPr>
            </w:pPr>
            <w:r>
              <w:rPr>
                <w:rFonts w:ascii="Arial" w:cs="Arial" w:eastAsia="Arial" w:hAnsi="Arial"/>
                <w:sz w:val="18"/>
                <w:szCs w:val="18"/>
                <w:color w:val="auto"/>
                <w:w w:val="90"/>
              </w:rPr>
              <w:t>F</w:t>
            </w:r>
            <w:r>
              <w:rPr>
                <w:rFonts w:ascii="MS PGothic" w:cs="MS PGothic" w:eastAsia="MS PGothic" w:hAnsi="MS PGothic"/>
                <w:sz w:val="18"/>
                <w:szCs w:val="18"/>
                <w:color w:val="auto"/>
                <w:w w:val="90"/>
              </w:rPr>
              <w:t>‑</w:t>
            </w:r>
            <w:r>
              <w:rPr>
                <w:rFonts w:ascii="Arial" w:cs="Arial" w:eastAsia="Arial" w:hAnsi="Arial"/>
                <w:sz w:val="18"/>
                <w:szCs w:val="18"/>
                <w:color w:val="auto"/>
                <w:w w:val="90"/>
              </w:rPr>
              <w:t>5</w:t>
            </w:r>
          </w:p>
        </w:tc>
        <w:tc>
          <w:tcPr>
            <w:tcW w:w="0" w:type="dxa"/>
            <w:vAlign w:val="bottom"/>
          </w:tcPr>
          <w:p>
            <w:pPr>
              <w:spacing w:after="0"/>
              <w:rPr>
                <w:sz w:val="1"/>
                <w:szCs w:val="1"/>
                <w:color w:val="auto"/>
              </w:rPr>
            </w:pPr>
          </w:p>
        </w:tc>
      </w:tr>
      <w:tr>
        <w:trPr>
          <w:trHeight w:val="331"/>
        </w:trPr>
        <w:tc>
          <w:tcPr>
            <w:tcW w:w="7580" w:type="dxa"/>
            <w:vAlign w:val="bottom"/>
            <w:gridSpan w:val="8"/>
          </w:tcPr>
          <w:p>
            <w:pPr>
              <w:spacing w:after="0"/>
              <w:rPr>
                <w:rFonts w:ascii="Arial" w:cs="Arial" w:eastAsia="Arial" w:hAnsi="Arial"/>
                <w:sz w:val="18"/>
                <w:szCs w:val="18"/>
                <w:color w:val="0000EE"/>
              </w:rPr>
            </w:pPr>
            <w:hyperlink w:anchor="page92">
              <w:r>
                <w:rPr>
                  <w:rFonts w:ascii="Arial" w:cs="Arial" w:eastAsia="Arial" w:hAnsi="Arial"/>
                  <w:sz w:val="18"/>
                  <w:szCs w:val="18"/>
                  <w:color w:val="0000EE"/>
                </w:rPr>
                <w:t>Consolidated Statements of Comprehensive Income</w:t>
              </w:r>
            </w:hyperlink>
          </w:p>
        </w:tc>
        <w:tc>
          <w:tcPr>
            <w:tcW w:w="680" w:type="dxa"/>
            <w:vAlign w:val="bottom"/>
          </w:tcPr>
          <w:p>
            <w:pPr>
              <w:ind w:left="420"/>
              <w:spacing w:after="0" w:line="207" w:lineRule="exact"/>
              <w:rPr>
                <w:sz w:val="20"/>
                <w:szCs w:val="20"/>
                <w:color w:val="auto"/>
              </w:rPr>
            </w:pPr>
            <w:r>
              <w:rPr>
                <w:rFonts w:ascii="Arial" w:cs="Arial" w:eastAsia="Arial" w:hAnsi="Arial"/>
                <w:sz w:val="18"/>
                <w:szCs w:val="18"/>
                <w:color w:val="auto"/>
                <w:w w:val="90"/>
              </w:rPr>
              <w:t>F</w:t>
            </w:r>
            <w:r>
              <w:rPr>
                <w:rFonts w:ascii="MS PGothic" w:cs="MS PGothic" w:eastAsia="MS PGothic" w:hAnsi="MS PGothic"/>
                <w:sz w:val="18"/>
                <w:szCs w:val="18"/>
                <w:color w:val="auto"/>
                <w:w w:val="90"/>
              </w:rPr>
              <w:t>‑</w:t>
            </w:r>
            <w:r>
              <w:rPr>
                <w:rFonts w:ascii="Arial" w:cs="Arial" w:eastAsia="Arial" w:hAnsi="Arial"/>
                <w:sz w:val="18"/>
                <w:szCs w:val="18"/>
                <w:color w:val="auto"/>
                <w:w w:val="90"/>
              </w:rPr>
              <w:t>6</w:t>
            </w:r>
          </w:p>
        </w:tc>
        <w:tc>
          <w:tcPr>
            <w:tcW w:w="0" w:type="dxa"/>
            <w:vAlign w:val="bottom"/>
          </w:tcPr>
          <w:p>
            <w:pPr>
              <w:spacing w:after="0"/>
              <w:rPr>
                <w:sz w:val="1"/>
                <w:szCs w:val="1"/>
                <w:color w:val="auto"/>
              </w:rPr>
            </w:pPr>
          </w:p>
        </w:tc>
      </w:tr>
      <w:tr>
        <w:trPr>
          <w:trHeight w:val="331"/>
        </w:trPr>
        <w:tc>
          <w:tcPr>
            <w:tcW w:w="2880" w:type="dxa"/>
            <w:vAlign w:val="bottom"/>
            <w:tcBorders>
              <w:top w:val="single" w:sz="8" w:color="0000EE"/>
              <w:bottom w:val="single" w:sz="8" w:color="0000EE"/>
            </w:tcBorders>
            <w:gridSpan w:val="3"/>
          </w:tcPr>
          <w:p>
            <w:pPr>
              <w:spacing w:after="0"/>
              <w:rPr>
                <w:rFonts w:ascii="Arial" w:cs="Arial" w:eastAsia="Arial" w:hAnsi="Arial"/>
                <w:sz w:val="18"/>
                <w:szCs w:val="18"/>
                <w:color w:val="0000EE"/>
                <w:w w:val="89"/>
              </w:rPr>
            </w:pPr>
            <w:hyperlink w:anchor="page93">
              <w:r>
                <w:rPr>
                  <w:rFonts w:ascii="Arial" w:cs="Arial" w:eastAsia="Arial" w:hAnsi="Arial"/>
                  <w:sz w:val="18"/>
                  <w:szCs w:val="18"/>
                  <w:color w:val="0000EE"/>
                  <w:w w:val="89"/>
                </w:rPr>
                <w:t>Consolidated Statements of Cash Flows</w:t>
              </w:r>
            </w:hyperlink>
          </w:p>
        </w:tc>
        <w:tc>
          <w:tcPr>
            <w:tcW w:w="860" w:type="dxa"/>
            <w:vAlign w:val="bottom"/>
            <w:tcBorders>
              <w:top w:val="single" w:sz="8" w:color="0000EE"/>
            </w:tcBorders>
            <w:gridSpan w:val="2"/>
          </w:tcPr>
          <w:p>
            <w:pPr>
              <w:spacing w:after="0"/>
              <w:rPr>
                <w:sz w:val="24"/>
                <w:szCs w:val="24"/>
                <w:color w:val="auto"/>
              </w:rPr>
            </w:pPr>
          </w:p>
        </w:tc>
        <w:tc>
          <w:tcPr>
            <w:tcW w:w="3840" w:type="dxa"/>
            <w:vAlign w:val="bottom"/>
            <w:gridSpan w:val="3"/>
          </w:tcPr>
          <w:p>
            <w:pPr>
              <w:spacing w:after="0"/>
              <w:rPr>
                <w:sz w:val="24"/>
                <w:szCs w:val="24"/>
                <w:color w:val="auto"/>
              </w:rPr>
            </w:pPr>
          </w:p>
        </w:tc>
        <w:tc>
          <w:tcPr>
            <w:tcW w:w="680" w:type="dxa"/>
            <w:vAlign w:val="bottom"/>
          </w:tcPr>
          <w:p>
            <w:pPr>
              <w:ind w:left="420"/>
              <w:spacing w:after="0" w:line="207" w:lineRule="exact"/>
              <w:rPr>
                <w:sz w:val="20"/>
                <w:szCs w:val="20"/>
                <w:color w:val="auto"/>
              </w:rPr>
            </w:pPr>
            <w:r>
              <w:rPr>
                <w:rFonts w:ascii="Arial" w:cs="Arial" w:eastAsia="Arial" w:hAnsi="Arial"/>
                <w:sz w:val="18"/>
                <w:szCs w:val="18"/>
                <w:color w:val="auto"/>
                <w:w w:val="90"/>
              </w:rPr>
              <w:t>F</w:t>
            </w:r>
            <w:r>
              <w:rPr>
                <w:rFonts w:ascii="MS PGothic" w:cs="MS PGothic" w:eastAsia="MS PGothic" w:hAnsi="MS PGothic"/>
                <w:sz w:val="18"/>
                <w:szCs w:val="18"/>
                <w:color w:val="auto"/>
                <w:w w:val="90"/>
              </w:rPr>
              <w:t>‑</w:t>
            </w:r>
            <w:r>
              <w:rPr>
                <w:rFonts w:ascii="Arial" w:cs="Arial" w:eastAsia="Arial" w:hAnsi="Arial"/>
                <w:sz w:val="18"/>
                <w:szCs w:val="18"/>
                <w:color w:val="auto"/>
                <w:w w:val="90"/>
              </w:rPr>
              <w:t>7</w:t>
            </w:r>
          </w:p>
        </w:tc>
        <w:tc>
          <w:tcPr>
            <w:tcW w:w="0" w:type="dxa"/>
            <w:vAlign w:val="bottom"/>
          </w:tcPr>
          <w:p>
            <w:pPr>
              <w:spacing w:after="0"/>
              <w:rPr>
                <w:sz w:val="1"/>
                <w:szCs w:val="1"/>
                <w:color w:val="auto"/>
              </w:rPr>
            </w:pPr>
          </w:p>
        </w:tc>
      </w:tr>
      <w:tr>
        <w:trPr>
          <w:trHeight w:val="331"/>
        </w:trPr>
        <w:tc>
          <w:tcPr>
            <w:tcW w:w="5820" w:type="dxa"/>
            <w:vAlign w:val="bottom"/>
            <w:tcBorders>
              <w:bottom w:val="single" w:sz="8" w:color="0000EE"/>
            </w:tcBorders>
            <w:gridSpan w:val="7"/>
          </w:tcPr>
          <w:p>
            <w:pPr>
              <w:spacing w:after="0"/>
              <w:rPr>
                <w:rFonts w:ascii="Arial" w:cs="Arial" w:eastAsia="Arial" w:hAnsi="Arial"/>
                <w:sz w:val="18"/>
                <w:szCs w:val="18"/>
                <w:color w:val="0000EE"/>
                <w:w w:val="90"/>
              </w:rPr>
            </w:pPr>
            <w:hyperlink w:anchor="page94">
              <w:r>
                <w:rPr>
                  <w:rFonts w:ascii="Arial" w:cs="Arial" w:eastAsia="Arial" w:hAnsi="Arial"/>
                  <w:sz w:val="18"/>
                  <w:szCs w:val="18"/>
                  <w:color w:val="0000EE"/>
                  <w:w w:val="90"/>
                </w:rPr>
                <w:t>Consolidated Statements of Redeemable Convertible Preferred Stock and Equity</w:t>
              </w:r>
            </w:hyperlink>
          </w:p>
        </w:tc>
        <w:tc>
          <w:tcPr>
            <w:tcW w:w="1760" w:type="dxa"/>
            <w:vAlign w:val="bottom"/>
          </w:tcPr>
          <w:p>
            <w:pPr>
              <w:spacing w:after="0"/>
              <w:rPr>
                <w:sz w:val="24"/>
                <w:szCs w:val="24"/>
                <w:color w:val="auto"/>
              </w:rPr>
            </w:pPr>
          </w:p>
        </w:tc>
        <w:tc>
          <w:tcPr>
            <w:tcW w:w="680" w:type="dxa"/>
            <w:vAlign w:val="bottom"/>
          </w:tcPr>
          <w:p>
            <w:pPr>
              <w:ind w:left="420"/>
              <w:spacing w:after="0" w:line="207" w:lineRule="exact"/>
              <w:rPr>
                <w:sz w:val="20"/>
                <w:szCs w:val="20"/>
                <w:color w:val="auto"/>
              </w:rPr>
            </w:pPr>
            <w:r>
              <w:rPr>
                <w:rFonts w:ascii="Arial" w:cs="Arial" w:eastAsia="Arial" w:hAnsi="Arial"/>
                <w:sz w:val="18"/>
                <w:szCs w:val="18"/>
                <w:color w:val="auto"/>
                <w:w w:val="90"/>
              </w:rPr>
              <w:t>F</w:t>
            </w:r>
            <w:r>
              <w:rPr>
                <w:rFonts w:ascii="MS PGothic" w:cs="MS PGothic" w:eastAsia="MS PGothic" w:hAnsi="MS PGothic"/>
                <w:sz w:val="18"/>
                <w:szCs w:val="18"/>
                <w:color w:val="auto"/>
                <w:w w:val="90"/>
              </w:rPr>
              <w:t>‑</w:t>
            </w:r>
            <w:r>
              <w:rPr>
                <w:rFonts w:ascii="Arial" w:cs="Arial" w:eastAsia="Arial" w:hAnsi="Arial"/>
                <w:sz w:val="18"/>
                <w:szCs w:val="18"/>
                <w:color w:val="auto"/>
                <w:w w:val="90"/>
              </w:rPr>
              <w:t>8</w:t>
            </w:r>
          </w:p>
        </w:tc>
        <w:tc>
          <w:tcPr>
            <w:tcW w:w="0" w:type="dxa"/>
            <w:vAlign w:val="bottom"/>
          </w:tcPr>
          <w:p>
            <w:pPr>
              <w:spacing w:after="0"/>
              <w:rPr>
                <w:sz w:val="1"/>
                <w:szCs w:val="1"/>
                <w:color w:val="auto"/>
              </w:rPr>
            </w:pPr>
          </w:p>
        </w:tc>
      </w:tr>
      <w:tr>
        <w:trPr>
          <w:trHeight w:val="331"/>
        </w:trPr>
        <w:tc>
          <w:tcPr>
            <w:tcW w:w="7580" w:type="dxa"/>
            <w:vAlign w:val="bottom"/>
            <w:gridSpan w:val="8"/>
          </w:tcPr>
          <w:p>
            <w:pPr>
              <w:spacing w:after="0"/>
              <w:rPr>
                <w:rFonts w:ascii="Arial" w:cs="Arial" w:eastAsia="Arial" w:hAnsi="Arial"/>
                <w:sz w:val="18"/>
                <w:szCs w:val="18"/>
                <w:color w:val="0000EE"/>
              </w:rPr>
            </w:pPr>
            <w:hyperlink w:anchor="page95">
              <w:r>
                <w:rPr>
                  <w:rFonts w:ascii="Arial" w:cs="Arial" w:eastAsia="Arial" w:hAnsi="Arial"/>
                  <w:sz w:val="18"/>
                  <w:szCs w:val="18"/>
                  <w:color w:val="0000EE"/>
                </w:rPr>
                <w:t>Notes to Consolidated Financial Statements</w:t>
              </w:r>
            </w:hyperlink>
          </w:p>
        </w:tc>
        <w:tc>
          <w:tcPr>
            <w:tcW w:w="680" w:type="dxa"/>
            <w:vAlign w:val="bottom"/>
          </w:tcPr>
          <w:p>
            <w:pPr>
              <w:ind w:left="420"/>
              <w:spacing w:after="0" w:line="207" w:lineRule="exact"/>
              <w:rPr>
                <w:sz w:val="20"/>
                <w:szCs w:val="20"/>
                <w:color w:val="auto"/>
              </w:rPr>
            </w:pPr>
            <w:r>
              <w:rPr>
                <w:rFonts w:ascii="Arial" w:cs="Arial" w:eastAsia="Arial" w:hAnsi="Arial"/>
                <w:sz w:val="18"/>
                <w:szCs w:val="18"/>
                <w:color w:val="auto"/>
                <w:w w:val="90"/>
              </w:rPr>
              <w:t>F</w:t>
            </w:r>
            <w:r>
              <w:rPr>
                <w:rFonts w:ascii="MS PGothic" w:cs="MS PGothic" w:eastAsia="MS PGothic" w:hAnsi="MS PGothic"/>
                <w:sz w:val="18"/>
                <w:szCs w:val="18"/>
                <w:color w:val="auto"/>
                <w:w w:val="90"/>
              </w:rPr>
              <w:t>‑</w:t>
            </w:r>
            <w:r>
              <w:rPr>
                <w:rFonts w:ascii="Arial" w:cs="Arial" w:eastAsia="Arial" w:hAnsi="Arial"/>
                <w:sz w:val="18"/>
                <w:szCs w:val="18"/>
                <w:color w:val="auto"/>
                <w:w w:val="90"/>
              </w:rPr>
              <w:t>9</w:t>
            </w:r>
          </w:p>
        </w:tc>
        <w:tc>
          <w:tcPr>
            <w:tcW w:w="0" w:type="dxa"/>
            <w:vAlign w:val="bottom"/>
          </w:tcPr>
          <w:p>
            <w:pPr>
              <w:spacing w:after="0"/>
              <w:rPr>
                <w:sz w:val="1"/>
                <w:szCs w:val="1"/>
                <w:color w:val="auto"/>
              </w:rPr>
            </w:pPr>
          </w:p>
        </w:tc>
      </w:tr>
      <w:tr>
        <w:trPr>
          <w:trHeight w:val="682"/>
        </w:trPr>
        <w:tc>
          <w:tcPr>
            <w:tcW w:w="2100" w:type="dxa"/>
            <w:vAlign w:val="bottom"/>
            <w:tcBorders>
              <w:top w:val="single" w:sz="8" w:color="0000EE"/>
            </w:tcBorders>
          </w:tcPr>
          <w:p>
            <w:pPr>
              <w:spacing w:after="0"/>
              <w:rPr>
                <w:sz w:val="24"/>
                <w:szCs w:val="24"/>
                <w:color w:val="auto"/>
              </w:rPr>
            </w:pPr>
          </w:p>
        </w:tc>
        <w:tc>
          <w:tcPr>
            <w:tcW w:w="720" w:type="dxa"/>
            <w:vAlign w:val="bottom"/>
            <w:tcBorders>
              <w:top w:val="single" w:sz="8" w:color="0000EE"/>
            </w:tcBorders>
          </w:tcPr>
          <w:p>
            <w:pPr>
              <w:spacing w:after="0"/>
              <w:rPr>
                <w:sz w:val="24"/>
                <w:szCs w:val="24"/>
                <w:color w:val="auto"/>
              </w:rPr>
            </w:pPr>
          </w:p>
        </w:tc>
        <w:tc>
          <w:tcPr>
            <w:tcW w:w="60" w:type="dxa"/>
            <w:vAlign w:val="bottom"/>
            <w:tcBorders>
              <w:top w:val="single" w:sz="8" w:color="0000EE"/>
            </w:tcBorders>
          </w:tcPr>
          <w:p>
            <w:pPr>
              <w:spacing w:after="0"/>
              <w:rPr>
                <w:sz w:val="24"/>
                <w:szCs w:val="24"/>
                <w:color w:val="auto"/>
              </w:rPr>
            </w:pPr>
          </w:p>
        </w:tc>
        <w:tc>
          <w:tcPr>
            <w:tcW w:w="280" w:type="dxa"/>
            <w:vAlign w:val="bottom"/>
            <w:tcBorders>
              <w:top w:val="single" w:sz="8" w:color="0000EE"/>
            </w:tcBorders>
          </w:tcPr>
          <w:p>
            <w:pPr>
              <w:spacing w:after="0"/>
              <w:rPr>
                <w:sz w:val="24"/>
                <w:szCs w:val="24"/>
                <w:color w:val="auto"/>
              </w:rPr>
            </w:pPr>
          </w:p>
        </w:tc>
        <w:tc>
          <w:tcPr>
            <w:tcW w:w="580" w:type="dxa"/>
            <w:vAlign w:val="bottom"/>
          </w:tcPr>
          <w:p>
            <w:pPr>
              <w:spacing w:after="0"/>
              <w:rPr>
                <w:sz w:val="24"/>
                <w:szCs w:val="24"/>
                <w:color w:val="auto"/>
              </w:rPr>
            </w:pPr>
          </w:p>
        </w:tc>
        <w:tc>
          <w:tcPr>
            <w:tcW w:w="3840" w:type="dxa"/>
            <w:vAlign w:val="bottom"/>
            <w:gridSpan w:val="3"/>
          </w:tcPr>
          <w:p>
            <w:pPr>
              <w:ind w:left="260"/>
              <w:spacing w:after="0"/>
              <w:rPr>
                <w:sz w:val="20"/>
                <w:szCs w:val="20"/>
                <w:color w:val="auto"/>
              </w:rPr>
            </w:pPr>
            <w:r>
              <w:rPr>
                <w:rFonts w:ascii="Arial" w:cs="Arial" w:eastAsia="Arial" w:hAnsi="Arial"/>
                <w:sz w:val="18"/>
                <w:szCs w:val="18"/>
                <w:color w:val="auto"/>
              </w:rPr>
              <w:t>F-1</w:t>
            </w:r>
          </w:p>
        </w:tc>
        <w:tc>
          <w:tcPr>
            <w:tcW w:w="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9"/>
        </w:trPr>
        <w:tc>
          <w:tcPr>
            <w:tcW w:w="2100" w:type="dxa"/>
            <w:vAlign w:val="bottom"/>
            <w:tcBorders>
              <w:bottom w:val="single" w:sz="8" w:color="auto"/>
            </w:tcBorders>
          </w:tcPr>
          <w:p>
            <w:pPr>
              <w:spacing w:after="0"/>
              <w:rPr>
                <w:sz w:val="11"/>
                <w:szCs w:val="11"/>
                <w:color w:val="auto"/>
              </w:rPr>
            </w:pPr>
          </w:p>
        </w:tc>
        <w:tc>
          <w:tcPr>
            <w:tcW w:w="720" w:type="dxa"/>
            <w:vAlign w:val="bottom"/>
            <w:tcBorders>
              <w:bottom w:val="single" w:sz="8" w:color="auto"/>
            </w:tcBorders>
          </w:tcPr>
          <w:p>
            <w:pPr>
              <w:spacing w:after="0"/>
              <w:rPr>
                <w:sz w:val="11"/>
                <w:szCs w:val="11"/>
                <w:color w:val="auto"/>
              </w:rPr>
            </w:pPr>
          </w:p>
        </w:tc>
        <w:tc>
          <w:tcPr>
            <w:tcW w:w="60" w:type="dxa"/>
            <w:vAlign w:val="bottom"/>
            <w:tcBorders>
              <w:bottom w:val="single" w:sz="8" w:color="auto"/>
            </w:tcBorders>
          </w:tcPr>
          <w:p>
            <w:pPr>
              <w:spacing w:after="0"/>
              <w:rPr>
                <w:sz w:val="11"/>
                <w:szCs w:val="11"/>
                <w:color w:val="auto"/>
              </w:rPr>
            </w:pPr>
          </w:p>
        </w:tc>
        <w:tc>
          <w:tcPr>
            <w:tcW w:w="280" w:type="dxa"/>
            <w:vAlign w:val="bottom"/>
            <w:tcBorders>
              <w:bottom w:val="single" w:sz="8" w:color="auto"/>
            </w:tcBorders>
          </w:tcPr>
          <w:p>
            <w:pPr>
              <w:spacing w:after="0"/>
              <w:rPr>
                <w:sz w:val="11"/>
                <w:szCs w:val="11"/>
                <w:color w:val="auto"/>
              </w:rPr>
            </w:pPr>
          </w:p>
        </w:tc>
        <w:tc>
          <w:tcPr>
            <w:tcW w:w="580" w:type="dxa"/>
            <w:vAlign w:val="bottom"/>
            <w:tcBorders>
              <w:bottom w:val="single" w:sz="8" w:color="auto"/>
            </w:tcBorders>
          </w:tcPr>
          <w:p>
            <w:pPr>
              <w:spacing w:after="0"/>
              <w:rPr>
                <w:sz w:val="11"/>
                <w:szCs w:val="11"/>
                <w:color w:val="auto"/>
              </w:rPr>
            </w:pPr>
          </w:p>
        </w:tc>
        <w:tc>
          <w:tcPr>
            <w:tcW w:w="480" w:type="dxa"/>
            <w:vAlign w:val="bottom"/>
            <w:tcBorders>
              <w:bottom w:val="single" w:sz="8" w:color="auto"/>
            </w:tcBorders>
          </w:tcPr>
          <w:p>
            <w:pPr>
              <w:spacing w:after="0"/>
              <w:rPr>
                <w:sz w:val="11"/>
                <w:szCs w:val="11"/>
                <w:color w:val="auto"/>
              </w:rPr>
            </w:pPr>
          </w:p>
        </w:tc>
        <w:tc>
          <w:tcPr>
            <w:tcW w:w="1600" w:type="dxa"/>
            <w:vAlign w:val="bottom"/>
            <w:tcBorders>
              <w:bottom w:val="single" w:sz="8" w:color="auto"/>
            </w:tcBorders>
          </w:tcPr>
          <w:p>
            <w:pPr>
              <w:spacing w:after="0"/>
              <w:rPr>
                <w:sz w:val="11"/>
                <w:szCs w:val="11"/>
                <w:color w:val="auto"/>
              </w:rPr>
            </w:pPr>
          </w:p>
        </w:tc>
        <w:tc>
          <w:tcPr>
            <w:tcW w:w="1760" w:type="dxa"/>
            <w:vAlign w:val="bottom"/>
            <w:tcBorders>
              <w:bottom w:val="single" w:sz="8" w:color="auto"/>
            </w:tcBorders>
          </w:tcPr>
          <w:p>
            <w:pPr>
              <w:spacing w:after="0"/>
              <w:rPr>
                <w:sz w:val="11"/>
                <w:szCs w:val="11"/>
                <w:color w:val="auto"/>
              </w:rPr>
            </w:pPr>
          </w:p>
        </w:tc>
        <w:tc>
          <w:tcPr>
            <w:tcW w:w="680" w:type="dxa"/>
            <w:vAlign w:val="bottom"/>
            <w:tcBorders>
              <w:bottom w:val="single" w:sz="8" w:color="auto"/>
            </w:tcBorders>
          </w:tcPr>
          <w:p>
            <w:pPr>
              <w:spacing w:after="0"/>
              <w:rPr>
                <w:sz w:val="11"/>
                <w:szCs w:val="11"/>
                <w:color w:val="auto"/>
              </w:rPr>
            </w:pPr>
          </w:p>
        </w:tc>
        <w:tc>
          <w:tcPr>
            <w:tcW w:w="0" w:type="dxa"/>
            <w:vAlign w:val="bottom"/>
          </w:tcPr>
          <w:p>
            <w:pPr>
              <w:spacing w:after="0"/>
              <w:rPr>
                <w:sz w:val="1"/>
                <w:szCs w:val="1"/>
                <w:color w:val="auto"/>
              </w:rPr>
            </w:pPr>
          </w:p>
        </w:tc>
      </w:tr>
    </w:tbl>
    <w:p>
      <w:pPr>
        <w:sectPr>
          <w:pgSz w:w="11900" w:h="16838" w:orient="portrait"/>
          <w:cols w:equalWidth="0" w:num="1">
            <w:col w:w="9019"/>
          </w:cols>
          <w:pgMar w:left="1440" w:top="125" w:right="1440" w:bottom="1440" w:gutter="0" w:footer="0" w:header="0"/>
        </w:sectPr>
      </w:pPr>
    </w:p>
    <w:bookmarkStart w:id="87" w:name="page88"/>
    <w:bookmarkEnd w:id="87"/>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ind w:left="2320"/>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229" w:lineRule="exact"/>
        <w:rPr>
          <w:sz w:val="20"/>
          <w:szCs w:val="20"/>
          <w:color w:val="auto"/>
        </w:rPr>
      </w:pPr>
    </w:p>
    <w:p>
      <w:pPr>
        <w:ind w:left="380"/>
        <w:spacing w:after="0"/>
        <w:rPr>
          <w:sz w:val="20"/>
          <w:szCs w:val="20"/>
          <w:color w:val="auto"/>
        </w:rPr>
      </w:pPr>
      <w:r>
        <w:rPr>
          <w:rFonts w:ascii="Arial" w:cs="Arial" w:eastAsia="Arial" w:hAnsi="Arial"/>
          <w:sz w:val="18"/>
          <w:szCs w:val="18"/>
          <w:color w:val="auto"/>
        </w:rPr>
        <w:t>To the Board of Directors and Shareholders of Acushnet Holdings Corp.</w:t>
      </w:r>
    </w:p>
    <w:p>
      <w:pPr>
        <w:spacing w:after="0" w:line="225" w:lineRule="exact"/>
        <w:rPr>
          <w:sz w:val="20"/>
          <w:szCs w:val="20"/>
          <w:color w:val="auto"/>
        </w:rPr>
      </w:pPr>
    </w:p>
    <w:p>
      <w:pPr>
        <w:ind w:left="380"/>
        <w:spacing w:after="0"/>
        <w:rPr>
          <w:sz w:val="20"/>
          <w:szCs w:val="20"/>
          <w:color w:val="auto"/>
        </w:rPr>
      </w:pPr>
      <w:r>
        <w:rPr>
          <w:rFonts w:ascii="Arial" w:cs="Arial" w:eastAsia="Arial" w:hAnsi="Arial"/>
          <w:sz w:val="18"/>
          <w:szCs w:val="18"/>
          <w:b w:val="1"/>
          <w:bCs w:val="1"/>
          <w:i w:val="1"/>
          <w:iCs w:val="1"/>
          <w:color w:val="auto"/>
        </w:rPr>
        <w:t>Opinions on the Financial Statements and Internal Control over Financial Reporting</w:t>
      </w:r>
    </w:p>
    <w:p>
      <w:pPr>
        <w:spacing w:after="0" w:line="225" w:lineRule="exact"/>
        <w:rPr>
          <w:sz w:val="20"/>
          <w:szCs w:val="20"/>
          <w:color w:val="auto"/>
        </w:rPr>
      </w:pPr>
    </w:p>
    <w:p>
      <w:pPr>
        <w:ind w:left="380" w:right="619" w:firstLine="648"/>
        <w:spacing w:after="0" w:line="291" w:lineRule="auto"/>
        <w:rPr>
          <w:sz w:val="20"/>
          <w:szCs w:val="20"/>
          <w:color w:val="auto"/>
        </w:rPr>
      </w:pPr>
      <w:r>
        <w:rPr>
          <w:rFonts w:ascii="Arial" w:cs="Arial" w:eastAsia="Arial" w:hAnsi="Arial"/>
          <w:sz w:val="16"/>
          <w:szCs w:val="16"/>
          <w:color w:val="auto"/>
        </w:rPr>
        <w:t xml:space="preserve">We have audited the accompanying consolidated balance sheets of Acushnet Holdings Corp. and its subsidiaries as of December 31, 2017 and 2016, and the related consolidated statements of operations, comprehensive income (loss), redeemable convertible preferred stock and equity and cash flows for each of the three years in the period ended December 31, 2017, including the related notes (collectively referred to as the “consolidated financial statements”). We also have audited the Company's internal control over financial reporting as of December 31, 2017, based on criteria established in </w:t>
      </w:r>
      <w:r>
        <w:rPr>
          <w:rFonts w:ascii="Arial" w:cs="Arial" w:eastAsia="Arial" w:hAnsi="Arial"/>
          <w:sz w:val="16"/>
          <w:szCs w:val="16"/>
          <w:i w:val="1"/>
          <w:iCs w:val="1"/>
          <w:color w:val="auto"/>
        </w:rPr>
        <w:t>Internal Control - Integrated Framework</w:t>
      </w:r>
      <w:r>
        <w:rPr>
          <w:rFonts w:ascii="Arial" w:cs="Arial" w:eastAsia="Arial" w:hAnsi="Arial"/>
          <w:sz w:val="16"/>
          <w:szCs w:val="16"/>
          <w:color w:val="auto"/>
        </w:rPr>
        <w:t xml:space="preserve"> (2013) issued by the Committee of Sponsoring Organizations of the Treadway Commission (COSO).</w:t>
      </w:r>
    </w:p>
    <w:p>
      <w:pPr>
        <w:spacing w:after="0" w:line="167" w:lineRule="exact"/>
        <w:rPr>
          <w:sz w:val="20"/>
          <w:szCs w:val="20"/>
          <w:color w:val="auto"/>
        </w:rPr>
      </w:pPr>
    </w:p>
    <w:p>
      <w:pPr>
        <w:ind w:left="380" w:right="439" w:firstLine="648"/>
        <w:spacing w:after="0" w:line="293" w:lineRule="auto"/>
        <w:rPr>
          <w:sz w:val="20"/>
          <w:szCs w:val="20"/>
          <w:color w:val="auto"/>
        </w:rPr>
      </w:pPr>
      <w:r>
        <w:rPr>
          <w:rFonts w:ascii="Arial" w:cs="Arial" w:eastAsia="Arial" w:hAnsi="Arial"/>
          <w:sz w:val="16"/>
          <w:szCs w:val="16"/>
          <w:color w:val="auto"/>
        </w:rPr>
        <w:t xml:space="preserve">In our opinion, the consolidated financial statements referred to above present fairly, in all material respects, the financial position of the Company as of December 31, 2017 and 2016, and the results of its operations and its cash flows for each of the three years in the period ended December 31, 2017 in conformity with accounting principles generally accepted in the United States of America. Also in our opinion, the Company maintained, in all material respects, effective internal control over financial reporting as of December 31, 2017, based on criteria established in </w:t>
      </w:r>
      <w:r>
        <w:rPr>
          <w:rFonts w:ascii="Arial" w:cs="Arial" w:eastAsia="Arial" w:hAnsi="Arial"/>
          <w:sz w:val="16"/>
          <w:szCs w:val="16"/>
          <w:i w:val="1"/>
          <w:iCs w:val="1"/>
          <w:color w:val="auto"/>
        </w:rPr>
        <w:t>Internal Control - Integrated Framework</w:t>
      </w:r>
      <w:r>
        <w:rPr>
          <w:rFonts w:ascii="Arial" w:cs="Arial" w:eastAsia="Arial" w:hAnsi="Arial"/>
          <w:sz w:val="16"/>
          <w:szCs w:val="16"/>
          <w:color w:val="auto"/>
        </w:rPr>
        <w:t xml:space="preserve"> (2013) issued by the COSO.</w:t>
      </w:r>
    </w:p>
    <w:p>
      <w:pPr>
        <w:spacing w:after="0" w:line="165" w:lineRule="exact"/>
        <w:rPr>
          <w:sz w:val="20"/>
          <w:szCs w:val="20"/>
          <w:color w:val="auto"/>
        </w:rPr>
      </w:pPr>
    </w:p>
    <w:p>
      <w:pPr>
        <w:ind w:left="380"/>
        <w:spacing w:after="0"/>
        <w:rPr>
          <w:sz w:val="20"/>
          <w:szCs w:val="20"/>
          <w:color w:val="auto"/>
        </w:rPr>
      </w:pPr>
      <w:r>
        <w:rPr>
          <w:rFonts w:ascii="Arial" w:cs="Arial" w:eastAsia="Arial" w:hAnsi="Arial"/>
          <w:sz w:val="18"/>
          <w:szCs w:val="18"/>
          <w:b w:val="1"/>
          <w:bCs w:val="1"/>
          <w:i w:val="1"/>
          <w:iCs w:val="1"/>
          <w:color w:val="auto"/>
        </w:rPr>
        <w:t>Basis for Opinions</w:t>
      </w:r>
    </w:p>
    <w:p>
      <w:pPr>
        <w:spacing w:after="0" w:line="225" w:lineRule="exact"/>
        <w:rPr>
          <w:sz w:val="20"/>
          <w:szCs w:val="20"/>
          <w:color w:val="auto"/>
        </w:rPr>
      </w:pPr>
    </w:p>
    <w:p>
      <w:pPr>
        <w:ind w:left="380" w:right="399" w:firstLine="648"/>
        <w:spacing w:after="0" w:line="290" w:lineRule="auto"/>
        <w:rPr>
          <w:sz w:val="20"/>
          <w:szCs w:val="20"/>
          <w:color w:val="auto"/>
        </w:rPr>
      </w:pPr>
      <w:r>
        <w:rPr>
          <w:rFonts w:ascii="Arial" w:cs="Arial" w:eastAsia="Arial" w:hAnsi="Arial"/>
          <w:sz w:val="16"/>
          <w:szCs w:val="16"/>
          <w:color w:val="auto"/>
        </w:rPr>
        <w:t>The Company's management is responsible for these consolidated financial statements, for maintaining effective internal control over financial reporting, and for its assessment of the effectiveness of internal control over financial reporting, included in Management's Report on Internal Control over Financial Reporting appearing under Item 9A. Our responsibility is to express opinions on the Company’s consolidated financial statements and on the Company's internal control over financial reporting based on our audits. We are a public accounting firm registered with the Public Company Accounting Oversight Board (United States) ("PCAOB") and are required to be independent with respect to the Company in accordance with the U.S. federal securities laws and the applicable rules and regulations of the Securities and Exchange Commission and the PCAOB.</w:t>
      </w:r>
    </w:p>
    <w:p>
      <w:pPr>
        <w:spacing w:after="0" w:line="166" w:lineRule="exact"/>
        <w:rPr>
          <w:sz w:val="20"/>
          <w:szCs w:val="20"/>
          <w:color w:val="auto"/>
        </w:rPr>
      </w:pPr>
    </w:p>
    <w:p>
      <w:pPr>
        <w:ind w:left="380" w:right="399" w:firstLine="648"/>
        <w:spacing w:after="0" w:line="259" w:lineRule="auto"/>
        <w:rPr>
          <w:sz w:val="20"/>
          <w:szCs w:val="20"/>
          <w:color w:val="auto"/>
        </w:rPr>
      </w:pPr>
      <w:r>
        <w:rPr>
          <w:rFonts w:ascii="Arial" w:cs="Arial" w:eastAsia="Arial" w:hAnsi="Arial"/>
          <w:sz w:val="18"/>
          <w:szCs w:val="18"/>
          <w:color w:val="auto"/>
        </w:rPr>
        <w:t>We conducted our audits in accordance with the standards of the PCAOB. Those standards require that we plan and perform the audits to obtain reasonable assurance about whether the consolidated financial statements are free of material misstatement, whether due to error or fraud, and whether effective internal control over financial reporting was maintained in all material respects.</w:t>
      </w:r>
    </w:p>
    <w:p>
      <w:pPr>
        <w:spacing w:after="0" w:line="187" w:lineRule="exact"/>
        <w:rPr>
          <w:sz w:val="20"/>
          <w:szCs w:val="20"/>
          <w:color w:val="auto"/>
        </w:rPr>
      </w:pPr>
    </w:p>
    <w:p>
      <w:pPr>
        <w:ind w:left="380" w:right="439" w:firstLine="648"/>
        <w:spacing w:after="0" w:line="288" w:lineRule="auto"/>
        <w:rPr>
          <w:sz w:val="20"/>
          <w:szCs w:val="20"/>
          <w:color w:val="auto"/>
        </w:rPr>
      </w:pPr>
      <w:r>
        <w:rPr>
          <w:rFonts w:ascii="Arial" w:cs="Arial" w:eastAsia="Arial" w:hAnsi="Arial"/>
          <w:sz w:val="16"/>
          <w:szCs w:val="16"/>
          <w:color w:val="auto"/>
        </w:rPr>
        <w:t>Our audits of the consolidated financial statements included performing procedures to assess the risks of material misstatement of the consolidated financial statements, whether due to error or fraud, and performing procedures that respond to those risks. Such procedures included examining, on a test basis, evidence regarding the amounts and disclosures in the consolidated financial statements. Our audits also included evaluating the accounting principles used and significant estimates made by management, as well as evaluating the overall presentation of the consolidated financial statements. Our audit of internal control over financial reporting included obtaining an understanding of internal control over financial reporting, assessing the risk that a material weakness exists, and testing and evaluating the design and operating effectiveness of internal control based on the assessed risk. Our audits also included performing such other procedures as we considered necessary in the circumstances. We believe that our audits provide a reasonable basis for our opinions.</w:t>
      </w: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83185</wp:posOffset>
            </wp:positionV>
            <wp:extent cx="5240020" cy="2603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25">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88" w:name="page89"/>
    <w:bookmarkEnd w:id="88"/>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380"/>
        <w:spacing w:after="0"/>
        <w:rPr>
          <w:sz w:val="20"/>
          <w:szCs w:val="20"/>
          <w:color w:val="auto"/>
        </w:rPr>
      </w:pPr>
      <w:r>
        <w:rPr>
          <w:rFonts w:ascii="Arial" w:cs="Arial" w:eastAsia="Arial" w:hAnsi="Arial"/>
          <w:sz w:val="18"/>
          <w:szCs w:val="18"/>
          <w:b w:val="1"/>
          <w:bCs w:val="1"/>
          <w:i w:val="1"/>
          <w:iCs w:val="1"/>
          <w:color w:val="auto"/>
        </w:rPr>
        <w:t>Definition and Limitations of Internal Control over Financial Reporting</w:t>
      </w:r>
    </w:p>
    <w:p>
      <w:pPr>
        <w:spacing w:after="0" w:line="225" w:lineRule="exact"/>
        <w:rPr>
          <w:sz w:val="20"/>
          <w:szCs w:val="20"/>
          <w:color w:val="auto"/>
        </w:rPr>
      </w:pPr>
    </w:p>
    <w:p>
      <w:pPr>
        <w:ind w:left="380" w:right="639" w:firstLine="648"/>
        <w:spacing w:after="0" w:line="285" w:lineRule="auto"/>
        <w:rPr>
          <w:sz w:val="20"/>
          <w:szCs w:val="20"/>
          <w:color w:val="auto"/>
        </w:rPr>
      </w:pPr>
      <w:r>
        <w:rPr>
          <w:rFonts w:ascii="Arial" w:cs="Arial" w:eastAsia="Arial" w:hAnsi="Arial"/>
          <w:sz w:val="16"/>
          <w:szCs w:val="16"/>
          <w:color w:val="auto"/>
        </w:rPr>
        <w:t>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(i) pertain to the maintenance of records that, in reasonable detail, accurately and fairly reflect the transactions and dispositions of the assets of the company;</w:t>
      </w:r>
    </w:p>
    <w:p>
      <w:pPr>
        <w:spacing w:after="0" w:line="2" w:lineRule="exact"/>
        <w:rPr>
          <w:sz w:val="20"/>
          <w:szCs w:val="20"/>
          <w:color w:val="auto"/>
        </w:rPr>
      </w:pPr>
    </w:p>
    <w:p>
      <w:pPr>
        <w:ind w:left="380" w:right="499" w:firstLine="2"/>
        <w:spacing w:after="0" w:line="292" w:lineRule="auto"/>
        <w:tabs>
          <w:tab w:leader="none" w:pos="645" w:val="left"/>
        </w:tabs>
        <w:numPr>
          <w:ilvl w:val="0"/>
          <w:numId w:val="31"/>
        </w:numPr>
        <w:rPr>
          <w:rFonts w:ascii="Arial" w:cs="Arial" w:eastAsia="Arial" w:hAnsi="Arial"/>
          <w:sz w:val="16"/>
          <w:szCs w:val="16"/>
          <w:color w:val="auto"/>
        </w:rPr>
      </w:pPr>
      <w:r>
        <w:rPr>
          <w:rFonts w:ascii="Arial" w:cs="Arial" w:eastAsia="Arial" w:hAnsi="Arial"/>
          <w:sz w:val="16"/>
          <w:szCs w:val="16"/>
          <w:color w:val="auto"/>
        </w:rPr>
        <w:t>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(iii) provide reasonable assurance regarding prevention or timely detection of unauthorized acquisition, use, or disposition of the company’s assets that could have a material effect on the financial statements.</w:t>
      </w:r>
    </w:p>
    <w:p>
      <w:pPr>
        <w:spacing w:after="0" w:line="163" w:lineRule="exact"/>
        <w:rPr>
          <w:sz w:val="20"/>
          <w:szCs w:val="20"/>
          <w:color w:val="auto"/>
        </w:rPr>
      </w:pPr>
    </w:p>
    <w:p>
      <w:pPr>
        <w:ind w:left="380" w:right="659" w:firstLine="648"/>
        <w:spacing w:after="0" w:line="259" w:lineRule="auto"/>
        <w:rPr>
          <w:sz w:val="20"/>
          <w:szCs w:val="20"/>
          <w:color w:val="auto"/>
        </w:rPr>
      </w:pPr>
      <w:r>
        <w:rPr>
          <w:rFonts w:ascii="Arial" w:cs="Arial" w:eastAsia="Arial" w:hAnsi="Arial"/>
          <w:sz w:val="18"/>
          <w:szCs w:val="18"/>
          <w:color w:val="auto"/>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ind w:left="380"/>
        <w:spacing w:after="0"/>
        <w:rPr>
          <w:sz w:val="20"/>
          <w:szCs w:val="20"/>
          <w:color w:val="auto"/>
        </w:rPr>
      </w:pPr>
      <w:r>
        <w:rPr>
          <w:rFonts w:ascii="Arial" w:cs="Arial" w:eastAsia="Arial" w:hAnsi="Arial"/>
          <w:sz w:val="18"/>
          <w:szCs w:val="18"/>
          <w:color w:val="auto"/>
        </w:rPr>
        <w:t>/s/ PricewaterhouseCoopers LLP</w:t>
      </w:r>
    </w:p>
    <w:p>
      <w:pPr>
        <w:spacing w:after="0" w:line="23" w:lineRule="exact"/>
        <w:rPr>
          <w:sz w:val="20"/>
          <w:szCs w:val="20"/>
          <w:color w:val="auto"/>
        </w:rPr>
      </w:pPr>
    </w:p>
    <w:p>
      <w:pPr>
        <w:ind w:left="380"/>
        <w:spacing w:after="0"/>
        <w:rPr>
          <w:sz w:val="20"/>
          <w:szCs w:val="20"/>
          <w:color w:val="auto"/>
        </w:rPr>
      </w:pPr>
      <w:r>
        <w:rPr>
          <w:rFonts w:ascii="Arial" w:cs="Arial" w:eastAsia="Arial" w:hAnsi="Arial"/>
          <w:sz w:val="18"/>
          <w:szCs w:val="18"/>
          <w:color w:val="auto"/>
        </w:rPr>
        <w:t>Boston, Massachusetts</w:t>
      </w:r>
    </w:p>
    <w:p>
      <w:pPr>
        <w:spacing w:after="0" w:line="9" w:lineRule="exact"/>
        <w:rPr>
          <w:sz w:val="20"/>
          <w:szCs w:val="20"/>
          <w:color w:val="auto"/>
        </w:rPr>
      </w:pPr>
    </w:p>
    <w:p>
      <w:pPr>
        <w:ind w:left="380"/>
        <w:spacing w:after="0"/>
        <w:rPr>
          <w:sz w:val="20"/>
          <w:szCs w:val="20"/>
          <w:color w:val="auto"/>
        </w:rPr>
      </w:pPr>
      <w:r>
        <w:rPr>
          <w:rFonts w:ascii="Arial" w:cs="Arial" w:eastAsia="Arial" w:hAnsi="Arial"/>
          <w:sz w:val="18"/>
          <w:szCs w:val="18"/>
          <w:color w:val="auto"/>
        </w:rPr>
        <w:t>March 7, 2018</w:t>
      </w:r>
    </w:p>
    <w:p>
      <w:pPr>
        <w:spacing w:after="0" w:line="359" w:lineRule="exact"/>
        <w:rPr>
          <w:sz w:val="20"/>
          <w:szCs w:val="20"/>
          <w:color w:val="auto"/>
        </w:rPr>
      </w:pPr>
    </w:p>
    <w:p>
      <w:pPr>
        <w:ind w:left="380" w:right="439" w:firstLine="648"/>
        <w:spacing w:after="0" w:line="264" w:lineRule="auto"/>
        <w:rPr>
          <w:sz w:val="20"/>
          <w:szCs w:val="20"/>
          <w:color w:val="auto"/>
        </w:rPr>
      </w:pPr>
      <w:r>
        <w:rPr>
          <w:rFonts w:ascii="Arial" w:cs="Arial" w:eastAsia="Arial" w:hAnsi="Arial"/>
          <w:sz w:val="18"/>
          <w:szCs w:val="18"/>
          <w:color w:val="auto"/>
        </w:rPr>
        <w:t>We have served as the Company’s, or its predecessors’, auditor since at least 1976, which includes periods before the Company became subject to SEC reporting requirements. We have not determined the specific year we began serving as auditor of the Company or a predecessor company.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F-3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83185</wp:posOffset>
            </wp:positionV>
            <wp:extent cx="5240020" cy="1714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26">
                      <a:extLst>
                        <a:ext uri="{28A0092B-C50C-407E-A947-70E740481C1C}"/>
                      </a:extLst>
                    </a:blip>
                    <a:srcRect/>
                    <a:stretch>
                      <a:fillRect/>
                    </a:stretch>
                  </pic:blipFill>
                  <pic:spPr bwMode="auto">
                    <a:xfrm>
                      <a:off x="0" y="0"/>
                      <a:ext cx="5240020" cy="1714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89" w:name="page90"/>
    <w:bookmarkEnd w:id="89"/>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ACUSHNET HOLDINGS CORP.</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BALANCE SHEETS</w:t>
      </w:r>
    </w:p>
    <w:p>
      <w:pPr>
        <w:spacing w:after="0" w:line="276" w:lineRule="exact"/>
        <w:rPr>
          <w:sz w:val="20"/>
          <w:szCs w:val="20"/>
          <w:color w:val="auto"/>
        </w:rPr>
      </w:pPr>
    </w:p>
    <w:tbl>
      <w:tblPr>
        <w:tblLayout w:type="fixed"/>
        <w:tblInd w:w="380" w:type="dxa"/>
        <w:tblCellMar>
          <w:top w:w="0" w:type="dxa"/>
          <w:left w:w="0" w:type="dxa"/>
          <w:bottom w:w="0" w:type="dxa"/>
          <w:right w:w="0" w:type="dxa"/>
        </w:tblCellMar>
      </w:tblPr>
      <w:tr>
        <w:trPr>
          <w:trHeight w:val="161"/>
        </w:trPr>
        <w:tc>
          <w:tcPr>
            <w:tcW w:w="52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000" w:type="dxa"/>
            <w:vAlign w:val="bottom"/>
            <w:gridSpan w:val="2"/>
          </w:tcPr>
          <w:p>
            <w:pPr>
              <w:jc w:val="right"/>
              <w:ind w:right="48"/>
              <w:spacing w:after="0"/>
              <w:rPr>
                <w:sz w:val="20"/>
                <w:szCs w:val="20"/>
                <w:color w:val="auto"/>
              </w:rPr>
            </w:pPr>
            <w:r>
              <w:rPr>
                <w:rFonts w:ascii="Arial" w:cs="Arial" w:eastAsia="Arial" w:hAnsi="Arial"/>
                <w:sz w:val="14"/>
                <w:szCs w:val="14"/>
                <w:b w:val="1"/>
                <w:bCs w:val="1"/>
                <w:color w:val="auto"/>
                <w:w w:val="94"/>
              </w:rPr>
              <w:t>December 31,</w:t>
            </w:r>
          </w:p>
        </w:tc>
        <w:tc>
          <w:tcPr>
            <w:tcW w:w="640" w:type="dxa"/>
            <w:vAlign w:val="bottom"/>
          </w:tcPr>
          <w:p>
            <w:pPr>
              <w:spacing w:after="0"/>
              <w:rPr>
                <w:sz w:val="14"/>
                <w:szCs w:val="14"/>
                <w:color w:val="auto"/>
              </w:rPr>
            </w:pPr>
          </w:p>
        </w:tc>
        <w:tc>
          <w:tcPr>
            <w:tcW w:w="1000" w:type="dxa"/>
            <w:vAlign w:val="bottom"/>
          </w:tcPr>
          <w:p>
            <w:pPr>
              <w:jc w:val="right"/>
              <w:ind w:right="88"/>
              <w:spacing w:after="0"/>
              <w:rPr>
                <w:sz w:val="20"/>
                <w:szCs w:val="20"/>
                <w:color w:val="auto"/>
              </w:rPr>
            </w:pPr>
            <w:r>
              <w:rPr>
                <w:rFonts w:ascii="Arial" w:cs="Arial" w:eastAsia="Arial" w:hAnsi="Arial"/>
                <w:sz w:val="14"/>
                <w:szCs w:val="14"/>
                <w:b w:val="1"/>
                <w:bCs w:val="1"/>
                <w:color w:val="auto"/>
                <w:w w:val="90"/>
              </w:rPr>
              <w:t>December 31,</w:t>
            </w:r>
          </w:p>
        </w:tc>
      </w:tr>
      <w:tr>
        <w:trPr>
          <w:trHeight w:val="171"/>
        </w:trPr>
        <w:tc>
          <w:tcPr>
            <w:tcW w:w="5260" w:type="dxa"/>
            <w:vAlign w:val="bottom"/>
          </w:tcPr>
          <w:p>
            <w:pPr>
              <w:spacing w:after="0"/>
              <w:rPr>
                <w:sz w:val="20"/>
                <w:szCs w:val="20"/>
                <w:color w:val="auto"/>
              </w:rPr>
            </w:pPr>
            <w:r>
              <w:rPr>
                <w:rFonts w:ascii="Arial" w:cs="Arial" w:eastAsia="Arial" w:hAnsi="Arial"/>
                <w:sz w:val="14"/>
                <w:szCs w:val="14"/>
                <w:b w:val="1"/>
                <w:bCs w:val="1"/>
                <w:i w:val="1"/>
                <w:iCs w:val="1"/>
                <w:color w:val="auto"/>
              </w:rPr>
              <w:t>(in thousands, except share and per share amounts)</w:t>
            </w:r>
          </w:p>
        </w:tc>
        <w:tc>
          <w:tcPr>
            <w:tcW w:w="36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2017</w:t>
            </w:r>
          </w:p>
        </w:tc>
        <w:tc>
          <w:tcPr>
            <w:tcW w:w="640" w:type="dxa"/>
            <w:vAlign w:val="bottom"/>
          </w:tcPr>
          <w:p>
            <w:pPr>
              <w:spacing w:after="0"/>
              <w:rPr>
                <w:sz w:val="14"/>
                <w:szCs w:val="14"/>
                <w:color w:val="auto"/>
              </w:rPr>
            </w:pPr>
          </w:p>
        </w:tc>
        <w:tc>
          <w:tcPr>
            <w:tcW w:w="100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2016</w:t>
            </w:r>
          </w:p>
        </w:tc>
      </w:tr>
      <w:tr>
        <w:trPr>
          <w:trHeight w:val="156"/>
        </w:trPr>
        <w:tc>
          <w:tcPr>
            <w:tcW w:w="52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000" w:type="dxa"/>
            <w:vAlign w:val="bottom"/>
          </w:tcPr>
          <w:p>
            <w:pPr>
              <w:spacing w:after="0"/>
              <w:rPr>
                <w:sz w:val="13"/>
                <w:szCs w:val="13"/>
                <w:color w:val="auto"/>
              </w:rPr>
            </w:pPr>
          </w:p>
        </w:tc>
      </w:tr>
      <w:tr>
        <w:trPr>
          <w:trHeight w:val="203"/>
        </w:trPr>
        <w:tc>
          <w:tcPr>
            <w:tcW w:w="5260" w:type="dxa"/>
            <w:vAlign w:val="bottom"/>
            <w:shd w:val="clear" w:color="auto" w:fill="CCEEFF"/>
          </w:tcPr>
          <w:p>
            <w:pPr>
              <w:spacing w:after="0"/>
              <w:rPr>
                <w:sz w:val="20"/>
                <w:szCs w:val="20"/>
                <w:color w:val="auto"/>
              </w:rPr>
            </w:pPr>
            <w:r>
              <w:rPr>
                <w:rFonts w:ascii="Arial" w:cs="Arial" w:eastAsia="Arial" w:hAnsi="Arial"/>
                <w:sz w:val="14"/>
                <w:szCs w:val="14"/>
                <w:b w:val="1"/>
                <w:bCs w:val="1"/>
                <w:color w:val="auto"/>
              </w:rPr>
              <w:t>Assets</w:t>
            </w:r>
          </w:p>
        </w:tc>
        <w:tc>
          <w:tcPr>
            <w:tcW w:w="3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640" w:type="dxa"/>
            <w:vAlign w:val="bottom"/>
            <w:tcBorders>
              <w:right w:val="single" w:sz="8" w:color="CCEEFF"/>
            </w:tcBorders>
            <w:shd w:val="clear" w:color="auto" w:fill="CCEEFF"/>
          </w:tcPr>
          <w:p>
            <w:pPr>
              <w:spacing w:after="0"/>
              <w:rPr>
                <w:sz w:val="17"/>
                <w:szCs w:val="17"/>
                <w:color w:val="auto"/>
              </w:rPr>
            </w:pPr>
          </w:p>
        </w:tc>
        <w:tc>
          <w:tcPr>
            <w:tcW w:w="1000" w:type="dxa"/>
            <w:vAlign w:val="bottom"/>
            <w:tcBorders>
              <w:right w:val="single" w:sz="8" w:color="CCEEFF"/>
            </w:tcBorders>
            <w:shd w:val="clear" w:color="auto" w:fill="CCEEFF"/>
          </w:tcPr>
          <w:p>
            <w:pPr>
              <w:spacing w:after="0"/>
              <w:rPr>
                <w:sz w:val="17"/>
                <w:szCs w:val="17"/>
                <w:color w:val="auto"/>
              </w:rPr>
            </w:pPr>
          </w:p>
        </w:tc>
      </w:tr>
      <w:tr>
        <w:trPr>
          <w:trHeight w:val="203"/>
        </w:trPr>
        <w:tc>
          <w:tcPr>
            <w:tcW w:w="5260" w:type="dxa"/>
            <w:vAlign w:val="bottom"/>
          </w:tcPr>
          <w:p>
            <w:pPr>
              <w:spacing w:after="0"/>
              <w:rPr>
                <w:sz w:val="20"/>
                <w:szCs w:val="20"/>
                <w:color w:val="auto"/>
              </w:rPr>
            </w:pPr>
            <w:r>
              <w:rPr>
                <w:rFonts w:ascii="Arial" w:cs="Arial" w:eastAsia="Arial" w:hAnsi="Arial"/>
                <w:sz w:val="14"/>
                <w:szCs w:val="14"/>
                <w:color w:val="auto"/>
              </w:rPr>
              <w:t>Current assets</w:t>
            </w:r>
          </w:p>
        </w:tc>
        <w:tc>
          <w:tcPr>
            <w:tcW w:w="3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000" w:type="dxa"/>
            <w:vAlign w:val="bottom"/>
          </w:tcPr>
          <w:p>
            <w:pPr>
              <w:spacing w:after="0"/>
              <w:rPr>
                <w:sz w:val="17"/>
                <w:szCs w:val="17"/>
                <w:color w:val="auto"/>
              </w:rPr>
            </w:pPr>
          </w:p>
        </w:tc>
      </w:tr>
      <w:tr>
        <w:trPr>
          <w:trHeight w:val="130"/>
        </w:trPr>
        <w:tc>
          <w:tcPr>
            <w:tcW w:w="5260" w:type="dxa"/>
            <w:vAlign w:val="bottom"/>
            <w:shd w:val="clear" w:color="auto" w:fill="CCEEFF"/>
          </w:tcPr>
          <w:p>
            <w:pPr>
              <w:ind w:left="120"/>
              <w:spacing w:after="0" w:line="130" w:lineRule="exact"/>
              <w:rPr>
                <w:sz w:val="20"/>
                <w:szCs w:val="20"/>
                <w:color w:val="auto"/>
              </w:rPr>
            </w:pPr>
            <w:r>
              <w:rPr>
                <w:rFonts w:ascii="Arial" w:cs="Arial" w:eastAsia="Arial" w:hAnsi="Arial"/>
                <w:sz w:val="14"/>
                <w:szCs w:val="14"/>
                <w:color w:val="auto"/>
              </w:rPr>
              <w:t>Cash and restricted cash ($13,086 and $13,811 attributable to the variable interest</w:t>
            </w:r>
          </w:p>
        </w:tc>
        <w:tc>
          <w:tcPr>
            <w:tcW w:w="36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640" w:type="dxa"/>
            <w:vAlign w:val="bottom"/>
            <w:tcBorders>
              <w:right w:val="single" w:sz="8" w:color="CCEEFF"/>
            </w:tcBorders>
            <w:shd w:val="clear" w:color="auto" w:fill="CCEEFF"/>
          </w:tcPr>
          <w:p>
            <w:pPr>
              <w:spacing w:after="0"/>
              <w:rPr>
                <w:sz w:val="11"/>
                <w:szCs w:val="11"/>
                <w:color w:val="auto"/>
              </w:rPr>
            </w:pPr>
          </w:p>
        </w:tc>
        <w:tc>
          <w:tcPr>
            <w:tcW w:w="1000" w:type="dxa"/>
            <w:vAlign w:val="bottom"/>
            <w:tcBorders>
              <w:right w:val="single" w:sz="8" w:color="CCEEFF"/>
            </w:tcBorders>
            <w:shd w:val="clear" w:color="auto" w:fill="CCEEFF"/>
          </w:tcPr>
          <w:p>
            <w:pPr>
              <w:spacing w:after="0"/>
              <w:rPr>
                <w:sz w:val="11"/>
                <w:szCs w:val="11"/>
                <w:color w:val="auto"/>
              </w:rPr>
            </w:pPr>
          </w:p>
        </w:tc>
      </w:tr>
      <w:tr>
        <w:trPr>
          <w:trHeight w:val="167"/>
        </w:trPr>
        <w:tc>
          <w:tcPr>
            <w:tcW w:w="5260" w:type="dxa"/>
            <w:vAlign w:val="bottom"/>
            <w:shd w:val="clear" w:color="auto" w:fill="CCEEFF"/>
          </w:tcPr>
          <w:p>
            <w:pPr>
              <w:ind w:left="120"/>
              <w:spacing w:after="0"/>
              <w:rPr>
                <w:sz w:val="20"/>
                <w:szCs w:val="20"/>
                <w:color w:val="auto"/>
              </w:rPr>
            </w:pPr>
            <w:r>
              <w:rPr>
                <w:rFonts w:ascii="Arial" w:cs="Arial" w:eastAsia="Arial" w:hAnsi="Arial"/>
                <w:sz w:val="14"/>
                <w:szCs w:val="14"/>
                <w:color w:val="auto"/>
              </w:rPr>
              <w:t>entity ("VIE"))</w:t>
            </w:r>
          </w:p>
        </w:tc>
        <w:tc>
          <w:tcPr>
            <w:tcW w:w="560" w:type="dxa"/>
            <w:vAlign w:val="bottom"/>
            <w:gridSpan w:val="2"/>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47,722</w:t>
            </w:r>
          </w:p>
        </w:tc>
        <w:tc>
          <w:tcPr>
            <w:tcW w:w="6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0" w:type="dxa"/>
            <w:vAlign w:val="bottom"/>
            <w:tcBorders>
              <w:right w:val="single" w:sz="8" w:color="CCEEFF"/>
            </w:tcBorders>
            <w:shd w:val="clear" w:color="auto" w:fill="CCEEFF"/>
          </w:tcPr>
          <w:p>
            <w:pPr>
              <w:jc w:val="right"/>
              <w:ind w:right="48"/>
              <w:spacing w:after="0"/>
              <w:rPr>
                <w:sz w:val="20"/>
                <w:szCs w:val="20"/>
                <w:color w:val="auto"/>
              </w:rPr>
            </w:pPr>
            <w:r>
              <w:rPr>
                <w:rFonts w:ascii="Arial" w:cs="Arial" w:eastAsia="Arial" w:hAnsi="Arial"/>
                <w:sz w:val="14"/>
                <w:szCs w:val="14"/>
                <w:color w:val="auto"/>
              </w:rPr>
              <w:t>79,140</w:t>
            </w:r>
          </w:p>
        </w:tc>
      </w:tr>
      <w:tr>
        <w:trPr>
          <w:trHeight w:val="203"/>
        </w:trPr>
        <w:tc>
          <w:tcPr>
            <w:tcW w:w="5260" w:type="dxa"/>
            <w:vAlign w:val="bottom"/>
          </w:tcPr>
          <w:p>
            <w:pPr>
              <w:ind w:left="120"/>
              <w:spacing w:after="0"/>
              <w:rPr>
                <w:sz w:val="20"/>
                <w:szCs w:val="20"/>
                <w:color w:val="auto"/>
              </w:rPr>
            </w:pPr>
            <w:r>
              <w:rPr>
                <w:rFonts w:ascii="Arial" w:cs="Arial" w:eastAsia="Arial" w:hAnsi="Arial"/>
                <w:sz w:val="14"/>
                <w:szCs w:val="14"/>
                <w:color w:val="auto"/>
              </w:rPr>
              <w:t>Accounts receivable, net</w:t>
            </w:r>
          </w:p>
        </w:tc>
        <w:tc>
          <w:tcPr>
            <w:tcW w:w="3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190,851</w:t>
            </w:r>
          </w:p>
        </w:tc>
        <w:tc>
          <w:tcPr>
            <w:tcW w:w="640" w:type="dxa"/>
            <w:vAlign w:val="bottom"/>
          </w:tcPr>
          <w:p>
            <w:pPr>
              <w:spacing w:after="0"/>
              <w:rPr>
                <w:sz w:val="17"/>
                <w:szCs w:val="17"/>
                <w:color w:val="auto"/>
              </w:rPr>
            </w:pPr>
          </w:p>
        </w:tc>
        <w:tc>
          <w:tcPr>
            <w:tcW w:w="1000" w:type="dxa"/>
            <w:vAlign w:val="bottom"/>
          </w:tcPr>
          <w:p>
            <w:pPr>
              <w:jc w:val="right"/>
              <w:ind w:right="48"/>
              <w:spacing w:after="0"/>
              <w:rPr>
                <w:sz w:val="20"/>
                <w:szCs w:val="20"/>
                <w:color w:val="auto"/>
              </w:rPr>
            </w:pPr>
            <w:r>
              <w:rPr>
                <w:rFonts w:ascii="Arial" w:cs="Arial" w:eastAsia="Arial" w:hAnsi="Arial"/>
                <w:sz w:val="14"/>
                <w:szCs w:val="14"/>
                <w:color w:val="auto"/>
              </w:rPr>
              <w:t>177,506</w:t>
            </w:r>
          </w:p>
        </w:tc>
      </w:tr>
      <w:tr>
        <w:trPr>
          <w:trHeight w:val="203"/>
        </w:trPr>
        <w:tc>
          <w:tcPr>
            <w:tcW w:w="5260" w:type="dxa"/>
            <w:vAlign w:val="bottom"/>
            <w:shd w:val="clear" w:color="auto" w:fill="CCEEFF"/>
          </w:tcPr>
          <w:p>
            <w:pPr>
              <w:ind w:left="120"/>
              <w:spacing w:after="0"/>
              <w:rPr>
                <w:sz w:val="20"/>
                <w:szCs w:val="20"/>
                <w:color w:val="auto"/>
              </w:rPr>
            </w:pPr>
            <w:r>
              <w:rPr>
                <w:rFonts w:ascii="Arial" w:cs="Arial" w:eastAsia="Arial" w:hAnsi="Arial"/>
                <w:sz w:val="14"/>
                <w:szCs w:val="14"/>
                <w:color w:val="auto"/>
              </w:rPr>
              <w:t>Inventories ($13,692 and $14,633 attributable to the VIE)</w:t>
            </w:r>
          </w:p>
        </w:tc>
        <w:tc>
          <w:tcPr>
            <w:tcW w:w="3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363,962</w:t>
            </w:r>
          </w:p>
        </w:tc>
        <w:tc>
          <w:tcPr>
            <w:tcW w:w="640" w:type="dxa"/>
            <w:vAlign w:val="bottom"/>
            <w:tcBorders>
              <w:right w:val="single" w:sz="8" w:color="CCEEFF"/>
            </w:tcBorders>
            <w:shd w:val="clear" w:color="auto" w:fill="CCEEFF"/>
          </w:tcPr>
          <w:p>
            <w:pPr>
              <w:spacing w:after="0"/>
              <w:rPr>
                <w:sz w:val="17"/>
                <w:szCs w:val="17"/>
                <w:color w:val="auto"/>
              </w:rPr>
            </w:pPr>
          </w:p>
        </w:tc>
        <w:tc>
          <w:tcPr>
            <w:tcW w:w="1000" w:type="dxa"/>
            <w:vAlign w:val="bottom"/>
            <w:tcBorders>
              <w:right w:val="single" w:sz="8" w:color="CCEEFF"/>
            </w:tcBorders>
            <w:shd w:val="clear" w:color="auto" w:fill="CCEEFF"/>
          </w:tcPr>
          <w:p>
            <w:pPr>
              <w:jc w:val="right"/>
              <w:ind w:right="48"/>
              <w:spacing w:after="0"/>
              <w:rPr>
                <w:sz w:val="20"/>
                <w:szCs w:val="20"/>
                <w:color w:val="auto"/>
              </w:rPr>
            </w:pPr>
            <w:r>
              <w:rPr>
                <w:rFonts w:ascii="Arial" w:cs="Arial" w:eastAsia="Arial" w:hAnsi="Arial"/>
                <w:sz w:val="14"/>
                <w:szCs w:val="14"/>
                <w:color w:val="auto"/>
              </w:rPr>
              <w:t>323,289</w:t>
            </w:r>
          </w:p>
        </w:tc>
      </w:tr>
      <w:tr>
        <w:trPr>
          <w:trHeight w:val="203"/>
        </w:trPr>
        <w:tc>
          <w:tcPr>
            <w:tcW w:w="5260" w:type="dxa"/>
            <w:vAlign w:val="bottom"/>
            <w:tcBorders>
              <w:bottom w:val="single" w:sz="8" w:color="CCEEFF"/>
            </w:tcBorders>
          </w:tcPr>
          <w:p>
            <w:pPr>
              <w:ind w:left="120"/>
              <w:spacing w:after="0"/>
              <w:rPr>
                <w:sz w:val="20"/>
                <w:szCs w:val="20"/>
                <w:color w:val="auto"/>
              </w:rPr>
            </w:pPr>
            <w:r>
              <w:rPr>
                <w:rFonts w:ascii="Arial" w:cs="Arial" w:eastAsia="Arial" w:hAnsi="Arial"/>
                <w:sz w:val="14"/>
                <w:szCs w:val="14"/>
                <w:color w:val="auto"/>
              </w:rPr>
              <w:t>Other assets</w:t>
            </w:r>
          </w:p>
        </w:tc>
        <w:tc>
          <w:tcPr>
            <w:tcW w:w="36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84,541</w:t>
            </w:r>
          </w:p>
        </w:tc>
        <w:tc>
          <w:tcPr>
            <w:tcW w:w="640" w:type="dxa"/>
            <w:vAlign w:val="bottom"/>
            <w:tcBorders>
              <w:bottom w:val="single" w:sz="8" w:color="CCEEFF"/>
            </w:tcBorders>
          </w:tcPr>
          <w:p>
            <w:pPr>
              <w:spacing w:after="0"/>
              <w:rPr>
                <w:sz w:val="17"/>
                <w:szCs w:val="17"/>
                <w:color w:val="auto"/>
              </w:rPr>
            </w:pPr>
          </w:p>
        </w:tc>
        <w:tc>
          <w:tcPr>
            <w:tcW w:w="10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84,596</w:t>
            </w:r>
          </w:p>
        </w:tc>
      </w:tr>
      <w:tr>
        <w:trPr>
          <w:trHeight w:val="183"/>
        </w:trPr>
        <w:tc>
          <w:tcPr>
            <w:tcW w:w="5260" w:type="dxa"/>
            <w:vAlign w:val="bottom"/>
            <w:shd w:val="clear" w:color="auto" w:fill="CCEEFF"/>
          </w:tcPr>
          <w:p>
            <w:pPr>
              <w:ind w:left="540"/>
              <w:spacing w:after="0"/>
              <w:rPr>
                <w:sz w:val="20"/>
                <w:szCs w:val="20"/>
                <w:color w:val="auto"/>
              </w:rPr>
            </w:pPr>
            <w:r>
              <w:rPr>
                <w:rFonts w:ascii="Arial" w:cs="Arial" w:eastAsia="Arial" w:hAnsi="Arial"/>
                <w:sz w:val="14"/>
                <w:szCs w:val="14"/>
                <w:color w:val="auto"/>
              </w:rPr>
              <w:t>Total current assets</w:t>
            </w:r>
          </w:p>
        </w:tc>
        <w:tc>
          <w:tcPr>
            <w:tcW w:w="36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687,076</w:t>
            </w:r>
          </w:p>
        </w:tc>
        <w:tc>
          <w:tcPr>
            <w:tcW w:w="640" w:type="dxa"/>
            <w:vAlign w:val="bottom"/>
            <w:tcBorders>
              <w:right w:val="single" w:sz="8" w:color="CCEEFF"/>
            </w:tcBorders>
            <w:shd w:val="clear" w:color="auto" w:fill="CCEEFF"/>
          </w:tcPr>
          <w:p>
            <w:pPr>
              <w:spacing w:after="0"/>
              <w:rPr>
                <w:sz w:val="15"/>
                <w:szCs w:val="15"/>
                <w:color w:val="auto"/>
              </w:rPr>
            </w:pPr>
          </w:p>
        </w:tc>
        <w:tc>
          <w:tcPr>
            <w:tcW w:w="1000" w:type="dxa"/>
            <w:vAlign w:val="bottom"/>
            <w:tcBorders>
              <w:right w:val="single" w:sz="8" w:color="CCEEFF"/>
            </w:tcBorders>
            <w:shd w:val="clear" w:color="auto" w:fill="CCEEFF"/>
          </w:tcPr>
          <w:p>
            <w:pPr>
              <w:jc w:val="right"/>
              <w:ind w:right="48"/>
              <w:spacing w:after="0"/>
              <w:rPr>
                <w:sz w:val="20"/>
                <w:szCs w:val="20"/>
                <w:color w:val="auto"/>
              </w:rPr>
            </w:pPr>
            <w:r>
              <w:rPr>
                <w:rFonts w:ascii="Arial" w:cs="Arial" w:eastAsia="Arial" w:hAnsi="Arial"/>
                <w:sz w:val="14"/>
                <w:szCs w:val="14"/>
                <w:color w:val="auto"/>
              </w:rPr>
              <w:t>664,531</w:t>
            </w:r>
          </w:p>
        </w:tc>
      </w:tr>
      <w:tr>
        <w:trPr>
          <w:trHeight w:val="203"/>
        </w:trPr>
        <w:tc>
          <w:tcPr>
            <w:tcW w:w="5260" w:type="dxa"/>
            <w:vAlign w:val="bottom"/>
          </w:tcPr>
          <w:p>
            <w:pPr>
              <w:spacing w:after="0"/>
              <w:rPr>
                <w:sz w:val="20"/>
                <w:szCs w:val="20"/>
                <w:color w:val="auto"/>
              </w:rPr>
            </w:pPr>
            <w:r>
              <w:rPr>
                <w:rFonts w:ascii="Arial" w:cs="Arial" w:eastAsia="Arial" w:hAnsi="Arial"/>
                <w:sz w:val="14"/>
                <w:szCs w:val="14"/>
                <w:color w:val="auto"/>
              </w:rPr>
              <w:t>Property, plant and equipment, net ($10,240 and $10,709 attributable to the VIE)</w:t>
            </w:r>
          </w:p>
        </w:tc>
        <w:tc>
          <w:tcPr>
            <w:tcW w:w="3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228,922</w:t>
            </w:r>
          </w:p>
        </w:tc>
        <w:tc>
          <w:tcPr>
            <w:tcW w:w="640" w:type="dxa"/>
            <w:vAlign w:val="bottom"/>
          </w:tcPr>
          <w:p>
            <w:pPr>
              <w:spacing w:after="0"/>
              <w:rPr>
                <w:sz w:val="17"/>
                <w:szCs w:val="17"/>
                <w:color w:val="auto"/>
              </w:rPr>
            </w:pPr>
          </w:p>
        </w:tc>
        <w:tc>
          <w:tcPr>
            <w:tcW w:w="1000" w:type="dxa"/>
            <w:vAlign w:val="bottom"/>
          </w:tcPr>
          <w:p>
            <w:pPr>
              <w:jc w:val="right"/>
              <w:ind w:right="48"/>
              <w:spacing w:after="0"/>
              <w:rPr>
                <w:sz w:val="20"/>
                <w:szCs w:val="20"/>
                <w:color w:val="auto"/>
              </w:rPr>
            </w:pPr>
            <w:r>
              <w:rPr>
                <w:rFonts w:ascii="Arial" w:cs="Arial" w:eastAsia="Arial" w:hAnsi="Arial"/>
                <w:sz w:val="14"/>
                <w:szCs w:val="14"/>
                <w:color w:val="auto"/>
              </w:rPr>
              <w:t>239,748</w:t>
            </w:r>
          </w:p>
        </w:tc>
      </w:tr>
      <w:tr>
        <w:trPr>
          <w:trHeight w:val="203"/>
        </w:trPr>
        <w:tc>
          <w:tcPr>
            <w:tcW w:w="5260" w:type="dxa"/>
            <w:vAlign w:val="bottom"/>
            <w:shd w:val="clear" w:color="auto" w:fill="CCEEFF"/>
          </w:tcPr>
          <w:p>
            <w:pPr>
              <w:spacing w:after="0"/>
              <w:rPr>
                <w:sz w:val="20"/>
                <w:szCs w:val="20"/>
                <w:color w:val="auto"/>
              </w:rPr>
            </w:pPr>
            <w:r>
              <w:rPr>
                <w:rFonts w:ascii="Arial" w:cs="Arial" w:eastAsia="Arial" w:hAnsi="Arial"/>
                <w:sz w:val="14"/>
                <w:szCs w:val="14"/>
                <w:color w:val="auto"/>
              </w:rPr>
              <w:t>Goodwill ($32,312 and $32,312 attributable to the VIE)</w:t>
            </w:r>
          </w:p>
        </w:tc>
        <w:tc>
          <w:tcPr>
            <w:tcW w:w="3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185,941</w:t>
            </w:r>
          </w:p>
        </w:tc>
        <w:tc>
          <w:tcPr>
            <w:tcW w:w="640" w:type="dxa"/>
            <w:vAlign w:val="bottom"/>
            <w:tcBorders>
              <w:right w:val="single" w:sz="8" w:color="CCEEFF"/>
            </w:tcBorders>
            <w:shd w:val="clear" w:color="auto" w:fill="CCEEFF"/>
          </w:tcPr>
          <w:p>
            <w:pPr>
              <w:spacing w:after="0"/>
              <w:rPr>
                <w:sz w:val="17"/>
                <w:szCs w:val="17"/>
                <w:color w:val="auto"/>
              </w:rPr>
            </w:pPr>
          </w:p>
        </w:tc>
        <w:tc>
          <w:tcPr>
            <w:tcW w:w="1000" w:type="dxa"/>
            <w:vAlign w:val="bottom"/>
            <w:tcBorders>
              <w:right w:val="single" w:sz="8" w:color="CCEEFF"/>
            </w:tcBorders>
            <w:shd w:val="clear" w:color="auto" w:fill="CCEEFF"/>
          </w:tcPr>
          <w:p>
            <w:pPr>
              <w:jc w:val="right"/>
              <w:ind w:right="48"/>
              <w:spacing w:after="0"/>
              <w:rPr>
                <w:sz w:val="20"/>
                <w:szCs w:val="20"/>
                <w:color w:val="auto"/>
              </w:rPr>
            </w:pPr>
            <w:r>
              <w:rPr>
                <w:rFonts w:ascii="Arial" w:cs="Arial" w:eastAsia="Arial" w:hAnsi="Arial"/>
                <w:sz w:val="14"/>
                <w:szCs w:val="14"/>
                <w:color w:val="auto"/>
              </w:rPr>
              <w:t>179,241</w:t>
            </w:r>
          </w:p>
        </w:tc>
      </w:tr>
      <w:tr>
        <w:trPr>
          <w:trHeight w:val="203"/>
        </w:trPr>
        <w:tc>
          <w:tcPr>
            <w:tcW w:w="5260" w:type="dxa"/>
            <w:vAlign w:val="bottom"/>
          </w:tcPr>
          <w:p>
            <w:pPr>
              <w:spacing w:after="0"/>
              <w:rPr>
                <w:sz w:val="20"/>
                <w:szCs w:val="20"/>
                <w:color w:val="auto"/>
              </w:rPr>
            </w:pPr>
            <w:r>
              <w:rPr>
                <w:rFonts w:ascii="Arial" w:cs="Arial" w:eastAsia="Arial" w:hAnsi="Arial"/>
                <w:sz w:val="14"/>
                <w:szCs w:val="14"/>
                <w:color w:val="auto"/>
              </w:rPr>
              <w:t>Intangible assets, net</w:t>
            </w:r>
          </w:p>
        </w:tc>
        <w:tc>
          <w:tcPr>
            <w:tcW w:w="3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481,234</w:t>
            </w:r>
          </w:p>
        </w:tc>
        <w:tc>
          <w:tcPr>
            <w:tcW w:w="640" w:type="dxa"/>
            <w:vAlign w:val="bottom"/>
          </w:tcPr>
          <w:p>
            <w:pPr>
              <w:spacing w:after="0"/>
              <w:rPr>
                <w:sz w:val="17"/>
                <w:szCs w:val="17"/>
                <w:color w:val="auto"/>
              </w:rPr>
            </w:pPr>
          </w:p>
        </w:tc>
        <w:tc>
          <w:tcPr>
            <w:tcW w:w="1000" w:type="dxa"/>
            <w:vAlign w:val="bottom"/>
          </w:tcPr>
          <w:p>
            <w:pPr>
              <w:jc w:val="right"/>
              <w:ind w:right="48"/>
              <w:spacing w:after="0"/>
              <w:rPr>
                <w:sz w:val="20"/>
                <w:szCs w:val="20"/>
                <w:color w:val="auto"/>
              </w:rPr>
            </w:pPr>
            <w:r>
              <w:rPr>
                <w:rFonts w:ascii="Arial" w:cs="Arial" w:eastAsia="Arial" w:hAnsi="Arial"/>
                <w:sz w:val="14"/>
                <w:szCs w:val="14"/>
                <w:color w:val="auto"/>
              </w:rPr>
              <w:t>489,988</w:t>
            </w:r>
          </w:p>
        </w:tc>
      </w:tr>
      <w:tr>
        <w:trPr>
          <w:trHeight w:val="203"/>
        </w:trPr>
        <w:tc>
          <w:tcPr>
            <w:tcW w:w="5260" w:type="dxa"/>
            <w:vAlign w:val="bottom"/>
            <w:shd w:val="clear" w:color="auto" w:fill="CCEEFF"/>
          </w:tcPr>
          <w:p>
            <w:pPr>
              <w:spacing w:after="0"/>
              <w:rPr>
                <w:sz w:val="20"/>
                <w:szCs w:val="20"/>
                <w:color w:val="auto"/>
              </w:rPr>
            </w:pPr>
            <w:r>
              <w:rPr>
                <w:rFonts w:ascii="Arial" w:cs="Arial" w:eastAsia="Arial" w:hAnsi="Arial"/>
                <w:sz w:val="14"/>
                <w:szCs w:val="14"/>
                <w:color w:val="auto"/>
              </w:rPr>
              <w:t>Deferred income taxes</w:t>
            </w:r>
          </w:p>
        </w:tc>
        <w:tc>
          <w:tcPr>
            <w:tcW w:w="3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110,318</w:t>
            </w:r>
          </w:p>
        </w:tc>
        <w:tc>
          <w:tcPr>
            <w:tcW w:w="640" w:type="dxa"/>
            <w:vAlign w:val="bottom"/>
            <w:tcBorders>
              <w:right w:val="single" w:sz="8" w:color="CCEEFF"/>
            </w:tcBorders>
            <w:shd w:val="clear" w:color="auto" w:fill="CCEEFF"/>
          </w:tcPr>
          <w:p>
            <w:pPr>
              <w:spacing w:after="0"/>
              <w:rPr>
                <w:sz w:val="17"/>
                <w:szCs w:val="17"/>
                <w:color w:val="auto"/>
              </w:rPr>
            </w:pPr>
          </w:p>
        </w:tc>
        <w:tc>
          <w:tcPr>
            <w:tcW w:w="1000" w:type="dxa"/>
            <w:vAlign w:val="bottom"/>
            <w:tcBorders>
              <w:right w:val="single" w:sz="8" w:color="CCEEFF"/>
            </w:tcBorders>
            <w:shd w:val="clear" w:color="auto" w:fill="CCEEFF"/>
          </w:tcPr>
          <w:p>
            <w:pPr>
              <w:jc w:val="right"/>
              <w:ind w:right="48"/>
              <w:spacing w:after="0"/>
              <w:rPr>
                <w:sz w:val="20"/>
                <w:szCs w:val="20"/>
                <w:color w:val="auto"/>
              </w:rPr>
            </w:pPr>
            <w:r>
              <w:rPr>
                <w:rFonts w:ascii="Arial" w:cs="Arial" w:eastAsia="Arial" w:hAnsi="Arial"/>
                <w:sz w:val="14"/>
                <w:szCs w:val="14"/>
                <w:color w:val="auto"/>
              </w:rPr>
              <w:t>130,416</w:t>
            </w:r>
          </w:p>
        </w:tc>
      </w:tr>
      <w:tr>
        <w:trPr>
          <w:trHeight w:val="203"/>
        </w:trPr>
        <w:tc>
          <w:tcPr>
            <w:tcW w:w="5260" w:type="dxa"/>
            <w:vAlign w:val="bottom"/>
            <w:tcBorders>
              <w:bottom w:val="single" w:sz="8" w:color="CCEEFF"/>
            </w:tcBorders>
          </w:tcPr>
          <w:p>
            <w:pPr>
              <w:spacing w:after="0"/>
              <w:rPr>
                <w:sz w:val="20"/>
                <w:szCs w:val="20"/>
                <w:color w:val="auto"/>
              </w:rPr>
            </w:pPr>
            <w:r>
              <w:rPr>
                <w:rFonts w:ascii="Arial" w:cs="Arial" w:eastAsia="Arial" w:hAnsi="Arial"/>
                <w:sz w:val="14"/>
                <w:szCs w:val="14"/>
                <w:color w:val="auto"/>
              </w:rPr>
              <w:t>Other assets ($2,738 and $2,642 attributable to the VIE)</w:t>
            </w:r>
          </w:p>
        </w:tc>
        <w:tc>
          <w:tcPr>
            <w:tcW w:w="36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33,833</w:t>
            </w:r>
          </w:p>
        </w:tc>
        <w:tc>
          <w:tcPr>
            <w:tcW w:w="640" w:type="dxa"/>
            <w:vAlign w:val="bottom"/>
            <w:tcBorders>
              <w:bottom w:val="single" w:sz="8" w:color="CCEEFF"/>
            </w:tcBorders>
          </w:tcPr>
          <w:p>
            <w:pPr>
              <w:spacing w:after="0"/>
              <w:rPr>
                <w:sz w:val="17"/>
                <w:szCs w:val="17"/>
                <w:color w:val="auto"/>
              </w:rPr>
            </w:pPr>
          </w:p>
        </w:tc>
        <w:tc>
          <w:tcPr>
            <w:tcW w:w="10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32,247</w:t>
            </w:r>
          </w:p>
        </w:tc>
      </w:tr>
      <w:tr>
        <w:trPr>
          <w:trHeight w:val="189"/>
        </w:trPr>
        <w:tc>
          <w:tcPr>
            <w:tcW w:w="5260" w:type="dxa"/>
            <w:vAlign w:val="bottom"/>
            <w:shd w:val="clear" w:color="auto" w:fill="CCEEFF"/>
          </w:tcPr>
          <w:p>
            <w:pPr>
              <w:ind w:left="540"/>
              <w:spacing w:after="0"/>
              <w:rPr>
                <w:sz w:val="20"/>
                <w:szCs w:val="20"/>
                <w:color w:val="auto"/>
              </w:rPr>
            </w:pPr>
            <w:r>
              <w:rPr>
                <w:rFonts w:ascii="Arial" w:cs="Arial" w:eastAsia="Arial" w:hAnsi="Arial"/>
                <w:sz w:val="14"/>
                <w:szCs w:val="14"/>
                <w:color w:val="auto"/>
              </w:rPr>
              <w:t>Total assets</w:t>
            </w:r>
          </w:p>
        </w:tc>
        <w:tc>
          <w:tcPr>
            <w:tcW w:w="560" w:type="dxa"/>
            <w:vAlign w:val="bottom"/>
            <w:gridSpan w:val="2"/>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1,727,324</w:t>
            </w:r>
          </w:p>
        </w:tc>
        <w:tc>
          <w:tcPr>
            <w:tcW w:w="6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0" w:type="dxa"/>
            <w:vAlign w:val="bottom"/>
            <w:tcBorders>
              <w:right w:val="single" w:sz="8" w:color="CCEEFF"/>
            </w:tcBorders>
            <w:shd w:val="clear" w:color="auto" w:fill="CCEEFF"/>
          </w:tcPr>
          <w:p>
            <w:pPr>
              <w:jc w:val="right"/>
              <w:ind w:right="48"/>
              <w:spacing w:after="0"/>
              <w:rPr>
                <w:sz w:val="20"/>
                <w:szCs w:val="20"/>
                <w:color w:val="auto"/>
              </w:rPr>
            </w:pPr>
            <w:r>
              <w:rPr>
                <w:rFonts w:ascii="Arial" w:cs="Arial" w:eastAsia="Arial" w:hAnsi="Arial"/>
                <w:sz w:val="14"/>
                <w:szCs w:val="14"/>
                <w:color w:val="auto"/>
              </w:rPr>
              <w:t>1,736,171</w:t>
            </w:r>
          </w:p>
        </w:tc>
      </w:tr>
      <w:tr>
        <w:trPr>
          <w:trHeight w:val="176"/>
        </w:trPr>
        <w:tc>
          <w:tcPr>
            <w:tcW w:w="5260" w:type="dxa"/>
            <w:vAlign w:val="bottom"/>
            <w:tcBorders>
              <w:top w:val="single" w:sz="8" w:color="CCEEFF"/>
            </w:tcBorders>
          </w:tcPr>
          <w:p>
            <w:pPr>
              <w:spacing w:after="0"/>
              <w:rPr>
                <w:sz w:val="20"/>
                <w:szCs w:val="20"/>
                <w:color w:val="auto"/>
              </w:rPr>
            </w:pPr>
            <w:r>
              <w:rPr>
                <w:rFonts w:ascii="Arial" w:cs="Arial" w:eastAsia="Arial" w:hAnsi="Arial"/>
                <w:sz w:val="14"/>
                <w:szCs w:val="14"/>
                <w:b w:val="1"/>
                <w:bCs w:val="1"/>
                <w:color w:val="auto"/>
              </w:rPr>
              <w:t>Liabilities and Equity</w:t>
            </w:r>
          </w:p>
        </w:tc>
        <w:tc>
          <w:tcPr>
            <w:tcW w:w="360" w:type="dxa"/>
            <w:vAlign w:val="bottom"/>
            <w:tcBorders>
              <w:top w:val="single" w:sz="8" w:color="CCEEFF"/>
            </w:tcBorders>
          </w:tcPr>
          <w:p>
            <w:pPr>
              <w:spacing w:after="0"/>
              <w:rPr>
                <w:sz w:val="15"/>
                <w:szCs w:val="15"/>
                <w:color w:val="auto"/>
              </w:rPr>
            </w:pPr>
          </w:p>
        </w:tc>
        <w:tc>
          <w:tcPr>
            <w:tcW w:w="200" w:type="dxa"/>
            <w:vAlign w:val="bottom"/>
            <w:tcBorders>
              <w:top w:val="single" w:sz="8" w:color="auto"/>
            </w:tcBorders>
          </w:tcPr>
          <w:p>
            <w:pPr>
              <w:spacing w:after="0"/>
              <w:rPr>
                <w:sz w:val="15"/>
                <w:szCs w:val="15"/>
                <w:color w:val="auto"/>
              </w:rPr>
            </w:pPr>
          </w:p>
        </w:tc>
        <w:tc>
          <w:tcPr>
            <w:tcW w:w="800" w:type="dxa"/>
            <w:vAlign w:val="bottom"/>
            <w:tcBorders>
              <w:top w:val="single" w:sz="8" w:color="auto"/>
            </w:tcBorders>
          </w:tcPr>
          <w:p>
            <w:pPr>
              <w:spacing w:after="0"/>
              <w:rPr>
                <w:sz w:val="15"/>
                <w:szCs w:val="15"/>
                <w:color w:val="auto"/>
              </w:rPr>
            </w:pPr>
          </w:p>
        </w:tc>
        <w:tc>
          <w:tcPr>
            <w:tcW w:w="640" w:type="dxa"/>
            <w:vAlign w:val="bottom"/>
            <w:tcBorders>
              <w:top w:val="single" w:sz="8" w:color="CCEEFF"/>
            </w:tcBorders>
          </w:tcPr>
          <w:p>
            <w:pPr>
              <w:spacing w:after="0"/>
              <w:rPr>
                <w:sz w:val="15"/>
                <w:szCs w:val="15"/>
                <w:color w:val="auto"/>
              </w:rPr>
            </w:pPr>
          </w:p>
        </w:tc>
        <w:tc>
          <w:tcPr>
            <w:tcW w:w="1000" w:type="dxa"/>
            <w:vAlign w:val="bottom"/>
            <w:tcBorders>
              <w:top w:val="single" w:sz="8" w:color="auto"/>
            </w:tcBorders>
          </w:tcPr>
          <w:p>
            <w:pPr>
              <w:spacing w:after="0"/>
              <w:rPr>
                <w:sz w:val="15"/>
                <w:szCs w:val="15"/>
                <w:color w:val="auto"/>
              </w:rPr>
            </w:pPr>
          </w:p>
        </w:tc>
      </w:tr>
      <w:tr>
        <w:trPr>
          <w:trHeight w:val="203"/>
        </w:trPr>
        <w:tc>
          <w:tcPr>
            <w:tcW w:w="5260" w:type="dxa"/>
            <w:vAlign w:val="bottom"/>
            <w:shd w:val="clear" w:color="auto" w:fill="CCEEFF"/>
          </w:tcPr>
          <w:p>
            <w:pPr>
              <w:spacing w:after="0"/>
              <w:rPr>
                <w:sz w:val="20"/>
                <w:szCs w:val="20"/>
                <w:color w:val="auto"/>
              </w:rPr>
            </w:pPr>
            <w:r>
              <w:rPr>
                <w:rFonts w:ascii="Arial" w:cs="Arial" w:eastAsia="Arial" w:hAnsi="Arial"/>
                <w:sz w:val="14"/>
                <w:szCs w:val="14"/>
                <w:color w:val="auto"/>
              </w:rPr>
              <w:t>Current liabilities</w:t>
            </w:r>
          </w:p>
        </w:tc>
        <w:tc>
          <w:tcPr>
            <w:tcW w:w="3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640" w:type="dxa"/>
            <w:vAlign w:val="bottom"/>
            <w:tcBorders>
              <w:right w:val="single" w:sz="8" w:color="CCEEFF"/>
            </w:tcBorders>
            <w:shd w:val="clear" w:color="auto" w:fill="CCEEFF"/>
          </w:tcPr>
          <w:p>
            <w:pPr>
              <w:spacing w:after="0"/>
              <w:rPr>
                <w:sz w:val="17"/>
                <w:szCs w:val="17"/>
                <w:color w:val="auto"/>
              </w:rPr>
            </w:pPr>
          </w:p>
        </w:tc>
        <w:tc>
          <w:tcPr>
            <w:tcW w:w="1000" w:type="dxa"/>
            <w:vAlign w:val="bottom"/>
            <w:tcBorders>
              <w:right w:val="single" w:sz="8" w:color="CCEEFF"/>
            </w:tcBorders>
            <w:shd w:val="clear" w:color="auto" w:fill="CCEEFF"/>
          </w:tcPr>
          <w:p>
            <w:pPr>
              <w:spacing w:after="0"/>
              <w:rPr>
                <w:sz w:val="17"/>
                <w:szCs w:val="17"/>
                <w:color w:val="auto"/>
              </w:rPr>
            </w:pPr>
          </w:p>
        </w:tc>
      </w:tr>
      <w:tr>
        <w:trPr>
          <w:trHeight w:val="203"/>
        </w:trPr>
        <w:tc>
          <w:tcPr>
            <w:tcW w:w="5260" w:type="dxa"/>
            <w:vAlign w:val="bottom"/>
          </w:tcPr>
          <w:p>
            <w:pPr>
              <w:ind w:left="120"/>
              <w:spacing w:after="0"/>
              <w:rPr>
                <w:sz w:val="20"/>
                <w:szCs w:val="20"/>
                <w:color w:val="auto"/>
              </w:rPr>
            </w:pPr>
            <w:r>
              <w:rPr>
                <w:rFonts w:ascii="Arial" w:cs="Arial" w:eastAsia="Arial" w:hAnsi="Arial"/>
                <w:sz w:val="14"/>
                <w:szCs w:val="14"/>
                <w:color w:val="auto"/>
              </w:rPr>
              <w:t>Short-term debt</w:t>
            </w:r>
          </w:p>
        </w:tc>
        <w:tc>
          <w:tcPr>
            <w:tcW w:w="560" w:type="dxa"/>
            <w:vAlign w:val="bottom"/>
            <w:gridSpan w:val="2"/>
          </w:tcPr>
          <w:p>
            <w:pPr>
              <w:jc w:val="right"/>
              <w:ind w:right="68"/>
              <w:spacing w:after="0"/>
              <w:rPr>
                <w:sz w:val="20"/>
                <w:szCs w:val="20"/>
                <w:color w:val="auto"/>
              </w:rPr>
            </w:pPr>
            <w:r>
              <w:rPr>
                <w:rFonts w:ascii="Arial" w:cs="Arial" w:eastAsia="Arial" w:hAnsi="Arial"/>
                <w:sz w:val="14"/>
                <w:szCs w:val="14"/>
                <w:color w:val="auto"/>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20,364</w:t>
            </w:r>
          </w:p>
        </w:tc>
        <w:tc>
          <w:tcPr>
            <w:tcW w:w="640" w:type="dxa"/>
            <w:vAlign w:val="bottom"/>
          </w:tcPr>
          <w:p>
            <w:pPr>
              <w:jc w:val="right"/>
              <w:spacing w:after="0"/>
              <w:rPr>
                <w:sz w:val="20"/>
                <w:szCs w:val="20"/>
                <w:color w:val="auto"/>
              </w:rPr>
            </w:pPr>
            <w:r>
              <w:rPr>
                <w:rFonts w:ascii="Arial" w:cs="Arial" w:eastAsia="Arial" w:hAnsi="Arial"/>
                <w:sz w:val="14"/>
                <w:szCs w:val="14"/>
                <w:color w:val="auto"/>
              </w:rPr>
              <w:t>$</w:t>
            </w:r>
          </w:p>
        </w:tc>
        <w:tc>
          <w:tcPr>
            <w:tcW w:w="1000" w:type="dxa"/>
            <w:vAlign w:val="bottom"/>
          </w:tcPr>
          <w:p>
            <w:pPr>
              <w:jc w:val="right"/>
              <w:ind w:right="48"/>
              <w:spacing w:after="0"/>
              <w:rPr>
                <w:sz w:val="20"/>
                <w:szCs w:val="20"/>
                <w:color w:val="auto"/>
              </w:rPr>
            </w:pPr>
            <w:r>
              <w:rPr>
                <w:rFonts w:ascii="Arial" w:cs="Arial" w:eastAsia="Arial" w:hAnsi="Arial"/>
                <w:sz w:val="14"/>
                <w:szCs w:val="14"/>
                <w:color w:val="auto"/>
              </w:rPr>
              <w:t>42,495</w:t>
            </w:r>
          </w:p>
        </w:tc>
      </w:tr>
      <w:tr>
        <w:trPr>
          <w:trHeight w:val="203"/>
        </w:trPr>
        <w:tc>
          <w:tcPr>
            <w:tcW w:w="5260" w:type="dxa"/>
            <w:vAlign w:val="bottom"/>
            <w:shd w:val="clear" w:color="auto" w:fill="CCEEFF"/>
          </w:tcPr>
          <w:p>
            <w:pPr>
              <w:ind w:left="120"/>
              <w:spacing w:after="0"/>
              <w:rPr>
                <w:sz w:val="20"/>
                <w:szCs w:val="20"/>
                <w:color w:val="auto"/>
              </w:rPr>
            </w:pPr>
            <w:r>
              <w:rPr>
                <w:rFonts w:ascii="Arial" w:cs="Arial" w:eastAsia="Arial" w:hAnsi="Arial"/>
                <w:sz w:val="14"/>
                <w:szCs w:val="14"/>
                <w:color w:val="auto"/>
              </w:rPr>
              <w:t>Current portion of long-term debt</w:t>
            </w:r>
          </w:p>
        </w:tc>
        <w:tc>
          <w:tcPr>
            <w:tcW w:w="3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26,719</w:t>
            </w:r>
          </w:p>
        </w:tc>
        <w:tc>
          <w:tcPr>
            <w:tcW w:w="640" w:type="dxa"/>
            <w:vAlign w:val="bottom"/>
            <w:tcBorders>
              <w:right w:val="single" w:sz="8" w:color="CCEEFF"/>
            </w:tcBorders>
            <w:shd w:val="clear" w:color="auto" w:fill="CCEEFF"/>
          </w:tcPr>
          <w:p>
            <w:pPr>
              <w:spacing w:after="0"/>
              <w:rPr>
                <w:sz w:val="17"/>
                <w:szCs w:val="17"/>
                <w:color w:val="auto"/>
              </w:rPr>
            </w:pPr>
          </w:p>
        </w:tc>
        <w:tc>
          <w:tcPr>
            <w:tcW w:w="1000" w:type="dxa"/>
            <w:vAlign w:val="bottom"/>
            <w:tcBorders>
              <w:right w:val="single" w:sz="8" w:color="CCEEFF"/>
            </w:tcBorders>
            <w:shd w:val="clear" w:color="auto" w:fill="CCEEFF"/>
          </w:tcPr>
          <w:p>
            <w:pPr>
              <w:jc w:val="right"/>
              <w:ind w:right="48"/>
              <w:spacing w:after="0"/>
              <w:rPr>
                <w:sz w:val="20"/>
                <w:szCs w:val="20"/>
                <w:color w:val="auto"/>
              </w:rPr>
            </w:pPr>
            <w:r>
              <w:rPr>
                <w:rFonts w:ascii="Arial" w:cs="Arial" w:eastAsia="Arial" w:hAnsi="Arial"/>
                <w:sz w:val="14"/>
                <w:szCs w:val="14"/>
                <w:color w:val="auto"/>
              </w:rPr>
              <w:t>18,750</w:t>
            </w:r>
          </w:p>
        </w:tc>
      </w:tr>
      <w:tr>
        <w:trPr>
          <w:trHeight w:val="203"/>
        </w:trPr>
        <w:tc>
          <w:tcPr>
            <w:tcW w:w="5260" w:type="dxa"/>
            <w:vAlign w:val="bottom"/>
          </w:tcPr>
          <w:p>
            <w:pPr>
              <w:ind w:left="120"/>
              <w:spacing w:after="0"/>
              <w:rPr>
                <w:sz w:val="20"/>
                <w:szCs w:val="20"/>
                <w:color w:val="auto"/>
              </w:rPr>
            </w:pPr>
            <w:r>
              <w:rPr>
                <w:rFonts w:ascii="Arial" w:cs="Arial" w:eastAsia="Arial" w:hAnsi="Arial"/>
                <w:sz w:val="14"/>
                <w:szCs w:val="14"/>
                <w:color w:val="auto"/>
              </w:rPr>
              <w:t>Accounts payable ($10,587 and $10,397 attributable to the VIE)</w:t>
            </w:r>
          </w:p>
        </w:tc>
        <w:tc>
          <w:tcPr>
            <w:tcW w:w="3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92,759</w:t>
            </w:r>
          </w:p>
        </w:tc>
        <w:tc>
          <w:tcPr>
            <w:tcW w:w="640" w:type="dxa"/>
            <w:vAlign w:val="bottom"/>
          </w:tcPr>
          <w:p>
            <w:pPr>
              <w:spacing w:after="0"/>
              <w:rPr>
                <w:sz w:val="17"/>
                <w:szCs w:val="17"/>
                <w:color w:val="auto"/>
              </w:rPr>
            </w:pPr>
          </w:p>
        </w:tc>
        <w:tc>
          <w:tcPr>
            <w:tcW w:w="1000" w:type="dxa"/>
            <w:vAlign w:val="bottom"/>
          </w:tcPr>
          <w:p>
            <w:pPr>
              <w:jc w:val="right"/>
              <w:ind w:right="48"/>
              <w:spacing w:after="0"/>
              <w:rPr>
                <w:sz w:val="20"/>
                <w:szCs w:val="20"/>
                <w:color w:val="auto"/>
              </w:rPr>
            </w:pPr>
            <w:r>
              <w:rPr>
                <w:rFonts w:ascii="Arial" w:cs="Arial" w:eastAsia="Arial" w:hAnsi="Arial"/>
                <w:sz w:val="14"/>
                <w:szCs w:val="14"/>
                <w:color w:val="auto"/>
              </w:rPr>
              <w:t>87,608</w:t>
            </w:r>
          </w:p>
        </w:tc>
      </w:tr>
      <w:tr>
        <w:trPr>
          <w:trHeight w:val="203"/>
        </w:trPr>
        <w:tc>
          <w:tcPr>
            <w:tcW w:w="5260" w:type="dxa"/>
            <w:vAlign w:val="bottom"/>
            <w:shd w:val="clear" w:color="auto" w:fill="CCEEFF"/>
          </w:tcPr>
          <w:p>
            <w:pPr>
              <w:ind w:left="120"/>
              <w:spacing w:after="0"/>
              <w:rPr>
                <w:sz w:val="20"/>
                <w:szCs w:val="20"/>
                <w:color w:val="auto"/>
              </w:rPr>
            </w:pPr>
            <w:r>
              <w:rPr>
                <w:rFonts w:ascii="Arial" w:cs="Arial" w:eastAsia="Arial" w:hAnsi="Arial"/>
                <w:sz w:val="14"/>
                <w:szCs w:val="14"/>
                <w:color w:val="auto"/>
              </w:rPr>
              <w:t>Accrued taxes</w:t>
            </w:r>
          </w:p>
        </w:tc>
        <w:tc>
          <w:tcPr>
            <w:tcW w:w="3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34,310</w:t>
            </w:r>
          </w:p>
        </w:tc>
        <w:tc>
          <w:tcPr>
            <w:tcW w:w="640" w:type="dxa"/>
            <w:vAlign w:val="bottom"/>
            <w:tcBorders>
              <w:right w:val="single" w:sz="8" w:color="CCEEFF"/>
            </w:tcBorders>
            <w:shd w:val="clear" w:color="auto" w:fill="CCEEFF"/>
          </w:tcPr>
          <w:p>
            <w:pPr>
              <w:spacing w:after="0"/>
              <w:rPr>
                <w:sz w:val="17"/>
                <w:szCs w:val="17"/>
                <w:color w:val="auto"/>
              </w:rPr>
            </w:pPr>
          </w:p>
        </w:tc>
        <w:tc>
          <w:tcPr>
            <w:tcW w:w="1000" w:type="dxa"/>
            <w:vAlign w:val="bottom"/>
            <w:tcBorders>
              <w:right w:val="single" w:sz="8" w:color="CCEEFF"/>
            </w:tcBorders>
            <w:shd w:val="clear" w:color="auto" w:fill="CCEEFF"/>
          </w:tcPr>
          <w:p>
            <w:pPr>
              <w:jc w:val="right"/>
              <w:ind w:right="48"/>
              <w:spacing w:after="0"/>
              <w:rPr>
                <w:sz w:val="20"/>
                <w:szCs w:val="20"/>
                <w:color w:val="auto"/>
              </w:rPr>
            </w:pPr>
            <w:r>
              <w:rPr>
                <w:rFonts w:ascii="Arial" w:cs="Arial" w:eastAsia="Arial" w:hAnsi="Arial"/>
                <w:sz w:val="14"/>
                <w:szCs w:val="14"/>
                <w:color w:val="auto"/>
              </w:rPr>
              <w:t>41,962</w:t>
            </w:r>
          </w:p>
        </w:tc>
      </w:tr>
      <w:tr>
        <w:trPr>
          <w:trHeight w:val="203"/>
        </w:trPr>
        <w:tc>
          <w:tcPr>
            <w:tcW w:w="5260" w:type="dxa"/>
            <w:vAlign w:val="bottom"/>
          </w:tcPr>
          <w:p>
            <w:pPr>
              <w:ind w:left="120"/>
              <w:spacing w:after="0"/>
              <w:rPr>
                <w:sz w:val="20"/>
                <w:szCs w:val="20"/>
                <w:color w:val="auto"/>
              </w:rPr>
            </w:pPr>
            <w:r>
              <w:rPr>
                <w:rFonts w:ascii="Arial" w:cs="Arial" w:eastAsia="Arial" w:hAnsi="Arial"/>
                <w:sz w:val="14"/>
                <w:szCs w:val="14"/>
                <w:color w:val="auto"/>
              </w:rPr>
              <w:t>Accrued compensation and benefits ($780 and $780 attributable to the VIE)</w:t>
            </w:r>
          </w:p>
        </w:tc>
        <w:tc>
          <w:tcPr>
            <w:tcW w:w="3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80,189</w:t>
            </w:r>
          </w:p>
        </w:tc>
        <w:tc>
          <w:tcPr>
            <w:tcW w:w="640" w:type="dxa"/>
            <w:vAlign w:val="bottom"/>
          </w:tcPr>
          <w:p>
            <w:pPr>
              <w:spacing w:after="0"/>
              <w:rPr>
                <w:sz w:val="17"/>
                <w:szCs w:val="17"/>
                <w:color w:val="auto"/>
              </w:rPr>
            </w:pPr>
          </w:p>
        </w:tc>
        <w:tc>
          <w:tcPr>
            <w:tcW w:w="1000" w:type="dxa"/>
            <w:vAlign w:val="bottom"/>
          </w:tcPr>
          <w:p>
            <w:pPr>
              <w:jc w:val="right"/>
              <w:ind w:right="48"/>
              <w:spacing w:after="0"/>
              <w:rPr>
                <w:sz w:val="20"/>
                <w:szCs w:val="20"/>
                <w:color w:val="auto"/>
              </w:rPr>
            </w:pPr>
            <w:r>
              <w:rPr>
                <w:rFonts w:ascii="Arial" w:cs="Arial" w:eastAsia="Arial" w:hAnsi="Arial"/>
                <w:sz w:val="14"/>
                <w:szCs w:val="14"/>
                <w:color w:val="auto"/>
              </w:rPr>
              <w:t>224,230</w:t>
            </w:r>
          </w:p>
        </w:tc>
      </w:tr>
      <w:tr>
        <w:trPr>
          <w:trHeight w:val="203"/>
        </w:trPr>
        <w:tc>
          <w:tcPr>
            <w:tcW w:w="5260" w:type="dxa"/>
            <w:vAlign w:val="bottom"/>
            <w:shd w:val="clear" w:color="auto" w:fill="CCEEFF"/>
          </w:tcPr>
          <w:p>
            <w:pPr>
              <w:ind w:left="120"/>
              <w:spacing w:after="0"/>
              <w:rPr>
                <w:sz w:val="20"/>
                <w:szCs w:val="20"/>
                <w:color w:val="auto"/>
              </w:rPr>
            </w:pPr>
            <w:r>
              <w:rPr>
                <w:rFonts w:ascii="Arial" w:cs="Arial" w:eastAsia="Arial" w:hAnsi="Arial"/>
                <w:sz w:val="14"/>
                <w:szCs w:val="14"/>
                <w:color w:val="auto"/>
              </w:rPr>
              <w:t>Accrued expenses and other liabilities ($2,719 and $4,121 attributable to the VIE)</w:t>
            </w:r>
          </w:p>
        </w:tc>
        <w:tc>
          <w:tcPr>
            <w:tcW w:w="360" w:type="dxa"/>
            <w:vAlign w:val="bottom"/>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52,442</w:t>
            </w:r>
          </w:p>
        </w:tc>
        <w:tc>
          <w:tcPr>
            <w:tcW w:w="640" w:type="dxa"/>
            <w:vAlign w:val="bottom"/>
            <w:tcBorders>
              <w:right w:val="single" w:sz="8" w:color="CCEEFF"/>
            </w:tcBorders>
            <w:shd w:val="clear" w:color="auto" w:fill="CCEEFF"/>
          </w:tcPr>
          <w:p>
            <w:pPr>
              <w:spacing w:after="0"/>
              <w:rPr>
                <w:sz w:val="17"/>
                <w:szCs w:val="17"/>
                <w:color w:val="auto"/>
              </w:rPr>
            </w:pPr>
          </w:p>
        </w:tc>
        <w:tc>
          <w:tcPr>
            <w:tcW w:w="1000" w:type="dxa"/>
            <w:vAlign w:val="bottom"/>
            <w:tcBorders>
              <w:bottom w:val="single" w:sz="8" w:color="auto"/>
              <w:right w:val="single" w:sz="8" w:color="CCEEFF"/>
            </w:tcBorders>
            <w:shd w:val="clear" w:color="auto" w:fill="CCEEFF"/>
          </w:tcPr>
          <w:p>
            <w:pPr>
              <w:jc w:val="right"/>
              <w:ind w:right="48"/>
              <w:spacing w:after="0"/>
              <w:rPr>
                <w:sz w:val="20"/>
                <w:szCs w:val="20"/>
                <w:color w:val="auto"/>
              </w:rPr>
            </w:pPr>
            <w:r>
              <w:rPr>
                <w:rFonts w:ascii="Arial" w:cs="Arial" w:eastAsia="Arial" w:hAnsi="Arial"/>
                <w:sz w:val="14"/>
                <w:szCs w:val="14"/>
                <w:color w:val="auto"/>
              </w:rPr>
              <w:t>47,063</w:t>
            </w:r>
          </w:p>
        </w:tc>
      </w:tr>
      <w:tr>
        <w:trPr>
          <w:trHeight w:val="183"/>
        </w:trPr>
        <w:tc>
          <w:tcPr>
            <w:tcW w:w="5260" w:type="dxa"/>
            <w:vAlign w:val="bottom"/>
          </w:tcPr>
          <w:p>
            <w:pPr>
              <w:ind w:left="540"/>
              <w:spacing w:after="0"/>
              <w:rPr>
                <w:sz w:val="20"/>
                <w:szCs w:val="20"/>
                <w:color w:val="auto"/>
              </w:rPr>
            </w:pPr>
            <w:r>
              <w:rPr>
                <w:rFonts w:ascii="Arial" w:cs="Arial" w:eastAsia="Arial" w:hAnsi="Arial"/>
                <w:sz w:val="14"/>
                <w:szCs w:val="14"/>
                <w:color w:val="auto"/>
              </w:rPr>
              <w:t>Total current liabilities</w:t>
            </w:r>
          </w:p>
        </w:tc>
        <w:tc>
          <w:tcPr>
            <w:tcW w:w="3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306,783</w:t>
            </w:r>
          </w:p>
        </w:tc>
        <w:tc>
          <w:tcPr>
            <w:tcW w:w="640" w:type="dxa"/>
            <w:vAlign w:val="bottom"/>
          </w:tcPr>
          <w:p>
            <w:pPr>
              <w:spacing w:after="0"/>
              <w:rPr>
                <w:sz w:val="15"/>
                <w:szCs w:val="15"/>
                <w:color w:val="auto"/>
              </w:rPr>
            </w:pPr>
          </w:p>
        </w:tc>
        <w:tc>
          <w:tcPr>
            <w:tcW w:w="1000" w:type="dxa"/>
            <w:vAlign w:val="bottom"/>
          </w:tcPr>
          <w:p>
            <w:pPr>
              <w:jc w:val="right"/>
              <w:ind w:right="48"/>
              <w:spacing w:after="0"/>
              <w:rPr>
                <w:sz w:val="20"/>
                <w:szCs w:val="20"/>
                <w:color w:val="auto"/>
              </w:rPr>
            </w:pPr>
            <w:r>
              <w:rPr>
                <w:rFonts w:ascii="Arial" w:cs="Arial" w:eastAsia="Arial" w:hAnsi="Arial"/>
                <w:sz w:val="14"/>
                <w:szCs w:val="14"/>
                <w:color w:val="auto"/>
              </w:rPr>
              <w:t>462,108</w:t>
            </w:r>
          </w:p>
        </w:tc>
      </w:tr>
      <w:tr>
        <w:trPr>
          <w:trHeight w:val="203"/>
        </w:trPr>
        <w:tc>
          <w:tcPr>
            <w:tcW w:w="5260" w:type="dxa"/>
            <w:vAlign w:val="bottom"/>
            <w:shd w:val="clear" w:color="auto" w:fill="CCEEFF"/>
          </w:tcPr>
          <w:p>
            <w:pPr>
              <w:spacing w:after="0"/>
              <w:rPr>
                <w:sz w:val="20"/>
                <w:szCs w:val="20"/>
                <w:color w:val="auto"/>
              </w:rPr>
            </w:pPr>
            <w:r>
              <w:rPr>
                <w:rFonts w:ascii="Arial" w:cs="Arial" w:eastAsia="Arial" w:hAnsi="Arial"/>
                <w:sz w:val="14"/>
                <w:szCs w:val="14"/>
                <w:color w:val="auto"/>
              </w:rPr>
              <w:t>Long-term debt and capital lease obligations</w:t>
            </w:r>
          </w:p>
        </w:tc>
        <w:tc>
          <w:tcPr>
            <w:tcW w:w="3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416,970</w:t>
            </w:r>
          </w:p>
        </w:tc>
        <w:tc>
          <w:tcPr>
            <w:tcW w:w="640" w:type="dxa"/>
            <w:vAlign w:val="bottom"/>
            <w:tcBorders>
              <w:right w:val="single" w:sz="8" w:color="CCEEFF"/>
            </w:tcBorders>
            <w:shd w:val="clear" w:color="auto" w:fill="CCEEFF"/>
          </w:tcPr>
          <w:p>
            <w:pPr>
              <w:spacing w:after="0"/>
              <w:rPr>
                <w:sz w:val="17"/>
                <w:szCs w:val="17"/>
                <w:color w:val="auto"/>
              </w:rPr>
            </w:pPr>
          </w:p>
        </w:tc>
        <w:tc>
          <w:tcPr>
            <w:tcW w:w="1000" w:type="dxa"/>
            <w:vAlign w:val="bottom"/>
            <w:tcBorders>
              <w:right w:val="single" w:sz="8" w:color="CCEEFF"/>
            </w:tcBorders>
            <w:shd w:val="clear" w:color="auto" w:fill="CCEEFF"/>
          </w:tcPr>
          <w:p>
            <w:pPr>
              <w:jc w:val="right"/>
              <w:ind w:right="48"/>
              <w:spacing w:after="0"/>
              <w:rPr>
                <w:sz w:val="20"/>
                <w:szCs w:val="20"/>
                <w:color w:val="auto"/>
              </w:rPr>
            </w:pPr>
            <w:r>
              <w:rPr>
                <w:rFonts w:ascii="Arial" w:cs="Arial" w:eastAsia="Arial" w:hAnsi="Arial"/>
                <w:sz w:val="14"/>
                <w:szCs w:val="14"/>
                <w:color w:val="auto"/>
              </w:rPr>
              <w:t>348,348</w:t>
            </w:r>
          </w:p>
        </w:tc>
      </w:tr>
      <w:tr>
        <w:trPr>
          <w:trHeight w:val="203"/>
        </w:trPr>
        <w:tc>
          <w:tcPr>
            <w:tcW w:w="5260" w:type="dxa"/>
            <w:vAlign w:val="bottom"/>
          </w:tcPr>
          <w:p>
            <w:pPr>
              <w:spacing w:after="0"/>
              <w:rPr>
                <w:sz w:val="20"/>
                <w:szCs w:val="20"/>
                <w:color w:val="auto"/>
              </w:rPr>
            </w:pPr>
            <w:r>
              <w:rPr>
                <w:rFonts w:ascii="Arial" w:cs="Arial" w:eastAsia="Arial" w:hAnsi="Arial"/>
                <w:sz w:val="14"/>
                <w:szCs w:val="14"/>
                <w:color w:val="auto"/>
              </w:rPr>
              <w:t>Deferred income taxes</w:t>
            </w:r>
          </w:p>
        </w:tc>
        <w:tc>
          <w:tcPr>
            <w:tcW w:w="3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9,318</w:t>
            </w:r>
          </w:p>
        </w:tc>
        <w:tc>
          <w:tcPr>
            <w:tcW w:w="640" w:type="dxa"/>
            <w:vAlign w:val="bottom"/>
          </w:tcPr>
          <w:p>
            <w:pPr>
              <w:spacing w:after="0"/>
              <w:rPr>
                <w:sz w:val="17"/>
                <w:szCs w:val="17"/>
                <w:color w:val="auto"/>
              </w:rPr>
            </w:pPr>
          </w:p>
        </w:tc>
        <w:tc>
          <w:tcPr>
            <w:tcW w:w="1000" w:type="dxa"/>
            <w:vAlign w:val="bottom"/>
          </w:tcPr>
          <w:p>
            <w:pPr>
              <w:jc w:val="right"/>
              <w:ind w:right="48"/>
              <w:spacing w:after="0"/>
              <w:rPr>
                <w:sz w:val="20"/>
                <w:szCs w:val="20"/>
                <w:color w:val="auto"/>
              </w:rPr>
            </w:pPr>
            <w:r>
              <w:rPr>
                <w:rFonts w:ascii="Arial" w:cs="Arial" w:eastAsia="Arial" w:hAnsi="Arial"/>
                <w:sz w:val="14"/>
                <w:szCs w:val="14"/>
                <w:color w:val="auto"/>
              </w:rPr>
              <w:t>7,452</w:t>
            </w:r>
          </w:p>
        </w:tc>
      </w:tr>
      <w:tr>
        <w:trPr>
          <w:trHeight w:val="130"/>
        </w:trPr>
        <w:tc>
          <w:tcPr>
            <w:tcW w:w="5260" w:type="dxa"/>
            <w:vAlign w:val="bottom"/>
            <w:shd w:val="clear" w:color="auto" w:fill="CCEEFF"/>
          </w:tcPr>
          <w:p>
            <w:pPr>
              <w:spacing w:after="0" w:line="130" w:lineRule="exact"/>
              <w:rPr>
                <w:sz w:val="20"/>
                <w:szCs w:val="20"/>
                <w:color w:val="auto"/>
              </w:rPr>
            </w:pPr>
            <w:r>
              <w:rPr>
                <w:rFonts w:ascii="Arial" w:cs="Arial" w:eastAsia="Arial" w:hAnsi="Arial"/>
                <w:sz w:val="14"/>
                <w:szCs w:val="14"/>
                <w:color w:val="auto"/>
                <w:w w:val="99"/>
              </w:rPr>
              <w:t>Accrued pension and other postretirement benefits ($1,908 and $1,946 attributable to</w:t>
            </w:r>
          </w:p>
        </w:tc>
        <w:tc>
          <w:tcPr>
            <w:tcW w:w="36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640" w:type="dxa"/>
            <w:vAlign w:val="bottom"/>
            <w:tcBorders>
              <w:right w:val="single" w:sz="8" w:color="CCEEFF"/>
            </w:tcBorders>
            <w:shd w:val="clear" w:color="auto" w:fill="CCEEFF"/>
          </w:tcPr>
          <w:p>
            <w:pPr>
              <w:spacing w:after="0"/>
              <w:rPr>
                <w:sz w:val="11"/>
                <w:szCs w:val="11"/>
                <w:color w:val="auto"/>
              </w:rPr>
            </w:pPr>
          </w:p>
        </w:tc>
        <w:tc>
          <w:tcPr>
            <w:tcW w:w="1000" w:type="dxa"/>
            <w:vAlign w:val="bottom"/>
            <w:tcBorders>
              <w:right w:val="single" w:sz="8" w:color="CCEEFF"/>
            </w:tcBorders>
            <w:shd w:val="clear" w:color="auto" w:fill="CCEEFF"/>
          </w:tcPr>
          <w:p>
            <w:pPr>
              <w:spacing w:after="0"/>
              <w:rPr>
                <w:sz w:val="11"/>
                <w:szCs w:val="11"/>
                <w:color w:val="auto"/>
              </w:rPr>
            </w:pPr>
          </w:p>
        </w:tc>
      </w:tr>
      <w:tr>
        <w:trPr>
          <w:trHeight w:val="167"/>
        </w:trPr>
        <w:tc>
          <w:tcPr>
            <w:tcW w:w="5260" w:type="dxa"/>
            <w:vAlign w:val="bottom"/>
            <w:shd w:val="clear" w:color="auto" w:fill="CCEEFF"/>
          </w:tcPr>
          <w:p>
            <w:pPr>
              <w:spacing w:after="0"/>
              <w:rPr>
                <w:sz w:val="20"/>
                <w:szCs w:val="20"/>
                <w:color w:val="auto"/>
              </w:rPr>
            </w:pPr>
            <w:r>
              <w:rPr>
                <w:rFonts w:ascii="Arial" w:cs="Arial" w:eastAsia="Arial" w:hAnsi="Arial"/>
                <w:sz w:val="14"/>
                <w:szCs w:val="14"/>
                <w:color w:val="auto"/>
              </w:rPr>
              <w:t>the VIE)</w:t>
            </w:r>
          </w:p>
        </w:tc>
        <w:tc>
          <w:tcPr>
            <w:tcW w:w="36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130,160</w:t>
            </w:r>
          </w:p>
        </w:tc>
        <w:tc>
          <w:tcPr>
            <w:tcW w:w="640" w:type="dxa"/>
            <w:vAlign w:val="bottom"/>
            <w:tcBorders>
              <w:right w:val="single" w:sz="8" w:color="CCEEFF"/>
            </w:tcBorders>
            <w:shd w:val="clear" w:color="auto" w:fill="CCEEFF"/>
          </w:tcPr>
          <w:p>
            <w:pPr>
              <w:spacing w:after="0"/>
              <w:rPr>
                <w:sz w:val="14"/>
                <w:szCs w:val="14"/>
                <w:color w:val="auto"/>
              </w:rPr>
            </w:pPr>
          </w:p>
        </w:tc>
        <w:tc>
          <w:tcPr>
            <w:tcW w:w="1000" w:type="dxa"/>
            <w:vAlign w:val="bottom"/>
            <w:tcBorders>
              <w:right w:val="single" w:sz="8" w:color="CCEEFF"/>
            </w:tcBorders>
            <w:shd w:val="clear" w:color="auto" w:fill="CCEEFF"/>
          </w:tcPr>
          <w:p>
            <w:pPr>
              <w:jc w:val="right"/>
              <w:ind w:right="48"/>
              <w:spacing w:after="0"/>
              <w:rPr>
                <w:sz w:val="20"/>
                <w:szCs w:val="20"/>
                <w:color w:val="auto"/>
              </w:rPr>
            </w:pPr>
            <w:r>
              <w:rPr>
                <w:rFonts w:ascii="Arial" w:cs="Arial" w:eastAsia="Arial" w:hAnsi="Arial"/>
                <w:sz w:val="14"/>
                <w:szCs w:val="14"/>
                <w:color w:val="auto"/>
              </w:rPr>
              <w:t>135,339</w:t>
            </w:r>
          </w:p>
        </w:tc>
      </w:tr>
      <w:tr>
        <w:trPr>
          <w:trHeight w:val="203"/>
        </w:trPr>
        <w:tc>
          <w:tcPr>
            <w:tcW w:w="5260" w:type="dxa"/>
            <w:vAlign w:val="bottom"/>
            <w:tcBorders>
              <w:bottom w:val="single" w:sz="8" w:color="CCEEFF"/>
            </w:tcBorders>
          </w:tcPr>
          <w:p>
            <w:pPr>
              <w:spacing w:after="0"/>
              <w:rPr>
                <w:sz w:val="20"/>
                <w:szCs w:val="20"/>
                <w:color w:val="auto"/>
              </w:rPr>
            </w:pPr>
            <w:r>
              <w:rPr>
                <w:rFonts w:ascii="Arial" w:cs="Arial" w:eastAsia="Arial" w:hAnsi="Arial"/>
                <w:sz w:val="14"/>
                <w:szCs w:val="14"/>
                <w:color w:val="auto"/>
              </w:rPr>
              <w:t>Other noncurrent liabilities ($4,689 and $3,368 attributable to the VIE)</w:t>
            </w:r>
          </w:p>
        </w:tc>
        <w:tc>
          <w:tcPr>
            <w:tcW w:w="36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16,701</w:t>
            </w:r>
          </w:p>
        </w:tc>
        <w:tc>
          <w:tcPr>
            <w:tcW w:w="640" w:type="dxa"/>
            <w:vAlign w:val="bottom"/>
            <w:tcBorders>
              <w:bottom w:val="single" w:sz="8" w:color="CCEEFF"/>
            </w:tcBorders>
          </w:tcPr>
          <w:p>
            <w:pPr>
              <w:spacing w:after="0"/>
              <w:rPr>
                <w:sz w:val="17"/>
                <w:szCs w:val="17"/>
                <w:color w:val="auto"/>
              </w:rPr>
            </w:pPr>
          </w:p>
        </w:tc>
        <w:tc>
          <w:tcPr>
            <w:tcW w:w="10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14,101</w:t>
            </w:r>
          </w:p>
        </w:tc>
      </w:tr>
      <w:tr>
        <w:trPr>
          <w:trHeight w:val="183"/>
        </w:trPr>
        <w:tc>
          <w:tcPr>
            <w:tcW w:w="5260" w:type="dxa"/>
            <w:vAlign w:val="bottom"/>
            <w:shd w:val="clear" w:color="auto" w:fill="CCEEFF"/>
          </w:tcPr>
          <w:p>
            <w:pPr>
              <w:ind w:left="540"/>
              <w:spacing w:after="0"/>
              <w:rPr>
                <w:sz w:val="20"/>
                <w:szCs w:val="20"/>
                <w:color w:val="auto"/>
              </w:rPr>
            </w:pPr>
            <w:r>
              <w:rPr>
                <w:rFonts w:ascii="Arial" w:cs="Arial" w:eastAsia="Arial" w:hAnsi="Arial"/>
                <w:sz w:val="14"/>
                <w:szCs w:val="14"/>
                <w:color w:val="auto"/>
              </w:rPr>
              <w:t>Total liabilities</w:t>
            </w:r>
          </w:p>
        </w:tc>
        <w:tc>
          <w:tcPr>
            <w:tcW w:w="360" w:type="dxa"/>
            <w:vAlign w:val="bottom"/>
            <w:shd w:val="clear" w:color="auto" w:fill="CCEEFF"/>
          </w:tcPr>
          <w:p>
            <w:pPr>
              <w:spacing w:after="0"/>
              <w:rPr>
                <w:sz w:val="15"/>
                <w:szCs w:val="15"/>
                <w:color w:val="auto"/>
              </w:rPr>
            </w:pPr>
          </w:p>
        </w:tc>
        <w:tc>
          <w:tcPr>
            <w:tcW w:w="200" w:type="dxa"/>
            <w:vAlign w:val="bottom"/>
            <w:tcBorders>
              <w:bottom w:val="single" w:sz="8" w:color="auto"/>
            </w:tcBorders>
            <w:shd w:val="clear" w:color="auto" w:fill="CCEEFF"/>
          </w:tcPr>
          <w:p>
            <w:pPr>
              <w:spacing w:after="0"/>
              <w:rPr>
                <w:sz w:val="15"/>
                <w:szCs w:val="15"/>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879,932</w:t>
            </w:r>
          </w:p>
        </w:tc>
        <w:tc>
          <w:tcPr>
            <w:tcW w:w="640" w:type="dxa"/>
            <w:vAlign w:val="bottom"/>
            <w:tcBorders>
              <w:right w:val="single" w:sz="8" w:color="CCEEFF"/>
            </w:tcBorders>
            <w:shd w:val="clear" w:color="auto" w:fill="CCEEFF"/>
          </w:tcPr>
          <w:p>
            <w:pPr>
              <w:spacing w:after="0"/>
              <w:rPr>
                <w:sz w:val="15"/>
                <w:szCs w:val="15"/>
                <w:color w:val="auto"/>
              </w:rPr>
            </w:pPr>
          </w:p>
        </w:tc>
        <w:tc>
          <w:tcPr>
            <w:tcW w:w="1000" w:type="dxa"/>
            <w:vAlign w:val="bottom"/>
            <w:tcBorders>
              <w:bottom w:val="single" w:sz="8" w:color="auto"/>
              <w:right w:val="single" w:sz="8" w:color="CCEEFF"/>
            </w:tcBorders>
            <w:shd w:val="clear" w:color="auto" w:fill="CCEEFF"/>
          </w:tcPr>
          <w:p>
            <w:pPr>
              <w:jc w:val="right"/>
              <w:ind w:right="48"/>
              <w:spacing w:after="0"/>
              <w:rPr>
                <w:sz w:val="20"/>
                <w:szCs w:val="20"/>
                <w:color w:val="auto"/>
              </w:rPr>
            </w:pPr>
            <w:r>
              <w:rPr>
                <w:rFonts w:ascii="Arial" w:cs="Arial" w:eastAsia="Arial" w:hAnsi="Arial"/>
                <w:sz w:val="14"/>
                <w:szCs w:val="14"/>
                <w:color w:val="auto"/>
              </w:rPr>
              <w:t>967,348</w:t>
            </w:r>
          </w:p>
        </w:tc>
      </w:tr>
      <w:tr>
        <w:trPr>
          <w:trHeight w:val="183"/>
        </w:trPr>
        <w:tc>
          <w:tcPr>
            <w:tcW w:w="5260" w:type="dxa"/>
            <w:vAlign w:val="bottom"/>
          </w:tcPr>
          <w:p>
            <w:pPr>
              <w:spacing w:after="0"/>
              <w:rPr>
                <w:sz w:val="20"/>
                <w:szCs w:val="20"/>
                <w:color w:val="auto"/>
              </w:rPr>
            </w:pPr>
            <w:r>
              <w:rPr>
                <w:rFonts w:ascii="Arial" w:cs="Arial" w:eastAsia="Arial" w:hAnsi="Arial"/>
                <w:sz w:val="14"/>
                <w:szCs w:val="14"/>
                <w:color w:val="auto"/>
              </w:rPr>
              <w:t>Commitments and contingencies (Note 21)</w:t>
            </w:r>
          </w:p>
        </w:tc>
        <w:tc>
          <w:tcPr>
            <w:tcW w:w="3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1000" w:type="dxa"/>
            <w:vAlign w:val="bottom"/>
          </w:tcPr>
          <w:p>
            <w:pPr>
              <w:spacing w:after="0"/>
              <w:rPr>
                <w:sz w:val="15"/>
                <w:szCs w:val="15"/>
                <w:color w:val="auto"/>
              </w:rPr>
            </w:pPr>
          </w:p>
        </w:tc>
      </w:tr>
      <w:tr>
        <w:trPr>
          <w:trHeight w:val="203"/>
        </w:trPr>
        <w:tc>
          <w:tcPr>
            <w:tcW w:w="5260" w:type="dxa"/>
            <w:vAlign w:val="bottom"/>
            <w:shd w:val="clear" w:color="auto" w:fill="CCEEFF"/>
          </w:tcPr>
          <w:p>
            <w:pPr>
              <w:spacing w:after="0"/>
              <w:rPr>
                <w:sz w:val="20"/>
                <w:szCs w:val="20"/>
                <w:color w:val="auto"/>
              </w:rPr>
            </w:pPr>
            <w:r>
              <w:rPr>
                <w:rFonts w:ascii="Arial" w:cs="Arial" w:eastAsia="Arial" w:hAnsi="Arial"/>
                <w:sz w:val="14"/>
                <w:szCs w:val="14"/>
                <w:color w:val="auto"/>
              </w:rPr>
              <w:t>Shareholders' Equity</w:t>
            </w:r>
          </w:p>
        </w:tc>
        <w:tc>
          <w:tcPr>
            <w:tcW w:w="3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640" w:type="dxa"/>
            <w:vAlign w:val="bottom"/>
            <w:tcBorders>
              <w:right w:val="single" w:sz="8" w:color="CCEEFF"/>
            </w:tcBorders>
            <w:shd w:val="clear" w:color="auto" w:fill="CCEEFF"/>
          </w:tcPr>
          <w:p>
            <w:pPr>
              <w:spacing w:after="0"/>
              <w:rPr>
                <w:sz w:val="17"/>
                <w:szCs w:val="17"/>
                <w:color w:val="auto"/>
              </w:rPr>
            </w:pPr>
          </w:p>
        </w:tc>
        <w:tc>
          <w:tcPr>
            <w:tcW w:w="1000" w:type="dxa"/>
            <w:vAlign w:val="bottom"/>
            <w:tcBorders>
              <w:right w:val="single" w:sz="8" w:color="CCEEFF"/>
            </w:tcBorders>
            <w:shd w:val="clear" w:color="auto" w:fill="CCEEFF"/>
          </w:tcPr>
          <w:p>
            <w:pPr>
              <w:spacing w:after="0"/>
              <w:rPr>
                <w:sz w:val="17"/>
                <w:szCs w:val="17"/>
                <w:color w:val="auto"/>
              </w:rPr>
            </w:pPr>
          </w:p>
        </w:tc>
      </w:tr>
      <w:tr>
        <w:trPr>
          <w:trHeight w:val="130"/>
        </w:trPr>
        <w:tc>
          <w:tcPr>
            <w:tcW w:w="5260" w:type="dxa"/>
            <w:vAlign w:val="bottom"/>
          </w:tcPr>
          <w:p>
            <w:pPr>
              <w:ind w:left="120"/>
              <w:spacing w:after="0" w:line="130" w:lineRule="exact"/>
              <w:rPr>
                <w:sz w:val="20"/>
                <w:szCs w:val="20"/>
                <w:color w:val="auto"/>
              </w:rPr>
            </w:pPr>
            <w:r>
              <w:rPr>
                <w:rFonts w:ascii="Arial" w:cs="Arial" w:eastAsia="Arial" w:hAnsi="Arial"/>
                <w:sz w:val="14"/>
                <w:szCs w:val="14"/>
                <w:color w:val="auto"/>
              </w:rPr>
              <w:t>Common stock, $0.001 par value, 500,000,000 shares authorized; 74,479,319 and</w:t>
            </w: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00" w:type="dxa"/>
            <w:vAlign w:val="bottom"/>
          </w:tcPr>
          <w:p>
            <w:pPr>
              <w:spacing w:after="0"/>
              <w:rPr>
                <w:sz w:val="11"/>
                <w:szCs w:val="11"/>
                <w:color w:val="auto"/>
              </w:rPr>
            </w:pPr>
          </w:p>
        </w:tc>
      </w:tr>
      <w:tr>
        <w:trPr>
          <w:trHeight w:val="167"/>
        </w:trPr>
        <w:tc>
          <w:tcPr>
            <w:tcW w:w="5260" w:type="dxa"/>
            <w:vAlign w:val="bottom"/>
          </w:tcPr>
          <w:p>
            <w:pPr>
              <w:ind w:left="120"/>
              <w:spacing w:after="0"/>
              <w:rPr>
                <w:sz w:val="20"/>
                <w:szCs w:val="20"/>
                <w:color w:val="auto"/>
              </w:rPr>
            </w:pPr>
            <w:r>
              <w:rPr>
                <w:rFonts w:ascii="Arial" w:cs="Arial" w:eastAsia="Arial" w:hAnsi="Arial"/>
                <w:sz w:val="14"/>
                <w:szCs w:val="14"/>
                <w:color w:val="auto"/>
              </w:rPr>
              <w:t>74,093,598 shares issued and outstanding</w:t>
            </w:r>
          </w:p>
        </w:tc>
        <w:tc>
          <w:tcPr>
            <w:tcW w:w="3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74</w:t>
            </w:r>
          </w:p>
        </w:tc>
        <w:tc>
          <w:tcPr>
            <w:tcW w:w="640" w:type="dxa"/>
            <w:vAlign w:val="bottom"/>
          </w:tcPr>
          <w:p>
            <w:pPr>
              <w:spacing w:after="0"/>
              <w:rPr>
                <w:sz w:val="14"/>
                <w:szCs w:val="14"/>
                <w:color w:val="auto"/>
              </w:rPr>
            </w:pPr>
          </w:p>
        </w:tc>
        <w:tc>
          <w:tcPr>
            <w:tcW w:w="1000" w:type="dxa"/>
            <w:vAlign w:val="bottom"/>
          </w:tcPr>
          <w:p>
            <w:pPr>
              <w:jc w:val="right"/>
              <w:ind w:right="48"/>
              <w:spacing w:after="0"/>
              <w:rPr>
                <w:sz w:val="20"/>
                <w:szCs w:val="20"/>
                <w:color w:val="auto"/>
              </w:rPr>
            </w:pPr>
            <w:r>
              <w:rPr>
                <w:rFonts w:ascii="Arial" w:cs="Arial" w:eastAsia="Arial" w:hAnsi="Arial"/>
                <w:sz w:val="14"/>
                <w:szCs w:val="14"/>
                <w:color w:val="auto"/>
              </w:rPr>
              <w:t>74</w:t>
            </w:r>
          </w:p>
        </w:tc>
      </w:tr>
      <w:tr>
        <w:trPr>
          <w:trHeight w:val="203"/>
        </w:trPr>
        <w:tc>
          <w:tcPr>
            <w:tcW w:w="5260" w:type="dxa"/>
            <w:vAlign w:val="bottom"/>
            <w:shd w:val="clear" w:color="auto" w:fill="CCEEFF"/>
          </w:tcPr>
          <w:p>
            <w:pPr>
              <w:ind w:left="120"/>
              <w:spacing w:after="0"/>
              <w:rPr>
                <w:sz w:val="20"/>
                <w:szCs w:val="20"/>
                <w:color w:val="auto"/>
              </w:rPr>
            </w:pPr>
            <w:r>
              <w:rPr>
                <w:rFonts w:ascii="Arial" w:cs="Arial" w:eastAsia="Arial" w:hAnsi="Arial"/>
                <w:sz w:val="14"/>
                <w:szCs w:val="14"/>
                <w:color w:val="auto"/>
              </w:rPr>
              <w:t>Additional paid-in capital</w:t>
            </w:r>
          </w:p>
        </w:tc>
        <w:tc>
          <w:tcPr>
            <w:tcW w:w="3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894,727</w:t>
            </w:r>
          </w:p>
        </w:tc>
        <w:tc>
          <w:tcPr>
            <w:tcW w:w="640" w:type="dxa"/>
            <w:vAlign w:val="bottom"/>
            <w:tcBorders>
              <w:right w:val="single" w:sz="8" w:color="CCEEFF"/>
            </w:tcBorders>
            <w:shd w:val="clear" w:color="auto" w:fill="CCEEFF"/>
          </w:tcPr>
          <w:p>
            <w:pPr>
              <w:spacing w:after="0"/>
              <w:rPr>
                <w:sz w:val="17"/>
                <w:szCs w:val="17"/>
                <w:color w:val="auto"/>
              </w:rPr>
            </w:pPr>
          </w:p>
        </w:tc>
        <w:tc>
          <w:tcPr>
            <w:tcW w:w="1000" w:type="dxa"/>
            <w:vAlign w:val="bottom"/>
            <w:tcBorders>
              <w:right w:val="single" w:sz="8" w:color="CCEEFF"/>
            </w:tcBorders>
            <w:shd w:val="clear" w:color="auto" w:fill="CCEEFF"/>
          </w:tcPr>
          <w:p>
            <w:pPr>
              <w:jc w:val="right"/>
              <w:ind w:right="48"/>
              <w:spacing w:after="0"/>
              <w:rPr>
                <w:sz w:val="20"/>
                <w:szCs w:val="20"/>
                <w:color w:val="auto"/>
              </w:rPr>
            </w:pPr>
            <w:r>
              <w:rPr>
                <w:rFonts w:ascii="Arial" w:cs="Arial" w:eastAsia="Arial" w:hAnsi="Arial"/>
                <w:sz w:val="14"/>
                <w:szCs w:val="14"/>
                <w:color w:val="auto"/>
              </w:rPr>
              <w:t>880,576</w:t>
            </w:r>
          </w:p>
        </w:tc>
      </w:tr>
      <w:tr>
        <w:trPr>
          <w:trHeight w:val="203"/>
        </w:trPr>
        <w:tc>
          <w:tcPr>
            <w:tcW w:w="5260" w:type="dxa"/>
            <w:vAlign w:val="bottom"/>
          </w:tcPr>
          <w:p>
            <w:pPr>
              <w:ind w:left="120"/>
              <w:spacing w:after="0"/>
              <w:rPr>
                <w:sz w:val="20"/>
                <w:szCs w:val="20"/>
                <w:color w:val="auto"/>
              </w:rPr>
            </w:pPr>
            <w:r>
              <w:rPr>
                <w:rFonts w:ascii="Arial" w:cs="Arial" w:eastAsia="Arial" w:hAnsi="Arial"/>
                <w:sz w:val="14"/>
                <w:szCs w:val="14"/>
                <w:color w:val="auto"/>
              </w:rPr>
              <w:t>Accumulated other comprehensive loss, net of tax</w:t>
            </w:r>
          </w:p>
        </w:tc>
        <w:tc>
          <w:tcPr>
            <w:tcW w:w="3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(81,691)</w:t>
            </w:r>
          </w:p>
        </w:tc>
        <w:tc>
          <w:tcPr>
            <w:tcW w:w="64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(90,834)</w:t>
            </w:r>
          </w:p>
        </w:tc>
      </w:tr>
      <w:tr>
        <w:trPr>
          <w:trHeight w:val="203"/>
        </w:trPr>
        <w:tc>
          <w:tcPr>
            <w:tcW w:w="5260" w:type="dxa"/>
            <w:vAlign w:val="bottom"/>
            <w:shd w:val="clear" w:color="auto" w:fill="CCEEFF"/>
          </w:tcPr>
          <w:p>
            <w:pPr>
              <w:ind w:left="120"/>
              <w:spacing w:after="0"/>
              <w:rPr>
                <w:sz w:val="20"/>
                <w:szCs w:val="20"/>
                <w:color w:val="auto"/>
              </w:rPr>
            </w:pPr>
            <w:r>
              <w:rPr>
                <w:rFonts w:ascii="Arial" w:cs="Arial" w:eastAsia="Arial" w:hAnsi="Arial"/>
                <w:sz w:val="14"/>
                <w:szCs w:val="14"/>
                <w:color w:val="auto"/>
              </w:rPr>
              <w:t>Retained earnings (deficit)</w:t>
            </w:r>
          </w:p>
        </w:tc>
        <w:tc>
          <w:tcPr>
            <w:tcW w:w="360" w:type="dxa"/>
            <w:vAlign w:val="bottom"/>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1,618</w:t>
            </w:r>
          </w:p>
        </w:tc>
        <w:tc>
          <w:tcPr>
            <w:tcW w:w="640" w:type="dxa"/>
            <w:vAlign w:val="bottom"/>
            <w:tcBorders>
              <w:right w:val="single" w:sz="8" w:color="CCEEFF"/>
            </w:tcBorders>
            <w:shd w:val="clear" w:color="auto" w:fill="CCEEFF"/>
          </w:tcPr>
          <w:p>
            <w:pPr>
              <w:spacing w:after="0"/>
              <w:rPr>
                <w:sz w:val="17"/>
                <w:szCs w:val="17"/>
                <w:color w:val="auto"/>
              </w:rPr>
            </w:pPr>
          </w:p>
        </w:tc>
        <w:tc>
          <w:tcPr>
            <w:tcW w:w="1000" w:type="dxa"/>
            <w:vAlign w:val="bottom"/>
            <w:tcBorders>
              <w:bottom w:val="single" w:sz="8" w:color="auto"/>
              <w:right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(53,951)</w:t>
            </w:r>
          </w:p>
        </w:tc>
      </w:tr>
      <w:tr>
        <w:trPr>
          <w:trHeight w:val="183"/>
        </w:trPr>
        <w:tc>
          <w:tcPr>
            <w:tcW w:w="5260" w:type="dxa"/>
            <w:vAlign w:val="bottom"/>
          </w:tcPr>
          <w:p>
            <w:pPr>
              <w:ind w:left="540"/>
              <w:spacing w:after="0"/>
              <w:rPr>
                <w:sz w:val="20"/>
                <w:szCs w:val="20"/>
                <w:color w:val="auto"/>
              </w:rPr>
            </w:pPr>
            <w:r>
              <w:rPr>
                <w:rFonts w:ascii="Arial" w:cs="Arial" w:eastAsia="Arial" w:hAnsi="Arial"/>
                <w:sz w:val="14"/>
                <w:szCs w:val="14"/>
                <w:color w:val="auto"/>
              </w:rPr>
              <w:t>Total equity attributable to Acushnet Holdings Corp.</w:t>
            </w:r>
          </w:p>
        </w:tc>
        <w:tc>
          <w:tcPr>
            <w:tcW w:w="3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814,728</w:t>
            </w:r>
          </w:p>
        </w:tc>
        <w:tc>
          <w:tcPr>
            <w:tcW w:w="640" w:type="dxa"/>
            <w:vAlign w:val="bottom"/>
          </w:tcPr>
          <w:p>
            <w:pPr>
              <w:spacing w:after="0"/>
              <w:rPr>
                <w:sz w:val="15"/>
                <w:szCs w:val="15"/>
                <w:color w:val="auto"/>
              </w:rPr>
            </w:pPr>
          </w:p>
        </w:tc>
        <w:tc>
          <w:tcPr>
            <w:tcW w:w="1000" w:type="dxa"/>
            <w:vAlign w:val="bottom"/>
          </w:tcPr>
          <w:p>
            <w:pPr>
              <w:jc w:val="right"/>
              <w:ind w:right="48"/>
              <w:spacing w:after="0"/>
              <w:rPr>
                <w:sz w:val="20"/>
                <w:szCs w:val="20"/>
                <w:color w:val="auto"/>
              </w:rPr>
            </w:pPr>
            <w:r>
              <w:rPr>
                <w:rFonts w:ascii="Arial" w:cs="Arial" w:eastAsia="Arial" w:hAnsi="Arial"/>
                <w:sz w:val="14"/>
                <w:szCs w:val="14"/>
                <w:color w:val="auto"/>
              </w:rPr>
              <w:t>735,865</w:t>
            </w:r>
          </w:p>
        </w:tc>
      </w:tr>
      <w:tr>
        <w:trPr>
          <w:trHeight w:val="203"/>
        </w:trPr>
        <w:tc>
          <w:tcPr>
            <w:tcW w:w="5260" w:type="dxa"/>
            <w:vAlign w:val="bottom"/>
            <w:shd w:val="clear" w:color="auto" w:fill="CCEEFF"/>
          </w:tcPr>
          <w:p>
            <w:pPr>
              <w:ind w:left="120"/>
              <w:spacing w:after="0"/>
              <w:rPr>
                <w:sz w:val="20"/>
                <w:szCs w:val="20"/>
                <w:color w:val="auto"/>
              </w:rPr>
            </w:pPr>
            <w:r>
              <w:rPr>
                <w:rFonts w:ascii="Arial" w:cs="Arial" w:eastAsia="Arial" w:hAnsi="Arial"/>
                <w:sz w:val="14"/>
                <w:szCs w:val="14"/>
                <w:color w:val="auto"/>
              </w:rPr>
              <w:t>Noncontrolling interests</w:t>
            </w:r>
          </w:p>
        </w:tc>
        <w:tc>
          <w:tcPr>
            <w:tcW w:w="360" w:type="dxa"/>
            <w:vAlign w:val="bottom"/>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32,664</w:t>
            </w:r>
          </w:p>
        </w:tc>
        <w:tc>
          <w:tcPr>
            <w:tcW w:w="640" w:type="dxa"/>
            <w:vAlign w:val="bottom"/>
            <w:tcBorders>
              <w:right w:val="single" w:sz="8" w:color="CCEEFF"/>
            </w:tcBorders>
            <w:shd w:val="clear" w:color="auto" w:fill="CCEEFF"/>
          </w:tcPr>
          <w:p>
            <w:pPr>
              <w:spacing w:after="0"/>
              <w:rPr>
                <w:sz w:val="17"/>
                <w:szCs w:val="17"/>
                <w:color w:val="auto"/>
              </w:rPr>
            </w:pPr>
          </w:p>
        </w:tc>
        <w:tc>
          <w:tcPr>
            <w:tcW w:w="1000" w:type="dxa"/>
            <w:vAlign w:val="bottom"/>
            <w:tcBorders>
              <w:bottom w:val="single" w:sz="8" w:color="auto"/>
              <w:right w:val="single" w:sz="8" w:color="CCEEFF"/>
            </w:tcBorders>
            <w:shd w:val="clear" w:color="auto" w:fill="CCEEFF"/>
          </w:tcPr>
          <w:p>
            <w:pPr>
              <w:jc w:val="right"/>
              <w:ind w:right="48"/>
              <w:spacing w:after="0"/>
              <w:rPr>
                <w:sz w:val="20"/>
                <w:szCs w:val="20"/>
                <w:color w:val="auto"/>
              </w:rPr>
            </w:pPr>
            <w:r>
              <w:rPr>
                <w:rFonts w:ascii="Arial" w:cs="Arial" w:eastAsia="Arial" w:hAnsi="Arial"/>
                <w:sz w:val="14"/>
                <w:szCs w:val="14"/>
                <w:color w:val="auto"/>
              </w:rPr>
              <w:t>32,958</w:t>
            </w:r>
          </w:p>
        </w:tc>
      </w:tr>
      <w:tr>
        <w:trPr>
          <w:trHeight w:val="183"/>
        </w:trPr>
        <w:tc>
          <w:tcPr>
            <w:tcW w:w="5260" w:type="dxa"/>
            <w:vAlign w:val="bottom"/>
            <w:tcBorders>
              <w:bottom w:val="single" w:sz="8" w:color="CCEEFF"/>
            </w:tcBorders>
          </w:tcPr>
          <w:p>
            <w:pPr>
              <w:ind w:left="540"/>
              <w:spacing w:after="0"/>
              <w:rPr>
                <w:sz w:val="20"/>
                <w:szCs w:val="20"/>
                <w:color w:val="auto"/>
              </w:rPr>
            </w:pPr>
            <w:r>
              <w:rPr>
                <w:rFonts w:ascii="Arial" w:cs="Arial" w:eastAsia="Arial" w:hAnsi="Arial"/>
                <w:sz w:val="14"/>
                <w:szCs w:val="14"/>
                <w:color w:val="auto"/>
              </w:rPr>
              <w:t>Total shareholders' equity</w:t>
            </w:r>
          </w:p>
        </w:tc>
        <w:tc>
          <w:tcPr>
            <w:tcW w:w="36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847,392</w:t>
            </w:r>
          </w:p>
        </w:tc>
        <w:tc>
          <w:tcPr>
            <w:tcW w:w="640" w:type="dxa"/>
            <w:vAlign w:val="bottom"/>
            <w:tcBorders>
              <w:bottom w:val="single" w:sz="8" w:color="CCEEFF"/>
            </w:tcBorders>
          </w:tcPr>
          <w:p>
            <w:pPr>
              <w:spacing w:after="0"/>
              <w:rPr>
                <w:sz w:val="15"/>
                <w:szCs w:val="15"/>
                <w:color w:val="auto"/>
              </w:rPr>
            </w:pPr>
          </w:p>
        </w:tc>
        <w:tc>
          <w:tcPr>
            <w:tcW w:w="10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768,823</w:t>
            </w:r>
          </w:p>
        </w:tc>
      </w:tr>
      <w:tr>
        <w:trPr>
          <w:trHeight w:val="169"/>
        </w:trPr>
        <w:tc>
          <w:tcPr>
            <w:tcW w:w="5260" w:type="dxa"/>
            <w:vAlign w:val="bottom"/>
            <w:shd w:val="clear" w:color="auto" w:fill="CCEEFF"/>
          </w:tcPr>
          <w:p>
            <w:pPr>
              <w:ind w:left="540"/>
              <w:spacing w:after="0"/>
              <w:rPr>
                <w:sz w:val="20"/>
                <w:szCs w:val="20"/>
                <w:color w:val="auto"/>
              </w:rPr>
            </w:pPr>
            <w:r>
              <w:rPr>
                <w:rFonts w:ascii="Arial" w:cs="Arial" w:eastAsia="Arial" w:hAnsi="Arial"/>
                <w:sz w:val="14"/>
                <w:szCs w:val="14"/>
                <w:color w:val="auto"/>
              </w:rPr>
              <w:t>Total liabilities and shareholders' equity</w:t>
            </w:r>
          </w:p>
        </w:tc>
        <w:tc>
          <w:tcPr>
            <w:tcW w:w="560" w:type="dxa"/>
            <w:vAlign w:val="bottom"/>
            <w:gridSpan w:val="2"/>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1,727,324</w:t>
            </w:r>
          </w:p>
        </w:tc>
        <w:tc>
          <w:tcPr>
            <w:tcW w:w="6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0" w:type="dxa"/>
            <w:vAlign w:val="bottom"/>
            <w:tcBorders>
              <w:right w:val="single" w:sz="8" w:color="CCEEFF"/>
            </w:tcBorders>
            <w:shd w:val="clear" w:color="auto" w:fill="CCEEFF"/>
          </w:tcPr>
          <w:p>
            <w:pPr>
              <w:jc w:val="right"/>
              <w:ind w:right="48"/>
              <w:spacing w:after="0"/>
              <w:rPr>
                <w:sz w:val="20"/>
                <w:szCs w:val="20"/>
                <w:color w:val="auto"/>
              </w:rPr>
            </w:pPr>
            <w:r>
              <w:rPr>
                <w:rFonts w:ascii="Arial" w:cs="Arial" w:eastAsia="Arial" w:hAnsi="Arial"/>
                <w:sz w:val="14"/>
                <w:szCs w:val="14"/>
                <w:color w:val="auto"/>
              </w:rPr>
              <w:t>1,736,171</w:t>
            </w:r>
          </w:p>
        </w:tc>
      </w:tr>
      <w:tr>
        <w:trPr>
          <w:trHeight w:val="27"/>
        </w:trPr>
        <w:tc>
          <w:tcPr>
            <w:tcW w:w="5260" w:type="dxa"/>
            <w:vAlign w:val="bottom"/>
            <w:shd w:val="clear" w:color="auto" w:fill="CCEEFF"/>
          </w:tcPr>
          <w:p>
            <w:pPr>
              <w:spacing w:after="0"/>
              <w:rPr>
                <w:sz w:val="2"/>
                <w:szCs w:val="2"/>
                <w:color w:val="auto"/>
              </w:rPr>
            </w:pPr>
          </w:p>
        </w:tc>
        <w:tc>
          <w:tcPr>
            <w:tcW w:w="360" w:type="dxa"/>
            <w:vAlign w:val="bottom"/>
            <w:shd w:val="clear" w:color="auto" w:fill="CCEEFF"/>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640" w:type="dxa"/>
            <w:vAlign w:val="bottom"/>
            <w:tcBorders>
              <w:right w:val="single" w:sz="8" w:color="auto"/>
            </w:tcBorders>
            <w:shd w:val="clear" w:color="auto" w:fill="CCEEFF"/>
          </w:tcPr>
          <w:p>
            <w:pPr>
              <w:spacing w:after="0"/>
              <w:rPr>
                <w:sz w:val="2"/>
                <w:szCs w:val="2"/>
                <w:color w:val="auto"/>
              </w:rPr>
            </w:pPr>
          </w:p>
        </w:tc>
        <w:tc>
          <w:tcPr>
            <w:tcW w:w="1000" w:type="dxa"/>
            <w:vAlign w:val="bottom"/>
            <w:tcBorders>
              <w:right w:val="single" w:sz="8" w:color="CCEEFF"/>
            </w:tcBorders>
            <w:shd w:val="clear" w:color="auto" w:fill="000000"/>
          </w:tcPr>
          <w:p>
            <w:pPr>
              <w:spacing w:after="0"/>
              <w:rPr>
                <w:sz w:val="2"/>
                <w:szCs w:val="2"/>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consolidated financial statements.</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83185</wp:posOffset>
            </wp:positionV>
            <wp:extent cx="5240020" cy="2603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27">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90" w:name="page91"/>
    <w:bookmarkEnd w:id="90"/>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ACUSHNET HOLDINGS CORP.</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OPERATIONS</w:t>
      </w:r>
    </w:p>
    <w:p>
      <w:pPr>
        <w:spacing w:after="0" w:line="288" w:lineRule="exact"/>
        <w:rPr>
          <w:sz w:val="20"/>
          <w:szCs w:val="20"/>
          <w:color w:val="auto"/>
        </w:rPr>
      </w:pPr>
    </w:p>
    <w:tbl>
      <w:tblPr>
        <w:tblLayout w:type="fixed"/>
        <w:tblInd w:w="380" w:type="dxa"/>
        <w:tblCellMar>
          <w:top w:w="0" w:type="dxa"/>
          <w:left w:w="0" w:type="dxa"/>
          <w:bottom w:w="0" w:type="dxa"/>
          <w:right w:w="0" w:type="dxa"/>
        </w:tblCellMar>
      </w:tblPr>
      <w:tr>
        <w:trPr>
          <w:trHeight w:val="171"/>
        </w:trPr>
        <w:tc>
          <w:tcPr>
            <w:tcW w:w="5200" w:type="dxa"/>
            <w:vAlign w:val="bottom"/>
            <w:gridSpan w:val="2"/>
            <w:vMerge w:val="restart"/>
          </w:tcPr>
          <w:p>
            <w:pPr>
              <w:spacing w:after="0"/>
              <w:rPr>
                <w:sz w:val="20"/>
                <w:szCs w:val="20"/>
                <w:color w:val="auto"/>
              </w:rPr>
            </w:pPr>
            <w:r>
              <w:rPr>
                <w:rFonts w:ascii="Arial" w:cs="Arial" w:eastAsia="Arial" w:hAnsi="Arial"/>
                <w:sz w:val="16"/>
                <w:szCs w:val="16"/>
                <w:b w:val="1"/>
                <w:bCs w:val="1"/>
                <w:i w:val="1"/>
                <w:iCs w:val="1"/>
                <w:color w:val="auto"/>
              </w:rPr>
              <w:t>(in thousands, except share and per share amounts)</w:t>
            </w:r>
          </w:p>
        </w:tc>
        <w:tc>
          <w:tcPr>
            <w:tcW w:w="1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840" w:type="dxa"/>
            <w:vAlign w:val="bottom"/>
            <w:tcBorders>
              <w:bottom w:val="single" w:sz="8" w:color="auto"/>
            </w:tcBorders>
            <w:gridSpan w:val="7"/>
          </w:tcPr>
          <w:p>
            <w:pPr>
              <w:jc w:val="right"/>
              <w:ind w:right="600"/>
              <w:spacing w:after="0"/>
              <w:rPr>
                <w:sz w:val="20"/>
                <w:szCs w:val="20"/>
                <w:color w:val="auto"/>
              </w:rPr>
            </w:pPr>
            <w:r>
              <w:rPr>
                <w:rFonts w:ascii="Arial" w:cs="Arial" w:eastAsia="Arial" w:hAnsi="Arial"/>
                <w:sz w:val="14"/>
                <w:szCs w:val="14"/>
                <w:b w:val="1"/>
                <w:bCs w:val="1"/>
                <w:color w:val="auto"/>
              </w:rPr>
              <w:t>Year ended December 31,</w:t>
            </w:r>
          </w:p>
        </w:tc>
        <w:tc>
          <w:tcPr>
            <w:tcW w:w="0" w:type="dxa"/>
            <w:vAlign w:val="bottom"/>
          </w:tcPr>
          <w:p>
            <w:pPr>
              <w:spacing w:after="0"/>
              <w:rPr>
                <w:sz w:val="1"/>
                <w:szCs w:val="1"/>
                <w:color w:val="auto"/>
              </w:rPr>
            </w:pPr>
          </w:p>
        </w:tc>
      </w:tr>
      <w:tr>
        <w:trPr>
          <w:trHeight w:val="196"/>
        </w:trPr>
        <w:tc>
          <w:tcPr>
            <w:tcW w:w="5200" w:type="dxa"/>
            <w:vAlign w:val="bottom"/>
            <w:gridSpan w:val="2"/>
            <w:vMerge w:val="continue"/>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ind w:right="220"/>
              <w:spacing w:after="0"/>
              <w:rPr>
                <w:sz w:val="20"/>
                <w:szCs w:val="20"/>
                <w:color w:val="auto"/>
              </w:rPr>
            </w:pPr>
            <w:r>
              <w:rPr>
                <w:rFonts w:ascii="Arial" w:cs="Arial" w:eastAsia="Arial" w:hAnsi="Arial"/>
                <w:sz w:val="14"/>
                <w:szCs w:val="14"/>
                <w:b w:val="1"/>
                <w:bCs w:val="1"/>
                <w:color w:val="auto"/>
              </w:rPr>
              <w:t>2017</w:t>
            </w:r>
          </w:p>
        </w:tc>
        <w:tc>
          <w:tcPr>
            <w:tcW w:w="160" w:type="dxa"/>
            <w:vAlign w:val="bottom"/>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ind w:right="220"/>
              <w:spacing w:after="0"/>
              <w:rPr>
                <w:sz w:val="20"/>
                <w:szCs w:val="20"/>
                <w:color w:val="auto"/>
              </w:rPr>
            </w:pPr>
            <w:r>
              <w:rPr>
                <w:rFonts w:ascii="Arial" w:cs="Arial" w:eastAsia="Arial" w:hAnsi="Arial"/>
                <w:sz w:val="14"/>
                <w:szCs w:val="14"/>
                <w:b w:val="1"/>
                <w:bCs w:val="1"/>
                <w:color w:val="auto"/>
              </w:rPr>
              <w:t>2016</w:t>
            </w:r>
          </w:p>
        </w:tc>
        <w:tc>
          <w:tcPr>
            <w:tcW w:w="140" w:type="dxa"/>
            <w:vAlign w:val="bottom"/>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ind w:right="220"/>
              <w:spacing w:after="0"/>
              <w:rPr>
                <w:sz w:val="20"/>
                <w:szCs w:val="20"/>
                <w:color w:val="auto"/>
              </w:rPr>
            </w:pPr>
            <w:r>
              <w:rPr>
                <w:rFonts w:ascii="Arial" w:cs="Arial" w:eastAsia="Arial" w:hAnsi="Arial"/>
                <w:sz w:val="14"/>
                <w:szCs w:val="14"/>
                <w:b w:val="1"/>
                <w:bCs w:val="1"/>
                <w:color w:val="auto"/>
              </w:rPr>
              <w:t>2015</w:t>
            </w:r>
          </w:p>
        </w:tc>
        <w:tc>
          <w:tcPr>
            <w:tcW w:w="0" w:type="dxa"/>
            <w:vAlign w:val="bottom"/>
          </w:tcPr>
          <w:p>
            <w:pPr>
              <w:spacing w:after="0"/>
              <w:rPr>
                <w:sz w:val="1"/>
                <w:szCs w:val="1"/>
                <w:color w:val="auto"/>
              </w:rPr>
            </w:pPr>
          </w:p>
        </w:tc>
      </w:tr>
      <w:tr>
        <w:trPr>
          <w:trHeight w:val="183"/>
        </w:trPr>
        <w:tc>
          <w:tcPr>
            <w:tcW w:w="20" w:type="dxa"/>
            <w:vAlign w:val="bottom"/>
            <w:vMerge w:val="restart"/>
          </w:tcPr>
          <w:p>
            <w:pPr>
              <w:spacing w:after="0"/>
              <w:rPr>
                <w:sz w:val="15"/>
                <w:szCs w:val="15"/>
                <w:color w:val="auto"/>
              </w:rPr>
            </w:pPr>
          </w:p>
        </w:tc>
        <w:tc>
          <w:tcPr>
            <w:tcW w:w="5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5180" w:type="dxa"/>
            <w:vAlign w:val="bottom"/>
            <w:shd w:val="clear" w:color="auto" w:fill="CCEEFF"/>
          </w:tcPr>
          <w:p>
            <w:pPr>
              <w:spacing w:after="0"/>
              <w:rPr>
                <w:sz w:val="20"/>
                <w:szCs w:val="20"/>
                <w:color w:val="auto"/>
              </w:rPr>
            </w:pPr>
            <w:r>
              <w:rPr>
                <w:rFonts w:ascii="Arial" w:cs="Arial" w:eastAsia="Arial" w:hAnsi="Arial"/>
                <w:sz w:val="16"/>
                <w:szCs w:val="16"/>
                <w:color w:val="auto"/>
              </w:rPr>
              <w:t>Net sales</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8"/>
              </w:rPr>
              <w:t>1,560,258</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1,572,275</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1,502,958</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180" w:type="dxa"/>
            <w:vAlign w:val="bottom"/>
            <w:tcBorders>
              <w:bottom w:val="single" w:sz="8" w:color="CCEEFF"/>
            </w:tcBorders>
          </w:tcPr>
          <w:p>
            <w:pPr>
              <w:spacing w:after="0"/>
              <w:rPr>
                <w:sz w:val="20"/>
                <w:szCs w:val="20"/>
                <w:color w:val="auto"/>
              </w:rPr>
            </w:pPr>
            <w:r>
              <w:rPr>
                <w:rFonts w:ascii="Arial" w:cs="Arial" w:eastAsia="Arial" w:hAnsi="Arial"/>
                <w:sz w:val="16"/>
                <w:szCs w:val="16"/>
                <w:color w:val="auto"/>
              </w:rPr>
              <w:t>Cost of goods sold</w:t>
            </w:r>
          </w:p>
        </w:tc>
        <w:tc>
          <w:tcPr>
            <w:tcW w:w="12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759,466</w:t>
            </w:r>
          </w:p>
        </w:tc>
        <w:tc>
          <w:tcPr>
            <w:tcW w:w="160" w:type="dxa"/>
            <w:vAlign w:val="bottom"/>
            <w:tcBorders>
              <w:bottom w:val="single" w:sz="8" w:color="CCEEFF"/>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773,550</w:t>
            </w:r>
          </w:p>
        </w:tc>
        <w:tc>
          <w:tcPr>
            <w:tcW w:w="140" w:type="dxa"/>
            <w:vAlign w:val="bottom"/>
            <w:tcBorders>
              <w:bottom w:val="single" w:sz="8" w:color="CCEEFF"/>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727,120</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5180" w:type="dxa"/>
            <w:vAlign w:val="bottom"/>
            <w:shd w:val="clear" w:color="auto" w:fill="CCEEFF"/>
          </w:tcPr>
          <w:p>
            <w:pPr>
              <w:ind w:left="520"/>
              <w:spacing w:after="0"/>
              <w:rPr>
                <w:sz w:val="20"/>
                <w:szCs w:val="20"/>
                <w:color w:val="auto"/>
              </w:rPr>
            </w:pPr>
            <w:r>
              <w:rPr>
                <w:rFonts w:ascii="Arial" w:cs="Arial" w:eastAsia="Arial" w:hAnsi="Arial"/>
                <w:sz w:val="16"/>
                <w:szCs w:val="16"/>
                <w:color w:val="auto"/>
              </w:rPr>
              <w:t>Gross profit</w:t>
            </w: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800,792</w:t>
            </w: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798,725</w:t>
            </w: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775,838</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180" w:type="dxa"/>
            <w:vAlign w:val="bottom"/>
          </w:tcPr>
          <w:p>
            <w:pPr>
              <w:spacing w:after="0"/>
              <w:rPr>
                <w:sz w:val="20"/>
                <w:szCs w:val="20"/>
                <w:color w:val="auto"/>
              </w:rPr>
            </w:pPr>
            <w:r>
              <w:rPr>
                <w:rFonts w:ascii="Arial" w:cs="Arial" w:eastAsia="Arial" w:hAnsi="Arial"/>
                <w:sz w:val="16"/>
                <w:szCs w:val="16"/>
                <w:color w:val="auto"/>
              </w:rPr>
              <w:t>Operating expenses:</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180" w:type="dxa"/>
            <w:vAlign w:val="bottom"/>
            <w:shd w:val="clear" w:color="auto" w:fill="CCEEFF"/>
          </w:tcPr>
          <w:p>
            <w:pPr>
              <w:ind w:left="200"/>
              <w:spacing w:after="0"/>
              <w:rPr>
                <w:sz w:val="20"/>
                <w:szCs w:val="20"/>
                <w:color w:val="auto"/>
              </w:rPr>
            </w:pPr>
            <w:r>
              <w:rPr>
                <w:rFonts w:ascii="Arial" w:cs="Arial" w:eastAsia="Arial" w:hAnsi="Arial"/>
                <w:sz w:val="16"/>
                <w:szCs w:val="16"/>
                <w:color w:val="auto"/>
              </w:rPr>
              <w:t>Selling, general and administrative</w:t>
            </w: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579,837</w:t>
            </w: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600,804</w:t>
            </w: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604,018</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180" w:type="dxa"/>
            <w:vAlign w:val="bottom"/>
          </w:tcPr>
          <w:p>
            <w:pPr>
              <w:ind w:left="200"/>
              <w:spacing w:after="0"/>
              <w:rPr>
                <w:sz w:val="20"/>
                <w:szCs w:val="20"/>
                <w:color w:val="auto"/>
              </w:rPr>
            </w:pPr>
            <w:r>
              <w:rPr>
                <w:rFonts w:ascii="Arial" w:cs="Arial" w:eastAsia="Arial" w:hAnsi="Arial"/>
                <w:sz w:val="16"/>
                <w:szCs w:val="16"/>
                <w:color w:val="auto"/>
              </w:rPr>
              <w:t>Research and development</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48,148</w:t>
            </w: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48,804</w:t>
            </w: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45,977</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180" w:type="dxa"/>
            <w:vAlign w:val="bottom"/>
            <w:shd w:val="clear" w:color="auto" w:fill="CCEEFF"/>
          </w:tcPr>
          <w:p>
            <w:pPr>
              <w:ind w:left="200"/>
              <w:spacing w:after="0"/>
              <w:rPr>
                <w:sz w:val="20"/>
                <w:szCs w:val="20"/>
                <w:color w:val="auto"/>
              </w:rPr>
            </w:pPr>
            <w:r>
              <w:rPr>
                <w:rFonts w:ascii="Arial" w:cs="Arial" w:eastAsia="Arial" w:hAnsi="Arial"/>
                <w:sz w:val="16"/>
                <w:szCs w:val="16"/>
                <w:color w:val="auto"/>
              </w:rPr>
              <w:t>Intangible amortization</w:t>
            </w: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6,499</w:t>
            </w: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6,608</w:t>
            </w: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6,617</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180" w:type="dxa"/>
            <w:vAlign w:val="bottom"/>
            <w:tcBorders>
              <w:bottom w:val="single" w:sz="8" w:color="CCEEFF"/>
            </w:tcBorders>
          </w:tcPr>
          <w:p>
            <w:pPr>
              <w:ind w:left="200"/>
              <w:spacing w:after="0"/>
              <w:rPr>
                <w:sz w:val="20"/>
                <w:szCs w:val="20"/>
                <w:color w:val="auto"/>
              </w:rPr>
            </w:pPr>
            <w:r>
              <w:rPr>
                <w:rFonts w:ascii="Arial" w:cs="Arial" w:eastAsia="Arial" w:hAnsi="Arial"/>
                <w:sz w:val="16"/>
                <w:szCs w:val="16"/>
                <w:color w:val="auto"/>
              </w:rPr>
              <w:t>Restructuring charges</w:t>
            </w:r>
          </w:p>
        </w:tc>
        <w:tc>
          <w:tcPr>
            <w:tcW w:w="12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60" w:type="dxa"/>
            <w:vAlign w:val="bottom"/>
            <w:tcBorders>
              <w:bottom w:val="single" w:sz="8" w:color="CCEEFF"/>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1,673</w:t>
            </w:r>
          </w:p>
        </w:tc>
        <w:tc>
          <w:tcPr>
            <w:tcW w:w="140" w:type="dxa"/>
            <w:vAlign w:val="bottom"/>
            <w:tcBorders>
              <w:bottom w:val="single" w:sz="8" w:color="CCEEFF"/>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1,643</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5180" w:type="dxa"/>
            <w:vAlign w:val="bottom"/>
            <w:shd w:val="clear" w:color="auto" w:fill="CCEEFF"/>
          </w:tcPr>
          <w:p>
            <w:pPr>
              <w:ind w:left="520"/>
              <w:spacing w:after="0"/>
              <w:rPr>
                <w:sz w:val="20"/>
                <w:szCs w:val="20"/>
                <w:color w:val="auto"/>
              </w:rPr>
            </w:pPr>
            <w:r>
              <w:rPr>
                <w:rFonts w:ascii="Arial" w:cs="Arial" w:eastAsia="Arial" w:hAnsi="Arial"/>
                <w:sz w:val="16"/>
                <w:szCs w:val="16"/>
                <w:color w:val="auto"/>
              </w:rPr>
              <w:t>Income from operations</w:t>
            </w: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166,308</w:t>
            </w: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140,836</w:t>
            </w: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117,583</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180" w:type="dxa"/>
            <w:vAlign w:val="bottom"/>
          </w:tcPr>
          <w:p>
            <w:pPr>
              <w:spacing w:after="0"/>
              <w:rPr>
                <w:sz w:val="20"/>
                <w:szCs w:val="20"/>
                <w:color w:val="auto"/>
              </w:rPr>
            </w:pPr>
            <w:r>
              <w:rPr>
                <w:rFonts w:ascii="Arial" w:cs="Arial" w:eastAsia="Arial" w:hAnsi="Arial"/>
                <w:sz w:val="16"/>
                <w:szCs w:val="16"/>
                <w:color w:val="auto"/>
              </w:rPr>
              <w:t>Interest expense, net (Note 14)</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15,709</w:t>
            </w: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49,908</w:t>
            </w: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60,294</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180" w:type="dxa"/>
            <w:vAlign w:val="bottom"/>
            <w:shd w:val="clear" w:color="auto" w:fill="CCEEFF"/>
          </w:tcPr>
          <w:p>
            <w:pPr>
              <w:spacing w:after="0"/>
              <w:rPr>
                <w:sz w:val="20"/>
                <w:szCs w:val="20"/>
                <w:color w:val="auto"/>
              </w:rPr>
            </w:pPr>
            <w:r>
              <w:rPr>
                <w:rFonts w:ascii="Arial" w:cs="Arial" w:eastAsia="Arial" w:hAnsi="Arial"/>
                <w:sz w:val="16"/>
                <w:szCs w:val="16"/>
                <w:color w:val="auto"/>
              </w:rPr>
              <w:t>Other (income) expense, net</w:t>
            </w:r>
          </w:p>
        </w:tc>
        <w:tc>
          <w:tcPr>
            <w:tcW w:w="120" w:type="dxa"/>
            <w:vAlign w:val="bottom"/>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(1,077)</w:t>
            </w:r>
          </w:p>
        </w:tc>
        <w:tc>
          <w:tcPr>
            <w:tcW w:w="160" w:type="dxa"/>
            <w:vAlign w:val="bottom"/>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spacing w:after="0"/>
              <w:rPr>
                <w:sz w:val="17"/>
                <w:szCs w:val="17"/>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1,706</w:t>
            </w:r>
          </w:p>
        </w:tc>
        <w:tc>
          <w:tcPr>
            <w:tcW w:w="140" w:type="dxa"/>
            <w:vAlign w:val="bottom"/>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spacing w:after="0"/>
              <w:rPr>
                <w:sz w:val="17"/>
                <w:szCs w:val="17"/>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25,139</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5180" w:type="dxa"/>
            <w:vAlign w:val="bottom"/>
          </w:tcPr>
          <w:p>
            <w:pPr>
              <w:ind w:left="520"/>
              <w:spacing w:after="0"/>
              <w:rPr>
                <w:sz w:val="20"/>
                <w:szCs w:val="20"/>
                <w:color w:val="auto"/>
              </w:rPr>
            </w:pPr>
            <w:r>
              <w:rPr>
                <w:rFonts w:ascii="Arial" w:cs="Arial" w:eastAsia="Arial" w:hAnsi="Arial"/>
                <w:sz w:val="16"/>
                <w:szCs w:val="16"/>
                <w:color w:val="auto"/>
              </w:rPr>
              <w:t>Income before income taxes</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151,676</w:t>
            </w: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89,222</w:t>
            </w: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32,150</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180" w:type="dxa"/>
            <w:vAlign w:val="bottom"/>
            <w:shd w:val="clear" w:color="auto" w:fill="CCEEFF"/>
          </w:tcPr>
          <w:p>
            <w:pPr>
              <w:spacing w:after="0"/>
              <w:rPr>
                <w:sz w:val="20"/>
                <w:szCs w:val="20"/>
                <w:color w:val="auto"/>
              </w:rPr>
            </w:pPr>
            <w:r>
              <w:rPr>
                <w:rFonts w:ascii="Arial" w:cs="Arial" w:eastAsia="Arial" w:hAnsi="Arial"/>
                <w:sz w:val="16"/>
                <w:szCs w:val="16"/>
                <w:color w:val="auto"/>
              </w:rPr>
              <w:t>Income tax expense</w:t>
            </w:r>
          </w:p>
        </w:tc>
        <w:tc>
          <w:tcPr>
            <w:tcW w:w="120" w:type="dxa"/>
            <w:vAlign w:val="bottom"/>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55,056</w:t>
            </w:r>
          </w:p>
        </w:tc>
        <w:tc>
          <w:tcPr>
            <w:tcW w:w="160" w:type="dxa"/>
            <w:vAlign w:val="bottom"/>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spacing w:after="0"/>
              <w:rPr>
                <w:sz w:val="17"/>
                <w:szCs w:val="17"/>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39,707</w:t>
            </w:r>
          </w:p>
        </w:tc>
        <w:tc>
          <w:tcPr>
            <w:tcW w:w="140" w:type="dxa"/>
            <w:vAlign w:val="bottom"/>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spacing w:after="0"/>
              <w:rPr>
                <w:sz w:val="17"/>
                <w:szCs w:val="17"/>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27,994</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5180" w:type="dxa"/>
            <w:vAlign w:val="bottom"/>
          </w:tcPr>
          <w:p>
            <w:pPr>
              <w:ind w:left="520"/>
              <w:spacing w:after="0"/>
              <w:rPr>
                <w:sz w:val="20"/>
                <w:szCs w:val="20"/>
                <w:color w:val="auto"/>
              </w:rPr>
            </w:pPr>
            <w:r>
              <w:rPr>
                <w:rFonts w:ascii="Arial" w:cs="Arial" w:eastAsia="Arial" w:hAnsi="Arial"/>
                <w:sz w:val="16"/>
                <w:szCs w:val="16"/>
                <w:color w:val="auto"/>
              </w:rPr>
              <w:t>Net income</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96,620</w:t>
            </w: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49,515</w:t>
            </w: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4,156</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180" w:type="dxa"/>
            <w:vAlign w:val="bottom"/>
            <w:shd w:val="clear" w:color="auto" w:fill="CCEEFF"/>
          </w:tcPr>
          <w:p>
            <w:pPr>
              <w:spacing w:after="0"/>
              <w:rPr>
                <w:sz w:val="20"/>
                <w:szCs w:val="20"/>
                <w:color w:val="auto"/>
              </w:rPr>
            </w:pPr>
            <w:r>
              <w:rPr>
                <w:rFonts w:ascii="Arial" w:cs="Arial" w:eastAsia="Arial" w:hAnsi="Arial"/>
                <w:sz w:val="16"/>
                <w:szCs w:val="16"/>
                <w:color w:val="auto"/>
              </w:rPr>
              <w:t>Less: Net income attributable to noncontrolling interests</w:t>
            </w:r>
          </w:p>
        </w:tc>
        <w:tc>
          <w:tcPr>
            <w:tcW w:w="120" w:type="dxa"/>
            <w:vAlign w:val="bottom"/>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(4,506)</w:t>
            </w:r>
          </w:p>
        </w:tc>
        <w:tc>
          <w:tcPr>
            <w:tcW w:w="160" w:type="dxa"/>
            <w:vAlign w:val="bottom"/>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spacing w:after="0"/>
              <w:rPr>
                <w:sz w:val="17"/>
                <w:szCs w:val="17"/>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(4,503)</w:t>
            </w:r>
          </w:p>
        </w:tc>
        <w:tc>
          <w:tcPr>
            <w:tcW w:w="140" w:type="dxa"/>
            <w:vAlign w:val="bottom"/>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spacing w:after="0"/>
              <w:rPr>
                <w:sz w:val="17"/>
                <w:szCs w:val="17"/>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(5,122)</w:t>
            </w:r>
          </w:p>
        </w:tc>
        <w:tc>
          <w:tcPr>
            <w:tcW w:w="0" w:type="dxa"/>
            <w:vAlign w:val="bottom"/>
          </w:tcPr>
          <w:p>
            <w:pPr>
              <w:spacing w:after="0"/>
              <w:rPr>
                <w:sz w:val="1"/>
                <w:szCs w:val="1"/>
                <w:color w:val="auto"/>
              </w:rPr>
            </w:pPr>
          </w:p>
        </w:tc>
      </w:tr>
      <w:tr>
        <w:trPr>
          <w:trHeight w:val="196"/>
        </w:trPr>
        <w:tc>
          <w:tcPr>
            <w:tcW w:w="5200" w:type="dxa"/>
            <w:vAlign w:val="bottom"/>
            <w:gridSpan w:val="2"/>
          </w:tcPr>
          <w:p>
            <w:pPr>
              <w:spacing w:after="0"/>
              <w:rPr>
                <w:sz w:val="20"/>
                <w:szCs w:val="20"/>
                <w:color w:val="auto"/>
              </w:rPr>
            </w:pPr>
            <w:r>
              <w:rPr>
                <w:rFonts w:ascii="Arial" w:cs="Arial" w:eastAsia="Arial" w:hAnsi="Arial"/>
                <w:sz w:val="16"/>
                <w:szCs w:val="16"/>
                <w:color w:val="auto"/>
              </w:rPr>
              <w:t>Net income (loss) attributable to Acushnet Holdings Corp.</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92,114</w:t>
            </w: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45,012</w:t>
            </w: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(966)</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180" w:type="dxa"/>
            <w:vAlign w:val="bottom"/>
            <w:shd w:val="clear" w:color="auto" w:fill="CCEEFF"/>
          </w:tcPr>
          <w:p>
            <w:pPr>
              <w:spacing w:after="0"/>
              <w:rPr>
                <w:sz w:val="20"/>
                <w:szCs w:val="20"/>
                <w:color w:val="auto"/>
              </w:rPr>
            </w:pPr>
            <w:r>
              <w:rPr>
                <w:rFonts w:ascii="Arial" w:cs="Arial" w:eastAsia="Arial" w:hAnsi="Arial"/>
                <w:sz w:val="16"/>
                <w:szCs w:val="16"/>
                <w:color w:val="auto"/>
              </w:rPr>
              <w:t>Dividends earned by preferred shareholders</w:t>
            </w: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(11,576)</w:t>
            </w: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(13,785)</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180" w:type="dxa"/>
            <w:vAlign w:val="bottom"/>
            <w:tcBorders>
              <w:bottom w:val="single" w:sz="8" w:color="CCEEFF"/>
            </w:tcBorders>
          </w:tcPr>
          <w:p>
            <w:pPr>
              <w:spacing w:after="0"/>
              <w:rPr>
                <w:sz w:val="20"/>
                <w:szCs w:val="20"/>
                <w:color w:val="auto"/>
              </w:rPr>
            </w:pPr>
            <w:r>
              <w:rPr>
                <w:rFonts w:ascii="Arial" w:cs="Arial" w:eastAsia="Arial" w:hAnsi="Arial"/>
                <w:sz w:val="16"/>
                <w:szCs w:val="16"/>
                <w:color w:val="auto"/>
              </w:rPr>
              <w:t>Allocation of undistributed earnings to preferred shareholders</w:t>
            </w:r>
          </w:p>
        </w:tc>
        <w:tc>
          <w:tcPr>
            <w:tcW w:w="12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(10,247)</w:t>
            </w:r>
          </w:p>
        </w:tc>
        <w:tc>
          <w:tcPr>
            <w:tcW w:w="140" w:type="dxa"/>
            <w:vAlign w:val="bottom"/>
            <w:tcBorders>
              <w:bottom w:val="single" w:sz="8" w:color="CCEEFF"/>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5180" w:type="dxa"/>
            <w:vAlign w:val="bottom"/>
            <w:shd w:val="clear" w:color="auto" w:fill="CCEEFF"/>
          </w:tcPr>
          <w:p>
            <w:pPr>
              <w:spacing w:after="0"/>
              <w:rPr>
                <w:sz w:val="20"/>
                <w:szCs w:val="20"/>
                <w:color w:val="auto"/>
              </w:rPr>
            </w:pPr>
            <w:r>
              <w:rPr>
                <w:rFonts w:ascii="Arial" w:cs="Arial" w:eastAsia="Arial" w:hAnsi="Arial"/>
                <w:sz w:val="16"/>
                <w:szCs w:val="16"/>
                <w:color w:val="auto"/>
              </w:rPr>
              <w:t>Net income (loss) attributable to common shareholders - basic</w:t>
            </w: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92,114</w:t>
            </w: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23,189</w:t>
            </w: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(14,751)</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180" w:type="dxa"/>
            <w:vAlign w:val="bottom"/>
            <w:tcBorders>
              <w:bottom w:val="single" w:sz="8" w:color="CCEEFF"/>
            </w:tcBorders>
          </w:tcPr>
          <w:p>
            <w:pPr>
              <w:spacing w:after="0"/>
              <w:rPr>
                <w:sz w:val="20"/>
                <w:szCs w:val="20"/>
                <w:color w:val="auto"/>
              </w:rPr>
            </w:pPr>
            <w:r>
              <w:rPr>
                <w:rFonts w:ascii="Arial" w:cs="Arial" w:eastAsia="Arial" w:hAnsi="Arial"/>
                <w:sz w:val="16"/>
                <w:szCs w:val="16"/>
                <w:color w:val="auto"/>
              </w:rPr>
              <w:t>Adjustments to net income for dilutive securities</w:t>
            </w:r>
          </w:p>
        </w:tc>
        <w:tc>
          <w:tcPr>
            <w:tcW w:w="12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16,475</w:t>
            </w:r>
          </w:p>
        </w:tc>
        <w:tc>
          <w:tcPr>
            <w:tcW w:w="140" w:type="dxa"/>
            <w:vAlign w:val="bottom"/>
            <w:tcBorders>
              <w:bottom w:val="single" w:sz="8" w:color="CCEEFF"/>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1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6"/>
                <w:szCs w:val="16"/>
                <w:color w:val="auto"/>
              </w:rPr>
              <w:t>Net income (loss) attributable to common shareholders - diluted</w:t>
            </w:r>
          </w:p>
        </w:tc>
        <w:tc>
          <w:tcPr>
            <w:tcW w:w="12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92,114</w:t>
            </w:r>
          </w:p>
        </w:tc>
        <w:tc>
          <w:tcPr>
            <w:tcW w:w="160" w:type="dxa"/>
            <w:vAlign w:val="bottom"/>
            <w:tcBorders>
              <w:bottom w:val="single" w:sz="8" w:color="CCEEFF"/>
            </w:tcBorders>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39,664</w:t>
            </w:r>
          </w:p>
        </w:tc>
        <w:tc>
          <w:tcPr>
            <w:tcW w:w="140" w:type="dxa"/>
            <w:vAlign w:val="bottom"/>
            <w:tcBorders>
              <w:bottom w:val="single" w:sz="8" w:color="CCEEFF"/>
            </w:tcBorders>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(14,751)</w:t>
            </w:r>
          </w:p>
        </w:tc>
        <w:tc>
          <w:tcPr>
            <w:tcW w:w="0" w:type="dxa"/>
            <w:vAlign w:val="bottom"/>
          </w:tcPr>
          <w:p>
            <w:pPr>
              <w:spacing w:after="0"/>
              <w:rPr>
                <w:sz w:val="1"/>
                <w:szCs w:val="1"/>
                <w:color w:val="auto"/>
              </w:rPr>
            </w:pPr>
          </w:p>
        </w:tc>
      </w:tr>
      <w:tr>
        <w:trPr>
          <w:trHeight w:val="189"/>
        </w:trPr>
        <w:tc>
          <w:tcPr>
            <w:tcW w:w="20" w:type="dxa"/>
            <w:vAlign w:val="bottom"/>
            <w:vMerge w:val="restart"/>
          </w:tcPr>
          <w:p>
            <w:pPr>
              <w:spacing w:after="0"/>
              <w:rPr>
                <w:sz w:val="16"/>
                <w:szCs w:val="16"/>
                <w:color w:val="auto"/>
              </w:rPr>
            </w:pPr>
          </w:p>
        </w:tc>
        <w:tc>
          <w:tcPr>
            <w:tcW w:w="51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5180" w:type="dxa"/>
            <w:vAlign w:val="bottom"/>
            <w:shd w:val="clear" w:color="auto" w:fill="CCEEFF"/>
          </w:tcPr>
          <w:p>
            <w:pPr>
              <w:spacing w:after="0"/>
              <w:rPr>
                <w:sz w:val="20"/>
                <w:szCs w:val="20"/>
                <w:color w:val="auto"/>
              </w:rPr>
            </w:pPr>
            <w:r>
              <w:rPr>
                <w:rFonts w:ascii="Arial" w:cs="Arial" w:eastAsia="Arial" w:hAnsi="Arial"/>
                <w:sz w:val="16"/>
                <w:szCs w:val="16"/>
                <w:color w:val="auto"/>
                <w:w w:val="93"/>
              </w:rPr>
              <w:t>Net income (loss) per common share attributable to Acushnet Holdings Corp.:</w:t>
            </w: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180" w:type="dxa"/>
            <w:vAlign w:val="bottom"/>
          </w:tcPr>
          <w:p>
            <w:pPr>
              <w:ind w:left="520"/>
              <w:spacing w:after="0"/>
              <w:rPr>
                <w:sz w:val="20"/>
                <w:szCs w:val="20"/>
                <w:color w:val="auto"/>
              </w:rPr>
            </w:pPr>
            <w:r>
              <w:rPr>
                <w:rFonts w:ascii="Arial" w:cs="Arial" w:eastAsia="Arial" w:hAnsi="Arial"/>
                <w:sz w:val="16"/>
                <w:szCs w:val="16"/>
                <w:color w:val="auto"/>
              </w:rPr>
              <w:t>Basic</w:t>
            </w:r>
          </w:p>
        </w:tc>
        <w:tc>
          <w:tcPr>
            <w:tcW w:w="22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780" w:type="dxa"/>
            <w:vAlign w:val="bottom"/>
          </w:tcPr>
          <w:p>
            <w:pPr>
              <w:jc w:val="right"/>
              <w:spacing w:after="0"/>
              <w:rPr>
                <w:sz w:val="20"/>
                <w:szCs w:val="20"/>
                <w:color w:val="auto"/>
              </w:rPr>
            </w:pPr>
            <w:r>
              <w:rPr>
                <w:rFonts w:ascii="Arial" w:cs="Arial" w:eastAsia="Arial" w:hAnsi="Arial"/>
                <w:sz w:val="16"/>
                <w:szCs w:val="16"/>
                <w:color w:val="auto"/>
              </w:rPr>
              <w:t>1.24</w:t>
            </w:r>
          </w:p>
        </w:tc>
        <w:tc>
          <w:tcPr>
            <w:tcW w:w="24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800" w:type="dxa"/>
            <w:vAlign w:val="bottom"/>
          </w:tcPr>
          <w:p>
            <w:pPr>
              <w:jc w:val="right"/>
              <w:spacing w:after="0"/>
              <w:rPr>
                <w:sz w:val="20"/>
                <w:szCs w:val="20"/>
                <w:color w:val="auto"/>
              </w:rPr>
            </w:pPr>
            <w:r>
              <w:rPr>
                <w:rFonts w:ascii="Arial" w:cs="Arial" w:eastAsia="Arial" w:hAnsi="Arial"/>
                <w:sz w:val="16"/>
                <w:szCs w:val="16"/>
                <w:color w:val="auto"/>
              </w:rPr>
              <w:t>0.74</w:t>
            </w: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 (0.74)</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180" w:type="dxa"/>
            <w:vAlign w:val="bottom"/>
            <w:shd w:val="clear" w:color="auto" w:fill="CCEEFF"/>
          </w:tcPr>
          <w:p>
            <w:pPr>
              <w:ind w:left="520"/>
              <w:spacing w:after="0"/>
              <w:rPr>
                <w:sz w:val="20"/>
                <w:szCs w:val="20"/>
                <w:color w:val="auto"/>
              </w:rPr>
            </w:pPr>
            <w:r>
              <w:rPr>
                <w:rFonts w:ascii="Arial" w:cs="Arial" w:eastAsia="Arial" w:hAnsi="Arial"/>
                <w:sz w:val="16"/>
                <w:szCs w:val="16"/>
                <w:color w:val="auto"/>
              </w:rPr>
              <w:t>Diluted</w:t>
            </w: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1.23</w:t>
            </w: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0.62</w:t>
            </w: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 (0.74)</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180" w:type="dxa"/>
            <w:vAlign w:val="bottom"/>
          </w:tcPr>
          <w:p>
            <w:pPr>
              <w:spacing w:after="0"/>
              <w:rPr>
                <w:sz w:val="20"/>
                <w:szCs w:val="20"/>
                <w:color w:val="auto"/>
              </w:rPr>
            </w:pPr>
            <w:r>
              <w:rPr>
                <w:rFonts w:ascii="Arial" w:cs="Arial" w:eastAsia="Arial" w:hAnsi="Arial"/>
                <w:sz w:val="16"/>
                <w:szCs w:val="16"/>
                <w:color w:val="auto"/>
              </w:rPr>
              <w:t>Cash dividends declared per common share:</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0.48</w:t>
            </w: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180" w:type="dxa"/>
            <w:vAlign w:val="bottom"/>
            <w:shd w:val="clear" w:color="auto" w:fill="CCEEFF"/>
          </w:tcPr>
          <w:p>
            <w:pPr>
              <w:spacing w:after="0"/>
              <w:rPr>
                <w:sz w:val="20"/>
                <w:szCs w:val="20"/>
                <w:color w:val="auto"/>
              </w:rPr>
            </w:pPr>
            <w:r>
              <w:rPr>
                <w:rFonts w:ascii="Arial" w:cs="Arial" w:eastAsia="Arial" w:hAnsi="Arial"/>
                <w:sz w:val="16"/>
                <w:szCs w:val="16"/>
                <w:color w:val="auto"/>
              </w:rPr>
              <w:t>Weighted average number of common shares:</w:t>
            </w: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180" w:type="dxa"/>
            <w:vAlign w:val="bottom"/>
          </w:tcPr>
          <w:p>
            <w:pPr>
              <w:ind w:left="520"/>
              <w:spacing w:after="0"/>
              <w:rPr>
                <w:sz w:val="20"/>
                <w:szCs w:val="20"/>
                <w:color w:val="auto"/>
              </w:rPr>
            </w:pPr>
            <w:r>
              <w:rPr>
                <w:rFonts w:ascii="Arial" w:cs="Arial" w:eastAsia="Arial" w:hAnsi="Arial"/>
                <w:sz w:val="16"/>
                <w:szCs w:val="16"/>
                <w:color w:val="auto"/>
              </w:rPr>
              <w:t>Basic</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w w:val="87"/>
              </w:rPr>
              <w:t>74,399,836</w:t>
            </w: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w w:val="89"/>
              </w:rPr>
              <w:t>31,247,643</w:t>
            </w: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w w:val="89"/>
              </w:rPr>
              <w:t>19,939,293</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180" w:type="dxa"/>
            <w:vAlign w:val="bottom"/>
            <w:shd w:val="clear" w:color="auto" w:fill="CCEEFF"/>
          </w:tcPr>
          <w:p>
            <w:pPr>
              <w:ind w:left="520"/>
              <w:spacing w:after="0"/>
              <w:rPr>
                <w:sz w:val="20"/>
                <w:szCs w:val="20"/>
                <w:color w:val="auto"/>
              </w:rPr>
            </w:pPr>
            <w:r>
              <w:rPr>
                <w:rFonts w:ascii="Arial" w:cs="Arial" w:eastAsia="Arial" w:hAnsi="Arial"/>
                <w:sz w:val="16"/>
                <w:szCs w:val="16"/>
                <w:color w:val="auto"/>
              </w:rPr>
              <w:t>Diluted</w:t>
            </w: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7"/>
              </w:rPr>
              <w:t>74,590,999</w:t>
            </w: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64,323,742</w:t>
            </w: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19,939,293</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consolidated financial statements.</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83185</wp:posOffset>
            </wp:positionV>
            <wp:extent cx="5240020" cy="2603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28">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91" w:name="page92"/>
    <w:bookmarkEnd w:id="91"/>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ACUSHNET HOLDINGS CORP.</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COMPREHENSIVE INCOME (LOSS)</w:t>
      </w:r>
    </w:p>
    <w:p>
      <w:pPr>
        <w:spacing w:after="0" w:line="288" w:lineRule="exact"/>
        <w:rPr>
          <w:sz w:val="20"/>
          <w:szCs w:val="20"/>
          <w:color w:val="auto"/>
        </w:rPr>
      </w:pPr>
    </w:p>
    <w:tbl>
      <w:tblPr>
        <w:tblLayout w:type="fixed"/>
        <w:tblInd w:w="380" w:type="dxa"/>
        <w:tblCellMar>
          <w:top w:w="0" w:type="dxa"/>
          <w:left w:w="0" w:type="dxa"/>
          <w:bottom w:w="0" w:type="dxa"/>
          <w:right w:w="0" w:type="dxa"/>
        </w:tblCellMar>
      </w:tblPr>
      <w:tr>
        <w:trPr>
          <w:trHeight w:val="171"/>
        </w:trPr>
        <w:tc>
          <w:tcPr>
            <w:tcW w:w="4640" w:type="dxa"/>
            <w:vAlign w:val="bottom"/>
            <w:gridSpan w:val="2"/>
            <w:vMerge w:val="restart"/>
          </w:tcPr>
          <w:p>
            <w:pPr>
              <w:spacing w:after="0"/>
              <w:rPr>
                <w:sz w:val="20"/>
                <w:szCs w:val="20"/>
                <w:color w:val="auto"/>
              </w:rPr>
            </w:pPr>
            <w:r>
              <w:rPr>
                <w:rFonts w:ascii="Arial" w:cs="Arial" w:eastAsia="Arial" w:hAnsi="Arial"/>
                <w:sz w:val="16"/>
                <w:szCs w:val="16"/>
                <w:b w:val="1"/>
                <w:bCs w:val="1"/>
                <w:i w:val="1"/>
                <w:iCs w:val="1"/>
                <w:color w:val="auto"/>
              </w:rPr>
              <w:t>(in thousands)</w:t>
            </w:r>
          </w:p>
        </w:tc>
        <w:tc>
          <w:tcPr>
            <w:tcW w:w="320" w:type="dxa"/>
            <w:vAlign w:val="bottom"/>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2160" w:type="dxa"/>
            <w:vAlign w:val="bottom"/>
            <w:tcBorders>
              <w:bottom w:val="single" w:sz="8" w:color="auto"/>
            </w:tcBorders>
            <w:gridSpan w:val="5"/>
          </w:tcPr>
          <w:p>
            <w:pPr>
              <w:ind w:left="520"/>
              <w:spacing w:after="0"/>
              <w:rPr>
                <w:sz w:val="20"/>
                <w:szCs w:val="20"/>
                <w:color w:val="auto"/>
              </w:rPr>
            </w:pPr>
            <w:r>
              <w:rPr>
                <w:rFonts w:ascii="Arial" w:cs="Arial" w:eastAsia="Arial" w:hAnsi="Arial"/>
                <w:sz w:val="14"/>
                <w:szCs w:val="14"/>
                <w:b w:val="1"/>
                <w:bCs w:val="1"/>
                <w:color w:val="auto"/>
                <w:w w:val="93"/>
              </w:rPr>
              <w:t>Year ended December 31,</w:t>
            </w:r>
          </w:p>
        </w:tc>
        <w:tc>
          <w:tcPr>
            <w:tcW w:w="16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4640" w:type="dxa"/>
            <w:vAlign w:val="bottom"/>
            <w:gridSpan w:val="2"/>
            <w:vMerge w:val="continue"/>
          </w:tcPr>
          <w:p>
            <w:pPr>
              <w:spacing w:after="0"/>
              <w:rPr>
                <w:sz w:val="17"/>
                <w:szCs w:val="17"/>
                <w:color w:val="auto"/>
              </w:rPr>
            </w:pPr>
          </w:p>
        </w:tc>
        <w:tc>
          <w:tcPr>
            <w:tcW w:w="32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right"/>
              <w:ind w:right="440"/>
              <w:spacing w:after="0"/>
              <w:rPr>
                <w:sz w:val="20"/>
                <w:szCs w:val="20"/>
                <w:color w:val="auto"/>
              </w:rPr>
            </w:pPr>
            <w:r>
              <w:rPr>
                <w:rFonts w:ascii="Arial" w:cs="Arial" w:eastAsia="Arial" w:hAnsi="Arial"/>
                <w:sz w:val="14"/>
                <w:szCs w:val="14"/>
                <w:b w:val="1"/>
                <w:bCs w:val="1"/>
                <w:color w:val="auto"/>
              </w:rPr>
              <w:t>2017</w:t>
            </w:r>
          </w:p>
        </w:tc>
        <w:tc>
          <w:tcPr>
            <w:tcW w:w="160" w:type="dxa"/>
            <w:vAlign w:val="bottom"/>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jc w:val="right"/>
              <w:ind w:right="200"/>
              <w:spacing w:after="0"/>
              <w:rPr>
                <w:sz w:val="20"/>
                <w:szCs w:val="20"/>
                <w:color w:val="auto"/>
              </w:rPr>
            </w:pPr>
            <w:r>
              <w:rPr>
                <w:rFonts w:ascii="Arial" w:cs="Arial" w:eastAsia="Arial" w:hAnsi="Arial"/>
                <w:sz w:val="14"/>
                <w:szCs w:val="14"/>
                <w:b w:val="1"/>
                <w:bCs w:val="1"/>
                <w:color w:val="auto"/>
              </w:rPr>
              <w:t>2016</w:t>
            </w:r>
          </w:p>
        </w:tc>
        <w:tc>
          <w:tcPr>
            <w:tcW w:w="160" w:type="dxa"/>
            <w:vAlign w:val="bottom"/>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640" w:type="dxa"/>
            <w:vAlign w:val="bottom"/>
            <w:tcBorders>
              <w:bottom w:val="single" w:sz="8" w:color="auto"/>
            </w:tcBorders>
          </w:tcPr>
          <w:p>
            <w:pPr>
              <w:jc w:val="right"/>
              <w:ind w:right="180"/>
              <w:spacing w:after="0"/>
              <w:rPr>
                <w:sz w:val="20"/>
                <w:szCs w:val="20"/>
                <w:color w:val="auto"/>
              </w:rPr>
            </w:pPr>
            <w:r>
              <w:rPr>
                <w:rFonts w:ascii="Arial" w:cs="Arial" w:eastAsia="Arial" w:hAnsi="Arial"/>
                <w:sz w:val="14"/>
                <w:szCs w:val="14"/>
                <w:b w:val="1"/>
                <w:bCs w:val="1"/>
                <w:color w:val="auto"/>
              </w:rPr>
              <w:t>2015</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83"/>
        </w:trPr>
        <w:tc>
          <w:tcPr>
            <w:tcW w:w="20" w:type="dxa"/>
            <w:vAlign w:val="bottom"/>
            <w:vMerge w:val="restart"/>
          </w:tcPr>
          <w:p>
            <w:pPr>
              <w:spacing w:after="0"/>
              <w:rPr>
                <w:sz w:val="15"/>
                <w:szCs w:val="15"/>
                <w:color w:val="auto"/>
              </w:rPr>
            </w:pPr>
          </w:p>
        </w:tc>
        <w:tc>
          <w:tcPr>
            <w:tcW w:w="46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4620" w:type="dxa"/>
            <w:vAlign w:val="bottom"/>
            <w:shd w:val="clear" w:color="auto" w:fill="CCEEFF"/>
          </w:tcPr>
          <w:p>
            <w:pPr>
              <w:spacing w:after="0"/>
              <w:rPr>
                <w:sz w:val="20"/>
                <w:szCs w:val="20"/>
                <w:color w:val="auto"/>
              </w:rPr>
            </w:pPr>
            <w:r>
              <w:rPr>
                <w:rFonts w:ascii="Arial" w:cs="Arial" w:eastAsia="Arial" w:hAnsi="Arial"/>
                <w:sz w:val="16"/>
                <w:szCs w:val="16"/>
                <w:color w:val="auto"/>
              </w:rPr>
              <w:t>Net income</w:t>
            </w:r>
          </w:p>
        </w:tc>
        <w:tc>
          <w:tcPr>
            <w:tcW w:w="60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96,620</w:t>
            </w:r>
          </w:p>
        </w:tc>
        <w:tc>
          <w:tcPr>
            <w:tcW w:w="320" w:type="dxa"/>
            <w:vAlign w:val="bottom"/>
            <w:gridSpan w:val="2"/>
            <w:shd w:val="clear" w:color="auto" w:fill="CCEEFF"/>
          </w:tcPr>
          <w:p>
            <w:pPr>
              <w:jc w:val="right"/>
              <w:ind w:right="80"/>
              <w:spacing w:after="0"/>
              <w:rPr>
                <w:sz w:val="20"/>
                <w:szCs w:val="20"/>
                <w:color w:val="auto"/>
              </w:rPr>
            </w:pPr>
            <w:r>
              <w:rPr>
                <w:rFonts w:ascii="Arial" w:cs="Arial" w:eastAsia="Arial" w:hAnsi="Arial"/>
                <w:sz w:val="16"/>
                <w:szCs w:val="16"/>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49,515</w:t>
            </w:r>
          </w:p>
        </w:tc>
        <w:tc>
          <w:tcPr>
            <w:tcW w:w="160" w:type="dxa"/>
            <w:vAlign w:val="bottom"/>
            <w:tcBorders>
              <w:right w:val="single" w:sz="8" w:color="CCEEFF"/>
            </w:tcBorders>
            <w:shd w:val="clear" w:color="auto" w:fill="CCEEFF"/>
          </w:tcPr>
          <w:p>
            <w:pPr>
              <w:spacing w:after="0"/>
              <w:rPr>
                <w:sz w:val="17"/>
                <w:szCs w:val="17"/>
                <w:color w:val="auto"/>
              </w:rPr>
            </w:pPr>
          </w:p>
        </w:tc>
        <w:tc>
          <w:tcPr>
            <w:tcW w:w="160" w:type="dxa"/>
            <w:vAlign w:val="bottom"/>
            <w:shd w:val="clear" w:color="auto" w:fill="CCEEFF"/>
          </w:tcPr>
          <w:p>
            <w:pPr>
              <w:jc w:val="right"/>
              <w:ind w:right="4"/>
              <w:spacing w:after="0"/>
              <w:rPr>
                <w:sz w:val="20"/>
                <w:szCs w:val="20"/>
                <w:color w:val="auto"/>
              </w:rPr>
            </w:pPr>
            <w:r>
              <w:rPr>
                <w:rFonts w:ascii="Arial" w:cs="Arial" w:eastAsia="Arial" w:hAnsi="Arial"/>
                <w:sz w:val="15"/>
                <w:szCs w:val="15"/>
                <w:color w:val="auto"/>
                <w:w w:val="71"/>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4,156</w:t>
            </w: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83"/>
        </w:trPr>
        <w:tc>
          <w:tcPr>
            <w:tcW w:w="20" w:type="dxa"/>
            <w:vAlign w:val="bottom"/>
          </w:tcPr>
          <w:p>
            <w:pPr>
              <w:spacing w:after="0"/>
              <w:rPr>
                <w:sz w:val="15"/>
                <w:szCs w:val="15"/>
                <w:color w:val="auto"/>
              </w:rPr>
            </w:pPr>
          </w:p>
        </w:tc>
        <w:tc>
          <w:tcPr>
            <w:tcW w:w="4620" w:type="dxa"/>
            <w:vAlign w:val="bottom"/>
          </w:tcPr>
          <w:p>
            <w:pPr>
              <w:spacing w:after="0" w:line="183" w:lineRule="exact"/>
              <w:rPr>
                <w:sz w:val="20"/>
                <w:szCs w:val="20"/>
                <w:color w:val="auto"/>
              </w:rPr>
            </w:pPr>
            <w:r>
              <w:rPr>
                <w:rFonts w:ascii="Arial" w:cs="Arial" w:eastAsia="Arial" w:hAnsi="Arial"/>
                <w:sz w:val="16"/>
                <w:szCs w:val="16"/>
                <w:color w:val="auto"/>
              </w:rPr>
              <w:t>Other comprehensive income (loss)</w:t>
            </w:r>
          </w:p>
        </w:tc>
        <w:tc>
          <w:tcPr>
            <w:tcW w:w="320" w:type="dxa"/>
            <w:vAlign w:val="bottom"/>
          </w:tcPr>
          <w:p>
            <w:pPr>
              <w:spacing w:after="0"/>
              <w:rPr>
                <w:sz w:val="15"/>
                <w:szCs w:val="15"/>
                <w:color w:val="auto"/>
              </w:rPr>
            </w:pPr>
          </w:p>
        </w:tc>
        <w:tc>
          <w:tcPr>
            <w:tcW w:w="280" w:type="dxa"/>
            <w:vAlign w:val="bottom"/>
            <w:tcBorders>
              <w:top w:val="single" w:sz="8" w:color="auto"/>
            </w:tcBorders>
          </w:tcPr>
          <w:p>
            <w:pPr>
              <w:spacing w:after="0"/>
              <w:rPr>
                <w:sz w:val="15"/>
                <w:szCs w:val="15"/>
                <w:color w:val="auto"/>
              </w:rPr>
            </w:pPr>
          </w:p>
        </w:tc>
        <w:tc>
          <w:tcPr>
            <w:tcW w:w="1020" w:type="dxa"/>
            <w:vAlign w:val="bottom"/>
            <w:tcBorders>
              <w:top w:val="single" w:sz="8" w:color="auto"/>
            </w:tcBorders>
          </w:tcPr>
          <w:p>
            <w:pPr>
              <w:spacing w:after="0"/>
              <w:rPr>
                <w:sz w:val="15"/>
                <w:szCs w:val="15"/>
                <w:color w:val="auto"/>
              </w:rPr>
            </w:pPr>
          </w:p>
        </w:tc>
        <w:tc>
          <w:tcPr>
            <w:tcW w:w="160" w:type="dxa"/>
            <w:vAlign w:val="bottom"/>
          </w:tcPr>
          <w:p>
            <w:pPr>
              <w:spacing w:after="0"/>
              <w:rPr>
                <w:sz w:val="15"/>
                <w:szCs w:val="15"/>
                <w:color w:val="auto"/>
              </w:rPr>
            </w:pPr>
          </w:p>
        </w:tc>
        <w:tc>
          <w:tcPr>
            <w:tcW w:w="160" w:type="dxa"/>
            <w:vAlign w:val="bottom"/>
            <w:tcBorders>
              <w:top w:val="single" w:sz="8" w:color="auto"/>
            </w:tcBorders>
          </w:tcPr>
          <w:p>
            <w:pPr>
              <w:spacing w:after="0"/>
              <w:rPr>
                <w:sz w:val="15"/>
                <w:szCs w:val="15"/>
                <w:color w:val="auto"/>
              </w:rPr>
            </w:pPr>
          </w:p>
        </w:tc>
        <w:tc>
          <w:tcPr>
            <w:tcW w:w="660" w:type="dxa"/>
            <w:vAlign w:val="bottom"/>
            <w:tcBorders>
              <w:top w:val="single" w:sz="8" w:color="auto"/>
            </w:tcBorders>
          </w:tcPr>
          <w:p>
            <w:pPr>
              <w:spacing w:after="0"/>
              <w:rPr>
                <w:sz w:val="15"/>
                <w:szCs w:val="15"/>
                <w:color w:val="auto"/>
              </w:rPr>
            </w:pPr>
          </w:p>
        </w:tc>
        <w:tc>
          <w:tcPr>
            <w:tcW w:w="160" w:type="dxa"/>
            <w:vAlign w:val="bottom"/>
          </w:tcPr>
          <w:p>
            <w:pPr>
              <w:spacing w:after="0"/>
              <w:rPr>
                <w:sz w:val="15"/>
                <w:szCs w:val="15"/>
                <w:color w:val="auto"/>
              </w:rPr>
            </w:pPr>
          </w:p>
        </w:tc>
        <w:tc>
          <w:tcPr>
            <w:tcW w:w="160" w:type="dxa"/>
            <w:vAlign w:val="bottom"/>
            <w:tcBorders>
              <w:top w:val="single" w:sz="8" w:color="auto"/>
            </w:tcBorders>
          </w:tcPr>
          <w:p>
            <w:pPr>
              <w:spacing w:after="0"/>
              <w:rPr>
                <w:sz w:val="15"/>
                <w:szCs w:val="15"/>
                <w:color w:val="auto"/>
              </w:rPr>
            </w:pPr>
          </w:p>
        </w:tc>
        <w:tc>
          <w:tcPr>
            <w:tcW w:w="640" w:type="dxa"/>
            <w:vAlign w:val="bottom"/>
            <w:tcBorders>
              <w:top w:val="single" w:sz="8" w:color="auto"/>
            </w:tcBorders>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20" w:type="dxa"/>
            <w:vAlign w:val="bottom"/>
            <w:shd w:val="clear" w:color="auto" w:fill="CCEEFF"/>
          </w:tcPr>
          <w:p>
            <w:pPr>
              <w:ind w:left="100"/>
              <w:spacing w:after="0"/>
              <w:rPr>
                <w:sz w:val="20"/>
                <w:szCs w:val="20"/>
                <w:color w:val="auto"/>
              </w:rPr>
            </w:pPr>
            <w:r>
              <w:rPr>
                <w:rFonts w:ascii="Arial" w:cs="Arial" w:eastAsia="Arial" w:hAnsi="Arial"/>
                <w:sz w:val="16"/>
                <w:szCs w:val="16"/>
                <w:color w:val="auto"/>
              </w:rPr>
              <w:t>Foreign currency translation adjustments</w:t>
            </w:r>
          </w:p>
        </w:tc>
        <w:tc>
          <w:tcPr>
            <w:tcW w:w="320" w:type="dxa"/>
            <w:vAlign w:val="bottom"/>
            <w:shd w:val="clear" w:color="auto" w:fill="CCEEFF"/>
          </w:tcPr>
          <w:p>
            <w:pPr>
              <w:spacing w:after="0"/>
              <w:rPr>
                <w:sz w:val="17"/>
                <w:szCs w:val="17"/>
                <w:color w:val="auto"/>
              </w:rPr>
            </w:pPr>
          </w:p>
        </w:tc>
        <w:tc>
          <w:tcPr>
            <w:tcW w:w="280" w:type="dxa"/>
            <w:vAlign w:val="bottom"/>
            <w:tcBorders>
              <w:bottom w:val="single" w:sz="8" w:color="auto"/>
            </w:tcBorders>
            <w:shd w:val="clear" w:color="auto" w:fill="CCEEFF"/>
          </w:tcPr>
          <w:p>
            <w:pPr>
              <w:spacing w:after="0"/>
              <w:rPr>
                <w:sz w:val="17"/>
                <w:szCs w:val="17"/>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26,964</w:t>
            </w:r>
          </w:p>
        </w:tc>
        <w:tc>
          <w:tcPr>
            <w:tcW w:w="16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(14,656)</w:t>
            </w:r>
          </w:p>
        </w:tc>
        <w:tc>
          <w:tcPr>
            <w:tcW w:w="160" w:type="dxa"/>
            <w:vAlign w:val="bottom"/>
            <w:tcBorders>
              <w:right w:val="single" w:sz="8" w:color="CCEEFF"/>
            </w:tcBorders>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(19,042)</w:t>
            </w: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83"/>
        </w:trPr>
        <w:tc>
          <w:tcPr>
            <w:tcW w:w="20" w:type="dxa"/>
            <w:vAlign w:val="bottom"/>
          </w:tcPr>
          <w:p>
            <w:pPr>
              <w:spacing w:after="0"/>
              <w:rPr>
                <w:sz w:val="15"/>
                <w:szCs w:val="15"/>
                <w:color w:val="auto"/>
              </w:rPr>
            </w:pPr>
          </w:p>
        </w:tc>
        <w:tc>
          <w:tcPr>
            <w:tcW w:w="4620" w:type="dxa"/>
            <w:vAlign w:val="bottom"/>
          </w:tcPr>
          <w:p>
            <w:pPr>
              <w:ind w:left="100"/>
              <w:spacing w:after="0" w:line="183" w:lineRule="exact"/>
              <w:rPr>
                <w:sz w:val="20"/>
                <w:szCs w:val="20"/>
                <w:color w:val="auto"/>
              </w:rPr>
            </w:pPr>
            <w:r>
              <w:rPr>
                <w:rFonts w:ascii="Arial" w:cs="Arial" w:eastAsia="Arial" w:hAnsi="Arial"/>
                <w:sz w:val="16"/>
                <w:szCs w:val="16"/>
                <w:color w:val="auto"/>
              </w:rPr>
              <w:t>Foreign exchange derivative instruments</w:t>
            </w:r>
          </w:p>
        </w:tc>
        <w:tc>
          <w:tcPr>
            <w:tcW w:w="3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20" w:type="dxa"/>
            <w:vAlign w:val="bottom"/>
            <w:shd w:val="clear" w:color="auto" w:fill="CCEEFF"/>
          </w:tcPr>
          <w:p>
            <w:pPr>
              <w:ind w:left="200"/>
              <w:spacing w:after="0"/>
              <w:rPr>
                <w:sz w:val="20"/>
                <w:szCs w:val="20"/>
                <w:color w:val="auto"/>
              </w:rPr>
            </w:pPr>
            <w:r>
              <w:rPr>
                <w:rFonts w:ascii="Arial" w:cs="Arial" w:eastAsia="Arial" w:hAnsi="Arial"/>
                <w:sz w:val="16"/>
                <w:szCs w:val="16"/>
                <w:color w:val="auto"/>
              </w:rPr>
              <w:t>Unrealized holding gains (losses) arising during period</w:t>
            </w:r>
          </w:p>
        </w:tc>
        <w:tc>
          <w:tcPr>
            <w:tcW w:w="3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(15,558)</w:t>
            </w:r>
          </w:p>
        </w:tc>
        <w:tc>
          <w:tcPr>
            <w:tcW w:w="1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7,014</w:t>
            </w:r>
          </w:p>
        </w:tc>
        <w:tc>
          <w:tcPr>
            <w:tcW w:w="160" w:type="dxa"/>
            <w:vAlign w:val="bottom"/>
            <w:tcBorders>
              <w:right w:val="single" w:sz="8" w:color="CCEEFF"/>
            </w:tcBorders>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14,964</w:t>
            </w: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20" w:type="dxa"/>
            <w:vAlign w:val="bottom"/>
          </w:tcPr>
          <w:p>
            <w:pPr>
              <w:ind w:left="200"/>
              <w:spacing w:after="0"/>
              <w:rPr>
                <w:sz w:val="20"/>
                <w:szCs w:val="20"/>
                <w:color w:val="auto"/>
              </w:rPr>
            </w:pPr>
            <w:r>
              <w:rPr>
                <w:rFonts w:ascii="Arial" w:cs="Arial" w:eastAsia="Arial" w:hAnsi="Arial"/>
                <w:sz w:val="16"/>
                <w:szCs w:val="16"/>
                <w:color w:val="auto"/>
              </w:rPr>
              <w:t>Reclassification adjustments included in net income</w:t>
            </w:r>
          </w:p>
        </w:tc>
        <w:tc>
          <w:tcPr>
            <w:tcW w:w="3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(1,329)</w:t>
            </w: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6"/>
                <w:szCs w:val="16"/>
                <w:color w:val="auto"/>
              </w:rPr>
              <w:t>(5,194)</w:t>
            </w: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(26,805)</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20" w:type="dxa"/>
            <w:vAlign w:val="bottom"/>
            <w:shd w:val="clear" w:color="auto" w:fill="CCEEFF"/>
          </w:tcPr>
          <w:p>
            <w:pPr>
              <w:ind w:left="200"/>
              <w:spacing w:after="0"/>
              <w:rPr>
                <w:sz w:val="20"/>
                <w:szCs w:val="20"/>
                <w:color w:val="auto"/>
              </w:rPr>
            </w:pPr>
            <w:r>
              <w:rPr>
                <w:rFonts w:ascii="Arial" w:cs="Arial" w:eastAsia="Arial" w:hAnsi="Arial"/>
                <w:sz w:val="16"/>
                <w:szCs w:val="16"/>
                <w:color w:val="auto"/>
              </w:rPr>
              <w:t>Tax benefit (expense)</w:t>
            </w:r>
          </w:p>
        </w:tc>
        <w:tc>
          <w:tcPr>
            <w:tcW w:w="320" w:type="dxa"/>
            <w:vAlign w:val="bottom"/>
            <w:shd w:val="clear" w:color="auto" w:fill="CCEEFF"/>
          </w:tcPr>
          <w:p>
            <w:pPr>
              <w:spacing w:after="0"/>
              <w:rPr>
                <w:sz w:val="17"/>
                <w:szCs w:val="17"/>
                <w:color w:val="auto"/>
              </w:rPr>
            </w:pPr>
          </w:p>
        </w:tc>
        <w:tc>
          <w:tcPr>
            <w:tcW w:w="280" w:type="dxa"/>
            <w:vAlign w:val="bottom"/>
            <w:tcBorders>
              <w:bottom w:val="single" w:sz="8" w:color="auto"/>
            </w:tcBorders>
            <w:shd w:val="clear" w:color="auto" w:fill="CCEEFF"/>
          </w:tcPr>
          <w:p>
            <w:pPr>
              <w:spacing w:after="0"/>
              <w:rPr>
                <w:sz w:val="17"/>
                <w:szCs w:val="17"/>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4,072</w:t>
            </w:r>
          </w:p>
        </w:tc>
        <w:tc>
          <w:tcPr>
            <w:tcW w:w="16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(451)</w:t>
            </w:r>
          </w:p>
        </w:tc>
        <w:tc>
          <w:tcPr>
            <w:tcW w:w="160" w:type="dxa"/>
            <w:vAlign w:val="bottom"/>
            <w:tcBorders>
              <w:right w:val="single" w:sz="8" w:color="CCEEFF"/>
            </w:tcBorders>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3,836</w:t>
            </w: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4620" w:type="dxa"/>
            <w:vAlign w:val="bottom"/>
            <w:tcBorders>
              <w:bottom w:val="single" w:sz="8" w:color="CCEEFF"/>
            </w:tcBorders>
          </w:tcPr>
          <w:p>
            <w:pPr>
              <w:ind w:left="520"/>
              <w:spacing w:after="0"/>
              <w:rPr>
                <w:sz w:val="20"/>
                <w:szCs w:val="20"/>
                <w:color w:val="auto"/>
              </w:rPr>
            </w:pPr>
            <w:r>
              <w:rPr>
                <w:rFonts w:ascii="Arial" w:cs="Arial" w:eastAsia="Arial" w:hAnsi="Arial"/>
                <w:sz w:val="16"/>
                <w:szCs w:val="16"/>
                <w:color w:val="auto"/>
              </w:rPr>
              <w:t>Foreign exchange derivative instruments, net</w:t>
            </w:r>
          </w:p>
        </w:tc>
        <w:tc>
          <w:tcPr>
            <w:tcW w:w="320" w:type="dxa"/>
            <w:vAlign w:val="bottom"/>
            <w:tcBorders>
              <w:bottom w:val="single" w:sz="8" w:color="CCEEFF"/>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(12,815)</w:t>
            </w:r>
          </w:p>
        </w:tc>
        <w:tc>
          <w:tcPr>
            <w:tcW w:w="16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1,369</w:t>
            </w:r>
          </w:p>
        </w:tc>
        <w:tc>
          <w:tcPr>
            <w:tcW w:w="16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(8,005)</w:t>
            </w:r>
          </w:p>
        </w:tc>
        <w:tc>
          <w:tcPr>
            <w:tcW w:w="60" w:type="dxa"/>
            <w:vAlign w:val="bottom"/>
            <w:tcBorders>
              <w:bottom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183"/>
        </w:trPr>
        <w:tc>
          <w:tcPr>
            <w:tcW w:w="20" w:type="dxa"/>
            <w:vAlign w:val="bottom"/>
          </w:tcPr>
          <w:p>
            <w:pPr>
              <w:spacing w:after="0"/>
              <w:rPr>
                <w:sz w:val="15"/>
                <w:szCs w:val="15"/>
                <w:color w:val="auto"/>
              </w:rPr>
            </w:pPr>
          </w:p>
        </w:tc>
        <w:tc>
          <w:tcPr>
            <w:tcW w:w="4620" w:type="dxa"/>
            <w:vAlign w:val="bottom"/>
            <w:shd w:val="clear" w:color="auto" w:fill="CCEEFF"/>
          </w:tcPr>
          <w:p>
            <w:pPr>
              <w:ind w:left="100"/>
              <w:spacing w:after="0" w:line="183" w:lineRule="exact"/>
              <w:rPr>
                <w:sz w:val="20"/>
                <w:szCs w:val="20"/>
                <w:color w:val="auto"/>
              </w:rPr>
            </w:pPr>
            <w:r>
              <w:rPr>
                <w:rFonts w:ascii="Arial" w:cs="Arial" w:eastAsia="Arial" w:hAnsi="Arial"/>
                <w:sz w:val="16"/>
                <w:szCs w:val="16"/>
                <w:color w:val="auto"/>
              </w:rPr>
              <w:t>Available-for-sale securities</w:t>
            </w:r>
          </w:p>
        </w:tc>
        <w:tc>
          <w:tcPr>
            <w:tcW w:w="32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102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660" w:type="dxa"/>
            <w:vAlign w:val="bottom"/>
            <w:shd w:val="clear" w:color="auto" w:fill="CCEEFF"/>
          </w:tcPr>
          <w:p>
            <w:pPr>
              <w:spacing w:after="0"/>
              <w:rPr>
                <w:sz w:val="15"/>
                <w:szCs w:val="15"/>
                <w:color w:val="auto"/>
              </w:rPr>
            </w:pPr>
          </w:p>
        </w:tc>
        <w:tc>
          <w:tcPr>
            <w:tcW w:w="160" w:type="dxa"/>
            <w:vAlign w:val="bottom"/>
            <w:tcBorders>
              <w:right w:val="single" w:sz="8" w:color="CCEEFF"/>
            </w:tcBorders>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64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20" w:type="dxa"/>
            <w:vAlign w:val="bottom"/>
          </w:tcPr>
          <w:p>
            <w:pPr>
              <w:ind w:left="200"/>
              <w:spacing w:after="0"/>
              <w:rPr>
                <w:sz w:val="20"/>
                <w:szCs w:val="20"/>
                <w:color w:val="auto"/>
              </w:rPr>
            </w:pPr>
            <w:r>
              <w:rPr>
                <w:rFonts w:ascii="Arial" w:cs="Arial" w:eastAsia="Arial" w:hAnsi="Arial"/>
                <w:sz w:val="16"/>
                <w:szCs w:val="16"/>
                <w:color w:val="auto"/>
              </w:rPr>
              <w:t>Unrealized holding gains (losses) arising during period</w:t>
            </w:r>
          </w:p>
        </w:tc>
        <w:tc>
          <w:tcPr>
            <w:tcW w:w="3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150</w:t>
            </w: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6"/>
                <w:szCs w:val="16"/>
                <w:color w:val="auto"/>
              </w:rPr>
              <w:t>51</w:t>
            </w: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(673)</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20" w:type="dxa"/>
            <w:vAlign w:val="bottom"/>
            <w:shd w:val="clear" w:color="auto" w:fill="CCEEFF"/>
          </w:tcPr>
          <w:p>
            <w:pPr>
              <w:ind w:left="200"/>
              <w:spacing w:after="0"/>
              <w:rPr>
                <w:sz w:val="20"/>
                <w:szCs w:val="20"/>
                <w:color w:val="auto"/>
              </w:rPr>
            </w:pPr>
            <w:r>
              <w:rPr>
                <w:rFonts w:ascii="Arial" w:cs="Arial" w:eastAsia="Arial" w:hAnsi="Arial"/>
                <w:sz w:val="16"/>
                <w:szCs w:val="16"/>
                <w:color w:val="auto"/>
              </w:rPr>
              <w:t>Tax benefit (expense)</w:t>
            </w:r>
          </w:p>
        </w:tc>
        <w:tc>
          <w:tcPr>
            <w:tcW w:w="320" w:type="dxa"/>
            <w:vAlign w:val="bottom"/>
            <w:shd w:val="clear" w:color="auto" w:fill="CCEEFF"/>
          </w:tcPr>
          <w:p>
            <w:pPr>
              <w:spacing w:after="0"/>
              <w:rPr>
                <w:sz w:val="17"/>
                <w:szCs w:val="17"/>
                <w:color w:val="auto"/>
              </w:rPr>
            </w:pPr>
          </w:p>
        </w:tc>
        <w:tc>
          <w:tcPr>
            <w:tcW w:w="280" w:type="dxa"/>
            <w:vAlign w:val="bottom"/>
            <w:tcBorders>
              <w:bottom w:val="single" w:sz="8" w:color="auto"/>
            </w:tcBorders>
            <w:shd w:val="clear" w:color="auto" w:fill="CCEEFF"/>
          </w:tcPr>
          <w:p>
            <w:pPr>
              <w:spacing w:after="0"/>
              <w:rPr>
                <w:sz w:val="17"/>
                <w:szCs w:val="17"/>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35</w:t>
            </w:r>
          </w:p>
        </w:tc>
        <w:tc>
          <w:tcPr>
            <w:tcW w:w="16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(19)</w:t>
            </w:r>
          </w:p>
        </w:tc>
        <w:tc>
          <w:tcPr>
            <w:tcW w:w="160" w:type="dxa"/>
            <w:vAlign w:val="bottom"/>
            <w:tcBorders>
              <w:right w:val="single" w:sz="8" w:color="CCEEFF"/>
            </w:tcBorders>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160</w:t>
            </w: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4620" w:type="dxa"/>
            <w:vAlign w:val="bottom"/>
            <w:tcBorders>
              <w:bottom w:val="single" w:sz="8" w:color="CCEEFF"/>
            </w:tcBorders>
          </w:tcPr>
          <w:p>
            <w:pPr>
              <w:ind w:left="520"/>
              <w:spacing w:after="0"/>
              <w:rPr>
                <w:sz w:val="20"/>
                <w:szCs w:val="20"/>
                <w:color w:val="auto"/>
              </w:rPr>
            </w:pPr>
            <w:r>
              <w:rPr>
                <w:rFonts w:ascii="Arial" w:cs="Arial" w:eastAsia="Arial" w:hAnsi="Arial"/>
                <w:sz w:val="16"/>
                <w:szCs w:val="16"/>
                <w:color w:val="auto"/>
              </w:rPr>
              <w:t>Available-for-sale securities, net</w:t>
            </w:r>
          </w:p>
        </w:tc>
        <w:tc>
          <w:tcPr>
            <w:tcW w:w="320" w:type="dxa"/>
            <w:vAlign w:val="bottom"/>
            <w:tcBorders>
              <w:bottom w:val="single" w:sz="8" w:color="CCEEFF"/>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185</w:t>
            </w:r>
          </w:p>
        </w:tc>
        <w:tc>
          <w:tcPr>
            <w:tcW w:w="16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32</w:t>
            </w:r>
          </w:p>
        </w:tc>
        <w:tc>
          <w:tcPr>
            <w:tcW w:w="16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(513)</w:t>
            </w:r>
          </w:p>
        </w:tc>
        <w:tc>
          <w:tcPr>
            <w:tcW w:w="60" w:type="dxa"/>
            <w:vAlign w:val="bottom"/>
            <w:tcBorders>
              <w:bottom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183"/>
        </w:trPr>
        <w:tc>
          <w:tcPr>
            <w:tcW w:w="20" w:type="dxa"/>
            <w:vAlign w:val="bottom"/>
          </w:tcPr>
          <w:p>
            <w:pPr>
              <w:spacing w:after="0"/>
              <w:rPr>
                <w:sz w:val="15"/>
                <w:szCs w:val="15"/>
                <w:color w:val="auto"/>
              </w:rPr>
            </w:pPr>
          </w:p>
        </w:tc>
        <w:tc>
          <w:tcPr>
            <w:tcW w:w="4620" w:type="dxa"/>
            <w:vAlign w:val="bottom"/>
            <w:shd w:val="clear" w:color="auto" w:fill="CCEEFF"/>
          </w:tcPr>
          <w:p>
            <w:pPr>
              <w:ind w:left="100"/>
              <w:spacing w:after="0" w:line="183" w:lineRule="exact"/>
              <w:rPr>
                <w:sz w:val="20"/>
                <w:szCs w:val="20"/>
                <w:color w:val="auto"/>
              </w:rPr>
            </w:pPr>
            <w:r>
              <w:rPr>
                <w:rFonts w:ascii="Arial" w:cs="Arial" w:eastAsia="Arial" w:hAnsi="Arial"/>
                <w:sz w:val="16"/>
                <w:szCs w:val="16"/>
                <w:color w:val="auto"/>
              </w:rPr>
              <w:t>Pension and other postretirement benefits</w:t>
            </w:r>
          </w:p>
        </w:tc>
        <w:tc>
          <w:tcPr>
            <w:tcW w:w="32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102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660" w:type="dxa"/>
            <w:vAlign w:val="bottom"/>
            <w:shd w:val="clear" w:color="auto" w:fill="CCEEFF"/>
          </w:tcPr>
          <w:p>
            <w:pPr>
              <w:spacing w:after="0"/>
              <w:rPr>
                <w:sz w:val="15"/>
                <w:szCs w:val="15"/>
                <w:color w:val="auto"/>
              </w:rPr>
            </w:pPr>
          </w:p>
        </w:tc>
        <w:tc>
          <w:tcPr>
            <w:tcW w:w="160" w:type="dxa"/>
            <w:vAlign w:val="bottom"/>
            <w:tcBorders>
              <w:right w:val="single" w:sz="8" w:color="CCEEFF"/>
            </w:tcBorders>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64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20" w:type="dxa"/>
            <w:vAlign w:val="bottom"/>
          </w:tcPr>
          <w:p>
            <w:pPr>
              <w:ind w:left="200"/>
              <w:spacing w:after="0"/>
              <w:rPr>
                <w:sz w:val="20"/>
                <w:szCs w:val="20"/>
                <w:color w:val="auto"/>
              </w:rPr>
            </w:pPr>
            <w:r>
              <w:rPr>
                <w:rFonts w:ascii="Arial" w:cs="Arial" w:eastAsia="Arial" w:hAnsi="Arial"/>
                <w:sz w:val="16"/>
                <w:szCs w:val="16"/>
                <w:color w:val="auto"/>
              </w:rPr>
              <w:t>Pension and other postretirement benefits adjustments</w:t>
            </w:r>
          </w:p>
        </w:tc>
        <w:tc>
          <w:tcPr>
            <w:tcW w:w="3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(6,889)</w:t>
            </w: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6"/>
                <w:szCs w:val="16"/>
                <w:color w:val="auto"/>
              </w:rPr>
              <w:t>(16,072)</w:t>
            </w: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3,068</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20" w:type="dxa"/>
            <w:vAlign w:val="bottom"/>
            <w:shd w:val="clear" w:color="auto" w:fill="CCEEFF"/>
          </w:tcPr>
          <w:p>
            <w:pPr>
              <w:ind w:left="200"/>
              <w:spacing w:after="0"/>
              <w:rPr>
                <w:sz w:val="20"/>
                <w:szCs w:val="20"/>
                <w:color w:val="auto"/>
              </w:rPr>
            </w:pPr>
            <w:r>
              <w:rPr>
                <w:rFonts w:ascii="Arial" w:cs="Arial" w:eastAsia="Arial" w:hAnsi="Arial"/>
                <w:sz w:val="16"/>
                <w:szCs w:val="16"/>
                <w:color w:val="auto"/>
              </w:rPr>
              <w:t>Tax benefit (expense)</w:t>
            </w:r>
          </w:p>
        </w:tc>
        <w:tc>
          <w:tcPr>
            <w:tcW w:w="320" w:type="dxa"/>
            <w:vAlign w:val="bottom"/>
            <w:shd w:val="clear" w:color="auto" w:fill="CCEEFF"/>
          </w:tcPr>
          <w:p>
            <w:pPr>
              <w:spacing w:after="0"/>
              <w:rPr>
                <w:sz w:val="17"/>
                <w:szCs w:val="17"/>
                <w:color w:val="auto"/>
              </w:rPr>
            </w:pPr>
          </w:p>
        </w:tc>
        <w:tc>
          <w:tcPr>
            <w:tcW w:w="280" w:type="dxa"/>
            <w:vAlign w:val="bottom"/>
            <w:tcBorders>
              <w:bottom w:val="single" w:sz="8" w:color="auto"/>
            </w:tcBorders>
            <w:shd w:val="clear" w:color="auto" w:fill="CCEEFF"/>
          </w:tcPr>
          <w:p>
            <w:pPr>
              <w:spacing w:after="0"/>
              <w:rPr>
                <w:sz w:val="17"/>
                <w:szCs w:val="17"/>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1,698</w:t>
            </w:r>
          </w:p>
        </w:tc>
        <w:tc>
          <w:tcPr>
            <w:tcW w:w="16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5,727</w:t>
            </w:r>
          </w:p>
        </w:tc>
        <w:tc>
          <w:tcPr>
            <w:tcW w:w="160" w:type="dxa"/>
            <w:vAlign w:val="bottom"/>
            <w:tcBorders>
              <w:right w:val="single" w:sz="8" w:color="CCEEFF"/>
            </w:tcBorders>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(1,684)</w:t>
            </w: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4620" w:type="dxa"/>
            <w:vAlign w:val="bottom"/>
            <w:tcBorders>
              <w:bottom w:val="single" w:sz="8" w:color="CCEEFF"/>
            </w:tcBorders>
          </w:tcPr>
          <w:p>
            <w:pPr>
              <w:ind w:left="520"/>
              <w:spacing w:after="0"/>
              <w:rPr>
                <w:sz w:val="20"/>
                <w:szCs w:val="20"/>
                <w:color w:val="auto"/>
              </w:rPr>
            </w:pPr>
            <w:r>
              <w:rPr>
                <w:rFonts w:ascii="Arial" w:cs="Arial" w:eastAsia="Arial" w:hAnsi="Arial"/>
                <w:sz w:val="16"/>
                <w:szCs w:val="16"/>
                <w:color w:val="auto"/>
                <w:w w:val="97"/>
              </w:rPr>
              <w:t>Pension and other postretirement benefits adjustments, net</w:t>
            </w:r>
          </w:p>
        </w:tc>
        <w:tc>
          <w:tcPr>
            <w:tcW w:w="320" w:type="dxa"/>
            <w:vAlign w:val="bottom"/>
            <w:tcBorders>
              <w:bottom w:val="single" w:sz="8" w:color="CCEEFF"/>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(5,191)</w:t>
            </w:r>
          </w:p>
        </w:tc>
        <w:tc>
          <w:tcPr>
            <w:tcW w:w="16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(10,345)</w:t>
            </w:r>
          </w:p>
        </w:tc>
        <w:tc>
          <w:tcPr>
            <w:tcW w:w="16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1,384</w:t>
            </w:r>
          </w:p>
        </w:tc>
        <w:tc>
          <w:tcPr>
            <w:tcW w:w="60" w:type="dxa"/>
            <w:vAlign w:val="bottom"/>
            <w:tcBorders>
              <w:bottom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183"/>
        </w:trPr>
        <w:tc>
          <w:tcPr>
            <w:tcW w:w="20" w:type="dxa"/>
            <w:vAlign w:val="bottom"/>
          </w:tcPr>
          <w:p>
            <w:pPr>
              <w:spacing w:after="0"/>
              <w:rPr>
                <w:sz w:val="15"/>
                <w:szCs w:val="15"/>
                <w:color w:val="auto"/>
              </w:rPr>
            </w:pPr>
          </w:p>
        </w:tc>
        <w:tc>
          <w:tcPr>
            <w:tcW w:w="4620" w:type="dxa"/>
            <w:vAlign w:val="bottom"/>
            <w:shd w:val="clear" w:color="auto" w:fill="CCEEFF"/>
          </w:tcPr>
          <w:p>
            <w:pPr>
              <w:spacing w:after="0"/>
              <w:rPr>
                <w:sz w:val="15"/>
                <w:szCs w:val="15"/>
                <w:color w:val="auto"/>
              </w:rPr>
            </w:pPr>
          </w:p>
        </w:tc>
        <w:tc>
          <w:tcPr>
            <w:tcW w:w="320" w:type="dxa"/>
            <w:vAlign w:val="bottom"/>
            <w:shd w:val="clear" w:color="auto" w:fill="CCEEFF"/>
          </w:tcPr>
          <w:p>
            <w:pPr>
              <w:spacing w:after="0"/>
              <w:rPr>
                <w:sz w:val="15"/>
                <w:szCs w:val="15"/>
                <w:color w:val="auto"/>
              </w:rPr>
            </w:pPr>
          </w:p>
        </w:tc>
        <w:tc>
          <w:tcPr>
            <w:tcW w:w="280" w:type="dxa"/>
            <w:vAlign w:val="bottom"/>
            <w:tcBorders>
              <w:bottom w:val="single" w:sz="8" w:color="auto"/>
            </w:tcBorders>
            <w:shd w:val="clear" w:color="auto" w:fill="CCEEFF"/>
          </w:tcPr>
          <w:p>
            <w:pPr>
              <w:spacing w:after="0"/>
              <w:rPr>
                <w:sz w:val="15"/>
                <w:szCs w:val="15"/>
                <w:color w:val="auto"/>
              </w:rPr>
            </w:pPr>
          </w:p>
        </w:tc>
        <w:tc>
          <w:tcPr>
            <w:tcW w:w="1020" w:type="dxa"/>
            <w:vAlign w:val="bottom"/>
            <w:tcBorders>
              <w:bottom w:val="single" w:sz="8" w:color="auto"/>
            </w:tcBorders>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60" w:type="dxa"/>
            <w:vAlign w:val="bottom"/>
            <w:tcBorders>
              <w:bottom w:val="single" w:sz="8" w:color="auto"/>
            </w:tcBorders>
            <w:shd w:val="clear" w:color="auto" w:fill="CCEEFF"/>
          </w:tcPr>
          <w:p>
            <w:pPr>
              <w:spacing w:after="0"/>
              <w:rPr>
                <w:sz w:val="15"/>
                <w:szCs w:val="15"/>
                <w:color w:val="auto"/>
              </w:rPr>
            </w:pPr>
          </w:p>
        </w:tc>
        <w:tc>
          <w:tcPr>
            <w:tcW w:w="660" w:type="dxa"/>
            <w:vAlign w:val="bottom"/>
            <w:tcBorders>
              <w:bottom w:val="single" w:sz="8" w:color="auto"/>
            </w:tcBorders>
            <w:shd w:val="clear" w:color="auto" w:fill="CCEEFF"/>
          </w:tcPr>
          <w:p>
            <w:pPr>
              <w:spacing w:after="0"/>
              <w:rPr>
                <w:sz w:val="15"/>
                <w:szCs w:val="15"/>
                <w:color w:val="auto"/>
              </w:rPr>
            </w:pPr>
          </w:p>
        </w:tc>
        <w:tc>
          <w:tcPr>
            <w:tcW w:w="160" w:type="dxa"/>
            <w:vAlign w:val="bottom"/>
            <w:tcBorders>
              <w:right w:val="single" w:sz="8" w:color="CCEEFF"/>
            </w:tcBorders>
            <w:shd w:val="clear" w:color="auto" w:fill="CCEEFF"/>
          </w:tcPr>
          <w:p>
            <w:pPr>
              <w:spacing w:after="0"/>
              <w:rPr>
                <w:sz w:val="15"/>
                <w:szCs w:val="15"/>
                <w:color w:val="auto"/>
              </w:rPr>
            </w:pPr>
          </w:p>
        </w:tc>
        <w:tc>
          <w:tcPr>
            <w:tcW w:w="160" w:type="dxa"/>
            <w:vAlign w:val="bottom"/>
            <w:tcBorders>
              <w:bottom w:val="single" w:sz="8" w:color="auto"/>
            </w:tcBorders>
            <w:shd w:val="clear" w:color="auto" w:fill="CCEEFF"/>
          </w:tcPr>
          <w:p>
            <w:pPr>
              <w:spacing w:after="0"/>
              <w:rPr>
                <w:sz w:val="15"/>
                <w:szCs w:val="15"/>
                <w:color w:val="auto"/>
              </w:rPr>
            </w:pPr>
          </w:p>
        </w:tc>
        <w:tc>
          <w:tcPr>
            <w:tcW w:w="640" w:type="dxa"/>
            <w:vAlign w:val="bottom"/>
            <w:tcBorders>
              <w:bottom w:val="single" w:sz="8" w:color="auto"/>
            </w:tcBorders>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4620" w:type="dxa"/>
            <w:vAlign w:val="bottom"/>
            <w:tcBorders>
              <w:bottom w:val="single" w:sz="8" w:color="CCEEFF"/>
            </w:tcBorders>
          </w:tcPr>
          <w:p>
            <w:pPr>
              <w:ind w:left="740"/>
              <w:spacing w:after="0"/>
              <w:rPr>
                <w:sz w:val="20"/>
                <w:szCs w:val="20"/>
                <w:color w:val="auto"/>
              </w:rPr>
            </w:pPr>
            <w:r>
              <w:rPr>
                <w:rFonts w:ascii="Arial" w:cs="Arial" w:eastAsia="Arial" w:hAnsi="Arial"/>
                <w:sz w:val="16"/>
                <w:szCs w:val="16"/>
                <w:color w:val="auto"/>
              </w:rPr>
              <w:t>Total other comprehensive income (loss)</w:t>
            </w:r>
          </w:p>
        </w:tc>
        <w:tc>
          <w:tcPr>
            <w:tcW w:w="320" w:type="dxa"/>
            <w:vAlign w:val="bottom"/>
            <w:tcBorders>
              <w:bottom w:val="single" w:sz="8" w:color="CCEEFF"/>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9,143</w:t>
            </w:r>
          </w:p>
        </w:tc>
        <w:tc>
          <w:tcPr>
            <w:tcW w:w="16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(23,600)</w:t>
            </w:r>
          </w:p>
        </w:tc>
        <w:tc>
          <w:tcPr>
            <w:tcW w:w="16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(26,176)</w:t>
            </w:r>
          </w:p>
        </w:tc>
        <w:tc>
          <w:tcPr>
            <w:tcW w:w="60" w:type="dxa"/>
            <w:vAlign w:val="bottom"/>
            <w:tcBorders>
              <w:bottom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183"/>
        </w:trPr>
        <w:tc>
          <w:tcPr>
            <w:tcW w:w="20" w:type="dxa"/>
            <w:vAlign w:val="bottom"/>
            <w:vMerge w:val="restart"/>
          </w:tcPr>
          <w:p>
            <w:pPr>
              <w:spacing w:after="0"/>
              <w:rPr>
                <w:sz w:val="15"/>
                <w:szCs w:val="15"/>
                <w:color w:val="auto"/>
              </w:rPr>
            </w:pPr>
          </w:p>
        </w:tc>
        <w:tc>
          <w:tcPr>
            <w:tcW w:w="4620" w:type="dxa"/>
            <w:vAlign w:val="bottom"/>
            <w:shd w:val="clear" w:color="auto" w:fill="CCEEFF"/>
          </w:tcPr>
          <w:p>
            <w:pPr>
              <w:spacing w:after="0"/>
              <w:rPr>
                <w:sz w:val="15"/>
                <w:szCs w:val="15"/>
                <w:color w:val="auto"/>
              </w:rPr>
            </w:pPr>
          </w:p>
        </w:tc>
        <w:tc>
          <w:tcPr>
            <w:tcW w:w="32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102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660" w:type="dxa"/>
            <w:vAlign w:val="bottom"/>
            <w:shd w:val="clear" w:color="auto" w:fill="CCEEFF"/>
          </w:tcPr>
          <w:p>
            <w:pPr>
              <w:spacing w:after="0"/>
              <w:rPr>
                <w:sz w:val="15"/>
                <w:szCs w:val="15"/>
                <w:color w:val="auto"/>
              </w:rPr>
            </w:pPr>
          </w:p>
        </w:tc>
        <w:tc>
          <w:tcPr>
            <w:tcW w:w="160" w:type="dxa"/>
            <w:vAlign w:val="bottom"/>
            <w:tcBorders>
              <w:right w:val="single" w:sz="8" w:color="CCEEFF"/>
            </w:tcBorders>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64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4620" w:type="dxa"/>
            <w:vAlign w:val="bottom"/>
          </w:tcPr>
          <w:p>
            <w:pPr>
              <w:spacing w:after="0"/>
              <w:rPr>
                <w:sz w:val="20"/>
                <w:szCs w:val="20"/>
                <w:color w:val="auto"/>
              </w:rPr>
            </w:pPr>
            <w:r>
              <w:rPr>
                <w:rFonts w:ascii="Arial" w:cs="Arial" w:eastAsia="Arial" w:hAnsi="Arial"/>
                <w:sz w:val="16"/>
                <w:szCs w:val="16"/>
                <w:color w:val="auto"/>
              </w:rPr>
              <w:t>Comprehensive income (loss)</w:t>
            </w:r>
          </w:p>
        </w:tc>
        <w:tc>
          <w:tcPr>
            <w:tcW w:w="3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105,763</w:t>
            </w: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6"/>
                <w:szCs w:val="16"/>
                <w:color w:val="auto"/>
              </w:rPr>
              <w:t>25,915</w:t>
            </w: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(22,020)</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4620" w:type="dxa"/>
            <w:vAlign w:val="bottom"/>
            <w:shd w:val="clear" w:color="auto" w:fill="CCEEFF"/>
          </w:tcPr>
          <w:p>
            <w:pPr>
              <w:spacing w:after="0"/>
              <w:rPr>
                <w:sz w:val="20"/>
                <w:szCs w:val="20"/>
                <w:color w:val="auto"/>
              </w:rPr>
            </w:pPr>
            <w:r>
              <w:rPr>
                <w:rFonts w:ascii="Arial" w:cs="Arial" w:eastAsia="Arial" w:hAnsi="Arial"/>
                <w:sz w:val="16"/>
                <w:szCs w:val="16"/>
                <w:color w:val="auto"/>
              </w:rPr>
              <w:t>Less: Comprehensive income attributable to noncontrolling</w:t>
            </w:r>
          </w:p>
        </w:tc>
        <w:tc>
          <w:tcPr>
            <w:tcW w:w="32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10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660" w:type="dxa"/>
            <w:vAlign w:val="bottom"/>
            <w:shd w:val="clear" w:color="auto" w:fill="CCEEFF"/>
          </w:tcPr>
          <w:p>
            <w:pPr>
              <w:spacing w:after="0"/>
              <w:rPr>
                <w:sz w:val="16"/>
                <w:szCs w:val="16"/>
                <w:color w:val="auto"/>
              </w:rPr>
            </w:pPr>
          </w:p>
        </w:tc>
        <w:tc>
          <w:tcPr>
            <w:tcW w:w="160" w:type="dxa"/>
            <w:vAlign w:val="bottom"/>
            <w:tcBorders>
              <w:right w:val="single" w:sz="8" w:color="CCEEFF"/>
            </w:tcBorders>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64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4620" w:type="dxa"/>
            <w:vAlign w:val="bottom"/>
            <w:shd w:val="clear" w:color="auto" w:fill="CCEEFF"/>
          </w:tcPr>
          <w:p>
            <w:pPr>
              <w:spacing w:after="0"/>
              <w:rPr>
                <w:sz w:val="20"/>
                <w:szCs w:val="20"/>
                <w:color w:val="auto"/>
              </w:rPr>
            </w:pPr>
            <w:r>
              <w:rPr>
                <w:rFonts w:ascii="Arial" w:cs="Arial" w:eastAsia="Arial" w:hAnsi="Arial"/>
                <w:sz w:val="16"/>
                <w:szCs w:val="16"/>
                <w:color w:val="auto"/>
              </w:rPr>
              <w:t>interests</w:t>
            </w:r>
          </w:p>
        </w:tc>
        <w:tc>
          <w:tcPr>
            <w:tcW w:w="32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(4,524)</w:t>
            </w:r>
          </w:p>
        </w:tc>
        <w:tc>
          <w:tcPr>
            <w:tcW w:w="16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(4,563)</w:t>
            </w:r>
          </w:p>
        </w:tc>
        <w:tc>
          <w:tcPr>
            <w:tcW w:w="160" w:type="dxa"/>
            <w:vAlign w:val="bottom"/>
            <w:tcBorders>
              <w:right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(5,017)</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4620" w:type="dxa"/>
            <w:vAlign w:val="bottom"/>
          </w:tcPr>
          <w:p>
            <w:pPr>
              <w:ind w:left="520"/>
              <w:spacing w:after="0" w:line="173" w:lineRule="exact"/>
              <w:rPr>
                <w:sz w:val="20"/>
                <w:szCs w:val="20"/>
                <w:color w:val="auto"/>
              </w:rPr>
            </w:pPr>
            <w:r>
              <w:rPr>
                <w:rFonts w:ascii="Arial" w:cs="Arial" w:eastAsia="Arial" w:hAnsi="Arial"/>
                <w:sz w:val="16"/>
                <w:szCs w:val="16"/>
                <w:color w:val="auto"/>
              </w:rPr>
              <w:t>Comprehensive income (loss) attributable to Acushnet</w:t>
            </w:r>
          </w:p>
        </w:tc>
        <w:tc>
          <w:tcPr>
            <w:tcW w:w="600" w:type="dxa"/>
            <w:vAlign w:val="bottom"/>
            <w:gridSpan w:val="2"/>
            <w:vMerge w:val="restart"/>
          </w:tcPr>
          <w:p>
            <w:pPr>
              <w:jc w:val="right"/>
              <w:ind w:right="220"/>
              <w:spacing w:after="0"/>
              <w:rPr>
                <w:sz w:val="20"/>
                <w:szCs w:val="20"/>
                <w:color w:val="auto"/>
              </w:rPr>
            </w:pPr>
            <w:r>
              <w:rPr>
                <w:rFonts w:ascii="Arial" w:cs="Arial" w:eastAsia="Arial" w:hAnsi="Arial"/>
                <w:sz w:val="16"/>
                <w:szCs w:val="16"/>
                <w:color w:val="auto"/>
              </w:rPr>
              <w:t>$</w:t>
            </w:r>
          </w:p>
        </w:tc>
        <w:tc>
          <w:tcPr>
            <w:tcW w:w="1020" w:type="dxa"/>
            <w:vAlign w:val="bottom"/>
            <w:vMerge w:val="restart"/>
          </w:tcPr>
          <w:p>
            <w:pPr>
              <w:jc w:val="right"/>
              <w:spacing w:after="0"/>
              <w:rPr>
                <w:sz w:val="20"/>
                <w:szCs w:val="20"/>
                <w:color w:val="auto"/>
              </w:rPr>
            </w:pPr>
            <w:r>
              <w:rPr>
                <w:rFonts w:ascii="Arial" w:cs="Arial" w:eastAsia="Arial" w:hAnsi="Arial"/>
                <w:sz w:val="16"/>
                <w:szCs w:val="16"/>
                <w:color w:val="auto"/>
              </w:rPr>
              <w:t>101,239</w:t>
            </w:r>
          </w:p>
        </w:tc>
        <w:tc>
          <w:tcPr>
            <w:tcW w:w="320" w:type="dxa"/>
            <w:vAlign w:val="bottom"/>
            <w:gridSpan w:val="2"/>
            <w:vMerge w:val="restart"/>
          </w:tcPr>
          <w:p>
            <w:pPr>
              <w:jc w:val="right"/>
              <w:ind w:right="80"/>
              <w:spacing w:after="0"/>
              <w:rPr>
                <w:sz w:val="20"/>
                <w:szCs w:val="20"/>
                <w:color w:val="auto"/>
              </w:rPr>
            </w:pPr>
            <w:r>
              <w:rPr>
                <w:rFonts w:ascii="Arial" w:cs="Arial" w:eastAsia="Arial" w:hAnsi="Arial"/>
                <w:sz w:val="16"/>
                <w:szCs w:val="16"/>
                <w:color w:val="auto"/>
              </w:rPr>
              <w:t>$</w:t>
            </w:r>
          </w:p>
        </w:tc>
        <w:tc>
          <w:tcPr>
            <w:tcW w:w="660" w:type="dxa"/>
            <w:vAlign w:val="bottom"/>
            <w:vMerge w:val="restart"/>
          </w:tcPr>
          <w:p>
            <w:pPr>
              <w:jc w:val="right"/>
              <w:spacing w:after="0"/>
              <w:rPr>
                <w:sz w:val="20"/>
                <w:szCs w:val="20"/>
                <w:color w:val="auto"/>
              </w:rPr>
            </w:pPr>
            <w:r>
              <w:rPr>
                <w:rFonts w:ascii="Arial" w:cs="Arial" w:eastAsia="Arial" w:hAnsi="Arial"/>
                <w:sz w:val="16"/>
                <w:szCs w:val="16"/>
                <w:color w:val="auto"/>
              </w:rPr>
              <w:t>21,352</w:t>
            </w:r>
          </w:p>
        </w:tc>
        <w:tc>
          <w:tcPr>
            <w:tcW w:w="160" w:type="dxa"/>
            <w:vAlign w:val="bottom"/>
          </w:tcPr>
          <w:p>
            <w:pPr>
              <w:spacing w:after="0"/>
              <w:rPr>
                <w:sz w:val="15"/>
                <w:szCs w:val="15"/>
                <w:color w:val="auto"/>
              </w:rPr>
            </w:pPr>
          </w:p>
        </w:tc>
        <w:tc>
          <w:tcPr>
            <w:tcW w:w="160" w:type="dxa"/>
            <w:vAlign w:val="bottom"/>
            <w:vMerge w:val="restart"/>
          </w:tcPr>
          <w:p>
            <w:pPr>
              <w:jc w:val="right"/>
              <w:ind w:right="4"/>
              <w:spacing w:after="0"/>
              <w:rPr>
                <w:sz w:val="20"/>
                <w:szCs w:val="20"/>
                <w:color w:val="auto"/>
              </w:rPr>
            </w:pPr>
            <w:r>
              <w:rPr>
                <w:rFonts w:ascii="Arial" w:cs="Arial" w:eastAsia="Arial" w:hAnsi="Arial"/>
                <w:sz w:val="15"/>
                <w:szCs w:val="15"/>
                <w:color w:val="auto"/>
                <w:w w:val="71"/>
              </w:rPr>
              <w:t>$</w:t>
            </w:r>
          </w:p>
        </w:tc>
        <w:tc>
          <w:tcPr>
            <w:tcW w:w="640" w:type="dxa"/>
            <w:vAlign w:val="bottom"/>
            <w:vMerge w:val="restart"/>
          </w:tcPr>
          <w:p>
            <w:pPr>
              <w:jc w:val="right"/>
              <w:spacing w:after="0"/>
              <w:rPr>
                <w:sz w:val="20"/>
                <w:szCs w:val="20"/>
                <w:color w:val="auto"/>
              </w:rPr>
            </w:pPr>
            <w:r>
              <w:rPr>
                <w:rFonts w:ascii="Arial" w:cs="Arial" w:eastAsia="Arial" w:hAnsi="Arial"/>
                <w:sz w:val="16"/>
                <w:szCs w:val="16"/>
                <w:color w:val="auto"/>
              </w:rPr>
              <w:t>(27,037)</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99"/>
        </w:trPr>
        <w:tc>
          <w:tcPr>
            <w:tcW w:w="20" w:type="dxa"/>
            <w:vAlign w:val="bottom"/>
          </w:tcPr>
          <w:p>
            <w:pPr>
              <w:spacing w:after="0"/>
              <w:rPr>
                <w:sz w:val="17"/>
                <w:szCs w:val="17"/>
                <w:color w:val="auto"/>
              </w:rPr>
            </w:pPr>
          </w:p>
        </w:tc>
        <w:tc>
          <w:tcPr>
            <w:tcW w:w="4620" w:type="dxa"/>
            <w:vAlign w:val="bottom"/>
          </w:tcPr>
          <w:p>
            <w:pPr>
              <w:ind w:left="520"/>
              <w:spacing w:after="0"/>
              <w:rPr>
                <w:sz w:val="20"/>
                <w:szCs w:val="20"/>
                <w:color w:val="auto"/>
              </w:rPr>
            </w:pPr>
            <w:r>
              <w:rPr>
                <w:rFonts w:ascii="Arial" w:cs="Arial" w:eastAsia="Arial" w:hAnsi="Arial"/>
                <w:sz w:val="16"/>
                <w:szCs w:val="16"/>
                <w:color w:val="auto"/>
              </w:rPr>
              <w:t>Holdings Corp.</w:t>
            </w:r>
          </w:p>
        </w:tc>
        <w:tc>
          <w:tcPr>
            <w:tcW w:w="600" w:type="dxa"/>
            <w:vAlign w:val="bottom"/>
            <w:gridSpan w:val="2"/>
            <w:vMerge w:val="continue"/>
          </w:tcPr>
          <w:p>
            <w:pPr>
              <w:spacing w:after="0"/>
              <w:rPr>
                <w:sz w:val="17"/>
                <w:szCs w:val="17"/>
                <w:color w:val="auto"/>
              </w:rPr>
            </w:pPr>
          </w:p>
        </w:tc>
        <w:tc>
          <w:tcPr>
            <w:tcW w:w="1020" w:type="dxa"/>
            <w:vAlign w:val="bottom"/>
            <w:vMerge w:val="continue"/>
          </w:tcPr>
          <w:p>
            <w:pPr>
              <w:spacing w:after="0"/>
              <w:rPr>
                <w:sz w:val="17"/>
                <w:szCs w:val="17"/>
                <w:color w:val="auto"/>
              </w:rPr>
            </w:pPr>
          </w:p>
        </w:tc>
        <w:tc>
          <w:tcPr>
            <w:tcW w:w="320" w:type="dxa"/>
            <w:vAlign w:val="bottom"/>
            <w:gridSpan w:val="2"/>
            <w:vMerge w:val="continue"/>
          </w:tcPr>
          <w:p>
            <w:pPr>
              <w:spacing w:after="0"/>
              <w:rPr>
                <w:sz w:val="17"/>
                <w:szCs w:val="17"/>
                <w:color w:val="auto"/>
              </w:rPr>
            </w:pPr>
          </w:p>
        </w:tc>
        <w:tc>
          <w:tcPr>
            <w:tcW w:w="660" w:type="dxa"/>
            <w:vAlign w:val="bottom"/>
            <w:vMerge w:val="continue"/>
          </w:tcPr>
          <w:p>
            <w:pPr>
              <w:spacing w:after="0"/>
              <w:rPr>
                <w:sz w:val="17"/>
                <w:szCs w:val="17"/>
                <w:color w:val="auto"/>
              </w:rPr>
            </w:pPr>
          </w:p>
        </w:tc>
        <w:tc>
          <w:tcPr>
            <w:tcW w:w="160" w:type="dxa"/>
            <w:vAlign w:val="bottom"/>
          </w:tcPr>
          <w:p>
            <w:pPr>
              <w:spacing w:after="0"/>
              <w:rPr>
                <w:sz w:val="17"/>
                <w:szCs w:val="17"/>
                <w:color w:val="auto"/>
              </w:rPr>
            </w:pPr>
          </w:p>
        </w:tc>
        <w:tc>
          <w:tcPr>
            <w:tcW w:w="160" w:type="dxa"/>
            <w:vAlign w:val="bottom"/>
            <w:vMerge w:val="continue"/>
          </w:tcPr>
          <w:p>
            <w:pPr>
              <w:spacing w:after="0"/>
              <w:rPr>
                <w:sz w:val="17"/>
                <w:szCs w:val="17"/>
                <w:color w:val="auto"/>
              </w:rPr>
            </w:pPr>
          </w:p>
        </w:tc>
        <w:tc>
          <w:tcPr>
            <w:tcW w:w="640" w:type="dxa"/>
            <w:vAlign w:val="bottom"/>
            <w:vMerge w:val="continue"/>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4620" w:type="dxa"/>
            <w:vAlign w:val="bottom"/>
          </w:tcPr>
          <w:p>
            <w:pPr>
              <w:spacing w:after="0"/>
              <w:rPr>
                <w:sz w:val="2"/>
                <w:szCs w:val="2"/>
                <w:color w:val="auto"/>
              </w:rPr>
            </w:pPr>
          </w:p>
        </w:tc>
        <w:tc>
          <w:tcPr>
            <w:tcW w:w="320" w:type="dxa"/>
            <w:vAlign w:val="bottom"/>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160" w:type="dxa"/>
            <w:vAlign w:val="bottom"/>
            <w:tcBorders>
              <w:right w:val="single" w:sz="8" w:color="auto"/>
            </w:tcBorders>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consolidated financial statements.</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83185</wp:posOffset>
            </wp:positionV>
            <wp:extent cx="5240020" cy="2603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29">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92" w:name="page93"/>
    <w:bookmarkEnd w:id="92"/>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ACUSHNET HOLDINGS CORP.</w:t>
      </w:r>
    </w:p>
    <w:p>
      <w:pPr>
        <w:spacing w:after="0" w:line="6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86" w:lineRule="exact"/>
        <w:rPr>
          <w:sz w:val="20"/>
          <w:szCs w:val="20"/>
          <w:color w:val="auto"/>
        </w:rPr>
      </w:pPr>
    </w:p>
    <w:tbl>
      <w:tblPr>
        <w:tblLayout w:type="fixed"/>
        <w:tblInd w:w="380" w:type="dxa"/>
        <w:tblCellMar>
          <w:top w:w="0" w:type="dxa"/>
          <w:left w:w="0" w:type="dxa"/>
          <w:bottom w:w="0" w:type="dxa"/>
          <w:right w:w="0" w:type="dxa"/>
        </w:tblCellMar>
      </w:tblPr>
      <w:tr>
        <w:trPr>
          <w:trHeight w:val="171"/>
        </w:trPr>
        <w:tc>
          <w:tcPr>
            <w:tcW w:w="4700" w:type="dxa"/>
            <w:vAlign w:val="bottom"/>
            <w:vMerge w:val="restart"/>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300" w:type="dxa"/>
            <w:vAlign w:val="bottom"/>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2140" w:type="dxa"/>
            <w:vAlign w:val="bottom"/>
            <w:tcBorders>
              <w:bottom w:val="single" w:sz="8" w:color="auto"/>
            </w:tcBorders>
            <w:gridSpan w:val="5"/>
          </w:tcPr>
          <w:p>
            <w:pPr>
              <w:ind w:left="520"/>
              <w:spacing w:after="0"/>
              <w:rPr>
                <w:sz w:val="20"/>
                <w:szCs w:val="20"/>
                <w:color w:val="auto"/>
              </w:rPr>
            </w:pPr>
            <w:r>
              <w:rPr>
                <w:rFonts w:ascii="Arial" w:cs="Arial" w:eastAsia="Arial" w:hAnsi="Arial"/>
                <w:sz w:val="14"/>
                <w:szCs w:val="14"/>
                <w:b w:val="1"/>
                <w:bCs w:val="1"/>
                <w:color w:val="auto"/>
                <w:w w:val="93"/>
              </w:rPr>
              <w:t>Year ended December 31,</w:t>
            </w:r>
          </w:p>
        </w:tc>
        <w:tc>
          <w:tcPr>
            <w:tcW w:w="2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4700" w:type="dxa"/>
            <w:vAlign w:val="bottom"/>
            <w:tcBorders>
              <w:bottom w:val="single" w:sz="8" w:color="CCEEFF"/>
            </w:tcBorders>
            <w:vMerge w:val="continue"/>
          </w:tcPr>
          <w:p>
            <w:pPr>
              <w:spacing w:after="0"/>
              <w:rPr>
                <w:sz w:val="12"/>
                <w:szCs w:val="12"/>
                <w:color w:val="auto"/>
              </w:rPr>
            </w:pPr>
          </w:p>
        </w:tc>
        <w:tc>
          <w:tcPr>
            <w:tcW w:w="300" w:type="dxa"/>
            <w:vAlign w:val="bottom"/>
            <w:tcBorders>
              <w:bottom w:val="single" w:sz="8" w:color="CCEEFF"/>
            </w:tcBorders>
          </w:tcPr>
          <w:p>
            <w:pPr>
              <w:spacing w:after="0"/>
              <w:rPr>
                <w:sz w:val="12"/>
                <w:szCs w:val="12"/>
                <w:color w:val="auto"/>
              </w:rPr>
            </w:pPr>
          </w:p>
        </w:tc>
        <w:tc>
          <w:tcPr>
            <w:tcW w:w="300" w:type="dxa"/>
            <w:vAlign w:val="bottom"/>
            <w:tcBorders>
              <w:bottom w:val="single" w:sz="8" w:color="auto"/>
            </w:tcBorders>
          </w:tcPr>
          <w:p>
            <w:pPr>
              <w:spacing w:after="0"/>
              <w:rPr>
                <w:sz w:val="12"/>
                <w:szCs w:val="12"/>
                <w:color w:val="auto"/>
              </w:rPr>
            </w:pPr>
          </w:p>
        </w:tc>
        <w:tc>
          <w:tcPr>
            <w:tcW w:w="1020" w:type="dxa"/>
            <w:vAlign w:val="bottom"/>
            <w:tcBorders>
              <w:bottom w:val="single" w:sz="8" w:color="auto"/>
            </w:tcBorders>
          </w:tcPr>
          <w:p>
            <w:pPr>
              <w:jc w:val="right"/>
              <w:ind w:right="448"/>
              <w:spacing w:after="0" w:line="142" w:lineRule="exact"/>
              <w:rPr>
                <w:sz w:val="20"/>
                <w:szCs w:val="20"/>
                <w:color w:val="auto"/>
              </w:rPr>
            </w:pPr>
            <w:r>
              <w:rPr>
                <w:rFonts w:ascii="Arial" w:cs="Arial" w:eastAsia="Arial" w:hAnsi="Arial"/>
                <w:sz w:val="14"/>
                <w:szCs w:val="14"/>
                <w:b w:val="1"/>
                <w:bCs w:val="1"/>
                <w:color w:val="auto"/>
              </w:rPr>
              <w:t>2017</w:t>
            </w:r>
          </w:p>
        </w:tc>
        <w:tc>
          <w:tcPr>
            <w:tcW w:w="160" w:type="dxa"/>
            <w:vAlign w:val="bottom"/>
            <w:tcBorders>
              <w:bottom w:val="single" w:sz="8" w:color="CCEEFF"/>
            </w:tcBorders>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jc w:val="right"/>
              <w:ind w:right="208"/>
              <w:spacing w:after="0" w:line="142" w:lineRule="exact"/>
              <w:rPr>
                <w:sz w:val="20"/>
                <w:szCs w:val="20"/>
                <w:color w:val="auto"/>
              </w:rPr>
            </w:pPr>
            <w:r>
              <w:rPr>
                <w:rFonts w:ascii="Arial" w:cs="Arial" w:eastAsia="Arial" w:hAnsi="Arial"/>
                <w:sz w:val="14"/>
                <w:szCs w:val="14"/>
                <w:b w:val="1"/>
                <w:bCs w:val="1"/>
                <w:color w:val="auto"/>
              </w:rPr>
              <w:t>2016</w:t>
            </w:r>
          </w:p>
        </w:tc>
        <w:tc>
          <w:tcPr>
            <w:tcW w:w="140" w:type="dxa"/>
            <w:vAlign w:val="bottom"/>
            <w:tcBorders>
              <w:bottom w:val="single" w:sz="8" w:color="CCEEFF"/>
            </w:tcBorders>
          </w:tcPr>
          <w:p>
            <w:pPr>
              <w:spacing w:after="0"/>
              <w:rPr>
                <w:sz w:val="12"/>
                <w:szCs w:val="12"/>
                <w:color w:val="auto"/>
              </w:rPr>
            </w:pPr>
          </w:p>
        </w:tc>
        <w:tc>
          <w:tcPr>
            <w:tcW w:w="20" w:type="dxa"/>
            <w:vAlign w:val="bottom"/>
            <w:tcBorders>
              <w:bottom w:val="single" w:sz="8" w:color="CCEEFF"/>
            </w:tcBorders>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jc w:val="right"/>
              <w:ind w:right="208"/>
              <w:spacing w:after="0" w:line="142" w:lineRule="exact"/>
              <w:rPr>
                <w:sz w:val="20"/>
                <w:szCs w:val="20"/>
                <w:color w:val="auto"/>
              </w:rPr>
            </w:pPr>
            <w:r>
              <w:rPr>
                <w:rFonts w:ascii="Arial" w:cs="Arial" w:eastAsia="Arial" w:hAnsi="Arial"/>
                <w:sz w:val="14"/>
                <w:szCs w:val="14"/>
                <w:b w:val="1"/>
                <w:bCs w:val="1"/>
                <w:color w:val="auto"/>
              </w:rPr>
              <w:t>2015</w:t>
            </w:r>
          </w:p>
        </w:tc>
        <w:tc>
          <w:tcPr>
            <w:tcW w:w="4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183"/>
        </w:trPr>
        <w:tc>
          <w:tcPr>
            <w:tcW w:w="4700" w:type="dxa"/>
            <w:vAlign w:val="bottom"/>
            <w:shd w:val="clear" w:color="auto" w:fill="CCEEFF"/>
          </w:tcPr>
          <w:p>
            <w:pPr>
              <w:spacing w:after="0"/>
              <w:rPr>
                <w:sz w:val="20"/>
                <w:szCs w:val="20"/>
                <w:color w:val="auto"/>
              </w:rPr>
            </w:pPr>
            <w:r>
              <w:rPr>
                <w:rFonts w:ascii="Arial" w:cs="Arial" w:eastAsia="Arial" w:hAnsi="Arial"/>
                <w:sz w:val="14"/>
                <w:szCs w:val="14"/>
                <w:b w:val="1"/>
                <w:bCs w:val="1"/>
                <w:color w:val="auto"/>
              </w:rPr>
              <w:t>Cash flows from operating activities</w:t>
            </w:r>
          </w:p>
        </w:tc>
        <w:tc>
          <w:tcPr>
            <w:tcW w:w="300" w:type="dxa"/>
            <w:vAlign w:val="bottom"/>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102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66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660" w:type="dxa"/>
            <w:vAlign w:val="bottom"/>
            <w:shd w:val="clear" w:color="auto" w:fill="CCEEFF"/>
          </w:tcPr>
          <w:p>
            <w:pPr>
              <w:spacing w:after="0"/>
              <w:rPr>
                <w:sz w:val="15"/>
                <w:szCs w:val="15"/>
                <w:color w:val="auto"/>
              </w:rPr>
            </w:pPr>
          </w:p>
        </w:tc>
        <w:tc>
          <w:tcPr>
            <w:tcW w:w="4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4700" w:type="dxa"/>
            <w:vAlign w:val="bottom"/>
          </w:tcPr>
          <w:p>
            <w:pPr>
              <w:spacing w:after="0"/>
              <w:rPr>
                <w:sz w:val="20"/>
                <w:szCs w:val="20"/>
                <w:color w:val="auto"/>
              </w:rPr>
            </w:pPr>
            <w:r>
              <w:rPr>
                <w:rFonts w:ascii="Arial" w:cs="Arial" w:eastAsia="Arial" w:hAnsi="Arial"/>
                <w:sz w:val="14"/>
                <w:szCs w:val="14"/>
                <w:color w:val="auto"/>
              </w:rPr>
              <w:t>Net income</w:t>
            </w:r>
          </w:p>
        </w:tc>
        <w:tc>
          <w:tcPr>
            <w:tcW w:w="6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20" w:type="dxa"/>
            <w:vAlign w:val="bottom"/>
          </w:tcPr>
          <w:p>
            <w:pPr>
              <w:jc w:val="right"/>
              <w:spacing w:after="0"/>
              <w:rPr>
                <w:sz w:val="20"/>
                <w:szCs w:val="20"/>
                <w:color w:val="auto"/>
              </w:rPr>
            </w:pPr>
            <w:r>
              <w:rPr>
                <w:rFonts w:ascii="Arial" w:cs="Arial" w:eastAsia="Arial" w:hAnsi="Arial"/>
                <w:sz w:val="14"/>
                <w:szCs w:val="14"/>
                <w:color w:val="auto"/>
              </w:rPr>
              <w:t>96,620</w:t>
            </w:r>
          </w:p>
        </w:tc>
        <w:tc>
          <w:tcPr>
            <w:tcW w:w="32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660" w:type="dxa"/>
            <w:vAlign w:val="bottom"/>
          </w:tcPr>
          <w:p>
            <w:pPr>
              <w:jc w:val="right"/>
              <w:spacing w:after="0"/>
              <w:rPr>
                <w:sz w:val="20"/>
                <w:szCs w:val="20"/>
                <w:color w:val="auto"/>
              </w:rPr>
            </w:pPr>
            <w:r>
              <w:rPr>
                <w:rFonts w:ascii="Arial" w:cs="Arial" w:eastAsia="Arial" w:hAnsi="Arial"/>
                <w:sz w:val="14"/>
                <w:szCs w:val="14"/>
                <w:color w:val="auto"/>
              </w:rPr>
              <w:t>49,515</w:t>
            </w:r>
          </w:p>
        </w:tc>
        <w:tc>
          <w:tcPr>
            <w:tcW w:w="140" w:type="dxa"/>
            <w:vAlign w:val="bottom"/>
          </w:tcPr>
          <w:p>
            <w:pPr>
              <w:spacing w:after="0"/>
              <w:rPr>
                <w:sz w:val="17"/>
                <w:szCs w:val="17"/>
                <w:color w:val="auto"/>
              </w:rPr>
            </w:pPr>
          </w:p>
        </w:tc>
        <w:tc>
          <w:tcPr>
            <w:tcW w:w="180" w:type="dxa"/>
            <w:vAlign w:val="bottom"/>
            <w:gridSpan w:val="2"/>
          </w:tcPr>
          <w:p>
            <w:pPr>
              <w:jc w:val="right"/>
              <w:ind w:right="100"/>
              <w:spacing w:after="0"/>
              <w:rPr>
                <w:sz w:val="20"/>
                <w:szCs w:val="20"/>
                <w:color w:val="auto"/>
              </w:rPr>
            </w:pPr>
            <w:r>
              <w:rPr>
                <w:rFonts w:ascii="Arial" w:cs="Arial" w:eastAsia="Arial" w:hAnsi="Arial"/>
                <w:sz w:val="14"/>
                <w:szCs w:val="14"/>
                <w:color w:val="auto"/>
                <w:w w:val="76"/>
              </w:rPr>
              <w:t>$</w:t>
            </w:r>
          </w:p>
        </w:tc>
        <w:tc>
          <w:tcPr>
            <w:tcW w:w="660" w:type="dxa"/>
            <w:vAlign w:val="bottom"/>
          </w:tcPr>
          <w:p>
            <w:pPr>
              <w:jc w:val="right"/>
              <w:spacing w:after="0"/>
              <w:rPr>
                <w:sz w:val="20"/>
                <w:szCs w:val="20"/>
                <w:color w:val="auto"/>
              </w:rPr>
            </w:pPr>
            <w:r>
              <w:rPr>
                <w:rFonts w:ascii="Arial" w:cs="Arial" w:eastAsia="Arial" w:hAnsi="Arial"/>
                <w:sz w:val="14"/>
                <w:szCs w:val="14"/>
                <w:color w:val="auto"/>
              </w:rPr>
              <w:t>4,156</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30"/>
        </w:trPr>
        <w:tc>
          <w:tcPr>
            <w:tcW w:w="4700" w:type="dxa"/>
            <w:vAlign w:val="bottom"/>
            <w:shd w:val="clear" w:color="auto" w:fill="CCEEFF"/>
          </w:tcPr>
          <w:p>
            <w:pPr>
              <w:spacing w:after="0" w:line="130" w:lineRule="exact"/>
              <w:rPr>
                <w:sz w:val="20"/>
                <w:szCs w:val="20"/>
                <w:color w:val="auto"/>
              </w:rPr>
            </w:pPr>
            <w:r>
              <w:rPr>
                <w:rFonts w:ascii="Arial" w:cs="Arial" w:eastAsia="Arial" w:hAnsi="Arial"/>
                <w:sz w:val="14"/>
                <w:szCs w:val="14"/>
                <w:color w:val="auto"/>
                <w:w w:val="99"/>
              </w:rPr>
              <w:t>Adjustments to reconcile net income to cash provided by (used in) operating</w:t>
            </w:r>
          </w:p>
        </w:tc>
        <w:tc>
          <w:tcPr>
            <w:tcW w:w="30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4700" w:type="dxa"/>
            <w:vAlign w:val="bottom"/>
            <w:shd w:val="clear" w:color="auto" w:fill="CCEEFF"/>
          </w:tcPr>
          <w:p>
            <w:pPr>
              <w:spacing w:after="0"/>
              <w:rPr>
                <w:sz w:val="20"/>
                <w:szCs w:val="20"/>
                <w:color w:val="auto"/>
              </w:rPr>
            </w:pPr>
            <w:r>
              <w:rPr>
                <w:rFonts w:ascii="Arial" w:cs="Arial" w:eastAsia="Arial" w:hAnsi="Arial"/>
                <w:sz w:val="14"/>
                <w:szCs w:val="14"/>
                <w:color w:val="auto"/>
              </w:rPr>
              <w:t>activities</w:t>
            </w:r>
          </w:p>
        </w:tc>
        <w:tc>
          <w:tcPr>
            <w:tcW w:w="30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66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66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03"/>
        </w:trPr>
        <w:tc>
          <w:tcPr>
            <w:tcW w:w="4700" w:type="dxa"/>
            <w:vAlign w:val="bottom"/>
          </w:tcPr>
          <w:p>
            <w:pPr>
              <w:ind w:left="120"/>
              <w:spacing w:after="0"/>
              <w:rPr>
                <w:sz w:val="20"/>
                <w:szCs w:val="20"/>
                <w:color w:val="auto"/>
              </w:rPr>
            </w:pPr>
            <w:r>
              <w:rPr>
                <w:rFonts w:ascii="Arial" w:cs="Arial" w:eastAsia="Arial" w:hAnsi="Arial"/>
                <w:sz w:val="14"/>
                <w:szCs w:val="14"/>
                <w:color w:val="auto"/>
              </w:rPr>
              <w:t>Depreciation and amortization</w:t>
            </w:r>
          </w:p>
        </w:tc>
        <w:tc>
          <w:tcPr>
            <w:tcW w:w="3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40,871</w:t>
            </w: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40,834</w:t>
            </w: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41,702</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700" w:type="dxa"/>
            <w:vAlign w:val="bottom"/>
            <w:shd w:val="clear" w:color="auto" w:fill="CCEEFF"/>
          </w:tcPr>
          <w:p>
            <w:pPr>
              <w:ind w:left="120"/>
              <w:spacing w:after="0"/>
              <w:rPr>
                <w:sz w:val="20"/>
                <w:szCs w:val="20"/>
                <w:color w:val="auto"/>
              </w:rPr>
            </w:pPr>
            <w:r>
              <w:rPr>
                <w:rFonts w:ascii="Arial" w:cs="Arial" w:eastAsia="Arial" w:hAnsi="Arial"/>
                <w:sz w:val="14"/>
                <w:szCs w:val="14"/>
                <w:color w:val="auto"/>
              </w:rPr>
              <w:t>Unrealized foreign exchange (gain) loss</w:t>
            </w:r>
          </w:p>
        </w:tc>
        <w:tc>
          <w:tcPr>
            <w:tcW w:w="3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(4,028)</w:t>
            </w:r>
          </w:p>
        </w:tc>
        <w:tc>
          <w:tcPr>
            <w:tcW w:w="1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(2,347)</w:t>
            </w:r>
          </w:p>
        </w:tc>
        <w:tc>
          <w:tcPr>
            <w:tcW w:w="1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2,933</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700" w:type="dxa"/>
            <w:vAlign w:val="bottom"/>
          </w:tcPr>
          <w:p>
            <w:pPr>
              <w:ind w:left="120"/>
              <w:spacing w:after="0"/>
              <w:rPr>
                <w:sz w:val="20"/>
                <w:szCs w:val="20"/>
                <w:color w:val="auto"/>
              </w:rPr>
            </w:pPr>
            <w:r>
              <w:rPr>
                <w:rFonts w:ascii="Arial" w:cs="Arial" w:eastAsia="Arial" w:hAnsi="Arial"/>
                <w:sz w:val="14"/>
                <w:szCs w:val="14"/>
                <w:color w:val="auto"/>
              </w:rPr>
              <w:t>Amortization of debt issuance costs</w:t>
            </w:r>
          </w:p>
        </w:tc>
        <w:tc>
          <w:tcPr>
            <w:tcW w:w="3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1,321</w:t>
            </w: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3,378</w:t>
            </w: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5,157</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700" w:type="dxa"/>
            <w:vAlign w:val="bottom"/>
            <w:shd w:val="clear" w:color="auto" w:fill="CCEEFF"/>
          </w:tcPr>
          <w:p>
            <w:pPr>
              <w:ind w:left="120"/>
              <w:spacing w:after="0"/>
              <w:rPr>
                <w:sz w:val="20"/>
                <w:szCs w:val="20"/>
                <w:color w:val="auto"/>
              </w:rPr>
            </w:pPr>
            <w:r>
              <w:rPr>
                <w:rFonts w:ascii="Arial" w:cs="Arial" w:eastAsia="Arial" w:hAnsi="Arial"/>
                <w:sz w:val="14"/>
                <w:szCs w:val="14"/>
                <w:color w:val="auto"/>
              </w:rPr>
              <w:t>Amortization of discount on bonds payable</w:t>
            </w:r>
          </w:p>
        </w:tc>
        <w:tc>
          <w:tcPr>
            <w:tcW w:w="3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3,963</w:t>
            </w:r>
          </w:p>
        </w:tc>
        <w:tc>
          <w:tcPr>
            <w:tcW w:w="1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4,142</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700" w:type="dxa"/>
            <w:vAlign w:val="bottom"/>
          </w:tcPr>
          <w:p>
            <w:pPr>
              <w:ind w:left="120"/>
              <w:spacing w:after="0"/>
              <w:rPr>
                <w:sz w:val="20"/>
                <w:szCs w:val="20"/>
                <w:color w:val="auto"/>
              </w:rPr>
            </w:pPr>
            <w:r>
              <w:rPr>
                <w:rFonts w:ascii="Arial" w:cs="Arial" w:eastAsia="Arial" w:hAnsi="Arial"/>
                <w:sz w:val="14"/>
                <w:szCs w:val="14"/>
                <w:color w:val="auto"/>
              </w:rPr>
              <w:t>Change in fair value of common stock warrants</w:t>
            </w:r>
          </w:p>
        </w:tc>
        <w:tc>
          <w:tcPr>
            <w:tcW w:w="3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6,112</w:t>
            </w: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28,364</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700" w:type="dxa"/>
            <w:vAlign w:val="bottom"/>
            <w:shd w:val="clear" w:color="auto" w:fill="CCEEFF"/>
          </w:tcPr>
          <w:p>
            <w:pPr>
              <w:ind w:left="120"/>
              <w:spacing w:after="0"/>
              <w:rPr>
                <w:sz w:val="20"/>
                <w:szCs w:val="20"/>
                <w:color w:val="auto"/>
              </w:rPr>
            </w:pPr>
            <w:r>
              <w:rPr>
                <w:rFonts w:ascii="Arial" w:cs="Arial" w:eastAsia="Arial" w:hAnsi="Arial"/>
                <w:sz w:val="14"/>
                <w:szCs w:val="14"/>
                <w:color w:val="auto"/>
              </w:rPr>
              <w:t>Share-based compensation</w:t>
            </w:r>
          </w:p>
        </w:tc>
        <w:tc>
          <w:tcPr>
            <w:tcW w:w="3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15,285</w:t>
            </w:r>
          </w:p>
        </w:tc>
        <w:tc>
          <w:tcPr>
            <w:tcW w:w="1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14,494</w:t>
            </w:r>
          </w:p>
        </w:tc>
        <w:tc>
          <w:tcPr>
            <w:tcW w:w="1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2,033</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700" w:type="dxa"/>
            <w:vAlign w:val="bottom"/>
          </w:tcPr>
          <w:p>
            <w:pPr>
              <w:ind w:left="120"/>
              <w:spacing w:after="0"/>
              <w:rPr>
                <w:sz w:val="20"/>
                <w:szCs w:val="20"/>
                <w:color w:val="auto"/>
              </w:rPr>
            </w:pPr>
            <w:r>
              <w:rPr>
                <w:rFonts w:ascii="Arial" w:cs="Arial" w:eastAsia="Arial" w:hAnsi="Arial"/>
                <w:sz w:val="14"/>
                <w:szCs w:val="14"/>
                <w:color w:val="auto"/>
              </w:rPr>
              <w:t>Loss on disposals of property, plant and equipment</w:t>
            </w:r>
          </w:p>
        </w:tc>
        <w:tc>
          <w:tcPr>
            <w:tcW w:w="3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912</w:t>
            </w: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170</w:t>
            </w: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401</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700" w:type="dxa"/>
            <w:vAlign w:val="bottom"/>
            <w:shd w:val="clear" w:color="auto" w:fill="CCEEFF"/>
          </w:tcPr>
          <w:p>
            <w:pPr>
              <w:ind w:left="120"/>
              <w:spacing w:after="0"/>
              <w:rPr>
                <w:sz w:val="20"/>
                <w:szCs w:val="20"/>
                <w:color w:val="auto"/>
              </w:rPr>
            </w:pPr>
            <w:r>
              <w:rPr>
                <w:rFonts w:ascii="Arial" w:cs="Arial" w:eastAsia="Arial" w:hAnsi="Arial"/>
                <w:sz w:val="14"/>
                <w:szCs w:val="14"/>
                <w:color w:val="auto"/>
              </w:rPr>
              <w:t>Deferred income taxes</w:t>
            </w:r>
          </w:p>
        </w:tc>
        <w:tc>
          <w:tcPr>
            <w:tcW w:w="3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27,853</w:t>
            </w:r>
          </w:p>
        </w:tc>
        <w:tc>
          <w:tcPr>
            <w:tcW w:w="1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7,849</w:t>
            </w:r>
          </w:p>
        </w:tc>
        <w:tc>
          <w:tcPr>
            <w:tcW w:w="1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2,188</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700" w:type="dxa"/>
            <w:vAlign w:val="bottom"/>
          </w:tcPr>
          <w:p>
            <w:pPr>
              <w:ind w:left="120"/>
              <w:spacing w:after="0"/>
              <w:rPr>
                <w:sz w:val="20"/>
                <w:szCs w:val="20"/>
                <w:color w:val="auto"/>
              </w:rPr>
            </w:pPr>
            <w:r>
              <w:rPr>
                <w:rFonts w:ascii="Arial" w:cs="Arial" w:eastAsia="Arial" w:hAnsi="Arial"/>
                <w:sz w:val="14"/>
                <w:szCs w:val="14"/>
                <w:color w:val="auto"/>
              </w:rPr>
              <w:t>Changes in operating assets and liabilities</w:t>
            </w:r>
          </w:p>
        </w:tc>
        <w:tc>
          <w:tcPr>
            <w:tcW w:w="3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7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Accounts receivable</w:t>
            </w:r>
          </w:p>
        </w:tc>
        <w:tc>
          <w:tcPr>
            <w:tcW w:w="3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(2,592)</w:t>
            </w:r>
          </w:p>
        </w:tc>
        <w:tc>
          <w:tcPr>
            <w:tcW w:w="1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12,630</w:t>
            </w:r>
          </w:p>
        </w:tc>
        <w:tc>
          <w:tcPr>
            <w:tcW w:w="1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(174)</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700" w:type="dxa"/>
            <w:vAlign w:val="bottom"/>
          </w:tcPr>
          <w:p>
            <w:pPr>
              <w:ind w:left="220"/>
              <w:spacing w:after="0"/>
              <w:rPr>
                <w:sz w:val="20"/>
                <w:szCs w:val="20"/>
                <w:color w:val="auto"/>
              </w:rPr>
            </w:pPr>
            <w:r>
              <w:rPr>
                <w:rFonts w:ascii="Arial" w:cs="Arial" w:eastAsia="Arial" w:hAnsi="Arial"/>
                <w:sz w:val="14"/>
                <w:szCs w:val="14"/>
                <w:color w:val="auto"/>
              </w:rPr>
              <w:t>Inventories</w:t>
            </w:r>
          </w:p>
        </w:tc>
        <w:tc>
          <w:tcPr>
            <w:tcW w:w="3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(28,372)</w:t>
            </w: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(2,377)</w:t>
            </w: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(45,415)</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7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Accounts payable</w:t>
            </w:r>
          </w:p>
        </w:tc>
        <w:tc>
          <w:tcPr>
            <w:tcW w:w="3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974</w:t>
            </w:r>
          </w:p>
        </w:tc>
        <w:tc>
          <w:tcPr>
            <w:tcW w:w="1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1,968</w:t>
            </w:r>
          </w:p>
        </w:tc>
        <w:tc>
          <w:tcPr>
            <w:tcW w:w="1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(1,998)</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700" w:type="dxa"/>
            <w:vAlign w:val="bottom"/>
          </w:tcPr>
          <w:p>
            <w:pPr>
              <w:ind w:left="220"/>
              <w:spacing w:after="0"/>
              <w:rPr>
                <w:sz w:val="20"/>
                <w:szCs w:val="20"/>
                <w:color w:val="auto"/>
              </w:rPr>
            </w:pPr>
            <w:r>
              <w:rPr>
                <w:rFonts w:ascii="Arial" w:cs="Arial" w:eastAsia="Arial" w:hAnsi="Arial"/>
                <w:sz w:val="14"/>
                <w:szCs w:val="14"/>
                <w:color w:val="auto"/>
              </w:rPr>
              <w:t>Accrued taxes</w:t>
            </w:r>
          </w:p>
        </w:tc>
        <w:tc>
          <w:tcPr>
            <w:tcW w:w="3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(10,283)</w:t>
            </w: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14,666</w:t>
            </w: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540</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7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Accrued expenses and other liabilities</w:t>
            </w:r>
          </w:p>
        </w:tc>
        <w:tc>
          <w:tcPr>
            <w:tcW w:w="3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(145,837)</w:t>
            </w:r>
          </w:p>
        </w:tc>
        <w:tc>
          <w:tcPr>
            <w:tcW w:w="1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113,042</w:t>
            </w:r>
          </w:p>
        </w:tc>
        <w:tc>
          <w:tcPr>
            <w:tcW w:w="1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35,364</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700" w:type="dxa"/>
            <w:vAlign w:val="bottom"/>
          </w:tcPr>
          <w:p>
            <w:pPr>
              <w:ind w:left="220"/>
              <w:spacing w:after="0"/>
              <w:rPr>
                <w:sz w:val="20"/>
                <w:szCs w:val="20"/>
                <w:color w:val="auto"/>
              </w:rPr>
            </w:pPr>
            <w:r>
              <w:rPr>
                <w:rFonts w:ascii="Arial" w:cs="Arial" w:eastAsia="Arial" w:hAnsi="Arial"/>
                <w:sz w:val="14"/>
                <w:szCs w:val="14"/>
                <w:color w:val="auto"/>
              </w:rPr>
              <w:t>Other assets</w:t>
            </w:r>
          </w:p>
        </w:tc>
        <w:tc>
          <w:tcPr>
            <w:tcW w:w="3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(8,477)</w:t>
            </w: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(6,960)</w:t>
            </w: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1,165</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7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Other noncurrent liabilities</w:t>
            </w:r>
          </w:p>
        </w:tc>
        <w:tc>
          <w:tcPr>
            <w:tcW w:w="3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(11,284)</w:t>
            </w:r>
          </w:p>
        </w:tc>
        <w:tc>
          <w:tcPr>
            <w:tcW w:w="1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(140,098)</w:t>
            </w:r>
          </w:p>
        </w:tc>
        <w:tc>
          <w:tcPr>
            <w:tcW w:w="1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12,278</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700" w:type="dxa"/>
            <w:vAlign w:val="bottom"/>
            <w:tcBorders>
              <w:bottom w:val="single" w:sz="8" w:color="CCEEFF"/>
            </w:tcBorders>
          </w:tcPr>
          <w:p>
            <w:pPr>
              <w:ind w:left="220"/>
              <w:spacing w:after="0"/>
              <w:rPr>
                <w:sz w:val="20"/>
                <w:szCs w:val="20"/>
                <w:color w:val="auto"/>
              </w:rPr>
            </w:pPr>
            <w:r>
              <w:rPr>
                <w:rFonts w:ascii="Arial" w:cs="Arial" w:eastAsia="Arial" w:hAnsi="Arial"/>
                <w:sz w:val="14"/>
                <w:szCs w:val="14"/>
                <w:color w:val="auto"/>
              </w:rPr>
              <w:t>Interest due to related parties</w:t>
            </w:r>
          </w:p>
        </w:tc>
        <w:tc>
          <w:tcPr>
            <w:tcW w:w="300" w:type="dxa"/>
            <w:vAlign w:val="bottom"/>
            <w:tcBorders>
              <w:bottom w:val="single" w:sz="8" w:color="CCEEFF"/>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6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(12,570)</w:t>
            </w:r>
          </w:p>
        </w:tc>
        <w:tc>
          <w:tcPr>
            <w:tcW w:w="140" w:type="dxa"/>
            <w:vAlign w:val="bottom"/>
            <w:tcBorders>
              <w:bottom w:val="single" w:sz="8" w:color="CCEEFF"/>
            </w:tcBorders>
          </w:tcPr>
          <w:p>
            <w:pPr>
              <w:spacing w:after="0"/>
              <w:rPr>
                <w:sz w:val="17"/>
                <w:szCs w:val="17"/>
                <w:color w:val="auto"/>
              </w:rPr>
            </w:pPr>
          </w:p>
        </w:tc>
        <w:tc>
          <w:tcPr>
            <w:tcW w:w="2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(1,006)</w:t>
            </w:r>
          </w:p>
        </w:tc>
        <w:tc>
          <w:tcPr>
            <w:tcW w:w="40" w:type="dxa"/>
            <w:vAlign w:val="bottom"/>
            <w:tcBorders>
              <w:bottom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183"/>
        </w:trPr>
        <w:tc>
          <w:tcPr>
            <w:tcW w:w="4700" w:type="dxa"/>
            <w:vAlign w:val="bottom"/>
            <w:shd w:val="clear" w:color="auto" w:fill="CCEEFF"/>
          </w:tcPr>
          <w:p>
            <w:pPr>
              <w:ind w:left="440"/>
              <w:spacing w:after="0"/>
              <w:rPr>
                <w:sz w:val="20"/>
                <w:szCs w:val="20"/>
                <w:color w:val="auto"/>
              </w:rPr>
            </w:pPr>
            <w:r>
              <w:rPr>
                <w:rFonts w:ascii="Arial" w:cs="Arial" w:eastAsia="Arial" w:hAnsi="Arial"/>
                <w:sz w:val="14"/>
                <w:szCs w:val="14"/>
                <w:color w:val="auto"/>
              </w:rPr>
              <w:t>Cash flows provided by (used in) operating activities</w:t>
            </w:r>
          </w:p>
        </w:tc>
        <w:tc>
          <w:tcPr>
            <w:tcW w:w="300" w:type="dxa"/>
            <w:vAlign w:val="bottom"/>
            <w:shd w:val="clear" w:color="auto" w:fill="CCEEFF"/>
          </w:tcPr>
          <w:p>
            <w:pPr>
              <w:spacing w:after="0"/>
              <w:rPr>
                <w:sz w:val="15"/>
                <w:szCs w:val="15"/>
                <w:color w:val="auto"/>
              </w:rPr>
            </w:pPr>
          </w:p>
        </w:tc>
        <w:tc>
          <w:tcPr>
            <w:tcW w:w="300" w:type="dxa"/>
            <w:vAlign w:val="bottom"/>
            <w:tcBorders>
              <w:bottom w:val="single" w:sz="8" w:color="auto"/>
            </w:tcBorders>
            <w:shd w:val="clear" w:color="auto" w:fill="CCEEFF"/>
          </w:tcPr>
          <w:p>
            <w:pPr>
              <w:spacing w:after="0"/>
              <w:rPr>
                <w:sz w:val="15"/>
                <w:szCs w:val="15"/>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(27,037)</w:t>
            </w:r>
          </w:p>
        </w:tc>
        <w:tc>
          <w:tcPr>
            <w:tcW w:w="160" w:type="dxa"/>
            <w:vAlign w:val="bottom"/>
            <w:shd w:val="clear" w:color="auto" w:fill="CCEEFF"/>
          </w:tcPr>
          <w:p>
            <w:pPr>
              <w:spacing w:after="0"/>
              <w:rPr>
                <w:sz w:val="15"/>
                <w:szCs w:val="15"/>
                <w:color w:val="auto"/>
              </w:rPr>
            </w:pPr>
          </w:p>
        </w:tc>
        <w:tc>
          <w:tcPr>
            <w:tcW w:w="160" w:type="dxa"/>
            <w:vAlign w:val="bottom"/>
            <w:tcBorders>
              <w:bottom w:val="single" w:sz="8" w:color="auto"/>
            </w:tcBorders>
            <w:shd w:val="clear" w:color="auto" w:fill="CCEEFF"/>
          </w:tcPr>
          <w:p>
            <w:pPr>
              <w:spacing w:after="0"/>
              <w:rPr>
                <w:sz w:val="15"/>
                <w:szCs w:val="15"/>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104,269</w:t>
            </w:r>
          </w:p>
        </w:tc>
        <w:tc>
          <w:tcPr>
            <w:tcW w:w="14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160" w:type="dxa"/>
            <w:vAlign w:val="bottom"/>
            <w:tcBorders>
              <w:bottom w:val="single" w:sz="8" w:color="auto"/>
            </w:tcBorders>
            <w:shd w:val="clear" w:color="auto" w:fill="CCEEFF"/>
          </w:tcPr>
          <w:p>
            <w:pPr>
              <w:spacing w:after="0"/>
              <w:rPr>
                <w:sz w:val="15"/>
                <w:szCs w:val="15"/>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91,830</w:t>
            </w:r>
          </w:p>
        </w:tc>
        <w:tc>
          <w:tcPr>
            <w:tcW w:w="4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83"/>
        </w:trPr>
        <w:tc>
          <w:tcPr>
            <w:tcW w:w="4700" w:type="dxa"/>
            <w:vAlign w:val="bottom"/>
          </w:tcPr>
          <w:p>
            <w:pPr>
              <w:spacing w:after="0"/>
              <w:rPr>
                <w:sz w:val="20"/>
                <w:szCs w:val="20"/>
                <w:color w:val="auto"/>
              </w:rPr>
            </w:pPr>
            <w:r>
              <w:rPr>
                <w:rFonts w:ascii="Arial" w:cs="Arial" w:eastAsia="Arial" w:hAnsi="Arial"/>
                <w:sz w:val="14"/>
                <w:szCs w:val="14"/>
                <w:b w:val="1"/>
                <w:bCs w:val="1"/>
                <w:color w:val="auto"/>
              </w:rPr>
              <w:t>Cash flows from investing activities</w:t>
            </w:r>
          </w:p>
        </w:tc>
        <w:tc>
          <w:tcPr>
            <w:tcW w:w="3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4700" w:type="dxa"/>
            <w:vAlign w:val="bottom"/>
            <w:shd w:val="clear" w:color="auto" w:fill="CCEEFF"/>
          </w:tcPr>
          <w:p>
            <w:pPr>
              <w:spacing w:after="0"/>
              <w:rPr>
                <w:sz w:val="20"/>
                <w:szCs w:val="20"/>
                <w:color w:val="auto"/>
              </w:rPr>
            </w:pPr>
            <w:r>
              <w:rPr>
                <w:rFonts w:ascii="Arial" w:cs="Arial" w:eastAsia="Arial" w:hAnsi="Arial"/>
                <w:sz w:val="14"/>
                <w:szCs w:val="14"/>
                <w:color w:val="auto"/>
              </w:rPr>
              <w:t>Additions to property, plant and equipment</w:t>
            </w:r>
          </w:p>
        </w:tc>
        <w:tc>
          <w:tcPr>
            <w:tcW w:w="300" w:type="dxa"/>
            <w:vAlign w:val="bottom"/>
            <w:shd w:val="clear" w:color="auto" w:fill="CCEEFF"/>
          </w:tcPr>
          <w:p>
            <w:pPr>
              <w:spacing w:after="0"/>
              <w:rPr>
                <w:sz w:val="17"/>
                <w:szCs w:val="17"/>
                <w:color w:val="auto"/>
              </w:rPr>
            </w:pPr>
          </w:p>
        </w:tc>
        <w:tc>
          <w:tcPr>
            <w:tcW w:w="300" w:type="dxa"/>
            <w:vAlign w:val="bottom"/>
            <w:tcBorders>
              <w:bottom w:val="single" w:sz="8" w:color="auto"/>
            </w:tcBorders>
            <w:shd w:val="clear" w:color="auto" w:fill="CCEEFF"/>
          </w:tcPr>
          <w:p>
            <w:pPr>
              <w:spacing w:after="0"/>
              <w:rPr>
                <w:sz w:val="17"/>
                <w:szCs w:val="17"/>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(18,845)</w:t>
            </w:r>
          </w:p>
        </w:tc>
        <w:tc>
          <w:tcPr>
            <w:tcW w:w="16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(19,175)</w:t>
            </w:r>
          </w:p>
        </w:tc>
        <w:tc>
          <w:tcPr>
            <w:tcW w:w="1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(23,201)</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83"/>
        </w:trPr>
        <w:tc>
          <w:tcPr>
            <w:tcW w:w="4700" w:type="dxa"/>
            <w:vAlign w:val="bottom"/>
            <w:tcBorders>
              <w:bottom w:val="single" w:sz="8" w:color="CCEEFF"/>
            </w:tcBorders>
          </w:tcPr>
          <w:p>
            <w:pPr>
              <w:ind w:left="440"/>
              <w:spacing w:after="0"/>
              <w:rPr>
                <w:sz w:val="20"/>
                <w:szCs w:val="20"/>
                <w:color w:val="auto"/>
              </w:rPr>
            </w:pPr>
            <w:r>
              <w:rPr>
                <w:rFonts w:ascii="Arial" w:cs="Arial" w:eastAsia="Arial" w:hAnsi="Arial"/>
                <w:sz w:val="14"/>
                <w:szCs w:val="14"/>
                <w:color w:val="auto"/>
              </w:rPr>
              <w:t>Cash flows used in investing activities</w:t>
            </w:r>
          </w:p>
        </w:tc>
        <w:tc>
          <w:tcPr>
            <w:tcW w:w="300" w:type="dxa"/>
            <w:vAlign w:val="bottom"/>
            <w:tcBorders>
              <w:bottom w:val="single" w:sz="8" w:color="CCEEFF"/>
            </w:tcBorders>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(18,845)</w:t>
            </w:r>
          </w:p>
        </w:tc>
        <w:tc>
          <w:tcPr>
            <w:tcW w:w="160" w:type="dxa"/>
            <w:vAlign w:val="bottom"/>
            <w:tcBorders>
              <w:bottom w:val="single" w:sz="8" w:color="CCEEFF"/>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(19,175)</w:t>
            </w:r>
          </w:p>
        </w:tc>
        <w:tc>
          <w:tcPr>
            <w:tcW w:w="140" w:type="dxa"/>
            <w:vAlign w:val="bottom"/>
            <w:tcBorders>
              <w:bottom w:val="single" w:sz="8" w:color="CCEEFF"/>
            </w:tcBorders>
          </w:tcPr>
          <w:p>
            <w:pPr>
              <w:spacing w:after="0"/>
              <w:rPr>
                <w:sz w:val="15"/>
                <w:szCs w:val="15"/>
                <w:color w:val="auto"/>
              </w:rPr>
            </w:pPr>
          </w:p>
        </w:tc>
        <w:tc>
          <w:tcPr>
            <w:tcW w:w="20" w:type="dxa"/>
            <w:vAlign w:val="bottom"/>
            <w:tcBorders>
              <w:bottom w:val="single" w:sz="8" w:color="CCEEFF"/>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(23,201)</w:t>
            </w:r>
          </w:p>
        </w:tc>
        <w:tc>
          <w:tcPr>
            <w:tcW w:w="40" w:type="dxa"/>
            <w:vAlign w:val="bottom"/>
            <w:tcBorders>
              <w:bottom w:val="single" w:sz="8" w:color="CCEEFF"/>
            </w:tcBorders>
          </w:tcPr>
          <w:p>
            <w:pPr>
              <w:spacing w:after="0"/>
              <w:rPr>
                <w:sz w:val="15"/>
                <w:szCs w:val="15"/>
                <w:color w:val="auto"/>
              </w:rPr>
            </w:pPr>
          </w:p>
        </w:tc>
        <w:tc>
          <w:tcPr>
            <w:tcW w:w="0" w:type="dxa"/>
            <w:vAlign w:val="bottom"/>
          </w:tcPr>
          <w:p>
            <w:pPr>
              <w:spacing w:after="0"/>
              <w:rPr>
                <w:sz w:val="1"/>
                <w:szCs w:val="1"/>
                <w:color w:val="auto"/>
              </w:rPr>
            </w:pPr>
          </w:p>
        </w:tc>
      </w:tr>
      <w:tr>
        <w:trPr>
          <w:trHeight w:val="183"/>
        </w:trPr>
        <w:tc>
          <w:tcPr>
            <w:tcW w:w="4700" w:type="dxa"/>
            <w:vAlign w:val="bottom"/>
            <w:shd w:val="clear" w:color="auto" w:fill="CCEEFF"/>
          </w:tcPr>
          <w:p>
            <w:pPr>
              <w:spacing w:after="0"/>
              <w:rPr>
                <w:sz w:val="20"/>
                <w:szCs w:val="20"/>
                <w:color w:val="auto"/>
              </w:rPr>
            </w:pPr>
            <w:r>
              <w:rPr>
                <w:rFonts w:ascii="Arial" w:cs="Arial" w:eastAsia="Arial" w:hAnsi="Arial"/>
                <w:sz w:val="14"/>
                <w:szCs w:val="14"/>
                <w:b w:val="1"/>
                <w:bCs w:val="1"/>
                <w:color w:val="auto"/>
              </w:rPr>
              <w:t>Cash flows from financing activities</w:t>
            </w:r>
          </w:p>
        </w:tc>
        <w:tc>
          <w:tcPr>
            <w:tcW w:w="300" w:type="dxa"/>
            <w:vAlign w:val="bottom"/>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102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66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660" w:type="dxa"/>
            <w:vAlign w:val="bottom"/>
            <w:shd w:val="clear" w:color="auto" w:fill="CCEEFF"/>
          </w:tcPr>
          <w:p>
            <w:pPr>
              <w:spacing w:after="0"/>
              <w:rPr>
                <w:sz w:val="15"/>
                <w:szCs w:val="15"/>
                <w:color w:val="auto"/>
              </w:rPr>
            </w:pPr>
          </w:p>
        </w:tc>
        <w:tc>
          <w:tcPr>
            <w:tcW w:w="4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4700" w:type="dxa"/>
            <w:vAlign w:val="bottom"/>
          </w:tcPr>
          <w:p>
            <w:pPr>
              <w:spacing w:after="0"/>
              <w:rPr>
                <w:sz w:val="20"/>
                <w:szCs w:val="20"/>
                <w:color w:val="auto"/>
              </w:rPr>
            </w:pPr>
            <w:r>
              <w:rPr>
                <w:rFonts w:ascii="Arial" w:cs="Arial" w:eastAsia="Arial" w:hAnsi="Arial"/>
                <w:sz w:val="14"/>
                <w:szCs w:val="14"/>
                <w:color w:val="auto"/>
              </w:rPr>
              <w:t>Increase (decrease) in short-term borrowings, net</w:t>
            </w:r>
          </w:p>
        </w:tc>
        <w:tc>
          <w:tcPr>
            <w:tcW w:w="3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(25,548)</w:t>
            </w: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747</w:t>
            </w: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7,890</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700" w:type="dxa"/>
            <w:vAlign w:val="bottom"/>
            <w:shd w:val="clear" w:color="auto" w:fill="CCEEFF"/>
          </w:tcPr>
          <w:p>
            <w:pPr>
              <w:spacing w:after="0"/>
              <w:rPr>
                <w:sz w:val="20"/>
                <w:szCs w:val="20"/>
                <w:color w:val="auto"/>
              </w:rPr>
            </w:pPr>
            <w:r>
              <w:rPr>
                <w:rFonts w:ascii="Arial" w:cs="Arial" w:eastAsia="Arial" w:hAnsi="Arial"/>
                <w:sz w:val="14"/>
                <w:szCs w:val="14"/>
                <w:color w:val="auto"/>
              </w:rPr>
              <w:t>Proceeds from delayed draw term loan A facility</w:t>
            </w:r>
          </w:p>
        </w:tc>
        <w:tc>
          <w:tcPr>
            <w:tcW w:w="3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100,000</w:t>
            </w:r>
          </w:p>
        </w:tc>
        <w:tc>
          <w:tcPr>
            <w:tcW w:w="1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700" w:type="dxa"/>
            <w:vAlign w:val="bottom"/>
          </w:tcPr>
          <w:p>
            <w:pPr>
              <w:spacing w:after="0"/>
              <w:rPr>
                <w:sz w:val="20"/>
                <w:szCs w:val="20"/>
                <w:color w:val="auto"/>
              </w:rPr>
            </w:pPr>
            <w:r>
              <w:rPr>
                <w:rFonts w:ascii="Arial" w:cs="Arial" w:eastAsia="Arial" w:hAnsi="Arial"/>
                <w:sz w:val="14"/>
                <w:szCs w:val="14"/>
                <w:color w:val="auto"/>
              </w:rPr>
              <w:t>Repayment of delayed draw term loan A facility</w:t>
            </w:r>
          </w:p>
        </w:tc>
        <w:tc>
          <w:tcPr>
            <w:tcW w:w="3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(5,000)</w:t>
            </w: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700" w:type="dxa"/>
            <w:vAlign w:val="bottom"/>
            <w:shd w:val="clear" w:color="auto" w:fill="CCEEFF"/>
          </w:tcPr>
          <w:p>
            <w:pPr>
              <w:spacing w:after="0"/>
              <w:rPr>
                <w:sz w:val="20"/>
                <w:szCs w:val="20"/>
                <w:color w:val="auto"/>
              </w:rPr>
            </w:pPr>
            <w:r>
              <w:rPr>
                <w:rFonts w:ascii="Arial" w:cs="Arial" w:eastAsia="Arial" w:hAnsi="Arial"/>
                <w:sz w:val="14"/>
                <w:szCs w:val="14"/>
                <w:color w:val="auto"/>
              </w:rPr>
              <w:t>Repayment of term loan facility</w:t>
            </w:r>
          </w:p>
        </w:tc>
        <w:tc>
          <w:tcPr>
            <w:tcW w:w="3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(18,750)</w:t>
            </w:r>
          </w:p>
        </w:tc>
        <w:tc>
          <w:tcPr>
            <w:tcW w:w="1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(4,688)</w:t>
            </w:r>
          </w:p>
        </w:tc>
        <w:tc>
          <w:tcPr>
            <w:tcW w:w="1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700" w:type="dxa"/>
            <w:vAlign w:val="bottom"/>
          </w:tcPr>
          <w:p>
            <w:pPr>
              <w:spacing w:after="0"/>
              <w:rPr>
                <w:sz w:val="20"/>
                <w:szCs w:val="20"/>
                <w:color w:val="auto"/>
              </w:rPr>
            </w:pPr>
            <w:r>
              <w:rPr>
                <w:rFonts w:ascii="Arial" w:cs="Arial" w:eastAsia="Arial" w:hAnsi="Arial"/>
                <w:sz w:val="14"/>
                <w:szCs w:val="14"/>
                <w:color w:val="auto"/>
              </w:rPr>
              <w:t>Repayment of senior term loan facility</w:t>
            </w:r>
          </w:p>
        </w:tc>
        <w:tc>
          <w:tcPr>
            <w:tcW w:w="3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(30,000)</w:t>
            </w: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700" w:type="dxa"/>
            <w:vAlign w:val="bottom"/>
            <w:shd w:val="clear" w:color="auto" w:fill="CCEEFF"/>
          </w:tcPr>
          <w:p>
            <w:pPr>
              <w:spacing w:after="0"/>
              <w:rPr>
                <w:sz w:val="20"/>
                <w:szCs w:val="20"/>
                <w:color w:val="auto"/>
              </w:rPr>
            </w:pPr>
            <w:r>
              <w:rPr>
                <w:rFonts w:ascii="Arial" w:cs="Arial" w:eastAsia="Arial" w:hAnsi="Arial"/>
                <w:sz w:val="14"/>
                <w:szCs w:val="14"/>
                <w:color w:val="auto"/>
              </w:rPr>
              <w:t>Proceeds from term loan facility</w:t>
            </w:r>
          </w:p>
        </w:tc>
        <w:tc>
          <w:tcPr>
            <w:tcW w:w="3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375,000</w:t>
            </w:r>
          </w:p>
        </w:tc>
        <w:tc>
          <w:tcPr>
            <w:tcW w:w="1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700" w:type="dxa"/>
            <w:vAlign w:val="bottom"/>
          </w:tcPr>
          <w:p>
            <w:pPr>
              <w:spacing w:after="0"/>
              <w:rPr>
                <w:sz w:val="20"/>
                <w:szCs w:val="20"/>
                <w:color w:val="auto"/>
              </w:rPr>
            </w:pPr>
            <w:r>
              <w:rPr>
                <w:rFonts w:ascii="Arial" w:cs="Arial" w:eastAsia="Arial" w:hAnsi="Arial"/>
                <w:sz w:val="14"/>
                <w:szCs w:val="14"/>
                <w:color w:val="auto"/>
              </w:rPr>
              <w:t>Repayment of secured floating rate notes</w:t>
            </w:r>
          </w:p>
        </w:tc>
        <w:tc>
          <w:tcPr>
            <w:tcW w:w="3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(375,000)</w:t>
            </w: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(50,000)</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700" w:type="dxa"/>
            <w:vAlign w:val="bottom"/>
            <w:shd w:val="clear" w:color="auto" w:fill="CCEEFF"/>
          </w:tcPr>
          <w:p>
            <w:pPr>
              <w:spacing w:after="0"/>
              <w:rPr>
                <w:sz w:val="20"/>
                <w:szCs w:val="20"/>
                <w:color w:val="auto"/>
              </w:rPr>
            </w:pPr>
            <w:r>
              <w:rPr>
                <w:rFonts w:ascii="Arial" w:cs="Arial" w:eastAsia="Arial" w:hAnsi="Arial"/>
                <w:sz w:val="14"/>
                <w:szCs w:val="14"/>
                <w:color w:val="auto"/>
              </w:rPr>
              <w:t>Proceeds from exercise of common stock warrants</w:t>
            </w:r>
          </w:p>
        </w:tc>
        <w:tc>
          <w:tcPr>
            <w:tcW w:w="3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34,503</w:t>
            </w:r>
          </w:p>
        </w:tc>
        <w:tc>
          <w:tcPr>
            <w:tcW w:w="1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34,503</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700" w:type="dxa"/>
            <w:vAlign w:val="bottom"/>
          </w:tcPr>
          <w:p>
            <w:pPr>
              <w:spacing w:after="0"/>
              <w:rPr>
                <w:sz w:val="20"/>
                <w:szCs w:val="20"/>
                <w:color w:val="auto"/>
              </w:rPr>
            </w:pPr>
            <w:r>
              <w:rPr>
                <w:rFonts w:ascii="Arial" w:cs="Arial" w:eastAsia="Arial" w:hAnsi="Arial"/>
                <w:sz w:val="14"/>
                <w:szCs w:val="14"/>
                <w:color w:val="auto"/>
              </w:rPr>
              <w:t>Repayment of bonds</w:t>
            </w:r>
          </w:p>
        </w:tc>
        <w:tc>
          <w:tcPr>
            <w:tcW w:w="3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(34,503)</w:t>
            </w: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(34,503)</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700" w:type="dxa"/>
            <w:vAlign w:val="bottom"/>
            <w:shd w:val="clear" w:color="auto" w:fill="CCEEFF"/>
          </w:tcPr>
          <w:p>
            <w:pPr>
              <w:spacing w:after="0"/>
              <w:rPr>
                <w:sz w:val="20"/>
                <w:szCs w:val="20"/>
                <w:color w:val="auto"/>
              </w:rPr>
            </w:pPr>
            <w:r>
              <w:rPr>
                <w:rFonts w:ascii="Arial" w:cs="Arial" w:eastAsia="Arial" w:hAnsi="Arial"/>
                <w:sz w:val="14"/>
                <w:szCs w:val="14"/>
                <w:color w:val="auto"/>
              </w:rPr>
              <w:t>Debt issuance costs</w:t>
            </w:r>
          </w:p>
        </w:tc>
        <w:tc>
          <w:tcPr>
            <w:tcW w:w="3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(6,606)</w:t>
            </w:r>
          </w:p>
        </w:tc>
        <w:tc>
          <w:tcPr>
            <w:tcW w:w="1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700" w:type="dxa"/>
            <w:vAlign w:val="bottom"/>
          </w:tcPr>
          <w:p>
            <w:pPr>
              <w:spacing w:after="0"/>
              <w:rPr>
                <w:sz w:val="20"/>
                <w:szCs w:val="20"/>
                <w:color w:val="auto"/>
              </w:rPr>
            </w:pPr>
            <w:r>
              <w:rPr>
                <w:rFonts w:ascii="Arial" w:cs="Arial" w:eastAsia="Arial" w:hAnsi="Arial"/>
                <w:sz w:val="14"/>
                <w:szCs w:val="14"/>
                <w:color w:val="auto"/>
              </w:rPr>
              <w:t>Dividends paid on common stock</w:t>
            </w:r>
          </w:p>
        </w:tc>
        <w:tc>
          <w:tcPr>
            <w:tcW w:w="3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(35,744)</w:t>
            </w: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700" w:type="dxa"/>
            <w:vAlign w:val="bottom"/>
            <w:shd w:val="clear" w:color="auto" w:fill="CCEEFF"/>
          </w:tcPr>
          <w:p>
            <w:pPr>
              <w:spacing w:after="0"/>
              <w:rPr>
                <w:sz w:val="20"/>
                <w:szCs w:val="20"/>
                <w:color w:val="auto"/>
              </w:rPr>
            </w:pPr>
            <w:r>
              <w:rPr>
                <w:rFonts w:ascii="Arial" w:cs="Arial" w:eastAsia="Arial" w:hAnsi="Arial"/>
                <w:sz w:val="14"/>
                <w:szCs w:val="14"/>
                <w:color w:val="auto"/>
              </w:rPr>
              <w:t>Dividends paid on Series A redeemable convertible preferred stock</w:t>
            </w:r>
          </w:p>
        </w:tc>
        <w:tc>
          <w:tcPr>
            <w:tcW w:w="3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(17,316)</w:t>
            </w:r>
          </w:p>
        </w:tc>
        <w:tc>
          <w:tcPr>
            <w:tcW w:w="1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(13,747)</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700" w:type="dxa"/>
            <w:vAlign w:val="bottom"/>
          </w:tcPr>
          <w:p>
            <w:pPr>
              <w:spacing w:after="0"/>
              <w:rPr>
                <w:sz w:val="20"/>
                <w:szCs w:val="20"/>
                <w:color w:val="auto"/>
              </w:rPr>
            </w:pPr>
            <w:r>
              <w:rPr>
                <w:rFonts w:ascii="Arial" w:cs="Arial" w:eastAsia="Arial" w:hAnsi="Arial"/>
                <w:sz w:val="14"/>
                <w:szCs w:val="14"/>
                <w:color w:val="auto"/>
              </w:rPr>
              <w:t>Dividends paid to noncontrolling interests</w:t>
            </w:r>
          </w:p>
        </w:tc>
        <w:tc>
          <w:tcPr>
            <w:tcW w:w="3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(4,800)</w:t>
            </w: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(4,800)</w:t>
            </w: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(4,200)</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700" w:type="dxa"/>
            <w:vAlign w:val="bottom"/>
            <w:shd w:val="clear" w:color="auto" w:fill="CCEEFF"/>
          </w:tcPr>
          <w:p>
            <w:pPr>
              <w:spacing w:after="0"/>
              <w:rPr>
                <w:sz w:val="20"/>
                <w:szCs w:val="20"/>
                <w:color w:val="auto"/>
              </w:rPr>
            </w:pPr>
            <w:r>
              <w:rPr>
                <w:rFonts w:ascii="Arial" w:cs="Arial" w:eastAsia="Arial" w:hAnsi="Arial"/>
                <w:sz w:val="14"/>
                <w:szCs w:val="14"/>
                <w:color w:val="auto"/>
              </w:rPr>
              <w:t>Payment of employee restricted stock tax withholdings</w:t>
            </w:r>
          </w:p>
        </w:tc>
        <w:tc>
          <w:tcPr>
            <w:tcW w:w="300" w:type="dxa"/>
            <w:vAlign w:val="bottom"/>
            <w:shd w:val="clear" w:color="auto" w:fill="CCEEFF"/>
          </w:tcPr>
          <w:p>
            <w:pPr>
              <w:spacing w:after="0"/>
              <w:rPr>
                <w:sz w:val="17"/>
                <w:szCs w:val="17"/>
                <w:color w:val="auto"/>
              </w:rPr>
            </w:pPr>
          </w:p>
        </w:tc>
        <w:tc>
          <w:tcPr>
            <w:tcW w:w="300" w:type="dxa"/>
            <w:vAlign w:val="bottom"/>
            <w:tcBorders>
              <w:bottom w:val="single" w:sz="8" w:color="auto"/>
            </w:tcBorders>
            <w:shd w:val="clear" w:color="auto" w:fill="CCEEFF"/>
          </w:tcPr>
          <w:p>
            <w:pPr>
              <w:spacing w:after="0"/>
              <w:rPr>
                <w:sz w:val="17"/>
                <w:szCs w:val="17"/>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(903)</w:t>
            </w:r>
          </w:p>
        </w:tc>
        <w:tc>
          <w:tcPr>
            <w:tcW w:w="16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83"/>
        </w:trPr>
        <w:tc>
          <w:tcPr>
            <w:tcW w:w="4700" w:type="dxa"/>
            <w:vAlign w:val="bottom"/>
            <w:tcBorders>
              <w:bottom w:val="single" w:sz="8" w:color="CCEEFF"/>
            </w:tcBorders>
          </w:tcPr>
          <w:p>
            <w:pPr>
              <w:ind w:left="440"/>
              <w:spacing w:after="0"/>
              <w:rPr>
                <w:sz w:val="20"/>
                <w:szCs w:val="20"/>
                <w:color w:val="auto"/>
              </w:rPr>
            </w:pPr>
            <w:r>
              <w:rPr>
                <w:rFonts w:ascii="Arial" w:cs="Arial" w:eastAsia="Arial" w:hAnsi="Arial"/>
                <w:sz w:val="14"/>
                <w:szCs w:val="14"/>
                <w:color w:val="auto"/>
              </w:rPr>
              <w:t>Cash flows provided by (used in) financing activities</w:t>
            </w:r>
          </w:p>
        </w:tc>
        <w:tc>
          <w:tcPr>
            <w:tcW w:w="300" w:type="dxa"/>
            <w:vAlign w:val="bottom"/>
            <w:tcBorders>
              <w:bottom w:val="single" w:sz="8" w:color="CCEEFF"/>
            </w:tcBorders>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9,255</w:t>
            </w:r>
          </w:p>
        </w:tc>
        <w:tc>
          <w:tcPr>
            <w:tcW w:w="160" w:type="dxa"/>
            <w:vAlign w:val="bottom"/>
            <w:tcBorders>
              <w:bottom w:val="single" w:sz="8" w:color="CCEEFF"/>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(62,663)</w:t>
            </w:r>
          </w:p>
        </w:tc>
        <w:tc>
          <w:tcPr>
            <w:tcW w:w="140" w:type="dxa"/>
            <w:vAlign w:val="bottom"/>
            <w:tcBorders>
              <w:bottom w:val="single" w:sz="8" w:color="CCEEFF"/>
            </w:tcBorders>
          </w:tcPr>
          <w:p>
            <w:pPr>
              <w:spacing w:after="0"/>
              <w:rPr>
                <w:sz w:val="15"/>
                <w:szCs w:val="15"/>
                <w:color w:val="auto"/>
              </w:rPr>
            </w:pPr>
          </w:p>
        </w:tc>
        <w:tc>
          <w:tcPr>
            <w:tcW w:w="20" w:type="dxa"/>
            <w:vAlign w:val="bottom"/>
            <w:tcBorders>
              <w:bottom w:val="single" w:sz="8" w:color="CCEEFF"/>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(60,057)</w:t>
            </w:r>
          </w:p>
        </w:tc>
        <w:tc>
          <w:tcPr>
            <w:tcW w:w="40" w:type="dxa"/>
            <w:vAlign w:val="bottom"/>
            <w:tcBorders>
              <w:bottom w:val="single" w:sz="8" w:color="CCEEFF"/>
            </w:tcBorders>
          </w:tcPr>
          <w:p>
            <w:pPr>
              <w:spacing w:after="0"/>
              <w:rPr>
                <w:sz w:val="15"/>
                <w:szCs w:val="15"/>
                <w:color w:val="auto"/>
              </w:rPr>
            </w:pPr>
          </w:p>
        </w:tc>
        <w:tc>
          <w:tcPr>
            <w:tcW w:w="0" w:type="dxa"/>
            <w:vAlign w:val="bottom"/>
          </w:tcPr>
          <w:p>
            <w:pPr>
              <w:spacing w:after="0"/>
              <w:rPr>
                <w:sz w:val="1"/>
                <w:szCs w:val="1"/>
                <w:color w:val="auto"/>
              </w:rPr>
            </w:pPr>
          </w:p>
        </w:tc>
      </w:tr>
      <w:tr>
        <w:trPr>
          <w:trHeight w:val="183"/>
        </w:trPr>
        <w:tc>
          <w:tcPr>
            <w:tcW w:w="4700" w:type="dxa"/>
            <w:vAlign w:val="bottom"/>
            <w:shd w:val="clear" w:color="auto" w:fill="CCEEFF"/>
          </w:tcPr>
          <w:p>
            <w:pPr>
              <w:spacing w:after="0"/>
              <w:rPr>
                <w:sz w:val="20"/>
                <w:szCs w:val="20"/>
                <w:color w:val="auto"/>
              </w:rPr>
            </w:pPr>
            <w:r>
              <w:rPr>
                <w:rFonts w:ascii="Arial" w:cs="Arial" w:eastAsia="Arial" w:hAnsi="Arial"/>
                <w:sz w:val="14"/>
                <w:szCs w:val="14"/>
                <w:color w:val="auto"/>
              </w:rPr>
              <w:t>Effect of foreign exchange rate changes on cash</w:t>
            </w:r>
          </w:p>
        </w:tc>
        <w:tc>
          <w:tcPr>
            <w:tcW w:w="300" w:type="dxa"/>
            <w:vAlign w:val="bottom"/>
            <w:shd w:val="clear" w:color="auto" w:fill="CCEEFF"/>
          </w:tcPr>
          <w:p>
            <w:pPr>
              <w:spacing w:after="0"/>
              <w:rPr>
                <w:sz w:val="15"/>
                <w:szCs w:val="15"/>
                <w:color w:val="auto"/>
              </w:rPr>
            </w:pPr>
          </w:p>
        </w:tc>
        <w:tc>
          <w:tcPr>
            <w:tcW w:w="300" w:type="dxa"/>
            <w:vAlign w:val="bottom"/>
            <w:tcBorders>
              <w:bottom w:val="single" w:sz="8" w:color="auto"/>
            </w:tcBorders>
            <w:shd w:val="clear" w:color="auto" w:fill="CCEEFF"/>
          </w:tcPr>
          <w:p>
            <w:pPr>
              <w:spacing w:after="0"/>
              <w:rPr>
                <w:sz w:val="15"/>
                <w:szCs w:val="15"/>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5,209</w:t>
            </w:r>
          </w:p>
        </w:tc>
        <w:tc>
          <w:tcPr>
            <w:tcW w:w="160" w:type="dxa"/>
            <w:vAlign w:val="bottom"/>
            <w:shd w:val="clear" w:color="auto" w:fill="CCEEFF"/>
          </w:tcPr>
          <w:p>
            <w:pPr>
              <w:spacing w:after="0"/>
              <w:rPr>
                <w:sz w:val="15"/>
                <w:szCs w:val="15"/>
                <w:color w:val="auto"/>
              </w:rPr>
            </w:pPr>
          </w:p>
        </w:tc>
        <w:tc>
          <w:tcPr>
            <w:tcW w:w="160" w:type="dxa"/>
            <w:vAlign w:val="bottom"/>
            <w:tcBorders>
              <w:bottom w:val="single" w:sz="8" w:color="auto"/>
            </w:tcBorders>
            <w:shd w:val="clear" w:color="auto" w:fill="CCEEFF"/>
          </w:tcPr>
          <w:p>
            <w:pPr>
              <w:spacing w:after="0"/>
              <w:rPr>
                <w:sz w:val="15"/>
                <w:szCs w:val="15"/>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(2,425)</w:t>
            </w:r>
          </w:p>
        </w:tc>
        <w:tc>
          <w:tcPr>
            <w:tcW w:w="14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160" w:type="dxa"/>
            <w:vAlign w:val="bottom"/>
            <w:tcBorders>
              <w:bottom w:val="single" w:sz="8" w:color="auto"/>
            </w:tcBorders>
            <w:shd w:val="clear" w:color="auto" w:fill="CCEEFF"/>
          </w:tcPr>
          <w:p>
            <w:pPr>
              <w:spacing w:after="0"/>
              <w:rPr>
                <w:sz w:val="15"/>
                <w:szCs w:val="15"/>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(3,205)</w:t>
            </w:r>
          </w:p>
        </w:tc>
        <w:tc>
          <w:tcPr>
            <w:tcW w:w="4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83"/>
        </w:trPr>
        <w:tc>
          <w:tcPr>
            <w:tcW w:w="4700" w:type="dxa"/>
            <w:vAlign w:val="bottom"/>
          </w:tcPr>
          <w:p>
            <w:pPr>
              <w:ind w:left="440"/>
              <w:spacing w:after="0"/>
              <w:rPr>
                <w:sz w:val="20"/>
                <w:szCs w:val="20"/>
                <w:color w:val="auto"/>
              </w:rPr>
            </w:pPr>
            <w:r>
              <w:rPr>
                <w:rFonts w:ascii="Arial" w:cs="Arial" w:eastAsia="Arial" w:hAnsi="Arial"/>
                <w:sz w:val="14"/>
                <w:szCs w:val="14"/>
                <w:color w:val="auto"/>
              </w:rPr>
              <w:t>Net increase (decrease) in cash</w:t>
            </w:r>
          </w:p>
        </w:tc>
        <w:tc>
          <w:tcPr>
            <w:tcW w:w="3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(31,418)</w:t>
            </w:r>
          </w:p>
        </w:tc>
        <w:tc>
          <w:tcPr>
            <w:tcW w:w="1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20,006</w:t>
            </w:r>
          </w:p>
        </w:tc>
        <w:tc>
          <w:tcPr>
            <w:tcW w:w="1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5,367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4700" w:type="dxa"/>
            <w:vAlign w:val="bottom"/>
            <w:shd w:val="clear" w:color="auto" w:fill="CCEEFF"/>
          </w:tcPr>
          <w:p>
            <w:pPr>
              <w:spacing w:after="0"/>
              <w:rPr>
                <w:sz w:val="20"/>
                <w:szCs w:val="20"/>
                <w:color w:val="auto"/>
              </w:rPr>
            </w:pPr>
            <w:r>
              <w:rPr>
                <w:rFonts w:ascii="Arial" w:cs="Arial" w:eastAsia="Arial" w:hAnsi="Arial"/>
                <w:sz w:val="14"/>
                <w:szCs w:val="14"/>
                <w:color w:val="auto"/>
              </w:rPr>
              <w:t>Cash and restricted cash, beginning of year</w:t>
            </w:r>
          </w:p>
        </w:tc>
        <w:tc>
          <w:tcPr>
            <w:tcW w:w="300" w:type="dxa"/>
            <w:vAlign w:val="bottom"/>
            <w:shd w:val="clear" w:color="auto" w:fill="CCEEFF"/>
          </w:tcPr>
          <w:p>
            <w:pPr>
              <w:spacing w:after="0"/>
              <w:rPr>
                <w:sz w:val="17"/>
                <w:szCs w:val="17"/>
                <w:color w:val="auto"/>
              </w:rPr>
            </w:pPr>
          </w:p>
        </w:tc>
        <w:tc>
          <w:tcPr>
            <w:tcW w:w="300" w:type="dxa"/>
            <w:vAlign w:val="bottom"/>
            <w:tcBorders>
              <w:bottom w:val="single" w:sz="8" w:color="auto"/>
            </w:tcBorders>
            <w:shd w:val="clear" w:color="auto" w:fill="CCEEFF"/>
          </w:tcPr>
          <w:p>
            <w:pPr>
              <w:spacing w:after="0"/>
              <w:rPr>
                <w:sz w:val="17"/>
                <w:szCs w:val="17"/>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79,140</w:t>
            </w:r>
          </w:p>
        </w:tc>
        <w:tc>
          <w:tcPr>
            <w:tcW w:w="16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59,134</w:t>
            </w:r>
          </w:p>
        </w:tc>
        <w:tc>
          <w:tcPr>
            <w:tcW w:w="1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53,767</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76"/>
        </w:trPr>
        <w:tc>
          <w:tcPr>
            <w:tcW w:w="4700" w:type="dxa"/>
            <w:vAlign w:val="bottom"/>
          </w:tcPr>
          <w:p>
            <w:pPr>
              <w:spacing w:after="0"/>
              <w:rPr>
                <w:sz w:val="20"/>
                <w:szCs w:val="20"/>
                <w:color w:val="auto"/>
              </w:rPr>
            </w:pPr>
            <w:r>
              <w:rPr>
                <w:rFonts w:ascii="Arial" w:cs="Arial" w:eastAsia="Arial" w:hAnsi="Arial"/>
                <w:sz w:val="14"/>
                <w:szCs w:val="14"/>
                <w:color w:val="auto"/>
              </w:rPr>
              <w:t>Cash and restricted cash, end of period</w:t>
            </w:r>
          </w:p>
        </w:tc>
        <w:tc>
          <w:tcPr>
            <w:tcW w:w="6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20" w:type="dxa"/>
            <w:vAlign w:val="bottom"/>
          </w:tcPr>
          <w:p>
            <w:pPr>
              <w:jc w:val="right"/>
              <w:spacing w:after="0"/>
              <w:rPr>
                <w:sz w:val="20"/>
                <w:szCs w:val="20"/>
                <w:color w:val="auto"/>
              </w:rPr>
            </w:pPr>
            <w:r>
              <w:rPr>
                <w:rFonts w:ascii="Arial" w:cs="Arial" w:eastAsia="Arial" w:hAnsi="Arial"/>
                <w:sz w:val="14"/>
                <w:szCs w:val="14"/>
                <w:color w:val="auto"/>
              </w:rPr>
              <w:t>47,722</w:t>
            </w:r>
          </w:p>
        </w:tc>
        <w:tc>
          <w:tcPr>
            <w:tcW w:w="32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660" w:type="dxa"/>
            <w:vAlign w:val="bottom"/>
          </w:tcPr>
          <w:p>
            <w:pPr>
              <w:jc w:val="right"/>
              <w:spacing w:after="0"/>
              <w:rPr>
                <w:sz w:val="20"/>
                <w:szCs w:val="20"/>
                <w:color w:val="auto"/>
              </w:rPr>
            </w:pPr>
            <w:r>
              <w:rPr>
                <w:rFonts w:ascii="Arial" w:cs="Arial" w:eastAsia="Arial" w:hAnsi="Arial"/>
                <w:sz w:val="14"/>
                <w:szCs w:val="14"/>
                <w:color w:val="auto"/>
              </w:rPr>
              <w:t>79,140</w:t>
            </w:r>
          </w:p>
        </w:tc>
        <w:tc>
          <w:tcPr>
            <w:tcW w:w="140" w:type="dxa"/>
            <w:vAlign w:val="bottom"/>
          </w:tcPr>
          <w:p>
            <w:pPr>
              <w:spacing w:after="0"/>
              <w:rPr>
                <w:sz w:val="15"/>
                <w:szCs w:val="15"/>
                <w:color w:val="auto"/>
              </w:rPr>
            </w:pPr>
          </w:p>
        </w:tc>
        <w:tc>
          <w:tcPr>
            <w:tcW w:w="180" w:type="dxa"/>
            <w:vAlign w:val="bottom"/>
            <w:gridSpan w:val="2"/>
          </w:tcPr>
          <w:p>
            <w:pPr>
              <w:jc w:val="right"/>
              <w:ind w:right="100"/>
              <w:spacing w:after="0"/>
              <w:rPr>
                <w:sz w:val="20"/>
                <w:szCs w:val="20"/>
                <w:color w:val="auto"/>
              </w:rPr>
            </w:pPr>
            <w:r>
              <w:rPr>
                <w:rFonts w:ascii="Arial" w:cs="Arial" w:eastAsia="Arial" w:hAnsi="Arial"/>
                <w:sz w:val="14"/>
                <w:szCs w:val="14"/>
                <w:color w:val="auto"/>
                <w:w w:val="76"/>
              </w:rPr>
              <w:t>$</w:t>
            </w:r>
          </w:p>
        </w:tc>
        <w:tc>
          <w:tcPr>
            <w:tcW w:w="660" w:type="dxa"/>
            <w:vAlign w:val="bottom"/>
          </w:tcPr>
          <w:p>
            <w:pPr>
              <w:jc w:val="right"/>
              <w:spacing w:after="0"/>
              <w:rPr>
                <w:sz w:val="20"/>
                <w:szCs w:val="20"/>
                <w:color w:val="auto"/>
              </w:rPr>
            </w:pPr>
            <w:r>
              <w:rPr>
                <w:rFonts w:ascii="Arial" w:cs="Arial" w:eastAsia="Arial" w:hAnsi="Arial"/>
                <w:sz w:val="14"/>
                <w:szCs w:val="14"/>
                <w:color w:val="auto"/>
              </w:rPr>
              <w:t>59,134</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9"/>
        </w:trPr>
        <w:tc>
          <w:tcPr>
            <w:tcW w:w="470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4"/>
                <w:szCs w:val="14"/>
                <w:b w:val="1"/>
                <w:bCs w:val="1"/>
                <w:color w:val="auto"/>
              </w:rPr>
              <w:t>Supplemental information</w:t>
            </w:r>
          </w:p>
        </w:tc>
        <w:tc>
          <w:tcPr>
            <w:tcW w:w="300" w:type="dxa"/>
            <w:vAlign w:val="bottom"/>
            <w:tcBorders>
              <w:top w:val="single" w:sz="8" w:color="CCEEFF"/>
            </w:tcBorders>
            <w:shd w:val="clear" w:color="auto" w:fill="CCEEFF"/>
          </w:tcPr>
          <w:p>
            <w:pPr>
              <w:spacing w:after="0"/>
              <w:rPr>
                <w:sz w:val="16"/>
                <w:szCs w:val="16"/>
                <w:color w:val="auto"/>
              </w:rPr>
            </w:pPr>
          </w:p>
        </w:tc>
        <w:tc>
          <w:tcPr>
            <w:tcW w:w="300" w:type="dxa"/>
            <w:vAlign w:val="bottom"/>
            <w:tcBorders>
              <w:top w:val="single" w:sz="8" w:color="auto"/>
            </w:tcBorders>
            <w:shd w:val="clear" w:color="auto" w:fill="CCEEFF"/>
          </w:tcPr>
          <w:p>
            <w:pPr>
              <w:spacing w:after="0"/>
              <w:rPr>
                <w:sz w:val="16"/>
                <w:szCs w:val="16"/>
                <w:color w:val="auto"/>
              </w:rPr>
            </w:pPr>
          </w:p>
        </w:tc>
        <w:tc>
          <w:tcPr>
            <w:tcW w:w="1020" w:type="dxa"/>
            <w:vAlign w:val="bottom"/>
            <w:tcBorders>
              <w:top w:val="single" w:sz="8" w:color="auto"/>
            </w:tcBorders>
            <w:shd w:val="clear" w:color="auto" w:fill="CCEEFF"/>
          </w:tcPr>
          <w:p>
            <w:pPr>
              <w:spacing w:after="0"/>
              <w:rPr>
                <w:sz w:val="16"/>
                <w:szCs w:val="16"/>
                <w:color w:val="auto"/>
              </w:rPr>
            </w:pPr>
          </w:p>
        </w:tc>
        <w:tc>
          <w:tcPr>
            <w:tcW w:w="160" w:type="dxa"/>
            <w:vAlign w:val="bottom"/>
            <w:tcBorders>
              <w:top w:val="single" w:sz="8" w:color="CCEEFF"/>
            </w:tcBorders>
            <w:shd w:val="clear" w:color="auto" w:fill="CCEEFF"/>
          </w:tcPr>
          <w:p>
            <w:pPr>
              <w:spacing w:after="0"/>
              <w:rPr>
                <w:sz w:val="16"/>
                <w:szCs w:val="16"/>
                <w:color w:val="auto"/>
              </w:rPr>
            </w:pPr>
          </w:p>
        </w:tc>
        <w:tc>
          <w:tcPr>
            <w:tcW w:w="160" w:type="dxa"/>
            <w:vAlign w:val="bottom"/>
            <w:tcBorders>
              <w:top w:val="single" w:sz="8" w:color="auto"/>
            </w:tcBorders>
            <w:shd w:val="clear" w:color="auto" w:fill="CCEEFF"/>
          </w:tcPr>
          <w:p>
            <w:pPr>
              <w:spacing w:after="0"/>
              <w:rPr>
                <w:sz w:val="16"/>
                <w:szCs w:val="16"/>
                <w:color w:val="auto"/>
              </w:rPr>
            </w:pPr>
          </w:p>
        </w:tc>
        <w:tc>
          <w:tcPr>
            <w:tcW w:w="660" w:type="dxa"/>
            <w:vAlign w:val="bottom"/>
            <w:tcBorders>
              <w:top w:val="single" w:sz="8" w:color="auto"/>
            </w:tcBorders>
            <w:shd w:val="clear" w:color="auto" w:fill="CCEEFF"/>
          </w:tcPr>
          <w:p>
            <w:pPr>
              <w:spacing w:after="0"/>
              <w:rPr>
                <w:sz w:val="16"/>
                <w:szCs w:val="16"/>
                <w:color w:val="auto"/>
              </w:rPr>
            </w:pPr>
          </w:p>
        </w:tc>
        <w:tc>
          <w:tcPr>
            <w:tcW w:w="140" w:type="dxa"/>
            <w:vAlign w:val="bottom"/>
            <w:tcBorders>
              <w:top w:val="single" w:sz="8" w:color="CCEEFF"/>
            </w:tcBorders>
            <w:shd w:val="clear" w:color="auto" w:fill="CCEEFF"/>
          </w:tcPr>
          <w:p>
            <w:pPr>
              <w:spacing w:after="0"/>
              <w:rPr>
                <w:sz w:val="16"/>
                <w:szCs w:val="16"/>
                <w:color w:val="auto"/>
              </w:rPr>
            </w:pPr>
          </w:p>
        </w:tc>
        <w:tc>
          <w:tcPr>
            <w:tcW w:w="20" w:type="dxa"/>
            <w:vAlign w:val="bottom"/>
            <w:tcBorders>
              <w:top w:val="single" w:sz="8" w:color="CCEEFF"/>
            </w:tcBorders>
            <w:shd w:val="clear" w:color="auto" w:fill="CCEEFF"/>
          </w:tcPr>
          <w:p>
            <w:pPr>
              <w:spacing w:after="0"/>
              <w:rPr>
                <w:sz w:val="16"/>
                <w:szCs w:val="16"/>
                <w:color w:val="auto"/>
              </w:rPr>
            </w:pPr>
          </w:p>
        </w:tc>
        <w:tc>
          <w:tcPr>
            <w:tcW w:w="160" w:type="dxa"/>
            <w:vAlign w:val="bottom"/>
            <w:tcBorders>
              <w:top w:val="single" w:sz="8" w:color="auto"/>
            </w:tcBorders>
            <w:shd w:val="clear" w:color="auto" w:fill="CCEEFF"/>
          </w:tcPr>
          <w:p>
            <w:pPr>
              <w:spacing w:after="0"/>
              <w:rPr>
                <w:sz w:val="16"/>
                <w:szCs w:val="16"/>
                <w:color w:val="auto"/>
              </w:rPr>
            </w:pPr>
          </w:p>
        </w:tc>
        <w:tc>
          <w:tcPr>
            <w:tcW w:w="660" w:type="dxa"/>
            <w:vAlign w:val="bottom"/>
            <w:tcBorders>
              <w:top w:val="single" w:sz="8" w:color="auto"/>
            </w:tcBorders>
            <w:shd w:val="clear" w:color="auto" w:fill="CCEEFF"/>
          </w:tcPr>
          <w:p>
            <w:pPr>
              <w:spacing w:after="0"/>
              <w:rPr>
                <w:sz w:val="16"/>
                <w:szCs w:val="16"/>
                <w:color w:val="auto"/>
              </w:rPr>
            </w:pPr>
          </w:p>
        </w:tc>
        <w:tc>
          <w:tcPr>
            <w:tcW w:w="40" w:type="dxa"/>
            <w:vAlign w:val="bottom"/>
            <w:tcBorders>
              <w:top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4700" w:type="dxa"/>
            <w:vAlign w:val="bottom"/>
          </w:tcPr>
          <w:p>
            <w:pPr>
              <w:spacing w:after="0"/>
              <w:rPr>
                <w:sz w:val="20"/>
                <w:szCs w:val="20"/>
                <w:color w:val="auto"/>
              </w:rPr>
            </w:pPr>
            <w:r>
              <w:rPr>
                <w:rFonts w:ascii="Arial" w:cs="Arial" w:eastAsia="Arial" w:hAnsi="Arial"/>
                <w:sz w:val="14"/>
                <w:szCs w:val="14"/>
                <w:color w:val="auto"/>
              </w:rPr>
              <w:t>Cash paid for interest to related parties</w:t>
            </w:r>
          </w:p>
        </w:tc>
        <w:tc>
          <w:tcPr>
            <w:tcW w:w="6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20" w:type="dxa"/>
            <w:vAlign w:val="bottom"/>
          </w:tcPr>
          <w:p>
            <w:pPr>
              <w:jc w:val="right"/>
              <w:spacing w:after="0"/>
              <w:rPr>
                <w:sz w:val="20"/>
                <w:szCs w:val="20"/>
                <w:color w:val="auto"/>
              </w:rPr>
            </w:pPr>
            <w:r>
              <w:rPr>
                <w:rFonts w:ascii="Arial" w:cs="Arial" w:eastAsia="Arial" w:hAnsi="Arial"/>
                <w:sz w:val="14"/>
                <w:szCs w:val="14"/>
                <w:color w:val="auto"/>
              </w:rPr>
              <w:t>-</w:t>
            </w:r>
          </w:p>
        </w:tc>
        <w:tc>
          <w:tcPr>
            <w:tcW w:w="32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660" w:type="dxa"/>
            <w:vAlign w:val="bottom"/>
          </w:tcPr>
          <w:p>
            <w:pPr>
              <w:jc w:val="right"/>
              <w:spacing w:after="0"/>
              <w:rPr>
                <w:sz w:val="20"/>
                <w:szCs w:val="20"/>
                <w:color w:val="auto"/>
              </w:rPr>
            </w:pPr>
            <w:r>
              <w:rPr>
                <w:rFonts w:ascii="Arial" w:cs="Arial" w:eastAsia="Arial" w:hAnsi="Arial"/>
                <w:sz w:val="14"/>
                <w:szCs w:val="14"/>
                <w:color w:val="auto"/>
              </w:rPr>
              <w:t>36,753</w:t>
            </w:r>
          </w:p>
        </w:tc>
        <w:tc>
          <w:tcPr>
            <w:tcW w:w="140" w:type="dxa"/>
            <w:vAlign w:val="bottom"/>
          </w:tcPr>
          <w:p>
            <w:pPr>
              <w:spacing w:after="0"/>
              <w:rPr>
                <w:sz w:val="17"/>
                <w:szCs w:val="17"/>
                <w:color w:val="auto"/>
              </w:rPr>
            </w:pPr>
          </w:p>
        </w:tc>
        <w:tc>
          <w:tcPr>
            <w:tcW w:w="180" w:type="dxa"/>
            <w:vAlign w:val="bottom"/>
            <w:gridSpan w:val="2"/>
          </w:tcPr>
          <w:p>
            <w:pPr>
              <w:jc w:val="right"/>
              <w:ind w:right="100"/>
              <w:spacing w:after="0"/>
              <w:rPr>
                <w:sz w:val="20"/>
                <w:szCs w:val="20"/>
                <w:color w:val="auto"/>
              </w:rPr>
            </w:pPr>
            <w:r>
              <w:rPr>
                <w:rFonts w:ascii="Arial" w:cs="Arial" w:eastAsia="Arial" w:hAnsi="Arial"/>
                <w:sz w:val="14"/>
                <w:szCs w:val="14"/>
                <w:color w:val="auto"/>
                <w:w w:val="76"/>
              </w:rPr>
              <w:t>$</w:t>
            </w:r>
          </w:p>
        </w:tc>
        <w:tc>
          <w:tcPr>
            <w:tcW w:w="660" w:type="dxa"/>
            <w:vAlign w:val="bottom"/>
          </w:tcPr>
          <w:p>
            <w:pPr>
              <w:jc w:val="right"/>
              <w:spacing w:after="0"/>
              <w:rPr>
                <w:sz w:val="20"/>
                <w:szCs w:val="20"/>
                <w:color w:val="auto"/>
              </w:rPr>
            </w:pPr>
            <w:r>
              <w:rPr>
                <w:rFonts w:ascii="Arial" w:cs="Arial" w:eastAsia="Arial" w:hAnsi="Arial"/>
                <w:sz w:val="14"/>
                <w:szCs w:val="14"/>
                <w:color w:val="auto"/>
              </w:rPr>
              <w:t>32,274</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700" w:type="dxa"/>
            <w:vAlign w:val="bottom"/>
            <w:shd w:val="clear" w:color="auto" w:fill="CCEEFF"/>
          </w:tcPr>
          <w:p>
            <w:pPr>
              <w:spacing w:after="0"/>
              <w:rPr>
                <w:sz w:val="20"/>
                <w:szCs w:val="20"/>
                <w:color w:val="auto"/>
              </w:rPr>
            </w:pPr>
            <w:r>
              <w:rPr>
                <w:rFonts w:ascii="Arial" w:cs="Arial" w:eastAsia="Arial" w:hAnsi="Arial"/>
                <w:sz w:val="14"/>
                <w:szCs w:val="14"/>
                <w:color w:val="auto"/>
              </w:rPr>
              <w:t>Cash paid for interest to third parties</w:t>
            </w:r>
          </w:p>
        </w:tc>
        <w:tc>
          <w:tcPr>
            <w:tcW w:w="3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15,488</w:t>
            </w:r>
          </w:p>
        </w:tc>
        <w:tc>
          <w:tcPr>
            <w:tcW w:w="1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27,165</w:t>
            </w:r>
          </w:p>
        </w:tc>
        <w:tc>
          <w:tcPr>
            <w:tcW w:w="1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20,571</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700" w:type="dxa"/>
            <w:vAlign w:val="bottom"/>
          </w:tcPr>
          <w:p>
            <w:pPr>
              <w:spacing w:after="0"/>
              <w:rPr>
                <w:sz w:val="20"/>
                <w:szCs w:val="20"/>
                <w:color w:val="auto"/>
              </w:rPr>
            </w:pPr>
            <w:r>
              <w:rPr>
                <w:rFonts w:ascii="Arial" w:cs="Arial" w:eastAsia="Arial" w:hAnsi="Arial"/>
                <w:sz w:val="14"/>
                <w:szCs w:val="14"/>
                <w:color w:val="auto"/>
              </w:rPr>
              <w:t>Cash paid for income taxes</w:t>
            </w:r>
          </w:p>
        </w:tc>
        <w:tc>
          <w:tcPr>
            <w:tcW w:w="3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35,949</w:t>
            </w: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16,589</w:t>
            </w: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19,724</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700" w:type="dxa"/>
            <w:vAlign w:val="bottom"/>
            <w:shd w:val="clear" w:color="auto" w:fill="CCEEFF"/>
          </w:tcPr>
          <w:p>
            <w:pPr>
              <w:spacing w:after="0"/>
              <w:rPr>
                <w:sz w:val="20"/>
                <w:szCs w:val="20"/>
                <w:color w:val="auto"/>
              </w:rPr>
            </w:pPr>
            <w:r>
              <w:rPr>
                <w:rFonts w:ascii="Arial" w:cs="Arial" w:eastAsia="Arial" w:hAnsi="Arial"/>
                <w:sz w:val="14"/>
                <w:szCs w:val="14"/>
                <w:color w:val="auto"/>
              </w:rPr>
              <w:t>Non-cash additions to property, plant and equipment</w:t>
            </w:r>
          </w:p>
        </w:tc>
        <w:tc>
          <w:tcPr>
            <w:tcW w:w="3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2,876</w:t>
            </w:r>
          </w:p>
        </w:tc>
        <w:tc>
          <w:tcPr>
            <w:tcW w:w="1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1,170</w:t>
            </w:r>
          </w:p>
        </w:tc>
        <w:tc>
          <w:tcPr>
            <w:tcW w:w="1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1,913</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700" w:type="dxa"/>
            <w:vAlign w:val="bottom"/>
          </w:tcPr>
          <w:p>
            <w:pPr>
              <w:spacing w:after="0"/>
              <w:rPr>
                <w:sz w:val="20"/>
                <w:szCs w:val="20"/>
                <w:color w:val="auto"/>
              </w:rPr>
            </w:pPr>
            <w:r>
              <w:rPr>
                <w:rFonts w:ascii="Arial" w:cs="Arial" w:eastAsia="Arial" w:hAnsi="Arial"/>
                <w:sz w:val="14"/>
                <w:szCs w:val="14"/>
                <w:color w:val="auto"/>
              </w:rPr>
              <w:t>Dividend equivalents declared not paid</w:t>
            </w:r>
          </w:p>
        </w:tc>
        <w:tc>
          <w:tcPr>
            <w:tcW w:w="3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801</w:t>
            </w: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700" w:type="dxa"/>
            <w:vAlign w:val="bottom"/>
            <w:shd w:val="clear" w:color="auto" w:fill="CCEEFF"/>
          </w:tcPr>
          <w:p>
            <w:pPr>
              <w:spacing w:after="0"/>
              <w:rPr>
                <w:sz w:val="20"/>
                <w:szCs w:val="20"/>
                <w:color w:val="auto"/>
              </w:rPr>
            </w:pPr>
            <w:r>
              <w:rPr>
                <w:rFonts w:ascii="Arial" w:cs="Arial" w:eastAsia="Arial" w:hAnsi="Arial"/>
                <w:sz w:val="14"/>
                <w:szCs w:val="14"/>
                <w:color w:val="auto"/>
              </w:rPr>
              <w:t>Non-cash conversion of Series A redeemable convertible preferred stock</w:t>
            </w:r>
          </w:p>
        </w:tc>
        <w:tc>
          <w:tcPr>
            <w:tcW w:w="3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131,036</w:t>
            </w:r>
          </w:p>
        </w:tc>
        <w:tc>
          <w:tcPr>
            <w:tcW w:w="1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700" w:type="dxa"/>
            <w:vAlign w:val="bottom"/>
          </w:tcPr>
          <w:p>
            <w:pPr>
              <w:spacing w:after="0"/>
              <w:rPr>
                <w:sz w:val="20"/>
                <w:szCs w:val="20"/>
                <w:color w:val="auto"/>
              </w:rPr>
            </w:pPr>
            <w:r>
              <w:rPr>
                <w:rFonts w:ascii="Arial" w:cs="Arial" w:eastAsia="Arial" w:hAnsi="Arial"/>
                <w:sz w:val="14"/>
                <w:szCs w:val="14"/>
                <w:color w:val="auto"/>
              </w:rPr>
              <w:t>Non-cash conversion of convertible notes</w:t>
            </w:r>
          </w:p>
        </w:tc>
        <w:tc>
          <w:tcPr>
            <w:tcW w:w="3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362,489</w:t>
            </w: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700" w:type="dxa"/>
            <w:vAlign w:val="bottom"/>
            <w:shd w:val="clear" w:color="auto" w:fill="CCEEFF"/>
          </w:tcPr>
          <w:p>
            <w:pPr>
              <w:spacing w:after="0"/>
              <w:rPr>
                <w:sz w:val="20"/>
                <w:szCs w:val="20"/>
                <w:color w:val="auto"/>
              </w:rPr>
            </w:pPr>
            <w:r>
              <w:rPr>
                <w:rFonts w:ascii="Arial" w:cs="Arial" w:eastAsia="Arial" w:hAnsi="Arial"/>
                <w:sz w:val="14"/>
                <w:szCs w:val="14"/>
                <w:color w:val="auto"/>
              </w:rPr>
              <w:t>Non-cash conversion of common stock warrants</w:t>
            </w:r>
          </w:p>
        </w:tc>
        <w:tc>
          <w:tcPr>
            <w:tcW w:w="3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28,996</w:t>
            </w:r>
          </w:p>
        </w:tc>
        <w:tc>
          <w:tcPr>
            <w:tcW w:w="1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7,298</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8"/>
        </w:trPr>
        <w:tc>
          <w:tcPr>
            <w:tcW w:w="4700" w:type="dxa"/>
            <w:vAlign w:val="bottom"/>
          </w:tcPr>
          <w:p>
            <w:pPr>
              <w:spacing w:after="0"/>
              <w:rPr>
                <w:sz w:val="20"/>
                <w:szCs w:val="20"/>
                <w:color w:val="auto"/>
              </w:rPr>
            </w:pPr>
            <w:r>
              <w:rPr>
                <w:rFonts w:ascii="Arial" w:cs="Arial" w:eastAsia="Arial" w:hAnsi="Arial"/>
                <w:sz w:val="14"/>
                <w:szCs w:val="14"/>
                <w:color w:val="auto"/>
              </w:rPr>
              <w:t>Non-cash exercise of stock options</w:t>
            </w:r>
          </w:p>
        </w:tc>
        <w:tc>
          <w:tcPr>
            <w:tcW w:w="3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2,752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246380</wp:posOffset>
            </wp:positionH>
            <wp:positionV relativeFrom="paragraph">
              <wp:posOffset>83185</wp:posOffset>
            </wp:positionV>
            <wp:extent cx="5240020" cy="2603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30">
                      <a:extLst>
                        <a:ext uri="{28A0092B-C50C-407E-A947-70E740481C1C}"/>
                      </a:extLst>
                    </a:blip>
                    <a:srcRect/>
                    <a:stretch>
                      <a:fillRect/>
                    </a:stretch>
                  </pic:blipFill>
                  <pic:spPr bwMode="auto">
                    <a:xfrm>
                      <a:off x="0" y="0"/>
                      <a:ext cx="524002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93" w:name="page94"/>
    <w:bookmarkEnd w:id="93"/>
    <w:p>
      <w:pPr>
        <w:ind w:left="2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ACUSHNET HOLDINGS CORP.</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REDEEMABLE CONVERTIBLE PREFERRED STOCK AND EQUITY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15240</wp:posOffset>
            </wp:positionH>
            <wp:positionV relativeFrom="paragraph">
              <wp:posOffset>146050</wp:posOffset>
            </wp:positionV>
            <wp:extent cx="5702935" cy="533400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31">
                      <a:extLst>
                        <a:ext uri="{28A0092B-C50C-407E-A947-70E740481C1C}"/>
                      </a:extLst>
                    </a:blip>
                    <a:srcRect/>
                    <a:stretch>
                      <a:fillRect/>
                    </a:stretch>
                  </pic:blipFill>
                  <pic:spPr bwMode="auto">
                    <a:xfrm>
                      <a:off x="0" y="0"/>
                      <a:ext cx="5702935" cy="5334000"/>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tbl>
      <w:tblPr>
        <w:tblLayout w:type="fixed"/>
        <w:tblInd w:w="20" w:type="dxa"/>
        <w:tblCellMar>
          <w:top w:w="0" w:type="dxa"/>
          <w:left w:w="0" w:type="dxa"/>
          <w:bottom w:w="0" w:type="dxa"/>
          <w:right w:w="0" w:type="dxa"/>
        </w:tblCellMar>
      </w:tblPr>
      <w:tr>
        <w:trPr>
          <w:trHeight w:val="186"/>
        </w:trPr>
        <w:tc>
          <w:tcPr>
            <w:tcW w:w="1560" w:type="dxa"/>
            <w:vAlign w:val="bottom"/>
          </w:tcPr>
          <w:p>
            <w:pPr>
              <w:spacing w:after="0"/>
              <w:rPr>
                <w:sz w:val="16"/>
                <w:szCs w:val="16"/>
                <w:color w:val="auto"/>
              </w:rPr>
            </w:pPr>
          </w:p>
        </w:tc>
        <w:tc>
          <w:tcPr>
            <w:tcW w:w="1080" w:type="dxa"/>
            <w:vAlign w:val="bottom"/>
            <w:gridSpan w:val="3"/>
          </w:tcPr>
          <w:p>
            <w:pPr>
              <w:jc w:val="center"/>
              <w:spacing w:after="0"/>
              <w:rPr>
                <w:sz w:val="20"/>
                <w:szCs w:val="20"/>
                <w:color w:val="auto"/>
              </w:rPr>
            </w:pPr>
            <w:r>
              <w:rPr>
                <w:rFonts w:ascii="Arial" w:cs="Arial" w:eastAsia="Arial" w:hAnsi="Arial"/>
                <w:sz w:val="14"/>
                <w:szCs w:val="14"/>
                <w:b w:val="1"/>
                <w:bCs w:val="1"/>
                <w:color w:val="auto"/>
                <w:w w:val="89"/>
              </w:rPr>
              <w:t>Redeemable</w:t>
            </w:r>
          </w:p>
        </w:tc>
        <w:tc>
          <w:tcPr>
            <w:tcW w:w="0" w:type="dxa"/>
            <w:vAlign w:val="bottom"/>
          </w:tcPr>
          <w:p>
            <w:pPr>
              <w:spacing w:after="0"/>
              <w:rPr>
                <w:sz w:val="1"/>
                <w:szCs w:val="1"/>
                <w:color w:val="auto"/>
              </w:rPr>
            </w:pPr>
          </w:p>
        </w:tc>
      </w:tr>
      <w:tr>
        <w:trPr>
          <w:trHeight w:val="203"/>
        </w:trPr>
        <w:tc>
          <w:tcPr>
            <w:tcW w:w="1560" w:type="dxa"/>
            <w:vAlign w:val="bottom"/>
          </w:tcPr>
          <w:p>
            <w:pPr>
              <w:spacing w:after="0"/>
              <w:rPr>
                <w:sz w:val="17"/>
                <w:szCs w:val="17"/>
                <w:color w:val="auto"/>
              </w:rPr>
            </w:pPr>
          </w:p>
        </w:tc>
        <w:tc>
          <w:tcPr>
            <w:tcW w:w="1080" w:type="dxa"/>
            <w:vAlign w:val="bottom"/>
            <w:gridSpan w:val="3"/>
          </w:tcPr>
          <w:p>
            <w:pPr>
              <w:jc w:val="center"/>
              <w:spacing w:after="0"/>
              <w:rPr>
                <w:sz w:val="20"/>
                <w:szCs w:val="20"/>
                <w:color w:val="auto"/>
              </w:rPr>
            </w:pPr>
            <w:r>
              <w:rPr>
                <w:rFonts w:ascii="Arial" w:cs="Arial" w:eastAsia="Arial" w:hAnsi="Arial"/>
                <w:sz w:val="14"/>
                <w:szCs w:val="14"/>
                <w:b w:val="1"/>
                <w:bCs w:val="1"/>
                <w:color w:val="auto"/>
                <w:w w:val="93"/>
              </w:rPr>
              <w:t>Convertible</w:t>
            </w:r>
          </w:p>
        </w:tc>
        <w:tc>
          <w:tcPr>
            <w:tcW w:w="0" w:type="dxa"/>
            <w:vAlign w:val="bottom"/>
          </w:tcPr>
          <w:p>
            <w:pPr>
              <w:spacing w:after="0"/>
              <w:rPr>
                <w:sz w:val="1"/>
                <w:szCs w:val="1"/>
                <w:color w:val="auto"/>
              </w:rPr>
            </w:pPr>
          </w:p>
        </w:tc>
      </w:tr>
      <w:tr>
        <w:trPr>
          <w:trHeight w:val="188"/>
        </w:trPr>
        <w:tc>
          <w:tcPr>
            <w:tcW w:w="1560" w:type="dxa"/>
            <w:vAlign w:val="bottom"/>
          </w:tcPr>
          <w:p>
            <w:pPr>
              <w:spacing w:after="0"/>
              <w:rPr>
                <w:sz w:val="16"/>
                <w:szCs w:val="16"/>
                <w:color w:val="auto"/>
              </w:rPr>
            </w:pPr>
          </w:p>
        </w:tc>
        <w:tc>
          <w:tcPr>
            <w:tcW w:w="108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93"/>
              </w:rPr>
              <w:t>Preferred Stock</w:t>
            </w:r>
          </w:p>
        </w:tc>
        <w:tc>
          <w:tcPr>
            <w:tcW w:w="0" w:type="dxa"/>
            <w:vAlign w:val="bottom"/>
          </w:tcPr>
          <w:p>
            <w:pPr>
              <w:spacing w:after="0"/>
              <w:rPr>
                <w:sz w:val="1"/>
                <w:szCs w:val="1"/>
                <w:color w:val="auto"/>
              </w:rPr>
            </w:pPr>
          </w:p>
        </w:tc>
      </w:tr>
      <w:tr>
        <w:trPr>
          <w:trHeight w:val="225"/>
        </w:trPr>
        <w:tc>
          <w:tcPr>
            <w:tcW w:w="1560" w:type="dxa"/>
            <w:vAlign w:val="bottom"/>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500" w:type="dxa"/>
            <w:vAlign w:val="bottom"/>
            <w:gridSpan w:val="2"/>
          </w:tcPr>
          <w:p>
            <w:pPr>
              <w:ind w:left="20"/>
              <w:spacing w:after="0"/>
              <w:rPr>
                <w:sz w:val="20"/>
                <w:szCs w:val="20"/>
                <w:color w:val="auto"/>
              </w:rPr>
            </w:pPr>
            <w:r>
              <w:rPr>
                <w:rFonts w:ascii="Arial" w:cs="Arial" w:eastAsia="Arial" w:hAnsi="Arial"/>
                <w:sz w:val="14"/>
                <w:szCs w:val="14"/>
                <w:b w:val="1"/>
                <w:bCs w:val="1"/>
                <w:color w:val="auto"/>
                <w:w w:val="98"/>
              </w:rPr>
              <w:t>Shares</w:t>
            </w:r>
          </w:p>
        </w:tc>
        <w:tc>
          <w:tcPr>
            <w:tcW w:w="580" w:type="dxa"/>
            <w:vAlign w:val="bottom"/>
          </w:tcPr>
          <w:p>
            <w:pPr>
              <w:jc w:val="right"/>
              <w:spacing w:after="0"/>
              <w:rPr>
                <w:sz w:val="20"/>
                <w:szCs w:val="20"/>
                <w:color w:val="auto"/>
              </w:rPr>
            </w:pPr>
            <w:r>
              <w:rPr>
                <w:rFonts w:ascii="Arial" w:cs="Arial" w:eastAsia="Arial" w:hAnsi="Arial"/>
                <w:sz w:val="14"/>
                <w:szCs w:val="14"/>
                <w:b w:val="1"/>
                <w:bCs w:val="1"/>
                <w:color w:val="auto"/>
                <w:w w:val="98"/>
              </w:rPr>
              <w:t>Amount</w:t>
            </w:r>
          </w:p>
        </w:tc>
        <w:tc>
          <w:tcPr>
            <w:tcW w:w="0" w:type="dxa"/>
            <w:vAlign w:val="bottom"/>
          </w:tcPr>
          <w:p>
            <w:pPr>
              <w:spacing w:after="0"/>
              <w:rPr>
                <w:sz w:val="1"/>
                <w:szCs w:val="1"/>
                <w:color w:val="auto"/>
              </w:rPr>
            </w:pPr>
          </w:p>
        </w:tc>
      </w:tr>
      <w:tr>
        <w:trPr>
          <w:trHeight w:val="53"/>
        </w:trPr>
        <w:tc>
          <w:tcPr>
            <w:tcW w:w="1560" w:type="dxa"/>
            <w:vAlign w:val="bottom"/>
            <w:vMerge w:val="restart"/>
          </w:tcPr>
          <w:p>
            <w:pPr>
              <w:spacing w:after="0"/>
              <w:rPr>
                <w:sz w:val="20"/>
                <w:szCs w:val="20"/>
                <w:color w:val="auto"/>
              </w:rPr>
            </w:pPr>
            <w:r>
              <w:rPr>
                <w:rFonts w:ascii="Arial" w:cs="Arial" w:eastAsia="Arial" w:hAnsi="Arial"/>
                <w:sz w:val="14"/>
                <w:szCs w:val="14"/>
                <w:b w:val="1"/>
                <w:bCs w:val="1"/>
                <w:color w:val="auto"/>
              </w:rPr>
              <w:t>Balances at</w:t>
            </w:r>
          </w:p>
        </w:tc>
        <w:tc>
          <w:tcPr>
            <w:tcW w:w="460" w:type="dxa"/>
            <w:vAlign w:val="bottom"/>
            <w:tcBorders>
              <w:bottom w:val="single" w:sz="8" w:color="auto"/>
            </w:tcBorders>
          </w:tcPr>
          <w:p>
            <w:pPr>
              <w:spacing w:after="0"/>
              <w:rPr>
                <w:sz w:val="4"/>
                <w:szCs w:val="4"/>
                <w:color w:val="auto"/>
              </w:rPr>
            </w:pPr>
          </w:p>
        </w:tc>
        <w:tc>
          <w:tcPr>
            <w:tcW w:w="40" w:type="dxa"/>
            <w:vAlign w:val="bottom"/>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15"/>
        </w:trPr>
        <w:tc>
          <w:tcPr>
            <w:tcW w:w="1560" w:type="dxa"/>
            <w:vAlign w:val="bottom"/>
            <w:vMerge w:val="continue"/>
          </w:tcPr>
          <w:p>
            <w:pPr>
              <w:spacing w:after="0"/>
              <w:rPr>
                <w:sz w:val="10"/>
                <w:szCs w:val="10"/>
                <w:color w:val="auto"/>
              </w:rPr>
            </w:pPr>
          </w:p>
        </w:tc>
        <w:tc>
          <w:tcPr>
            <w:tcW w:w="4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580" w:type="dxa"/>
            <w:vAlign w:val="bottom"/>
          </w:tcPr>
          <w:p>
            <w:pPr>
              <w:jc w:val="right"/>
              <w:spacing w:after="0" w:line="115" w:lineRule="exact"/>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84"/>
        </w:trPr>
        <w:tc>
          <w:tcPr>
            <w:tcW w:w="1560" w:type="dxa"/>
            <w:vAlign w:val="bottom"/>
          </w:tcPr>
          <w:p>
            <w:pPr>
              <w:spacing w:after="0"/>
              <w:rPr>
                <w:sz w:val="20"/>
                <w:szCs w:val="20"/>
                <w:color w:val="auto"/>
              </w:rPr>
            </w:pPr>
            <w:r>
              <w:rPr>
                <w:rFonts w:ascii="Arial" w:cs="Arial" w:eastAsia="Arial" w:hAnsi="Arial"/>
                <w:sz w:val="14"/>
                <w:szCs w:val="14"/>
                <w:b w:val="1"/>
                <w:bCs w:val="1"/>
                <w:color w:val="auto"/>
              </w:rPr>
              <w:t>December 31, 2014</w:t>
            </w:r>
          </w:p>
        </w:tc>
        <w:tc>
          <w:tcPr>
            <w:tcW w:w="460" w:type="dxa"/>
            <w:vAlign w:val="bottom"/>
          </w:tcPr>
          <w:p>
            <w:pPr>
              <w:jc w:val="right"/>
              <w:spacing w:after="0"/>
              <w:rPr>
                <w:sz w:val="20"/>
                <w:szCs w:val="20"/>
                <w:color w:val="auto"/>
              </w:rPr>
            </w:pPr>
            <w:r>
              <w:rPr>
                <w:rFonts w:ascii="Arial" w:cs="Arial" w:eastAsia="Arial" w:hAnsi="Arial"/>
                <w:sz w:val="14"/>
                <w:szCs w:val="14"/>
                <w:color w:val="auto"/>
              </w:rPr>
              <w:t>1,838</w:t>
            </w:r>
          </w:p>
        </w:tc>
        <w:tc>
          <w:tcPr>
            <w:tcW w:w="4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w w:val="98"/>
              </w:rPr>
              <w:t>131,036</w:t>
            </w:r>
          </w:p>
        </w:tc>
        <w:tc>
          <w:tcPr>
            <w:tcW w:w="0" w:type="dxa"/>
            <w:vAlign w:val="bottom"/>
          </w:tcPr>
          <w:p>
            <w:pPr>
              <w:spacing w:after="0"/>
              <w:rPr>
                <w:sz w:val="1"/>
                <w:szCs w:val="1"/>
                <w:color w:val="auto"/>
              </w:rPr>
            </w:pPr>
          </w:p>
        </w:tc>
      </w:tr>
      <w:tr>
        <w:trPr>
          <w:trHeight w:val="182"/>
        </w:trPr>
        <w:tc>
          <w:tcPr>
            <w:tcW w:w="1560" w:type="dxa"/>
            <w:vAlign w:val="bottom"/>
          </w:tcPr>
          <w:p>
            <w:pPr>
              <w:spacing w:after="0"/>
              <w:rPr>
                <w:sz w:val="20"/>
                <w:szCs w:val="20"/>
                <w:color w:val="auto"/>
              </w:rPr>
            </w:pPr>
            <w:r>
              <w:rPr>
                <w:rFonts w:ascii="Arial" w:cs="Arial" w:eastAsia="Arial" w:hAnsi="Arial"/>
                <w:sz w:val="14"/>
                <w:szCs w:val="14"/>
                <w:color w:val="auto"/>
              </w:rPr>
              <w:t>Net income (loss)</w:t>
            </w:r>
          </w:p>
        </w:tc>
        <w:tc>
          <w:tcPr>
            <w:tcW w:w="46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3"/>
        </w:trPr>
        <w:tc>
          <w:tcPr>
            <w:tcW w:w="1560" w:type="dxa"/>
            <w:vAlign w:val="bottom"/>
          </w:tcPr>
          <w:p>
            <w:pPr>
              <w:spacing w:after="0"/>
              <w:rPr>
                <w:sz w:val="20"/>
                <w:szCs w:val="20"/>
                <w:color w:val="auto"/>
              </w:rPr>
            </w:pPr>
            <w:r>
              <w:rPr>
                <w:rFonts w:ascii="Arial" w:cs="Arial" w:eastAsia="Arial" w:hAnsi="Arial"/>
                <w:sz w:val="14"/>
                <w:szCs w:val="14"/>
                <w:color w:val="auto"/>
                <w:w w:val="94"/>
              </w:rPr>
              <w:t>Other comprehensive loss</w:t>
            </w:r>
          </w:p>
        </w:tc>
        <w:tc>
          <w:tcPr>
            <w:tcW w:w="46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96"/>
        </w:trPr>
        <w:tc>
          <w:tcPr>
            <w:tcW w:w="1560" w:type="dxa"/>
            <w:vAlign w:val="bottom"/>
          </w:tcPr>
          <w:p>
            <w:pPr>
              <w:spacing w:after="0"/>
              <w:rPr>
                <w:sz w:val="20"/>
                <w:szCs w:val="20"/>
                <w:color w:val="auto"/>
              </w:rPr>
            </w:pPr>
            <w:r>
              <w:rPr>
                <w:rFonts w:ascii="Arial" w:cs="Arial" w:eastAsia="Arial" w:hAnsi="Arial"/>
                <w:sz w:val="14"/>
                <w:szCs w:val="14"/>
                <w:color w:val="auto"/>
                <w:w w:val="92"/>
              </w:rPr>
              <w:t>Issuance of common stock</w:t>
            </w:r>
          </w:p>
        </w:tc>
        <w:tc>
          <w:tcPr>
            <w:tcW w:w="46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1560" w:type="dxa"/>
            <w:vAlign w:val="bottom"/>
          </w:tcPr>
          <w:p>
            <w:pPr>
              <w:spacing w:after="0" w:line="149" w:lineRule="exact"/>
              <w:rPr>
                <w:sz w:val="20"/>
                <w:szCs w:val="20"/>
                <w:color w:val="auto"/>
              </w:rPr>
            </w:pPr>
            <w:r>
              <w:rPr>
                <w:rFonts w:ascii="Arial" w:cs="Arial" w:eastAsia="Arial" w:hAnsi="Arial"/>
                <w:sz w:val="14"/>
                <w:szCs w:val="14"/>
                <w:color w:val="auto"/>
                <w:w w:val="94"/>
              </w:rPr>
              <w:t>Exercise of common stock</w:t>
            </w:r>
          </w:p>
        </w:tc>
        <w:tc>
          <w:tcPr>
            <w:tcW w:w="46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2"/>
                <w:szCs w:val="12"/>
                <w:color w:val="auto"/>
              </w:rPr>
            </w:pPr>
          </w:p>
        </w:tc>
        <w:tc>
          <w:tcPr>
            <w:tcW w:w="58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01"/>
        </w:trPr>
        <w:tc>
          <w:tcPr>
            <w:tcW w:w="1560" w:type="dxa"/>
            <w:vAlign w:val="bottom"/>
            <w:vMerge w:val="restart"/>
          </w:tcPr>
          <w:p>
            <w:pPr>
              <w:spacing w:after="0" w:line="149" w:lineRule="exact"/>
              <w:rPr>
                <w:sz w:val="20"/>
                <w:szCs w:val="20"/>
                <w:color w:val="auto"/>
              </w:rPr>
            </w:pPr>
            <w:r>
              <w:rPr>
                <w:rFonts w:ascii="Arial" w:cs="Arial" w:eastAsia="Arial" w:hAnsi="Arial"/>
                <w:sz w:val="14"/>
                <w:szCs w:val="14"/>
                <w:color w:val="auto"/>
              </w:rPr>
              <w:t>options</w:t>
            </w:r>
          </w:p>
        </w:tc>
        <w:tc>
          <w:tcPr>
            <w:tcW w:w="46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5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47"/>
        </w:trPr>
        <w:tc>
          <w:tcPr>
            <w:tcW w:w="1560" w:type="dxa"/>
            <w:vAlign w:val="bottom"/>
            <w:vMerge w:val="continue"/>
          </w:tcPr>
          <w:p>
            <w:pPr>
              <w:spacing w:after="0"/>
              <w:rPr>
                <w:sz w:val="4"/>
                <w:szCs w:val="4"/>
                <w:color w:val="auto"/>
              </w:rPr>
            </w:pPr>
          </w:p>
        </w:tc>
        <w:tc>
          <w:tcPr>
            <w:tcW w:w="460" w:type="dxa"/>
            <w:vAlign w:val="bottom"/>
          </w:tcPr>
          <w:p>
            <w:pPr>
              <w:spacing w:after="0"/>
              <w:rPr>
                <w:sz w:val="4"/>
                <w:szCs w:val="4"/>
                <w:color w:val="auto"/>
              </w:rPr>
            </w:pPr>
          </w:p>
        </w:tc>
        <w:tc>
          <w:tcPr>
            <w:tcW w:w="40" w:type="dxa"/>
            <w:vAlign w:val="bottom"/>
          </w:tcPr>
          <w:p>
            <w:pPr>
              <w:spacing w:after="0"/>
              <w:rPr>
                <w:sz w:val="4"/>
                <w:szCs w:val="4"/>
                <w:color w:val="auto"/>
              </w:rPr>
            </w:pPr>
          </w:p>
        </w:tc>
        <w:tc>
          <w:tcPr>
            <w:tcW w:w="5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49"/>
        </w:trPr>
        <w:tc>
          <w:tcPr>
            <w:tcW w:w="1560" w:type="dxa"/>
            <w:vAlign w:val="bottom"/>
          </w:tcPr>
          <w:p>
            <w:pPr>
              <w:spacing w:after="0" w:line="149" w:lineRule="exact"/>
              <w:rPr>
                <w:sz w:val="20"/>
                <w:szCs w:val="20"/>
                <w:color w:val="auto"/>
              </w:rPr>
            </w:pPr>
            <w:r>
              <w:rPr>
                <w:rFonts w:ascii="Arial" w:cs="Arial" w:eastAsia="Arial" w:hAnsi="Arial"/>
                <w:sz w:val="14"/>
                <w:szCs w:val="14"/>
                <w:color w:val="auto"/>
                <w:w w:val="99"/>
              </w:rPr>
              <w:t>Dividends paid on Series</w:t>
            </w:r>
          </w:p>
        </w:tc>
        <w:tc>
          <w:tcPr>
            <w:tcW w:w="4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560" w:type="dxa"/>
            <w:vAlign w:val="bottom"/>
          </w:tcPr>
          <w:p>
            <w:pPr>
              <w:spacing w:after="0" w:line="149" w:lineRule="exact"/>
              <w:rPr>
                <w:sz w:val="20"/>
                <w:szCs w:val="20"/>
                <w:color w:val="auto"/>
              </w:rPr>
            </w:pPr>
            <w:r>
              <w:rPr>
                <w:rFonts w:ascii="Arial" w:cs="Arial" w:eastAsia="Arial" w:hAnsi="Arial"/>
                <w:sz w:val="14"/>
                <w:szCs w:val="14"/>
                <w:color w:val="auto"/>
                <w:w w:val="96"/>
              </w:rPr>
              <w:t>A redeemable convertible</w:t>
            </w:r>
          </w:p>
        </w:tc>
        <w:tc>
          <w:tcPr>
            <w:tcW w:w="46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4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1560" w:type="dxa"/>
            <w:vAlign w:val="bottom"/>
          </w:tcPr>
          <w:p>
            <w:pPr>
              <w:spacing w:after="0" w:line="149" w:lineRule="exact"/>
              <w:rPr>
                <w:sz w:val="20"/>
                <w:szCs w:val="20"/>
                <w:color w:val="auto"/>
              </w:rPr>
            </w:pPr>
            <w:r>
              <w:rPr>
                <w:rFonts w:ascii="Arial" w:cs="Arial" w:eastAsia="Arial" w:hAnsi="Arial"/>
                <w:sz w:val="14"/>
                <w:szCs w:val="14"/>
                <w:color w:val="auto"/>
              </w:rPr>
              <w:t>preferred stock</w:t>
            </w:r>
          </w:p>
        </w:tc>
        <w:tc>
          <w:tcPr>
            <w:tcW w:w="4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560" w:type="dxa"/>
            <w:vAlign w:val="bottom"/>
          </w:tcPr>
          <w:p>
            <w:pPr>
              <w:spacing w:after="0" w:line="149" w:lineRule="exact"/>
              <w:rPr>
                <w:sz w:val="20"/>
                <w:szCs w:val="20"/>
                <w:color w:val="auto"/>
              </w:rPr>
            </w:pPr>
            <w:r>
              <w:rPr>
                <w:rFonts w:ascii="Arial" w:cs="Arial" w:eastAsia="Arial" w:hAnsi="Arial"/>
                <w:sz w:val="14"/>
                <w:szCs w:val="14"/>
                <w:color w:val="auto"/>
              </w:rPr>
              <w:t>Dividends declared to</w:t>
            </w:r>
          </w:p>
        </w:tc>
        <w:tc>
          <w:tcPr>
            <w:tcW w:w="46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2"/>
                <w:szCs w:val="12"/>
                <w:color w:val="auto"/>
              </w:rPr>
            </w:pPr>
          </w:p>
        </w:tc>
        <w:tc>
          <w:tcPr>
            <w:tcW w:w="58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01"/>
        </w:trPr>
        <w:tc>
          <w:tcPr>
            <w:tcW w:w="1560" w:type="dxa"/>
            <w:vAlign w:val="bottom"/>
            <w:vMerge w:val="restart"/>
          </w:tcPr>
          <w:p>
            <w:pPr>
              <w:spacing w:after="0" w:line="145" w:lineRule="exact"/>
              <w:rPr>
                <w:sz w:val="20"/>
                <w:szCs w:val="20"/>
                <w:color w:val="auto"/>
              </w:rPr>
            </w:pPr>
            <w:r>
              <w:rPr>
                <w:rFonts w:ascii="Arial" w:cs="Arial" w:eastAsia="Arial" w:hAnsi="Arial"/>
                <w:sz w:val="14"/>
                <w:szCs w:val="14"/>
                <w:color w:val="auto"/>
              </w:rPr>
              <w:t>noncontrolling interests</w:t>
            </w:r>
          </w:p>
        </w:tc>
        <w:tc>
          <w:tcPr>
            <w:tcW w:w="46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5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43"/>
        </w:trPr>
        <w:tc>
          <w:tcPr>
            <w:tcW w:w="1560" w:type="dxa"/>
            <w:vAlign w:val="bottom"/>
            <w:vMerge w:val="continue"/>
          </w:tcPr>
          <w:p>
            <w:pPr>
              <w:spacing w:after="0"/>
              <w:rPr>
                <w:sz w:val="3"/>
                <w:szCs w:val="3"/>
                <w:color w:val="auto"/>
              </w:rPr>
            </w:pPr>
          </w:p>
        </w:tc>
        <w:tc>
          <w:tcPr>
            <w:tcW w:w="460" w:type="dxa"/>
            <w:vAlign w:val="bottom"/>
          </w:tcPr>
          <w:p>
            <w:pPr>
              <w:spacing w:after="0"/>
              <w:rPr>
                <w:sz w:val="3"/>
                <w:szCs w:val="3"/>
                <w:color w:val="auto"/>
              </w:rPr>
            </w:pPr>
          </w:p>
        </w:tc>
        <w:tc>
          <w:tcPr>
            <w:tcW w:w="40" w:type="dxa"/>
            <w:vAlign w:val="bottom"/>
          </w:tcPr>
          <w:p>
            <w:pPr>
              <w:spacing w:after="0"/>
              <w:rPr>
                <w:sz w:val="3"/>
                <w:szCs w:val="3"/>
                <w:color w:val="auto"/>
              </w:rPr>
            </w:pPr>
          </w:p>
        </w:tc>
        <w:tc>
          <w:tcPr>
            <w:tcW w:w="5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3"/>
        </w:trPr>
        <w:tc>
          <w:tcPr>
            <w:tcW w:w="1560" w:type="dxa"/>
            <w:vAlign w:val="bottom"/>
            <w:vMerge w:val="restart"/>
          </w:tcPr>
          <w:p>
            <w:pPr>
              <w:spacing w:after="0" w:line="149" w:lineRule="exact"/>
              <w:rPr>
                <w:sz w:val="20"/>
                <w:szCs w:val="20"/>
                <w:color w:val="auto"/>
              </w:rPr>
            </w:pPr>
            <w:r>
              <w:rPr>
                <w:rFonts w:ascii="Arial" w:cs="Arial" w:eastAsia="Arial" w:hAnsi="Arial"/>
                <w:sz w:val="14"/>
                <w:szCs w:val="14"/>
                <w:b w:val="1"/>
                <w:bCs w:val="1"/>
                <w:color w:val="auto"/>
              </w:rPr>
              <w:t>Balances at</w:t>
            </w:r>
          </w:p>
        </w:tc>
        <w:tc>
          <w:tcPr>
            <w:tcW w:w="46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6"/>
        </w:trPr>
        <w:tc>
          <w:tcPr>
            <w:tcW w:w="1560" w:type="dxa"/>
            <w:vAlign w:val="bottom"/>
            <w:vMerge w:val="continue"/>
          </w:tcPr>
          <w:p>
            <w:pPr>
              <w:spacing w:after="0"/>
              <w:rPr>
                <w:sz w:val="9"/>
                <w:szCs w:val="9"/>
                <w:color w:val="auto"/>
              </w:rPr>
            </w:pPr>
          </w:p>
        </w:tc>
        <w:tc>
          <w:tcPr>
            <w:tcW w:w="460" w:type="dxa"/>
            <w:vAlign w:val="bottom"/>
            <w:vMerge w:val="restart"/>
          </w:tcPr>
          <w:p>
            <w:pPr>
              <w:jc w:val="right"/>
              <w:spacing w:after="0"/>
              <w:rPr>
                <w:sz w:val="20"/>
                <w:szCs w:val="20"/>
                <w:color w:val="auto"/>
              </w:rPr>
            </w:pPr>
            <w:r>
              <w:rPr>
                <w:rFonts w:ascii="Arial" w:cs="Arial" w:eastAsia="Arial" w:hAnsi="Arial"/>
                <w:sz w:val="14"/>
                <w:szCs w:val="14"/>
                <w:color w:val="auto"/>
              </w:rPr>
              <w:t>1,838</w:t>
            </w:r>
          </w:p>
        </w:tc>
        <w:tc>
          <w:tcPr>
            <w:tcW w:w="40" w:type="dxa"/>
            <w:vAlign w:val="bottom"/>
          </w:tcPr>
          <w:p>
            <w:pPr>
              <w:spacing w:after="0"/>
              <w:rPr>
                <w:sz w:val="9"/>
                <w:szCs w:val="9"/>
                <w:color w:val="auto"/>
              </w:rPr>
            </w:pPr>
          </w:p>
        </w:tc>
        <w:tc>
          <w:tcPr>
            <w:tcW w:w="580" w:type="dxa"/>
            <w:vAlign w:val="bottom"/>
            <w:vMerge w:val="restart"/>
          </w:tcPr>
          <w:p>
            <w:pPr>
              <w:jc w:val="right"/>
              <w:spacing w:after="0"/>
              <w:rPr>
                <w:sz w:val="20"/>
                <w:szCs w:val="20"/>
                <w:color w:val="auto"/>
              </w:rPr>
            </w:pPr>
            <w:r>
              <w:rPr>
                <w:rFonts w:ascii="Arial" w:cs="Arial" w:eastAsia="Arial" w:hAnsi="Arial"/>
                <w:sz w:val="14"/>
                <w:szCs w:val="14"/>
                <w:color w:val="auto"/>
                <w:w w:val="98"/>
              </w:rPr>
              <w:t>131,036</w:t>
            </w:r>
          </w:p>
        </w:tc>
        <w:tc>
          <w:tcPr>
            <w:tcW w:w="0" w:type="dxa"/>
            <w:vAlign w:val="bottom"/>
          </w:tcPr>
          <w:p>
            <w:pPr>
              <w:spacing w:after="0"/>
              <w:rPr>
                <w:sz w:val="1"/>
                <w:szCs w:val="1"/>
                <w:color w:val="auto"/>
              </w:rPr>
            </w:pPr>
          </w:p>
        </w:tc>
      </w:tr>
      <w:tr>
        <w:trPr>
          <w:trHeight w:val="119"/>
        </w:trPr>
        <w:tc>
          <w:tcPr>
            <w:tcW w:w="1560" w:type="dxa"/>
            <w:vAlign w:val="bottom"/>
            <w:vMerge w:val="restart"/>
          </w:tcPr>
          <w:p>
            <w:pPr>
              <w:spacing w:after="0"/>
              <w:rPr>
                <w:sz w:val="20"/>
                <w:szCs w:val="20"/>
                <w:color w:val="auto"/>
              </w:rPr>
            </w:pPr>
            <w:r>
              <w:rPr>
                <w:rFonts w:ascii="Arial" w:cs="Arial" w:eastAsia="Arial" w:hAnsi="Arial"/>
                <w:sz w:val="14"/>
                <w:szCs w:val="14"/>
                <w:b w:val="1"/>
                <w:bCs w:val="1"/>
                <w:color w:val="auto"/>
              </w:rPr>
              <w:t>December 31, 2015</w:t>
            </w:r>
          </w:p>
        </w:tc>
        <w:tc>
          <w:tcPr>
            <w:tcW w:w="46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5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61"/>
        </w:trPr>
        <w:tc>
          <w:tcPr>
            <w:tcW w:w="1560" w:type="dxa"/>
            <w:vAlign w:val="bottom"/>
            <w:vMerge w:val="continue"/>
          </w:tcPr>
          <w:p>
            <w:pPr>
              <w:spacing w:after="0"/>
              <w:rPr>
                <w:sz w:val="5"/>
                <w:szCs w:val="5"/>
                <w:color w:val="auto"/>
              </w:rPr>
            </w:pPr>
          </w:p>
        </w:tc>
        <w:tc>
          <w:tcPr>
            <w:tcW w:w="460" w:type="dxa"/>
            <w:vAlign w:val="bottom"/>
          </w:tcPr>
          <w:p>
            <w:pPr>
              <w:spacing w:after="0"/>
              <w:rPr>
                <w:sz w:val="5"/>
                <w:szCs w:val="5"/>
                <w:color w:val="auto"/>
              </w:rPr>
            </w:pPr>
          </w:p>
        </w:tc>
        <w:tc>
          <w:tcPr>
            <w:tcW w:w="40" w:type="dxa"/>
            <w:vAlign w:val="bottom"/>
          </w:tcPr>
          <w:p>
            <w:pPr>
              <w:spacing w:after="0"/>
              <w:rPr>
                <w:sz w:val="5"/>
                <w:szCs w:val="5"/>
                <w:color w:val="auto"/>
              </w:rPr>
            </w:pPr>
          </w:p>
        </w:tc>
        <w:tc>
          <w:tcPr>
            <w:tcW w:w="5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82"/>
        </w:trPr>
        <w:tc>
          <w:tcPr>
            <w:tcW w:w="1560" w:type="dxa"/>
            <w:vAlign w:val="bottom"/>
          </w:tcPr>
          <w:p>
            <w:pPr>
              <w:spacing w:after="0"/>
              <w:rPr>
                <w:sz w:val="20"/>
                <w:szCs w:val="20"/>
                <w:color w:val="auto"/>
              </w:rPr>
            </w:pPr>
            <w:r>
              <w:rPr>
                <w:rFonts w:ascii="Arial" w:cs="Arial" w:eastAsia="Arial" w:hAnsi="Arial"/>
                <w:sz w:val="14"/>
                <w:szCs w:val="14"/>
                <w:color w:val="auto"/>
              </w:rPr>
              <w:t>Net income</w:t>
            </w:r>
          </w:p>
        </w:tc>
        <w:tc>
          <w:tcPr>
            <w:tcW w:w="46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3"/>
        </w:trPr>
        <w:tc>
          <w:tcPr>
            <w:tcW w:w="1560" w:type="dxa"/>
            <w:vAlign w:val="bottom"/>
          </w:tcPr>
          <w:p>
            <w:pPr>
              <w:spacing w:after="0"/>
              <w:rPr>
                <w:sz w:val="20"/>
                <w:szCs w:val="20"/>
                <w:color w:val="auto"/>
              </w:rPr>
            </w:pPr>
            <w:r>
              <w:rPr>
                <w:rFonts w:ascii="Arial" w:cs="Arial" w:eastAsia="Arial" w:hAnsi="Arial"/>
                <w:sz w:val="14"/>
                <w:szCs w:val="14"/>
                <w:color w:val="auto"/>
                <w:w w:val="94"/>
              </w:rPr>
              <w:t>Other comprehensive loss</w:t>
            </w:r>
          </w:p>
        </w:tc>
        <w:tc>
          <w:tcPr>
            <w:tcW w:w="46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3"/>
        </w:trPr>
        <w:tc>
          <w:tcPr>
            <w:tcW w:w="1560" w:type="dxa"/>
            <w:vAlign w:val="bottom"/>
          </w:tcPr>
          <w:p>
            <w:pPr>
              <w:spacing w:after="0"/>
              <w:rPr>
                <w:sz w:val="20"/>
                <w:szCs w:val="20"/>
                <w:color w:val="auto"/>
              </w:rPr>
            </w:pPr>
            <w:r>
              <w:rPr>
                <w:rFonts w:ascii="Arial" w:cs="Arial" w:eastAsia="Arial" w:hAnsi="Arial"/>
                <w:sz w:val="14"/>
                <w:szCs w:val="14"/>
                <w:color w:val="auto"/>
                <w:w w:val="89"/>
              </w:rPr>
              <w:t>Share-based compensation</w:t>
            </w:r>
          </w:p>
        </w:tc>
        <w:tc>
          <w:tcPr>
            <w:tcW w:w="46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3"/>
        </w:trPr>
        <w:tc>
          <w:tcPr>
            <w:tcW w:w="1560" w:type="dxa"/>
            <w:vAlign w:val="bottom"/>
          </w:tcPr>
          <w:p>
            <w:pPr>
              <w:spacing w:after="0"/>
              <w:rPr>
                <w:sz w:val="20"/>
                <w:szCs w:val="20"/>
                <w:color w:val="auto"/>
              </w:rPr>
            </w:pPr>
            <w:r>
              <w:rPr>
                <w:rFonts w:ascii="Arial" w:cs="Arial" w:eastAsia="Arial" w:hAnsi="Arial"/>
                <w:sz w:val="14"/>
                <w:szCs w:val="14"/>
                <w:color w:val="auto"/>
                <w:w w:val="92"/>
              </w:rPr>
              <w:t>Issuance of common stock</w:t>
            </w:r>
          </w:p>
        </w:tc>
        <w:tc>
          <w:tcPr>
            <w:tcW w:w="46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bl>
    <w:p>
      <w:pPr>
        <w:ind w:left="20"/>
        <w:spacing w:after="0" w:line="229" w:lineRule="auto"/>
        <w:rPr>
          <w:sz w:val="20"/>
          <w:szCs w:val="20"/>
          <w:color w:val="auto"/>
        </w:rPr>
      </w:pPr>
      <w:r>
        <w:rPr>
          <w:rFonts w:ascii="Arial" w:cs="Arial" w:eastAsia="Arial" w:hAnsi="Arial"/>
          <w:sz w:val="14"/>
          <w:szCs w:val="14"/>
          <w:color w:val="auto"/>
        </w:rPr>
        <w:t>Conversion of redeemable</w:t>
      </w:r>
    </w:p>
    <w:p>
      <w:pPr>
        <w:ind w:left="20"/>
        <w:spacing w:after="0"/>
        <w:rPr>
          <w:sz w:val="20"/>
          <w:szCs w:val="20"/>
          <w:color w:val="auto"/>
        </w:rPr>
      </w:pPr>
      <w:r>
        <w:rPr>
          <w:rFonts w:ascii="Arial" w:cs="Arial" w:eastAsia="Arial" w:hAnsi="Arial"/>
          <w:sz w:val="13"/>
          <w:szCs w:val="13"/>
          <w:color w:val="auto"/>
        </w:rPr>
        <w:t>convertible preferred stock (1,838) (131,036)</w:t>
      </w:r>
    </w:p>
    <w:tbl>
      <w:tblPr>
        <w:tblLayout w:type="fixed"/>
        <w:tblInd w:w="20" w:type="dxa"/>
        <w:tblCellMar>
          <w:top w:w="0" w:type="dxa"/>
          <w:left w:w="0" w:type="dxa"/>
          <w:bottom w:w="0" w:type="dxa"/>
          <w:right w:w="0" w:type="dxa"/>
        </w:tblCellMar>
      </w:tblPr>
      <w:tr>
        <w:trPr>
          <w:trHeight w:val="137"/>
        </w:trPr>
        <w:tc>
          <w:tcPr>
            <w:tcW w:w="1560" w:type="dxa"/>
            <w:vAlign w:val="bottom"/>
          </w:tcPr>
          <w:p>
            <w:pPr>
              <w:spacing w:after="0" w:line="137" w:lineRule="exact"/>
              <w:rPr>
                <w:sz w:val="20"/>
                <w:szCs w:val="20"/>
                <w:color w:val="auto"/>
              </w:rPr>
            </w:pPr>
            <w:r>
              <w:rPr>
                <w:rFonts w:ascii="Arial" w:cs="Arial" w:eastAsia="Arial" w:hAnsi="Arial"/>
                <w:sz w:val="14"/>
                <w:szCs w:val="14"/>
                <w:color w:val="auto"/>
                <w:w w:val="97"/>
              </w:rPr>
              <w:t>Conversion of convertible</w:t>
            </w:r>
          </w:p>
        </w:tc>
        <w:tc>
          <w:tcPr>
            <w:tcW w:w="46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1"/>
                <w:szCs w:val="11"/>
                <w:color w:val="auto"/>
              </w:rPr>
            </w:pPr>
          </w:p>
        </w:tc>
        <w:tc>
          <w:tcPr>
            <w:tcW w:w="58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01"/>
        </w:trPr>
        <w:tc>
          <w:tcPr>
            <w:tcW w:w="1560" w:type="dxa"/>
            <w:vAlign w:val="bottom"/>
            <w:vMerge w:val="restart"/>
          </w:tcPr>
          <w:p>
            <w:pPr>
              <w:spacing w:after="0" w:line="149" w:lineRule="exact"/>
              <w:rPr>
                <w:sz w:val="20"/>
                <w:szCs w:val="20"/>
                <w:color w:val="auto"/>
              </w:rPr>
            </w:pPr>
            <w:r>
              <w:rPr>
                <w:rFonts w:ascii="Arial" w:cs="Arial" w:eastAsia="Arial" w:hAnsi="Arial"/>
                <w:sz w:val="14"/>
                <w:szCs w:val="14"/>
                <w:color w:val="auto"/>
              </w:rPr>
              <w:t>notes</w:t>
            </w:r>
          </w:p>
        </w:tc>
        <w:tc>
          <w:tcPr>
            <w:tcW w:w="46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5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47"/>
        </w:trPr>
        <w:tc>
          <w:tcPr>
            <w:tcW w:w="1560" w:type="dxa"/>
            <w:vAlign w:val="bottom"/>
            <w:vMerge w:val="continue"/>
          </w:tcPr>
          <w:p>
            <w:pPr>
              <w:spacing w:after="0"/>
              <w:rPr>
                <w:sz w:val="4"/>
                <w:szCs w:val="4"/>
                <w:color w:val="auto"/>
              </w:rPr>
            </w:pPr>
          </w:p>
        </w:tc>
        <w:tc>
          <w:tcPr>
            <w:tcW w:w="460" w:type="dxa"/>
            <w:vAlign w:val="bottom"/>
          </w:tcPr>
          <w:p>
            <w:pPr>
              <w:spacing w:after="0"/>
              <w:rPr>
                <w:sz w:val="4"/>
                <w:szCs w:val="4"/>
                <w:color w:val="auto"/>
              </w:rPr>
            </w:pPr>
          </w:p>
        </w:tc>
        <w:tc>
          <w:tcPr>
            <w:tcW w:w="40" w:type="dxa"/>
            <w:vAlign w:val="bottom"/>
          </w:tcPr>
          <w:p>
            <w:pPr>
              <w:spacing w:after="0"/>
              <w:rPr>
                <w:sz w:val="4"/>
                <w:szCs w:val="4"/>
                <w:color w:val="auto"/>
              </w:rPr>
            </w:pPr>
          </w:p>
        </w:tc>
        <w:tc>
          <w:tcPr>
            <w:tcW w:w="5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49"/>
        </w:trPr>
        <w:tc>
          <w:tcPr>
            <w:tcW w:w="1560" w:type="dxa"/>
            <w:vAlign w:val="bottom"/>
          </w:tcPr>
          <w:p>
            <w:pPr>
              <w:spacing w:after="0" w:line="149" w:lineRule="exact"/>
              <w:rPr>
                <w:sz w:val="20"/>
                <w:szCs w:val="20"/>
                <w:color w:val="auto"/>
              </w:rPr>
            </w:pPr>
            <w:r>
              <w:rPr>
                <w:rFonts w:ascii="Arial" w:cs="Arial" w:eastAsia="Arial" w:hAnsi="Arial"/>
                <w:sz w:val="14"/>
                <w:szCs w:val="14"/>
                <w:color w:val="auto"/>
                <w:w w:val="99"/>
              </w:rPr>
              <w:t>Dividends paid on Series</w:t>
            </w:r>
          </w:p>
        </w:tc>
        <w:tc>
          <w:tcPr>
            <w:tcW w:w="4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560" w:type="dxa"/>
            <w:vAlign w:val="bottom"/>
          </w:tcPr>
          <w:p>
            <w:pPr>
              <w:spacing w:after="0" w:line="149" w:lineRule="exact"/>
              <w:rPr>
                <w:sz w:val="20"/>
                <w:szCs w:val="20"/>
                <w:color w:val="auto"/>
              </w:rPr>
            </w:pPr>
            <w:r>
              <w:rPr>
                <w:rFonts w:ascii="Arial" w:cs="Arial" w:eastAsia="Arial" w:hAnsi="Arial"/>
                <w:sz w:val="14"/>
                <w:szCs w:val="14"/>
                <w:color w:val="auto"/>
                <w:w w:val="96"/>
              </w:rPr>
              <w:t>A redeemable convertible</w:t>
            </w:r>
          </w:p>
        </w:tc>
        <w:tc>
          <w:tcPr>
            <w:tcW w:w="46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4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1560" w:type="dxa"/>
            <w:vAlign w:val="bottom"/>
          </w:tcPr>
          <w:p>
            <w:pPr>
              <w:spacing w:after="0" w:line="149" w:lineRule="exact"/>
              <w:rPr>
                <w:sz w:val="20"/>
                <w:szCs w:val="20"/>
                <w:color w:val="auto"/>
              </w:rPr>
            </w:pPr>
            <w:r>
              <w:rPr>
                <w:rFonts w:ascii="Arial" w:cs="Arial" w:eastAsia="Arial" w:hAnsi="Arial"/>
                <w:sz w:val="14"/>
                <w:szCs w:val="14"/>
                <w:color w:val="auto"/>
              </w:rPr>
              <w:t>preferred stock</w:t>
            </w:r>
          </w:p>
        </w:tc>
        <w:tc>
          <w:tcPr>
            <w:tcW w:w="4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560" w:type="dxa"/>
            <w:vAlign w:val="bottom"/>
          </w:tcPr>
          <w:p>
            <w:pPr>
              <w:spacing w:after="0" w:line="149" w:lineRule="exact"/>
              <w:rPr>
                <w:sz w:val="20"/>
                <w:szCs w:val="20"/>
                <w:color w:val="auto"/>
              </w:rPr>
            </w:pPr>
            <w:r>
              <w:rPr>
                <w:rFonts w:ascii="Arial" w:cs="Arial" w:eastAsia="Arial" w:hAnsi="Arial"/>
                <w:sz w:val="14"/>
                <w:szCs w:val="14"/>
                <w:color w:val="auto"/>
              </w:rPr>
              <w:t>Dividends declared to</w:t>
            </w:r>
          </w:p>
        </w:tc>
        <w:tc>
          <w:tcPr>
            <w:tcW w:w="46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2"/>
                <w:szCs w:val="12"/>
                <w:color w:val="auto"/>
              </w:rPr>
            </w:pPr>
          </w:p>
        </w:tc>
        <w:tc>
          <w:tcPr>
            <w:tcW w:w="58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01"/>
        </w:trPr>
        <w:tc>
          <w:tcPr>
            <w:tcW w:w="1560" w:type="dxa"/>
            <w:vAlign w:val="bottom"/>
            <w:vMerge w:val="restart"/>
          </w:tcPr>
          <w:p>
            <w:pPr>
              <w:spacing w:after="0" w:line="145" w:lineRule="exact"/>
              <w:rPr>
                <w:sz w:val="20"/>
                <w:szCs w:val="20"/>
                <w:color w:val="auto"/>
              </w:rPr>
            </w:pPr>
            <w:r>
              <w:rPr>
                <w:rFonts w:ascii="Arial" w:cs="Arial" w:eastAsia="Arial" w:hAnsi="Arial"/>
                <w:sz w:val="14"/>
                <w:szCs w:val="14"/>
                <w:color w:val="auto"/>
              </w:rPr>
              <w:t>noncontrolling interests</w:t>
            </w:r>
          </w:p>
        </w:tc>
        <w:tc>
          <w:tcPr>
            <w:tcW w:w="46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5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43"/>
        </w:trPr>
        <w:tc>
          <w:tcPr>
            <w:tcW w:w="1560" w:type="dxa"/>
            <w:vAlign w:val="bottom"/>
            <w:vMerge w:val="continue"/>
          </w:tcPr>
          <w:p>
            <w:pPr>
              <w:spacing w:after="0"/>
              <w:rPr>
                <w:sz w:val="3"/>
                <w:szCs w:val="3"/>
                <w:color w:val="auto"/>
              </w:rPr>
            </w:pPr>
          </w:p>
        </w:tc>
        <w:tc>
          <w:tcPr>
            <w:tcW w:w="460" w:type="dxa"/>
            <w:vAlign w:val="bottom"/>
          </w:tcPr>
          <w:p>
            <w:pPr>
              <w:spacing w:after="0"/>
              <w:rPr>
                <w:sz w:val="3"/>
                <w:szCs w:val="3"/>
                <w:color w:val="auto"/>
              </w:rPr>
            </w:pPr>
          </w:p>
        </w:tc>
        <w:tc>
          <w:tcPr>
            <w:tcW w:w="40" w:type="dxa"/>
            <w:vAlign w:val="bottom"/>
          </w:tcPr>
          <w:p>
            <w:pPr>
              <w:spacing w:after="0"/>
              <w:rPr>
                <w:sz w:val="3"/>
                <w:szCs w:val="3"/>
                <w:color w:val="auto"/>
              </w:rPr>
            </w:pPr>
          </w:p>
        </w:tc>
        <w:tc>
          <w:tcPr>
            <w:tcW w:w="5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3"/>
        </w:trPr>
        <w:tc>
          <w:tcPr>
            <w:tcW w:w="1560" w:type="dxa"/>
            <w:vAlign w:val="bottom"/>
            <w:vMerge w:val="restart"/>
          </w:tcPr>
          <w:p>
            <w:pPr>
              <w:spacing w:after="0" w:line="149" w:lineRule="exact"/>
              <w:rPr>
                <w:sz w:val="20"/>
                <w:szCs w:val="20"/>
                <w:color w:val="auto"/>
              </w:rPr>
            </w:pPr>
            <w:r>
              <w:rPr>
                <w:rFonts w:ascii="Arial" w:cs="Arial" w:eastAsia="Arial" w:hAnsi="Arial"/>
                <w:sz w:val="14"/>
                <w:szCs w:val="14"/>
                <w:b w:val="1"/>
                <w:bCs w:val="1"/>
                <w:color w:val="auto"/>
              </w:rPr>
              <w:t>Balances at</w:t>
            </w:r>
          </w:p>
        </w:tc>
        <w:tc>
          <w:tcPr>
            <w:tcW w:w="46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6"/>
        </w:trPr>
        <w:tc>
          <w:tcPr>
            <w:tcW w:w="1560" w:type="dxa"/>
            <w:vAlign w:val="bottom"/>
            <w:vMerge w:val="continue"/>
          </w:tcPr>
          <w:p>
            <w:pPr>
              <w:spacing w:after="0"/>
              <w:rPr>
                <w:sz w:val="9"/>
                <w:szCs w:val="9"/>
                <w:color w:val="auto"/>
              </w:rPr>
            </w:pPr>
          </w:p>
        </w:tc>
        <w:tc>
          <w:tcPr>
            <w:tcW w:w="46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9"/>
                <w:szCs w:val="9"/>
                <w:color w:val="auto"/>
              </w:rPr>
            </w:pPr>
          </w:p>
        </w:tc>
        <w:tc>
          <w:tcPr>
            <w:tcW w:w="58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19"/>
        </w:trPr>
        <w:tc>
          <w:tcPr>
            <w:tcW w:w="1560" w:type="dxa"/>
            <w:vAlign w:val="bottom"/>
            <w:vMerge w:val="restart"/>
          </w:tcPr>
          <w:p>
            <w:pPr>
              <w:spacing w:after="0"/>
              <w:rPr>
                <w:sz w:val="20"/>
                <w:szCs w:val="20"/>
                <w:color w:val="auto"/>
              </w:rPr>
            </w:pPr>
            <w:r>
              <w:rPr>
                <w:rFonts w:ascii="Arial" w:cs="Arial" w:eastAsia="Arial" w:hAnsi="Arial"/>
                <w:sz w:val="14"/>
                <w:szCs w:val="14"/>
                <w:b w:val="1"/>
                <w:bCs w:val="1"/>
                <w:color w:val="auto"/>
              </w:rPr>
              <w:t>December 31, 2016</w:t>
            </w:r>
          </w:p>
        </w:tc>
        <w:tc>
          <w:tcPr>
            <w:tcW w:w="46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5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61"/>
        </w:trPr>
        <w:tc>
          <w:tcPr>
            <w:tcW w:w="1560" w:type="dxa"/>
            <w:vAlign w:val="bottom"/>
            <w:vMerge w:val="continue"/>
          </w:tcPr>
          <w:p>
            <w:pPr>
              <w:spacing w:after="0"/>
              <w:rPr>
                <w:sz w:val="5"/>
                <w:szCs w:val="5"/>
                <w:color w:val="auto"/>
              </w:rPr>
            </w:pPr>
          </w:p>
        </w:tc>
        <w:tc>
          <w:tcPr>
            <w:tcW w:w="460" w:type="dxa"/>
            <w:vAlign w:val="bottom"/>
          </w:tcPr>
          <w:p>
            <w:pPr>
              <w:spacing w:after="0"/>
              <w:rPr>
                <w:sz w:val="5"/>
                <w:szCs w:val="5"/>
                <w:color w:val="auto"/>
              </w:rPr>
            </w:pPr>
          </w:p>
        </w:tc>
        <w:tc>
          <w:tcPr>
            <w:tcW w:w="40" w:type="dxa"/>
            <w:vAlign w:val="bottom"/>
          </w:tcPr>
          <w:p>
            <w:pPr>
              <w:spacing w:after="0"/>
              <w:rPr>
                <w:sz w:val="5"/>
                <w:szCs w:val="5"/>
                <w:color w:val="auto"/>
              </w:rPr>
            </w:pPr>
          </w:p>
        </w:tc>
        <w:tc>
          <w:tcPr>
            <w:tcW w:w="5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76"/>
        </w:trPr>
        <w:tc>
          <w:tcPr>
            <w:tcW w:w="1560" w:type="dxa"/>
            <w:vAlign w:val="bottom"/>
          </w:tcPr>
          <w:p>
            <w:pPr>
              <w:spacing w:after="0"/>
              <w:rPr>
                <w:sz w:val="20"/>
                <w:szCs w:val="20"/>
                <w:color w:val="auto"/>
              </w:rPr>
            </w:pPr>
            <w:r>
              <w:rPr>
                <w:rFonts w:ascii="Arial" w:cs="Arial" w:eastAsia="Arial" w:hAnsi="Arial"/>
                <w:sz w:val="14"/>
                <w:szCs w:val="14"/>
                <w:color w:val="auto"/>
              </w:rPr>
              <w:t>Net income</w:t>
            </w:r>
          </w:p>
        </w:tc>
        <w:tc>
          <w:tcPr>
            <w:tcW w:w="46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1560" w:type="dxa"/>
            <w:vAlign w:val="bottom"/>
          </w:tcPr>
          <w:p>
            <w:pPr>
              <w:spacing w:after="0" w:line="149" w:lineRule="exact"/>
              <w:rPr>
                <w:sz w:val="20"/>
                <w:szCs w:val="20"/>
                <w:color w:val="auto"/>
              </w:rPr>
            </w:pPr>
            <w:r>
              <w:rPr>
                <w:rFonts w:ascii="Arial" w:cs="Arial" w:eastAsia="Arial" w:hAnsi="Arial"/>
                <w:sz w:val="14"/>
                <w:szCs w:val="14"/>
                <w:color w:val="auto"/>
              </w:rPr>
              <w:t>Other comprehensive</w:t>
            </w:r>
          </w:p>
        </w:tc>
        <w:tc>
          <w:tcPr>
            <w:tcW w:w="46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2"/>
                <w:szCs w:val="12"/>
                <w:color w:val="auto"/>
              </w:rPr>
            </w:pPr>
          </w:p>
        </w:tc>
        <w:tc>
          <w:tcPr>
            <w:tcW w:w="58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01"/>
        </w:trPr>
        <w:tc>
          <w:tcPr>
            <w:tcW w:w="1560" w:type="dxa"/>
            <w:vAlign w:val="bottom"/>
            <w:vMerge w:val="restart"/>
          </w:tcPr>
          <w:p>
            <w:pPr>
              <w:spacing w:after="0"/>
              <w:rPr>
                <w:sz w:val="20"/>
                <w:szCs w:val="20"/>
                <w:color w:val="auto"/>
              </w:rPr>
            </w:pPr>
            <w:r>
              <w:rPr>
                <w:rFonts w:ascii="Arial" w:cs="Arial" w:eastAsia="Arial" w:hAnsi="Arial"/>
                <w:sz w:val="14"/>
                <w:szCs w:val="14"/>
                <w:color w:val="auto"/>
              </w:rPr>
              <w:t>income</w:t>
            </w:r>
          </w:p>
        </w:tc>
        <w:tc>
          <w:tcPr>
            <w:tcW w:w="46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5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74"/>
        </w:trPr>
        <w:tc>
          <w:tcPr>
            <w:tcW w:w="1560" w:type="dxa"/>
            <w:vAlign w:val="bottom"/>
            <w:vMerge w:val="continue"/>
          </w:tcPr>
          <w:p>
            <w:pPr>
              <w:spacing w:after="0"/>
              <w:rPr>
                <w:sz w:val="6"/>
                <w:szCs w:val="6"/>
                <w:color w:val="auto"/>
              </w:rPr>
            </w:pPr>
          </w:p>
        </w:tc>
        <w:tc>
          <w:tcPr>
            <w:tcW w:w="460" w:type="dxa"/>
            <w:vAlign w:val="bottom"/>
          </w:tcPr>
          <w:p>
            <w:pPr>
              <w:spacing w:after="0"/>
              <w:rPr>
                <w:sz w:val="6"/>
                <w:szCs w:val="6"/>
                <w:color w:val="auto"/>
              </w:rPr>
            </w:pPr>
          </w:p>
        </w:tc>
        <w:tc>
          <w:tcPr>
            <w:tcW w:w="40" w:type="dxa"/>
            <w:vAlign w:val="bottom"/>
          </w:tcPr>
          <w:p>
            <w:pPr>
              <w:spacing w:after="0"/>
              <w:rPr>
                <w:sz w:val="6"/>
                <w:szCs w:val="6"/>
                <w:color w:val="auto"/>
              </w:rPr>
            </w:pPr>
          </w:p>
        </w:tc>
        <w:tc>
          <w:tcPr>
            <w:tcW w:w="5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76"/>
        </w:trPr>
        <w:tc>
          <w:tcPr>
            <w:tcW w:w="1560" w:type="dxa"/>
            <w:vAlign w:val="bottom"/>
          </w:tcPr>
          <w:p>
            <w:pPr>
              <w:spacing w:after="0"/>
              <w:rPr>
                <w:sz w:val="20"/>
                <w:szCs w:val="20"/>
                <w:color w:val="auto"/>
              </w:rPr>
            </w:pPr>
            <w:r>
              <w:rPr>
                <w:rFonts w:ascii="Arial" w:cs="Arial" w:eastAsia="Arial" w:hAnsi="Arial"/>
                <w:sz w:val="14"/>
                <w:szCs w:val="14"/>
                <w:color w:val="auto"/>
                <w:w w:val="89"/>
              </w:rPr>
              <w:t>Share-based compensation</w:t>
            </w:r>
          </w:p>
        </w:tc>
        <w:tc>
          <w:tcPr>
            <w:tcW w:w="46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1560" w:type="dxa"/>
            <w:vAlign w:val="bottom"/>
          </w:tcPr>
          <w:p>
            <w:pPr>
              <w:spacing w:after="0" w:line="149" w:lineRule="exact"/>
              <w:rPr>
                <w:sz w:val="20"/>
                <w:szCs w:val="20"/>
                <w:color w:val="auto"/>
              </w:rPr>
            </w:pPr>
            <w:r>
              <w:rPr>
                <w:rFonts w:ascii="Arial" w:cs="Arial" w:eastAsia="Arial" w:hAnsi="Arial"/>
                <w:sz w:val="14"/>
                <w:szCs w:val="14"/>
                <w:color w:val="auto"/>
              </w:rPr>
              <w:t>Vesting of restricted</w:t>
            </w:r>
          </w:p>
        </w:tc>
        <w:tc>
          <w:tcPr>
            <w:tcW w:w="4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560" w:type="dxa"/>
            <w:vAlign w:val="bottom"/>
          </w:tcPr>
          <w:p>
            <w:pPr>
              <w:spacing w:after="0" w:line="149" w:lineRule="exact"/>
              <w:rPr>
                <w:sz w:val="20"/>
                <w:szCs w:val="20"/>
                <w:color w:val="auto"/>
              </w:rPr>
            </w:pPr>
            <w:r>
              <w:rPr>
                <w:rFonts w:ascii="Arial" w:cs="Arial" w:eastAsia="Arial" w:hAnsi="Arial"/>
                <w:sz w:val="14"/>
                <w:szCs w:val="14"/>
                <w:color w:val="auto"/>
              </w:rPr>
              <w:t>common stock,</w:t>
            </w:r>
          </w:p>
        </w:tc>
        <w:tc>
          <w:tcPr>
            <w:tcW w:w="4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560" w:type="dxa"/>
            <w:vAlign w:val="bottom"/>
          </w:tcPr>
          <w:p>
            <w:pPr>
              <w:spacing w:after="0" w:line="149" w:lineRule="exact"/>
              <w:rPr>
                <w:sz w:val="20"/>
                <w:szCs w:val="20"/>
                <w:color w:val="auto"/>
              </w:rPr>
            </w:pPr>
            <w:r>
              <w:rPr>
                <w:rFonts w:ascii="Arial" w:cs="Arial" w:eastAsia="Arial" w:hAnsi="Arial"/>
                <w:sz w:val="14"/>
                <w:szCs w:val="14"/>
                <w:color w:val="auto"/>
                <w:w w:val="98"/>
              </w:rPr>
              <w:t>net of shares withheld for</w:t>
            </w:r>
          </w:p>
        </w:tc>
        <w:tc>
          <w:tcPr>
            <w:tcW w:w="4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560" w:type="dxa"/>
            <w:vAlign w:val="bottom"/>
          </w:tcPr>
          <w:p>
            <w:pPr>
              <w:spacing w:after="0" w:line="149" w:lineRule="exact"/>
              <w:rPr>
                <w:sz w:val="20"/>
                <w:szCs w:val="20"/>
                <w:color w:val="auto"/>
              </w:rPr>
            </w:pPr>
            <w:r>
              <w:rPr>
                <w:rFonts w:ascii="Arial" w:cs="Arial" w:eastAsia="Arial" w:hAnsi="Arial"/>
                <w:sz w:val="14"/>
                <w:szCs w:val="14"/>
                <w:color w:val="auto"/>
              </w:rPr>
              <w:t>employee taxes</w:t>
            </w:r>
          </w:p>
        </w:tc>
        <w:tc>
          <w:tcPr>
            <w:tcW w:w="46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4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1560" w:type="dxa"/>
            <w:vAlign w:val="bottom"/>
          </w:tcPr>
          <w:p>
            <w:pPr>
              <w:spacing w:after="0" w:line="149" w:lineRule="exact"/>
              <w:rPr>
                <w:sz w:val="20"/>
                <w:szCs w:val="20"/>
                <w:color w:val="auto"/>
              </w:rPr>
            </w:pPr>
            <w:r>
              <w:rPr>
                <w:rFonts w:ascii="Arial" w:cs="Arial" w:eastAsia="Arial" w:hAnsi="Arial"/>
                <w:sz w:val="14"/>
                <w:szCs w:val="14"/>
                <w:color w:val="auto"/>
              </w:rPr>
              <w:t>Dividends and dividend</w:t>
            </w:r>
          </w:p>
        </w:tc>
        <w:tc>
          <w:tcPr>
            <w:tcW w:w="46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2"/>
                <w:szCs w:val="12"/>
                <w:color w:val="auto"/>
              </w:rPr>
            </w:pPr>
          </w:p>
        </w:tc>
        <w:tc>
          <w:tcPr>
            <w:tcW w:w="58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01"/>
        </w:trPr>
        <w:tc>
          <w:tcPr>
            <w:tcW w:w="1560" w:type="dxa"/>
            <w:vAlign w:val="bottom"/>
            <w:vMerge w:val="restart"/>
          </w:tcPr>
          <w:p>
            <w:pPr>
              <w:spacing w:after="0" w:line="149" w:lineRule="exact"/>
              <w:rPr>
                <w:sz w:val="20"/>
                <w:szCs w:val="20"/>
                <w:color w:val="auto"/>
              </w:rPr>
            </w:pPr>
            <w:r>
              <w:rPr>
                <w:rFonts w:ascii="Arial" w:cs="Arial" w:eastAsia="Arial" w:hAnsi="Arial"/>
                <w:sz w:val="14"/>
                <w:szCs w:val="14"/>
                <w:color w:val="auto"/>
              </w:rPr>
              <w:t>equivalents declared</w:t>
            </w:r>
          </w:p>
        </w:tc>
        <w:tc>
          <w:tcPr>
            <w:tcW w:w="46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5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47"/>
        </w:trPr>
        <w:tc>
          <w:tcPr>
            <w:tcW w:w="1560" w:type="dxa"/>
            <w:vAlign w:val="bottom"/>
            <w:vMerge w:val="continue"/>
          </w:tcPr>
          <w:p>
            <w:pPr>
              <w:spacing w:after="0"/>
              <w:rPr>
                <w:sz w:val="4"/>
                <w:szCs w:val="4"/>
                <w:color w:val="auto"/>
              </w:rPr>
            </w:pPr>
          </w:p>
        </w:tc>
        <w:tc>
          <w:tcPr>
            <w:tcW w:w="460" w:type="dxa"/>
            <w:vAlign w:val="bottom"/>
          </w:tcPr>
          <w:p>
            <w:pPr>
              <w:spacing w:after="0"/>
              <w:rPr>
                <w:sz w:val="4"/>
                <w:szCs w:val="4"/>
                <w:color w:val="auto"/>
              </w:rPr>
            </w:pPr>
          </w:p>
        </w:tc>
        <w:tc>
          <w:tcPr>
            <w:tcW w:w="40" w:type="dxa"/>
            <w:vAlign w:val="bottom"/>
          </w:tcPr>
          <w:p>
            <w:pPr>
              <w:spacing w:after="0"/>
              <w:rPr>
                <w:sz w:val="4"/>
                <w:szCs w:val="4"/>
                <w:color w:val="auto"/>
              </w:rPr>
            </w:pPr>
          </w:p>
        </w:tc>
        <w:tc>
          <w:tcPr>
            <w:tcW w:w="5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49"/>
        </w:trPr>
        <w:tc>
          <w:tcPr>
            <w:tcW w:w="1560" w:type="dxa"/>
            <w:vAlign w:val="bottom"/>
          </w:tcPr>
          <w:p>
            <w:pPr>
              <w:spacing w:after="0" w:line="149" w:lineRule="exact"/>
              <w:rPr>
                <w:sz w:val="20"/>
                <w:szCs w:val="20"/>
                <w:color w:val="auto"/>
              </w:rPr>
            </w:pPr>
            <w:r>
              <w:rPr>
                <w:rFonts w:ascii="Arial" w:cs="Arial" w:eastAsia="Arial" w:hAnsi="Arial"/>
                <w:sz w:val="14"/>
                <w:szCs w:val="14"/>
                <w:color w:val="auto"/>
              </w:rPr>
              <w:t>Dividends declared to</w:t>
            </w:r>
          </w:p>
        </w:tc>
        <w:tc>
          <w:tcPr>
            <w:tcW w:w="46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2"/>
                <w:szCs w:val="12"/>
                <w:color w:val="auto"/>
              </w:rPr>
            </w:pPr>
          </w:p>
        </w:tc>
        <w:tc>
          <w:tcPr>
            <w:tcW w:w="58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01"/>
        </w:trPr>
        <w:tc>
          <w:tcPr>
            <w:tcW w:w="1560" w:type="dxa"/>
            <w:vAlign w:val="bottom"/>
            <w:vMerge w:val="restart"/>
          </w:tcPr>
          <w:p>
            <w:pPr>
              <w:spacing w:after="0" w:line="145" w:lineRule="exact"/>
              <w:rPr>
                <w:sz w:val="20"/>
                <w:szCs w:val="20"/>
                <w:color w:val="auto"/>
              </w:rPr>
            </w:pPr>
            <w:r>
              <w:rPr>
                <w:rFonts w:ascii="Arial" w:cs="Arial" w:eastAsia="Arial" w:hAnsi="Arial"/>
                <w:sz w:val="14"/>
                <w:szCs w:val="14"/>
                <w:color w:val="auto"/>
              </w:rPr>
              <w:t>noncontrolling interests</w:t>
            </w:r>
          </w:p>
        </w:tc>
        <w:tc>
          <w:tcPr>
            <w:tcW w:w="46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5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43"/>
        </w:trPr>
        <w:tc>
          <w:tcPr>
            <w:tcW w:w="1560" w:type="dxa"/>
            <w:vAlign w:val="bottom"/>
            <w:vMerge w:val="continue"/>
          </w:tcPr>
          <w:p>
            <w:pPr>
              <w:spacing w:after="0"/>
              <w:rPr>
                <w:sz w:val="3"/>
                <w:szCs w:val="3"/>
                <w:color w:val="auto"/>
              </w:rPr>
            </w:pPr>
          </w:p>
        </w:tc>
        <w:tc>
          <w:tcPr>
            <w:tcW w:w="460" w:type="dxa"/>
            <w:vAlign w:val="bottom"/>
          </w:tcPr>
          <w:p>
            <w:pPr>
              <w:spacing w:after="0"/>
              <w:rPr>
                <w:sz w:val="3"/>
                <w:szCs w:val="3"/>
                <w:color w:val="auto"/>
              </w:rPr>
            </w:pPr>
          </w:p>
        </w:tc>
        <w:tc>
          <w:tcPr>
            <w:tcW w:w="40" w:type="dxa"/>
            <w:vAlign w:val="bottom"/>
          </w:tcPr>
          <w:p>
            <w:pPr>
              <w:spacing w:after="0"/>
              <w:rPr>
                <w:sz w:val="3"/>
                <w:szCs w:val="3"/>
                <w:color w:val="auto"/>
              </w:rPr>
            </w:pPr>
          </w:p>
        </w:tc>
        <w:tc>
          <w:tcPr>
            <w:tcW w:w="5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3"/>
        </w:trPr>
        <w:tc>
          <w:tcPr>
            <w:tcW w:w="1560" w:type="dxa"/>
            <w:vAlign w:val="bottom"/>
            <w:vMerge w:val="restart"/>
          </w:tcPr>
          <w:p>
            <w:pPr>
              <w:spacing w:after="0" w:line="149" w:lineRule="exact"/>
              <w:rPr>
                <w:sz w:val="20"/>
                <w:szCs w:val="20"/>
                <w:color w:val="auto"/>
              </w:rPr>
            </w:pPr>
            <w:r>
              <w:rPr>
                <w:rFonts w:ascii="Arial" w:cs="Arial" w:eastAsia="Arial" w:hAnsi="Arial"/>
                <w:sz w:val="14"/>
                <w:szCs w:val="14"/>
                <w:b w:val="1"/>
                <w:bCs w:val="1"/>
                <w:color w:val="auto"/>
              </w:rPr>
              <w:t>Balances at</w:t>
            </w:r>
          </w:p>
        </w:tc>
        <w:tc>
          <w:tcPr>
            <w:tcW w:w="46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6"/>
        </w:trPr>
        <w:tc>
          <w:tcPr>
            <w:tcW w:w="1560" w:type="dxa"/>
            <w:vAlign w:val="bottom"/>
            <w:vMerge w:val="continue"/>
          </w:tcPr>
          <w:p>
            <w:pPr>
              <w:spacing w:after="0"/>
              <w:rPr>
                <w:sz w:val="9"/>
                <w:szCs w:val="9"/>
                <w:color w:val="auto"/>
              </w:rPr>
            </w:pPr>
          </w:p>
        </w:tc>
        <w:tc>
          <w:tcPr>
            <w:tcW w:w="46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9"/>
                <w:szCs w:val="9"/>
                <w:color w:val="auto"/>
              </w:rPr>
            </w:pPr>
          </w:p>
        </w:tc>
        <w:tc>
          <w:tcPr>
            <w:tcW w:w="580" w:type="dxa"/>
            <w:vAlign w:val="bottom"/>
            <w:vMerge w:val="restart"/>
          </w:tcPr>
          <w:p>
            <w:pPr>
              <w:jc w:val="right"/>
              <w:spacing w:after="0"/>
              <w:rPr>
                <w:sz w:val="20"/>
                <w:szCs w:val="20"/>
                <w:color w:val="auto"/>
              </w:rPr>
            </w:pPr>
            <w:r>
              <w:rPr>
                <w:rFonts w:ascii="Arial" w:cs="Arial" w:eastAsia="Arial" w:hAnsi="Arial"/>
                <w:sz w:val="14"/>
                <w:szCs w:val="14"/>
                <w:color w:val="auto"/>
              </w:rPr>
              <w:t>$ -</w:t>
            </w:r>
          </w:p>
        </w:tc>
        <w:tc>
          <w:tcPr>
            <w:tcW w:w="0" w:type="dxa"/>
            <w:vAlign w:val="bottom"/>
          </w:tcPr>
          <w:p>
            <w:pPr>
              <w:spacing w:after="0"/>
              <w:rPr>
                <w:sz w:val="1"/>
                <w:szCs w:val="1"/>
                <w:color w:val="auto"/>
              </w:rPr>
            </w:pPr>
          </w:p>
        </w:tc>
      </w:tr>
      <w:tr>
        <w:trPr>
          <w:trHeight w:val="105"/>
        </w:trPr>
        <w:tc>
          <w:tcPr>
            <w:tcW w:w="1560" w:type="dxa"/>
            <w:vAlign w:val="bottom"/>
            <w:vMerge w:val="restart"/>
          </w:tcPr>
          <w:p>
            <w:pPr>
              <w:spacing w:after="0" w:line="158" w:lineRule="exact"/>
              <w:rPr>
                <w:sz w:val="20"/>
                <w:szCs w:val="20"/>
                <w:color w:val="auto"/>
              </w:rPr>
            </w:pPr>
            <w:r>
              <w:rPr>
                <w:rFonts w:ascii="Arial" w:cs="Arial" w:eastAsia="Arial" w:hAnsi="Arial"/>
                <w:sz w:val="14"/>
                <w:szCs w:val="14"/>
                <w:b w:val="1"/>
                <w:bCs w:val="1"/>
                <w:color w:val="auto"/>
              </w:rPr>
              <w:t>December 31, 2017</w:t>
            </w:r>
          </w:p>
        </w:tc>
        <w:tc>
          <w:tcPr>
            <w:tcW w:w="46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5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60"/>
        </w:trPr>
        <w:tc>
          <w:tcPr>
            <w:tcW w:w="1560" w:type="dxa"/>
            <w:vAlign w:val="bottom"/>
            <w:vMerge w:val="continue"/>
          </w:tcPr>
          <w:p>
            <w:pPr>
              <w:spacing w:after="0"/>
              <w:rPr>
                <w:sz w:val="5"/>
                <w:szCs w:val="5"/>
                <w:color w:val="auto"/>
              </w:rPr>
            </w:pPr>
          </w:p>
        </w:tc>
        <w:tc>
          <w:tcPr>
            <w:tcW w:w="460" w:type="dxa"/>
            <w:vAlign w:val="bottom"/>
            <w:tcBorders>
              <w:bottom w:val="single" w:sz="8" w:color="auto"/>
            </w:tcBorders>
          </w:tcPr>
          <w:p>
            <w:pPr>
              <w:spacing w:after="0"/>
              <w:rPr>
                <w:sz w:val="5"/>
                <w:szCs w:val="5"/>
                <w:color w:val="auto"/>
              </w:rPr>
            </w:pPr>
          </w:p>
        </w:tc>
        <w:tc>
          <w:tcPr>
            <w:tcW w:w="40" w:type="dxa"/>
            <w:vAlign w:val="bottom"/>
          </w:tcPr>
          <w:p>
            <w:pPr>
              <w:spacing w:after="0"/>
              <w:rPr>
                <w:sz w:val="5"/>
                <w:szCs w:val="5"/>
                <w:color w:val="auto"/>
              </w:rPr>
            </w:pPr>
          </w:p>
        </w:tc>
        <w:tc>
          <w:tcPr>
            <w:tcW w:w="58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4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86"/>
        </w:trPr>
        <w:tc>
          <w:tcPr>
            <w:tcW w:w="4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920" w:type="dxa"/>
            <w:vAlign w:val="bottom"/>
            <w:gridSpan w:val="2"/>
          </w:tcPr>
          <w:p>
            <w:pPr>
              <w:jc w:val="center"/>
              <w:ind w:right="40"/>
              <w:spacing w:after="0"/>
              <w:rPr>
                <w:sz w:val="20"/>
                <w:szCs w:val="20"/>
                <w:color w:val="auto"/>
              </w:rPr>
            </w:pPr>
            <w:r>
              <w:rPr>
                <w:rFonts w:ascii="Arial" w:cs="Arial" w:eastAsia="Arial" w:hAnsi="Arial"/>
                <w:sz w:val="14"/>
                <w:szCs w:val="14"/>
                <w:b w:val="1"/>
                <w:bCs w:val="1"/>
                <w:color w:val="auto"/>
                <w:w w:val="95"/>
              </w:rPr>
              <w:t>Total</w:t>
            </w:r>
          </w:p>
        </w:tc>
        <w:tc>
          <w:tcPr>
            <w:tcW w:w="9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4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920" w:type="dxa"/>
            <w:vAlign w:val="bottom"/>
            <w:gridSpan w:val="2"/>
          </w:tcPr>
          <w:p>
            <w:pPr>
              <w:jc w:val="center"/>
              <w:ind w:right="40"/>
              <w:spacing w:after="0"/>
              <w:rPr>
                <w:sz w:val="20"/>
                <w:szCs w:val="20"/>
                <w:color w:val="auto"/>
              </w:rPr>
            </w:pPr>
            <w:r>
              <w:rPr>
                <w:rFonts w:ascii="Arial" w:cs="Arial" w:eastAsia="Arial" w:hAnsi="Arial"/>
                <w:sz w:val="14"/>
                <w:szCs w:val="14"/>
                <w:b w:val="1"/>
                <w:bCs w:val="1"/>
                <w:color w:val="auto"/>
                <w:w w:val="90"/>
              </w:rPr>
              <w:t>Shareholders'</w:t>
            </w:r>
          </w:p>
        </w:tc>
        <w:tc>
          <w:tcPr>
            <w:tcW w:w="9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0" w:type="dxa"/>
            <w:vAlign w:val="bottom"/>
            <w:gridSpan w:val="2"/>
          </w:tcPr>
          <w:p>
            <w:pPr>
              <w:jc w:val="center"/>
              <w:ind w:right="20"/>
              <w:spacing w:after="0"/>
              <w:rPr>
                <w:sz w:val="20"/>
                <w:szCs w:val="20"/>
                <w:color w:val="auto"/>
              </w:rPr>
            </w:pPr>
            <w:r>
              <w:rPr>
                <w:rFonts w:ascii="Arial" w:cs="Arial" w:eastAsia="Arial" w:hAnsi="Arial"/>
                <w:sz w:val="14"/>
                <w:szCs w:val="14"/>
                <w:b w:val="1"/>
                <w:bCs w:val="1"/>
                <w:color w:val="auto"/>
                <w:w w:val="93"/>
              </w:rPr>
              <w:t>Accumulated</w:t>
            </w:r>
          </w:p>
        </w:tc>
        <w:tc>
          <w:tcPr>
            <w:tcW w:w="5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920" w:type="dxa"/>
            <w:vAlign w:val="bottom"/>
            <w:gridSpan w:val="2"/>
          </w:tcPr>
          <w:p>
            <w:pPr>
              <w:jc w:val="center"/>
              <w:ind w:right="40"/>
              <w:spacing w:after="0"/>
              <w:rPr>
                <w:sz w:val="20"/>
                <w:szCs w:val="20"/>
                <w:color w:val="auto"/>
              </w:rPr>
            </w:pPr>
            <w:r>
              <w:rPr>
                <w:rFonts w:ascii="Arial" w:cs="Arial" w:eastAsia="Arial" w:hAnsi="Arial"/>
                <w:sz w:val="14"/>
                <w:szCs w:val="14"/>
                <w:b w:val="1"/>
                <w:bCs w:val="1"/>
                <w:color w:val="auto"/>
                <w:w w:val="93"/>
              </w:rPr>
              <w:t>Equity</w:t>
            </w:r>
          </w:p>
        </w:tc>
        <w:tc>
          <w:tcPr>
            <w:tcW w:w="9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4"/>
                <w:szCs w:val="14"/>
                <w:b w:val="1"/>
                <w:bCs w:val="1"/>
                <w:color w:val="auto"/>
                <w:w w:val="93"/>
              </w:rPr>
              <w:t>Additional</w:t>
            </w:r>
          </w:p>
        </w:tc>
        <w:tc>
          <w:tcPr>
            <w:tcW w:w="40" w:type="dxa"/>
            <w:vAlign w:val="bottom"/>
          </w:tcPr>
          <w:p>
            <w:pPr>
              <w:spacing w:after="0"/>
              <w:rPr>
                <w:sz w:val="17"/>
                <w:szCs w:val="17"/>
                <w:color w:val="auto"/>
              </w:rPr>
            </w:pPr>
          </w:p>
        </w:tc>
        <w:tc>
          <w:tcPr>
            <w:tcW w:w="1000" w:type="dxa"/>
            <w:vAlign w:val="bottom"/>
            <w:gridSpan w:val="2"/>
          </w:tcPr>
          <w:p>
            <w:pPr>
              <w:jc w:val="center"/>
              <w:ind w:right="40"/>
              <w:spacing w:after="0"/>
              <w:rPr>
                <w:sz w:val="20"/>
                <w:szCs w:val="20"/>
                <w:color w:val="auto"/>
              </w:rPr>
            </w:pPr>
            <w:r>
              <w:rPr>
                <w:rFonts w:ascii="Arial" w:cs="Arial" w:eastAsia="Arial" w:hAnsi="Arial"/>
                <w:sz w:val="14"/>
                <w:szCs w:val="14"/>
                <w:b w:val="1"/>
                <w:bCs w:val="1"/>
                <w:color w:val="auto"/>
                <w:w w:val="96"/>
              </w:rPr>
              <w:t>Other</w:t>
            </w:r>
          </w:p>
        </w:tc>
        <w:tc>
          <w:tcPr>
            <w:tcW w:w="5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920" w:type="dxa"/>
            <w:vAlign w:val="bottom"/>
            <w:gridSpan w:val="2"/>
          </w:tcPr>
          <w:p>
            <w:pPr>
              <w:jc w:val="center"/>
              <w:ind w:right="40"/>
              <w:spacing w:after="0"/>
              <w:rPr>
                <w:sz w:val="20"/>
                <w:szCs w:val="20"/>
                <w:color w:val="auto"/>
              </w:rPr>
            </w:pPr>
            <w:r>
              <w:rPr>
                <w:rFonts w:ascii="Arial" w:cs="Arial" w:eastAsia="Arial" w:hAnsi="Arial"/>
                <w:sz w:val="14"/>
                <w:szCs w:val="14"/>
                <w:b w:val="1"/>
                <w:bCs w:val="1"/>
                <w:color w:val="auto"/>
                <w:w w:val="96"/>
              </w:rPr>
              <w:t>Attributable</w:t>
            </w:r>
          </w:p>
        </w:tc>
        <w:tc>
          <w:tcPr>
            <w:tcW w:w="9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880" w:type="dxa"/>
            <w:vAlign w:val="bottom"/>
          </w:tcPr>
          <w:p>
            <w:pPr>
              <w:jc w:val="right"/>
              <w:ind w:right="208"/>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65"/>
        </w:trPr>
        <w:tc>
          <w:tcPr>
            <w:tcW w:w="1080" w:type="dxa"/>
            <w:vAlign w:val="bottom"/>
            <w:gridSpan w:val="4"/>
          </w:tcPr>
          <w:p>
            <w:pPr>
              <w:ind w:left="40"/>
              <w:spacing w:after="0"/>
              <w:rPr>
                <w:sz w:val="20"/>
                <w:szCs w:val="20"/>
                <w:color w:val="auto"/>
              </w:rPr>
            </w:pPr>
            <w:r>
              <w:rPr>
                <w:rFonts w:ascii="Arial" w:cs="Arial" w:eastAsia="Arial" w:hAnsi="Arial"/>
                <w:sz w:val="14"/>
                <w:szCs w:val="14"/>
                <w:b w:val="1"/>
                <w:bCs w:val="1"/>
                <w:color w:val="auto"/>
                <w:w w:val="99"/>
              </w:rPr>
              <w:t>Common Stock</w:t>
            </w:r>
          </w:p>
        </w:tc>
        <w:tc>
          <w:tcPr>
            <w:tcW w:w="660" w:type="dxa"/>
            <w:vAlign w:val="bottom"/>
          </w:tcPr>
          <w:p>
            <w:pPr>
              <w:jc w:val="right"/>
              <w:ind w:right="28"/>
              <w:spacing w:after="0"/>
              <w:rPr>
                <w:sz w:val="20"/>
                <w:szCs w:val="20"/>
                <w:color w:val="auto"/>
              </w:rPr>
            </w:pPr>
            <w:r>
              <w:rPr>
                <w:rFonts w:ascii="Arial" w:cs="Arial" w:eastAsia="Arial" w:hAnsi="Arial"/>
                <w:sz w:val="14"/>
                <w:szCs w:val="14"/>
                <w:b w:val="1"/>
                <w:bCs w:val="1"/>
                <w:color w:val="auto"/>
              </w:rPr>
              <w:t>Paid-in</w:t>
            </w:r>
          </w:p>
        </w:tc>
        <w:tc>
          <w:tcPr>
            <w:tcW w:w="1660" w:type="dxa"/>
            <w:vAlign w:val="bottom"/>
            <w:gridSpan w:val="5"/>
          </w:tcPr>
          <w:p>
            <w:pPr>
              <w:jc w:val="right"/>
              <w:ind w:right="40"/>
              <w:spacing w:after="0"/>
              <w:rPr>
                <w:sz w:val="20"/>
                <w:szCs w:val="20"/>
                <w:color w:val="auto"/>
              </w:rPr>
            </w:pPr>
            <w:r>
              <w:rPr>
                <w:rFonts w:ascii="Arial" w:cs="Arial" w:eastAsia="Arial" w:hAnsi="Arial"/>
                <w:sz w:val="14"/>
                <w:szCs w:val="14"/>
                <w:b w:val="1"/>
                <w:bCs w:val="1"/>
                <w:color w:val="auto"/>
                <w:w w:val="95"/>
              </w:rPr>
              <w:t>Comprehensive Retained</w:t>
            </w:r>
          </w:p>
        </w:tc>
        <w:tc>
          <w:tcPr>
            <w:tcW w:w="920" w:type="dxa"/>
            <w:vAlign w:val="bottom"/>
            <w:gridSpan w:val="2"/>
          </w:tcPr>
          <w:p>
            <w:pPr>
              <w:jc w:val="center"/>
              <w:ind w:right="40"/>
              <w:spacing w:after="0"/>
              <w:rPr>
                <w:sz w:val="20"/>
                <w:szCs w:val="20"/>
                <w:color w:val="auto"/>
              </w:rPr>
            </w:pPr>
            <w:r>
              <w:rPr>
                <w:rFonts w:ascii="Arial" w:cs="Arial" w:eastAsia="Arial" w:hAnsi="Arial"/>
                <w:sz w:val="14"/>
                <w:szCs w:val="14"/>
                <w:b w:val="1"/>
                <w:bCs w:val="1"/>
                <w:color w:val="auto"/>
                <w:w w:val="88"/>
              </w:rPr>
              <w:t>to Acushnet</w:t>
            </w:r>
          </w:p>
        </w:tc>
        <w:tc>
          <w:tcPr>
            <w:tcW w:w="1840" w:type="dxa"/>
            <w:vAlign w:val="bottom"/>
            <w:gridSpan w:val="3"/>
          </w:tcPr>
          <w:p>
            <w:pPr>
              <w:jc w:val="right"/>
              <w:spacing w:after="0"/>
              <w:rPr>
                <w:sz w:val="20"/>
                <w:szCs w:val="20"/>
                <w:color w:val="auto"/>
              </w:rPr>
            </w:pPr>
            <w:r>
              <w:rPr>
                <w:rFonts w:ascii="Arial" w:cs="Arial" w:eastAsia="Arial" w:hAnsi="Arial"/>
                <w:sz w:val="14"/>
                <w:szCs w:val="14"/>
                <w:b w:val="1"/>
                <w:bCs w:val="1"/>
                <w:color w:val="auto"/>
                <w:w w:val="91"/>
              </w:rPr>
              <w:t>Noncontrolling Shareholders'</w:t>
            </w:r>
          </w:p>
        </w:tc>
        <w:tc>
          <w:tcPr>
            <w:tcW w:w="0" w:type="dxa"/>
            <w:vAlign w:val="bottom"/>
          </w:tcPr>
          <w:p>
            <w:pPr>
              <w:spacing w:after="0"/>
              <w:rPr>
                <w:sz w:val="1"/>
                <w:szCs w:val="1"/>
                <w:color w:val="auto"/>
              </w:rPr>
            </w:pPr>
          </w:p>
        </w:tc>
      </w:tr>
      <w:tr>
        <w:trPr>
          <w:trHeight w:val="23"/>
        </w:trPr>
        <w:tc>
          <w:tcPr>
            <w:tcW w:w="4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20" w:type="dxa"/>
            <w:vAlign w:val="bottom"/>
            <w:gridSpan w:val="2"/>
            <w:vMerge w:val="restart"/>
          </w:tcPr>
          <w:p>
            <w:pPr>
              <w:jc w:val="right"/>
              <w:ind w:right="40"/>
              <w:spacing w:after="0" w:line="149" w:lineRule="exact"/>
              <w:rPr>
                <w:sz w:val="20"/>
                <w:szCs w:val="20"/>
                <w:color w:val="auto"/>
              </w:rPr>
            </w:pPr>
            <w:r>
              <w:rPr>
                <w:rFonts w:ascii="Arial" w:cs="Arial" w:eastAsia="Arial" w:hAnsi="Arial"/>
                <w:sz w:val="14"/>
                <w:szCs w:val="14"/>
                <w:b w:val="1"/>
                <w:bCs w:val="1"/>
                <w:color w:val="auto"/>
                <w:w w:val="93"/>
              </w:rPr>
              <w:t>Earnings</w:t>
            </w:r>
          </w:p>
        </w:tc>
        <w:tc>
          <w:tcPr>
            <w:tcW w:w="920" w:type="dxa"/>
            <w:vAlign w:val="bottom"/>
            <w:gridSpan w:val="2"/>
            <w:vMerge w:val="restart"/>
          </w:tcPr>
          <w:p>
            <w:pPr>
              <w:jc w:val="center"/>
              <w:ind w:right="40"/>
              <w:spacing w:after="0" w:line="149" w:lineRule="exact"/>
              <w:rPr>
                <w:sz w:val="20"/>
                <w:szCs w:val="20"/>
                <w:color w:val="auto"/>
              </w:rPr>
            </w:pPr>
            <w:r>
              <w:rPr>
                <w:rFonts w:ascii="Arial" w:cs="Arial" w:eastAsia="Arial" w:hAnsi="Arial"/>
                <w:sz w:val="14"/>
                <w:szCs w:val="14"/>
                <w:b w:val="1"/>
                <w:bCs w:val="1"/>
                <w:color w:val="auto"/>
                <w:w w:val="93"/>
              </w:rPr>
              <w:t>Holdings</w:t>
            </w:r>
          </w:p>
        </w:tc>
        <w:tc>
          <w:tcPr>
            <w:tcW w:w="9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6"/>
        </w:trPr>
        <w:tc>
          <w:tcPr>
            <w:tcW w:w="54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Shares</w:t>
            </w:r>
          </w:p>
        </w:tc>
        <w:tc>
          <w:tcPr>
            <w:tcW w:w="540" w:type="dxa"/>
            <w:vAlign w:val="bottom"/>
            <w:gridSpan w:val="2"/>
            <w:vMerge w:val="restart"/>
          </w:tcPr>
          <w:p>
            <w:pPr>
              <w:spacing w:after="0"/>
              <w:rPr>
                <w:sz w:val="20"/>
                <w:szCs w:val="20"/>
                <w:color w:val="auto"/>
              </w:rPr>
            </w:pPr>
            <w:r>
              <w:rPr>
                <w:rFonts w:ascii="Arial" w:cs="Arial" w:eastAsia="Arial" w:hAnsi="Arial"/>
                <w:sz w:val="14"/>
                <w:szCs w:val="14"/>
                <w:b w:val="1"/>
                <w:bCs w:val="1"/>
                <w:color w:val="auto"/>
                <w:w w:val="98"/>
              </w:rPr>
              <w:t>Amount</w:t>
            </w:r>
          </w:p>
        </w:tc>
        <w:tc>
          <w:tcPr>
            <w:tcW w:w="660" w:type="dxa"/>
            <w:vAlign w:val="bottom"/>
            <w:vMerge w:val="restart"/>
          </w:tcPr>
          <w:p>
            <w:pPr>
              <w:jc w:val="right"/>
              <w:ind w:right="28"/>
              <w:spacing w:after="0"/>
              <w:rPr>
                <w:sz w:val="20"/>
                <w:szCs w:val="20"/>
                <w:color w:val="auto"/>
              </w:rPr>
            </w:pPr>
            <w:r>
              <w:rPr>
                <w:rFonts w:ascii="Arial" w:cs="Arial" w:eastAsia="Arial" w:hAnsi="Arial"/>
                <w:sz w:val="14"/>
                <w:szCs w:val="14"/>
                <w:b w:val="1"/>
                <w:bCs w:val="1"/>
                <w:color w:val="auto"/>
              </w:rPr>
              <w:t>Capital</w:t>
            </w:r>
          </w:p>
        </w:tc>
        <w:tc>
          <w:tcPr>
            <w:tcW w:w="40" w:type="dxa"/>
            <w:vAlign w:val="bottom"/>
          </w:tcPr>
          <w:p>
            <w:pPr>
              <w:spacing w:after="0"/>
              <w:rPr>
                <w:sz w:val="9"/>
                <w:szCs w:val="9"/>
                <w:color w:val="auto"/>
              </w:rPr>
            </w:pPr>
          </w:p>
        </w:tc>
        <w:tc>
          <w:tcPr>
            <w:tcW w:w="1000" w:type="dxa"/>
            <w:vAlign w:val="bottom"/>
            <w:gridSpan w:val="2"/>
            <w:vMerge w:val="restart"/>
          </w:tcPr>
          <w:p>
            <w:pPr>
              <w:jc w:val="center"/>
              <w:ind w:right="40"/>
              <w:spacing w:after="0"/>
              <w:rPr>
                <w:sz w:val="20"/>
                <w:szCs w:val="20"/>
                <w:color w:val="auto"/>
              </w:rPr>
            </w:pPr>
            <w:r>
              <w:rPr>
                <w:rFonts w:ascii="Arial" w:cs="Arial" w:eastAsia="Arial" w:hAnsi="Arial"/>
                <w:sz w:val="14"/>
                <w:szCs w:val="14"/>
                <w:b w:val="1"/>
                <w:bCs w:val="1"/>
                <w:color w:val="auto"/>
                <w:w w:val="85"/>
              </w:rPr>
              <w:t>Loss</w:t>
            </w:r>
          </w:p>
        </w:tc>
        <w:tc>
          <w:tcPr>
            <w:tcW w:w="620" w:type="dxa"/>
            <w:vAlign w:val="bottom"/>
            <w:gridSpan w:val="2"/>
            <w:vMerge w:val="continue"/>
          </w:tcPr>
          <w:p>
            <w:pPr>
              <w:spacing w:after="0"/>
              <w:rPr>
                <w:sz w:val="9"/>
                <w:szCs w:val="9"/>
                <w:color w:val="auto"/>
              </w:rPr>
            </w:pPr>
          </w:p>
        </w:tc>
        <w:tc>
          <w:tcPr>
            <w:tcW w:w="920" w:type="dxa"/>
            <w:vAlign w:val="bottom"/>
            <w:gridSpan w:val="2"/>
            <w:vMerge w:val="continue"/>
          </w:tcPr>
          <w:p>
            <w:pPr>
              <w:spacing w:after="0"/>
              <w:rPr>
                <w:sz w:val="9"/>
                <w:szCs w:val="9"/>
                <w:color w:val="auto"/>
              </w:rPr>
            </w:pPr>
          </w:p>
        </w:tc>
        <w:tc>
          <w:tcPr>
            <w:tcW w:w="960" w:type="dxa"/>
            <w:vAlign w:val="bottom"/>
            <w:gridSpan w:val="2"/>
            <w:vMerge w:val="restart"/>
          </w:tcPr>
          <w:p>
            <w:pPr>
              <w:ind w:left="220"/>
              <w:spacing w:after="0"/>
              <w:rPr>
                <w:sz w:val="20"/>
                <w:szCs w:val="20"/>
                <w:color w:val="auto"/>
              </w:rPr>
            </w:pPr>
            <w:r>
              <w:rPr>
                <w:rFonts w:ascii="Arial" w:cs="Arial" w:eastAsia="Arial" w:hAnsi="Arial"/>
                <w:sz w:val="14"/>
                <w:szCs w:val="14"/>
                <w:b w:val="1"/>
                <w:bCs w:val="1"/>
                <w:color w:val="auto"/>
              </w:rPr>
              <w:t>Interest</w:t>
            </w:r>
          </w:p>
        </w:tc>
        <w:tc>
          <w:tcPr>
            <w:tcW w:w="880" w:type="dxa"/>
            <w:vAlign w:val="bottom"/>
            <w:vMerge w:val="restart"/>
          </w:tcPr>
          <w:p>
            <w:pPr>
              <w:jc w:val="right"/>
              <w:ind w:right="168"/>
              <w:spacing w:after="0"/>
              <w:rPr>
                <w:sz w:val="20"/>
                <w:szCs w:val="20"/>
                <w:color w:val="auto"/>
              </w:rPr>
            </w:pPr>
            <w:r>
              <w:rPr>
                <w:rFonts w:ascii="Arial" w:cs="Arial" w:eastAsia="Arial" w:hAnsi="Arial"/>
                <w:sz w:val="14"/>
                <w:szCs w:val="14"/>
                <w:b w:val="1"/>
                <w:bCs w:val="1"/>
                <w:color w:val="auto"/>
              </w:rPr>
              <w:t>Equity</w:t>
            </w:r>
          </w:p>
        </w:tc>
        <w:tc>
          <w:tcPr>
            <w:tcW w:w="0" w:type="dxa"/>
            <w:vAlign w:val="bottom"/>
          </w:tcPr>
          <w:p>
            <w:pPr>
              <w:spacing w:after="0"/>
              <w:rPr>
                <w:sz w:val="1"/>
                <w:szCs w:val="1"/>
                <w:color w:val="auto"/>
              </w:rPr>
            </w:pPr>
          </w:p>
        </w:tc>
      </w:tr>
      <w:tr>
        <w:trPr>
          <w:trHeight w:val="171"/>
        </w:trPr>
        <w:tc>
          <w:tcPr>
            <w:tcW w:w="540" w:type="dxa"/>
            <w:vAlign w:val="bottom"/>
            <w:gridSpan w:val="2"/>
            <w:vMerge w:val="continue"/>
          </w:tcPr>
          <w:p>
            <w:pPr>
              <w:spacing w:after="0"/>
              <w:rPr>
                <w:sz w:val="14"/>
                <w:szCs w:val="14"/>
                <w:color w:val="auto"/>
              </w:rPr>
            </w:pPr>
          </w:p>
        </w:tc>
        <w:tc>
          <w:tcPr>
            <w:tcW w:w="540" w:type="dxa"/>
            <w:vAlign w:val="bottom"/>
            <w:gridSpan w:val="2"/>
            <w:vMerge w:val="continue"/>
          </w:tcPr>
          <w:p>
            <w:pPr>
              <w:spacing w:after="0"/>
              <w:rPr>
                <w:sz w:val="14"/>
                <w:szCs w:val="14"/>
                <w:color w:val="auto"/>
              </w:rPr>
            </w:pPr>
          </w:p>
        </w:tc>
        <w:tc>
          <w:tcPr>
            <w:tcW w:w="660" w:type="dxa"/>
            <w:vAlign w:val="bottom"/>
            <w:vMerge w:val="continue"/>
          </w:tcPr>
          <w:p>
            <w:pPr>
              <w:spacing w:after="0"/>
              <w:rPr>
                <w:sz w:val="14"/>
                <w:szCs w:val="14"/>
                <w:color w:val="auto"/>
              </w:rPr>
            </w:pPr>
          </w:p>
        </w:tc>
        <w:tc>
          <w:tcPr>
            <w:tcW w:w="40" w:type="dxa"/>
            <w:vAlign w:val="bottom"/>
          </w:tcPr>
          <w:p>
            <w:pPr>
              <w:spacing w:after="0"/>
              <w:rPr>
                <w:sz w:val="14"/>
                <w:szCs w:val="14"/>
                <w:color w:val="auto"/>
              </w:rPr>
            </w:pPr>
          </w:p>
        </w:tc>
        <w:tc>
          <w:tcPr>
            <w:tcW w:w="1000" w:type="dxa"/>
            <w:vAlign w:val="bottom"/>
            <w:gridSpan w:val="2"/>
            <w:vMerge w:val="continue"/>
          </w:tcPr>
          <w:p>
            <w:pPr>
              <w:spacing w:after="0"/>
              <w:rPr>
                <w:sz w:val="14"/>
                <w:szCs w:val="14"/>
                <w:color w:val="auto"/>
              </w:rPr>
            </w:pPr>
          </w:p>
        </w:tc>
        <w:tc>
          <w:tcPr>
            <w:tcW w:w="620" w:type="dxa"/>
            <w:vAlign w:val="bottom"/>
            <w:gridSpan w:val="2"/>
          </w:tcPr>
          <w:p>
            <w:pPr>
              <w:ind w:left="40"/>
              <w:spacing w:after="0"/>
              <w:rPr>
                <w:sz w:val="20"/>
                <w:szCs w:val="20"/>
                <w:color w:val="auto"/>
              </w:rPr>
            </w:pPr>
            <w:r>
              <w:rPr>
                <w:rFonts w:ascii="Arial" w:cs="Arial" w:eastAsia="Arial" w:hAnsi="Arial"/>
                <w:sz w:val="14"/>
                <w:szCs w:val="14"/>
                <w:b w:val="1"/>
                <w:bCs w:val="1"/>
                <w:color w:val="auto"/>
              </w:rPr>
              <w:t>(Deficit)</w:t>
            </w:r>
          </w:p>
        </w:tc>
        <w:tc>
          <w:tcPr>
            <w:tcW w:w="920" w:type="dxa"/>
            <w:vAlign w:val="bottom"/>
            <w:gridSpan w:val="2"/>
          </w:tcPr>
          <w:p>
            <w:pPr>
              <w:jc w:val="center"/>
              <w:ind w:right="40"/>
              <w:spacing w:after="0"/>
              <w:rPr>
                <w:sz w:val="20"/>
                <w:szCs w:val="20"/>
                <w:color w:val="auto"/>
              </w:rPr>
            </w:pPr>
            <w:r>
              <w:rPr>
                <w:rFonts w:ascii="Arial" w:cs="Arial" w:eastAsia="Arial" w:hAnsi="Arial"/>
                <w:sz w:val="14"/>
                <w:szCs w:val="14"/>
                <w:b w:val="1"/>
                <w:bCs w:val="1"/>
                <w:color w:val="auto"/>
                <w:w w:val="98"/>
              </w:rPr>
              <w:t>Corp.</w:t>
            </w:r>
          </w:p>
        </w:tc>
        <w:tc>
          <w:tcPr>
            <w:tcW w:w="960" w:type="dxa"/>
            <w:vAlign w:val="bottom"/>
            <w:gridSpan w:val="2"/>
            <w:vMerge w:val="continue"/>
          </w:tcPr>
          <w:p>
            <w:pPr>
              <w:spacing w:after="0"/>
              <w:rPr>
                <w:sz w:val="14"/>
                <w:szCs w:val="14"/>
                <w:color w:val="auto"/>
              </w:rPr>
            </w:pPr>
          </w:p>
        </w:tc>
        <w:tc>
          <w:tcPr>
            <w:tcW w:w="88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23"/>
        </w:trPr>
        <w:tc>
          <w:tcPr>
            <w:tcW w:w="480" w:type="dxa"/>
            <w:vAlign w:val="bottom"/>
            <w:tcBorders>
              <w:top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500" w:type="dxa"/>
            <w:vAlign w:val="bottom"/>
            <w:tcBorders>
              <w:top w:val="single" w:sz="8" w:color="auto"/>
            </w:tcBorders>
            <w:vMerge w:val="restart"/>
          </w:tcPr>
          <w:p>
            <w:pPr>
              <w:jc w:val="right"/>
              <w:spacing w:after="0"/>
              <w:rPr>
                <w:sz w:val="20"/>
                <w:szCs w:val="20"/>
                <w:color w:val="auto"/>
              </w:rPr>
            </w:pPr>
            <w:r>
              <w:rPr>
                <w:rFonts w:ascii="Arial" w:cs="Arial" w:eastAsia="Arial" w:hAnsi="Arial"/>
                <w:sz w:val="14"/>
                <w:szCs w:val="14"/>
                <w:color w:val="auto"/>
              </w:rPr>
              <w:t>$ 18</w:t>
            </w:r>
          </w:p>
        </w:tc>
        <w:tc>
          <w:tcPr>
            <w:tcW w:w="40" w:type="dxa"/>
            <w:vAlign w:val="bottom"/>
          </w:tcPr>
          <w:p>
            <w:pPr>
              <w:spacing w:after="0"/>
              <w:rPr>
                <w:sz w:val="10"/>
                <w:szCs w:val="10"/>
                <w:color w:val="auto"/>
              </w:rPr>
            </w:pPr>
          </w:p>
        </w:tc>
        <w:tc>
          <w:tcPr>
            <w:tcW w:w="660" w:type="dxa"/>
            <w:vAlign w:val="bottom"/>
            <w:tcBorders>
              <w:top w:val="single" w:sz="8" w:color="auto"/>
            </w:tcBorders>
            <w:vMerge w:val="restart"/>
          </w:tcPr>
          <w:p>
            <w:pPr>
              <w:jc w:val="right"/>
              <w:spacing w:after="0"/>
              <w:rPr>
                <w:sz w:val="20"/>
                <w:szCs w:val="20"/>
                <w:color w:val="auto"/>
              </w:rPr>
            </w:pPr>
            <w:r>
              <w:rPr>
                <w:rFonts w:ascii="Arial" w:cs="Arial" w:eastAsia="Arial" w:hAnsi="Arial"/>
                <w:sz w:val="14"/>
                <w:szCs w:val="14"/>
                <w:color w:val="auto"/>
                <w:w w:val="96"/>
              </w:rPr>
              <w:t>$ 264,561</w:t>
            </w:r>
          </w:p>
        </w:tc>
        <w:tc>
          <w:tcPr>
            <w:tcW w:w="40" w:type="dxa"/>
            <w:vAlign w:val="bottom"/>
          </w:tcPr>
          <w:p>
            <w:pPr>
              <w:spacing w:after="0"/>
              <w:rPr>
                <w:sz w:val="10"/>
                <w:szCs w:val="10"/>
                <w:color w:val="auto"/>
              </w:rPr>
            </w:pPr>
          </w:p>
        </w:tc>
        <w:tc>
          <w:tcPr>
            <w:tcW w:w="960" w:type="dxa"/>
            <w:vAlign w:val="bottom"/>
            <w:tcBorders>
              <w:top w:val="single" w:sz="8" w:color="auto"/>
            </w:tcBorders>
          </w:tcPr>
          <w:p>
            <w:pPr>
              <w:spacing w:after="0"/>
              <w:rPr>
                <w:sz w:val="10"/>
                <w:szCs w:val="10"/>
                <w:color w:val="auto"/>
              </w:rPr>
            </w:pPr>
          </w:p>
        </w:tc>
        <w:tc>
          <w:tcPr>
            <w:tcW w:w="40" w:type="dxa"/>
            <w:vAlign w:val="bottom"/>
          </w:tcPr>
          <w:p>
            <w:pPr>
              <w:spacing w:after="0"/>
              <w:rPr>
                <w:sz w:val="10"/>
                <w:szCs w:val="10"/>
                <w:color w:val="auto"/>
              </w:rPr>
            </w:pPr>
          </w:p>
        </w:tc>
        <w:tc>
          <w:tcPr>
            <w:tcW w:w="580" w:type="dxa"/>
            <w:vAlign w:val="bottom"/>
            <w:tcBorders>
              <w:top w:val="single" w:sz="8" w:color="auto"/>
            </w:tcBorders>
          </w:tcPr>
          <w:p>
            <w:pPr>
              <w:jc w:val="right"/>
              <w:spacing w:after="0" w:line="123" w:lineRule="exact"/>
              <w:rPr>
                <w:sz w:val="20"/>
                <w:szCs w:val="20"/>
                <w:color w:val="auto"/>
              </w:rPr>
            </w:pPr>
            <w:r>
              <w:rPr>
                <w:rFonts w:ascii="Arial" w:cs="Arial" w:eastAsia="Arial" w:hAnsi="Arial"/>
                <w:sz w:val="14"/>
                <w:szCs w:val="14"/>
                <w:color w:val="auto"/>
              </w:rPr>
              <w:t>$</w:t>
            </w:r>
          </w:p>
        </w:tc>
        <w:tc>
          <w:tcPr>
            <w:tcW w:w="40" w:type="dxa"/>
            <w:vAlign w:val="bottom"/>
          </w:tcPr>
          <w:p>
            <w:pPr>
              <w:spacing w:after="0"/>
              <w:rPr>
                <w:sz w:val="10"/>
                <w:szCs w:val="10"/>
                <w:color w:val="auto"/>
              </w:rPr>
            </w:pPr>
          </w:p>
        </w:tc>
        <w:tc>
          <w:tcPr>
            <w:tcW w:w="880" w:type="dxa"/>
            <w:vAlign w:val="bottom"/>
            <w:tcBorders>
              <w:top w:val="single" w:sz="8" w:color="auto"/>
            </w:tcBorders>
          </w:tcPr>
          <w:p>
            <w:pPr>
              <w:spacing w:after="0"/>
              <w:rPr>
                <w:sz w:val="10"/>
                <w:szCs w:val="10"/>
                <w:color w:val="auto"/>
              </w:rPr>
            </w:pPr>
          </w:p>
        </w:tc>
        <w:tc>
          <w:tcPr>
            <w:tcW w:w="40" w:type="dxa"/>
            <w:vAlign w:val="bottom"/>
          </w:tcPr>
          <w:p>
            <w:pPr>
              <w:spacing w:after="0"/>
              <w:rPr>
                <w:sz w:val="10"/>
                <w:szCs w:val="10"/>
                <w:color w:val="auto"/>
              </w:rPr>
            </w:pPr>
          </w:p>
        </w:tc>
        <w:tc>
          <w:tcPr>
            <w:tcW w:w="920" w:type="dxa"/>
            <w:vAlign w:val="bottom"/>
            <w:tcBorders>
              <w:top w:val="single" w:sz="8" w:color="auto"/>
            </w:tcBorders>
          </w:tcPr>
          <w:p>
            <w:pPr>
              <w:spacing w:after="0"/>
              <w:rPr>
                <w:sz w:val="10"/>
                <w:szCs w:val="10"/>
                <w:color w:val="auto"/>
              </w:rPr>
            </w:pPr>
          </w:p>
        </w:tc>
        <w:tc>
          <w:tcPr>
            <w:tcW w:w="40" w:type="dxa"/>
            <w:vAlign w:val="bottom"/>
          </w:tcPr>
          <w:p>
            <w:pPr>
              <w:spacing w:after="0"/>
              <w:rPr>
                <w:sz w:val="10"/>
                <w:szCs w:val="10"/>
                <w:color w:val="auto"/>
              </w:rPr>
            </w:pPr>
          </w:p>
        </w:tc>
        <w:tc>
          <w:tcPr>
            <w:tcW w:w="880" w:type="dxa"/>
            <w:vAlign w:val="bottom"/>
            <w:tcBorders>
              <w:top w:val="single" w:sz="8" w:color="auto"/>
            </w:tcBorders>
            <w:vMerge w:val="restart"/>
          </w:tcPr>
          <w:p>
            <w:pPr>
              <w:jc w:val="right"/>
              <w:spacing w:after="0"/>
              <w:rPr>
                <w:sz w:val="20"/>
                <w:szCs w:val="20"/>
                <w:color w:val="auto"/>
              </w:rPr>
            </w:pPr>
            <w:r>
              <w:rPr>
                <w:rFonts w:ascii="Arial" w:cs="Arial" w:eastAsia="Arial" w:hAnsi="Arial"/>
                <w:sz w:val="14"/>
                <w:szCs w:val="14"/>
                <w:color w:val="auto"/>
              </w:rPr>
              <w:t>$ 188,920</w:t>
            </w:r>
          </w:p>
        </w:tc>
        <w:tc>
          <w:tcPr>
            <w:tcW w:w="0" w:type="dxa"/>
            <w:vAlign w:val="bottom"/>
          </w:tcPr>
          <w:p>
            <w:pPr>
              <w:spacing w:after="0"/>
              <w:rPr>
                <w:sz w:val="1"/>
                <w:szCs w:val="1"/>
                <w:color w:val="auto"/>
              </w:rPr>
            </w:pPr>
          </w:p>
        </w:tc>
      </w:tr>
      <w:tr>
        <w:trPr>
          <w:trHeight w:val="101"/>
        </w:trPr>
        <w:tc>
          <w:tcPr>
            <w:tcW w:w="480" w:type="dxa"/>
            <w:vAlign w:val="bottom"/>
            <w:vMerge w:val="restart"/>
          </w:tcPr>
          <w:p>
            <w:pPr>
              <w:jc w:val="right"/>
              <w:spacing w:after="0"/>
              <w:rPr>
                <w:sz w:val="20"/>
                <w:szCs w:val="20"/>
                <w:color w:val="auto"/>
              </w:rPr>
            </w:pPr>
            <w:r>
              <w:rPr>
                <w:rFonts w:ascii="Arial" w:cs="Arial" w:eastAsia="Arial" w:hAnsi="Arial"/>
                <w:sz w:val="14"/>
                <w:szCs w:val="14"/>
                <w:color w:val="auto"/>
                <w:w w:val="93"/>
              </w:rPr>
              <w:t>18,552</w:t>
            </w:r>
          </w:p>
        </w:tc>
        <w:tc>
          <w:tcPr>
            <w:tcW w:w="60" w:type="dxa"/>
            <w:vAlign w:val="bottom"/>
          </w:tcPr>
          <w:p>
            <w:pPr>
              <w:spacing w:after="0"/>
              <w:rPr>
                <w:sz w:val="8"/>
                <w:szCs w:val="8"/>
                <w:color w:val="auto"/>
              </w:rPr>
            </w:pPr>
          </w:p>
        </w:tc>
        <w:tc>
          <w:tcPr>
            <w:tcW w:w="5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660" w:type="dxa"/>
            <w:vAlign w:val="bottom"/>
            <w:vMerge w:val="continue"/>
          </w:tcPr>
          <w:p>
            <w:pPr>
              <w:spacing w:after="0"/>
              <w:rPr>
                <w:sz w:val="8"/>
                <w:szCs w:val="8"/>
                <w:color w:val="auto"/>
              </w:rPr>
            </w:pPr>
          </w:p>
        </w:tc>
        <w:tc>
          <w:tcPr>
            <w:tcW w:w="1000" w:type="dxa"/>
            <w:vAlign w:val="bottom"/>
            <w:gridSpan w:val="2"/>
            <w:vMerge w:val="restart"/>
          </w:tcPr>
          <w:p>
            <w:pPr>
              <w:jc w:val="right"/>
              <w:spacing w:after="0"/>
              <w:rPr>
                <w:sz w:val="20"/>
                <w:szCs w:val="20"/>
                <w:color w:val="auto"/>
              </w:rPr>
            </w:pPr>
            <w:r>
              <w:rPr>
                <w:rFonts w:ascii="Arial" w:cs="Arial" w:eastAsia="Arial" w:hAnsi="Arial"/>
                <w:sz w:val="14"/>
                <w:szCs w:val="14"/>
                <w:color w:val="auto"/>
              </w:rPr>
              <w:t>$ (41,058)</w:t>
            </w:r>
          </w:p>
        </w:tc>
        <w:tc>
          <w:tcPr>
            <w:tcW w:w="40" w:type="dxa"/>
            <w:vAlign w:val="bottom"/>
          </w:tcPr>
          <w:p>
            <w:pPr>
              <w:spacing w:after="0"/>
              <w:rPr>
                <w:sz w:val="8"/>
                <w:szCs w:val="8"/>
                <w:color w:val="auto"/>
              </w:rPr>
            </w:pPr>
          </w:p>
        </w:tc>
        <w:tc>
          <w:tcPr>
            <w:tcW w:w="580" w:type="dxa"/>
            <w:vAlign w:val="bottom"/>
            <w:vMerge w:val="restart"/>
          </w:tcPr>
          <w:p>
            <w:pPr>
              <w:jc w:val="right"/>
              <w:spacing w:after="0"/>
              <w:rPr>
                <w:sz w:val="20"/>
                <w:szCs w:val="20"/>
                <w:color w:val="auto"/>
              </w:rPr>
            </w:pPr>
            <w:r>
              <w:rPr>
                <w:rFonts w:ascii="Arial" w:cs="Arial" w:eastAsia="Arial" w:hAnsi="Arial"/>
                <w:sz w:val="14"/>
                <w:szCs w:val="14"/>
                <w:color w:val="auto"/>
              </w:rPr>
              <w:t>(66,934)</w:t>
            </w:r>
          </w:p>
        </w:tc>
        <w:tc>
          <w:tcPr>
            <w:tcW w:w="40" w:type="dxa"/>
            <w:vAlign w:val="bottom"/>
          </w:tcPr>
          <w:p>
            <w:pPr>
              <w:spacing w:after="0"/>
              <w:rPr>
                <w:sz w:val="8"/>
                <w:szCs w:val="8"/>
                <w:color w:val="auto"/>
              </w:rPr>
            </w:pPr>
          </w:p>
        </w:tc>
        <w:tc>
          <w:tcPr>
            <w:tcW w:w="880" w:type="dxa"/>
            <w:vAlign w:val="bottom"/>
            <w:vMerge w:val="restart"/>
          </w:tcPr>
          <w:p>
            <w:pPr>
              <w:jc w:val="right"/>
              <w:spacing w:after="0"/>
              <w:rPr>
                <w:sz w:val="20"/>
                <w:szCs w:val="20"/>
                <w:color w:val="auto"/>
              </w:rPr>
            </w:pPr>
            <w:r>
              <w:rPr>
                <w:rFonts w:ascii="Arial" w:cs="Arial" w:eastAsia="Arial" w:hAnsi="Arial"/>
                <w:sz w:val="14"/>
                <w:szCs w:val="14"/>
                <w:color w:val="auto"/>
              </w:rPr>
              <w:t>$ 156,587</w:t>
            </w:r>
          </w:p>
        </w:tc>
        <w:tc>
          <w:tcPr>
            <w:tcW w:w="40" w:type="dxa"/>
            <w:vAlign w:val="bottom"/>
          </w:tcPr>
          <w:p>
            <w:pPr>
              <w:spacing w:after="0"/>
              <w:rPr>
                <w:sz w:val="8"/>
                <w:szCs w:val="8"/>
                <w:color w:val="auto"/>
              </w:rPr>
            </w:pPr>
          </w:p>
        </w:tc>
        <w:tc>
          <w:tcPr>
            <w:tcW w:w="920" w:type="dxa"/>
            <w:vAlign w:val="bottom"/>
            <w:vMerge w:val="restart"/>
          </w:tcPr>
          <w:p>
            <w:pPr>
              <w:jc w:val="right"/>
              <w:spacing w:after="0"/>
              <w:rPr>
                <w:sz w:val="20"/>
                <w:szCs w:val="20"/>
                <w:color w:val="auto"/>
              </w:rPr>
            </w:pPr>
            <w:r>
              <w:rPr>
                <w:rFonts w:ascii="Arial" w:cs="Arial" w:eastAsia="Arial" w:hAnsi="Arial"/>
                <w:sz w:val="14"/>
                <w:szCs w:val="14"/>
                <w:color w:val="auto"/>
              </w:rPr>
              <w:t>$ 32,333</w:t>
            </w:r>
          </w:p>
        </w:tc>
        <w:tc>
          <w:tcPr>
            <w:tcW w:w="40" w:type="dxa"/>
            <w:vAlign w:val="bottom"/>
          </w:tcPr>
          <w:p>
            <w:pPr>
              <w:spacing w:after="0"/>
              <w:rPr>
                <w:sz w:val="8"/>
                <w:szCs w:val="8"/>
                <w:color w:val="auto"/>
              </w:rPr>
            </w:pPr>
          </w:p>
        </w:tc>
        <w:tc>
          <w:tcPr>
            <w:tcW w:w="8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74"/>
        </w:trPr>
        <w:tc>
          <w:tcPr>
            <w:tcW w:w="480" w:type="dxa"/>
            <w:vAlign w:val="bottom"/>
            <w:vMerge w:val="continue"/>
          </w:tcPr>
          <w:p>
            <w:pPr>
              <w:spacing w:after="0"/>
              <w:rPr>
                <w:sz w:val="6"/>
                <w:szCs w:val="6"/>
                <w:color w:val="auto"/>
              </w:rPr>
            </w:pPr>
          </w:p>
        </w:tc>
        <w:tc>
          <w:tcPr>
            <w:tcW w:w="60" w:type="dxa"/>
            <w:vAlign w:val="bottom"/>
          </w:tcPr>
          <w:p>
            <w:pPr>
              <w:spacing w:after="0"/>
              <w:rPr>
                <w:sz w:val="6"/>
                <w:szCs w:val="6"/>
                <w:color w:val="auto"/>
              </w:rPr>
            </w:pPr>
          </w:p>
        </w:tc>
        <w:tc>
          <w:tcPr>
            <w:tcW w:w="500" w:type="dxa"/>
            <w:vAlign w:val="bottom"/>
          </w:tcPr>
          <w:p>
            <w:pPr>
              <w:spacing w:after="0"/>
              <w:rPr>
                <w:sz w:val="6"/>
                <w:szCs w:val="6"/>
                <w:color w:val="auto"/>
              </w:rPr>
            </w:pPr>
          </w:p>
        </w:tc>
        <w:tc>
          <w:tcPr>
            <w:tcW w:w="40" w:type="dxa"/>
            <w:vAlign w:val="bottom"/>
          </w:tcPr>
          <w:p>
            <w:pPr>
              <w:spacing w:after="0"/>
              <w:rPr>
                <w:sz w:val="6"/>
                <w:szCs w:val="6"/>
                <w:color w:val="auto"/>
              </w:rPr>
            </w:pPr>
          </w:p>
        </w:tc>
        <w:tc>
          <w:tcPr>
            <w:tcW w:w="660" w:type="dxa"/>
            <w:vAlign w:val="bottom"/>
          </w:tcPr>
          <w:p>
            <w:pPr>
              <w:spacing w:after="0"/>
              <w:rPr>
                <w:sz w:val="6"/>
                <w:szCs w:val="6"/>
                <w:color w:val="auto"/>
              </w:rPr>
            </w:pPr>
          </w:p>
        </w:tc>
        <w:tc>
          <w:tcPr>
            <w:tcW w:w="1000" w:type="dxa"/>
            <w:vAlign w:val="bottom"/>
            <w:gridSpan w:val="2"/>
            <w:vMerge w:val="continue"/>
          </w:tcPr>
          <w:p>
            <w:pPr>
              <w:spacing w:after="0"/>
              <w:rPr>
                <w:sz w:val="6"/>
                <w:szCs w:val="6"/>
                <w:color w:val="auto"/>
              </w:rPr>
            </w:pPr>
          </w:p>
        </w:tc>
        <w:tc>
          <w:tcPr>
            <w:tcW w:w="40" w:type="dxa"/>
            <w:vAlign w:val="bottom"/>
          </w:tcPr>
          <w:p>
            <w:pPr>
              <w:spacing w:after="0"/>
              <w:rPr>
                <w:sz w:val="6"/>
                <w:szCs w:val="6"/>
                <w:color w:val="auto"/>
              </w:rPr>
            </w:pPr>
          </w:p>
        </w:tc>
        <w:tc>
          <w:tcPr>
            <w:tcW w:w="58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88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9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8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82"/>
        </w:trPr>
        <w:tc>
          <w:tcPr>
            <w:tcW w:w="480" w:type="dxa"/>
            <w:vAlign w:val="bottom"/>
          </w:tcPr>
          <w:p>
            <w:pPr>
              <w:jc w:val="right"/>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15"/>
                <w:szCs w:val="15"/>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w:t>
            </w:r>
          </w:p>
        </w:tc>
        <w:tc>
          <w:tcPr>
            <w:tcW w:w="100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(966)</w:t>
            </w:r>
          </w:p>
        </w:tc>
        <w:tc>
          <w:tcPr>
            <w:tcW w:w="40" w:type="dxa"/>
            <w:vAlign w:val="bottom"/>
          </w:tcPr>
          <w:p>
            <w:pPr>
              <w:spacing w:after="0"/>
              <w:rPr>
                <w:sz w:val="15"/>
                <w:szCs w:val="15"/>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(966)</w:t>
            </w:r>
          </w:p>
        </w:tc>
        <w:tc>
          <w:tcPr>
            <w:tcW w:w="4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5,122</w:t>
            </w:r>
          </w:p>
        </w:tc>
        <w:tc>
          <w:tcPr>
            <w:tcW w:w="40" w:type="dxa"/>
            <w:vAlign w:val="bottom"/>
          </w:tcPr>
          <w:p>
            <w:pPr>
              <w:spacing w:after="0"/>
              <w:rPr>
                <w:sz w:val="15"/>
                <w:szCs w:val="15"/>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4,156</w:t>
            </w:r>
          </w:p>
        </w:tc>
        <w:tc>
          <w:tcPr>
            <w:tcW w:w="0" w:type="dxa"/>
            <w:vAlign w:val="bottom"/>
          </w:tcPr>
          <w:p>
            <w:pPr>
              <w:spacing w:after="0"/>
              <w:rPr>
                <w:sz w:val="1"/>
                <w:szCs w:val="1"/>
                <w:color w:val="auto"/>
              </w:rPr>
            </w:pPr>
          </w:p>
        </w:tc>
      </w:tr>
      <w:tr>
        <w:trPr>
          <w:trHeight w:val="223"/>
        </w:trPr>
        <w:tc>
          <w:tcPr>
            <w:tcW w:w="480" w:type="dxa"/>
            <w:vAlign w:val="bottom"/>
          </w:tcPr>
          <w:p>
            <w:pPr>
              <w:jc w:val="right"/>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19"/>
                <w:szCs w:val="19"/>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w:t>
            </w:r>
          </w:p>
        </w:tc>
        <w:tc>
          <w:tcPr>
            <w:tcW w:w="1000" w:type="dxa"/>
            <w:vAlign w:val="bottom"/>
            <w:gridSpan w:val="2"/>
          </w:tcPr>
          <w:p>
            <w:pPr>
              <w:jc w:val="right"/>
              <w:spacing w:after="0"/>
              <w:rPr>
                <w:sz w:val="20"/>
                <w:szCs w:val="20"/>
                <w:color w:val="auto"/>
              </w:rPr>
            </w:pPr>
            <w:r>
              <w:rPr>
                <w:rFonts w:ascii="Arial" w:cs="Arial" w:eastAsia="Arial" w:hAnsi="Arial"/>
                <w:sz w:val="14"/>
                <w:szCs w:val="14"/>
                <w:color w:val="auto"/>
              </w:rPr>
              <w:t>(26,176)</w:t>
            </w:r>
          </w:p>
        </w:tc>
        <w:tc>
          <w:tcPr>
            <w:tcW w:w="4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(26,176)</w:t>
            </w:r>
          </w:p>
        </w:tc>
        <w:tc>
          <w:tcPr>
            <w:tcW w:w="4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(26,176)</w:t>
            </w:r>
          </w:p>
        </w:tc>
        <w:tc>
          <w:tcPr>
            <w:tcW w:w="0" w:type="dxa"/>
            <w:vAlign w:val="bottom"/>
          </w:tcPr>
          <w:p>
            <w:pPr>
              <w:spacing w:after="0"/>
              <w:rPr>
                <w:sz w:val="1"/>
                <w:szCs w:val="1"/>
                <w:color w:val="auto"/>
              </w:rPr>
            </w:pPr>
          </w:p>
        </w:tc>
      </w:tr>
      <w:tr>
        <w:trPr>
          <w:trHeight w:val="209"/>
        </w:trPr>
        <w:tc>
          <w:tcPr>
            <w:tcW w:w="480" w:type="dxa"/>
            <w:vAlign w:val="bottom"/>
          </w:tcPr>
          <w:p>
            <w:pPr>
              <w:jc w:val="right"/>
              <w:spacing w:after="0"/>
              <w:rPr>
                <w:sz w:val="20"/>
                <w:szCs w:val="20"/>
                <w:color w:val="auto"/>
              </w:rPr>
            </w:pPr>
            <w:r>
              <w:rPr>
                <w:rFonts w:ascii="Arial" w:cs="Arial" w:eastAsia="Arial" w:hAnsi="Arial"/>
                <w:sz w:val="14"/>
                <w:szCs w:val="14"/>
                <w:color w:val="auto"/>
              </w:rPr>
              <w:t>3,105</w:t>
            </w:r>
          </w:p>
        </w:tc>
        <w:tc>
          <w:tcPr>
            <w:tcW w:w="6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rPr>
              <w:t>3</w:t>
            </w:r>
          </w:p>
        </w:tc>
        <w:tc>
          <w:tcPr>
            <w:tcW w:w="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41,798</w:t>
            </w:r>
          </w:p>
        </w:tc>
        <w:tc>
          <w:tcPr>
            <w:tcW w:w="100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41,801</w:t>
            </w:r>
          </w:p>
        </w:tc>
        <w:tc>
          <w:tcPr>
            <w:tcW w:w="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41,801</w:t>
            </w:r>
          </w:p>
        </w:tc>
        <w:tc>
          <w:tcPr>
            <w:tcW w:w="0" w:type="dxa"/>
            <w:vAlign w:val="bottom"/>
          </w:tcPr>
          <w:p>
            <w:pPr>
              <w:spacing w:after="0"/>
              <w:rPr>
                <w:sz w:val="1"/>
                <w:szCs w:val="1"/>
                <w:color w:val="auto"/>
              </w:rPr>
            </w:pPr>
          </w:p>
        </w:tc>
      </w:tr>
      <w:tr>
        <w:trPr>
          <w:trHeight w:val="216"/>
        </w:trPr>
        <w:tc>
          <w:tcPr>
            <w:tcW w:w="480" w:type="dxa"/>
            <w:vAlign w:val="bottom"/>
            <w:vMerge w:val="restart"/>
          </w:tcPr>
          <w:p>
            <w:pPr>
              <w:jc w:val="right"/>
              <w:spacing w:after="0"/>
              <w:rPr>
                <w:sz w:val="20"/>
                <w:szCs w:val="20"/>
                <w:color w:val="auto"/>
              </w:rPr>
            </w:pPr>
            <w:r>
              <w:rPr>
                <w:rFonts w:ascii="Arial" w:cs="Arial" w:eastAsia="Arial" w:hAnsi="Arial"/>
                <w:sz w:val="14"/>
                <w:szCs w:val="14"/>
                <w:color w:val="auto"/>
              </w:rPr>
              <w:t>164</w:t>
            </w:r>
          </w:p>
        </w:tc>
        <w:tc>
          <w:tcPr>
            <w:tcW w:w="6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rPr>
              <w:t>1</w:t>
            </w:r>
          </w:p>
        </w:tc>
        <w:tc>
          <w:tcPr>
            <w:tcW w:w="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2,751</w:t>
            </w:r>
          </w:p>
        </w:tc>
        <w:tc>
          <w:tcPr>
            <w:tcW w:w="100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2,752</w:t>
            </w:r>
          </w:p>
        </w:tc>
        <w:tc>
          <w:tcPr>
            <w:tcW w:w="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2,752</w:t>
            </w:r>
          </w:p>
        </w:tc>
        <w:tc>
          <w:tcPr>
            <w:tcW w:w="0" w:type="dxa"/>
            <w:vAlign w:val="bottom"/>
          </w:tcPr>
          <w:p>
            <w:pPr>
              <w:spacing w:after="0"/>
              <w:rPr>
                <w:sz w:val="1"/>
                <w:szCs w:val="1"/>
                <w:color w:val="auto"/>
              </w:rPr>
            </w:pPr>
          </w:p>
        </w:tc>
      </w:tr>
      <w:tr>
        <w:trPr>
          <w:trHeight w:val="81"/>
        </w:trPr>
        <w:tc>
          <w:tcPr>
            <w:tcW w:w="480" w:type="dxa"/>
            <w:vAlign w:val="bottom"/>
            <w:vMerge w:val="continue"/>
          </w:tcPr>
          <w:p>
            <w:pPr>
              <w:spacing w:after="0"/>
              <w:rPr>
                <w:sz w:val="7"/>
                <w:szCs w:val="7"/>
                <w:color w:val="auto"/>
              </w:rPr>
            </w:pPr>
          </w:p>
        </w:tc>
        <w:tc>
          <w:tcPr>
            <w:tcW w:w="60" w:type="dxa"/>
            <w:vAlign w:val="bottom"/>
          </w:tcPr>
          <w:p>
            <w:pPr>
              <w:spacing w:after="0"/>
              <w:rPr>
                <w:sz w:val="7"/>
                <w:szCs w:val="7"/>
                <w:color w:val="auto"/>
              </w:rPr>
            </w:pPr>
          </w:p>
        </w:tc>
        <w:tc>
          <w:tcPr>
            <w:tcW w:w="500" w:type="dxa"/>
            <w:vAlign w:val="bottom"/>
          </w:tcPr>
          <w:p>
            <w:pPr>
              <w:spacing w:after="0"/>
              <w:rPr>
                <w:sz w:val="7"/>
                <w:szCs w:val="7"/>
                <w:color w:val="auto"/>
              </w:rPr>
            </w:pPr>
          </w:p>
        </w:tc>
        <w:tc>
          <w:tcPr>
            <w:tcW w:w="40" w:type="dxa"/>
            <w:vAlign w:val="bottom"/>
          </w:tcPr>
          <w:p>
            <w:pPr>
              <w:spacing w:after="0"/>
              <w:rPr>
                <w:sz w:val="7"/>
                <w:szCs w:val="7"/>
                <w:color w:val="auto"/>
              </w:rPr>
            </w:pPr>
          </w:p>
        </w:tc>
        <w:tc>
          <w:tcPr>
            <w:tcW w:w="660" w:type="dxa"/>
            <w:vAlign w:val="bottom"/>
          </w:tcPr>
          <w:p>
            <w:pPr>
              <w:spacing w:after="0"/>
              <w:rPr>
                <w:sz w:val="7"/>
                <w:szCs w:val="7"/>
                <w:color w:val="auto"/>
              </w:rPr>
            </w:pPr>
          </w:p>
        </w:tc>
        <w:tc>
          <w:tcPr>
            <w:tcW w:w="40" w:type="dxa"/>
            <w:vAlign w:val="bottom"/>
          </w:tcPr>
          <w:p>
            <w:pPr>
              <w:spacing w:after="0"/>
              <w:rPr>
                <w:sz w:val="7"/>
                <w:szCs w:val="7"/>
                <w:color w:val="auto"/>
              </w:rPr>
            </w:pPr>
          </w:p>
        </w:tc>
        <w:tc>
          <w:tcPr>
            <w:tcW w:w="960" w:type="dxa"/>
            <w:vAlign w:val="bottom"/>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tcPr>
          <w:p>
            <w:pPr>
              <w:spacing w:after="0"/>
              <w:rPr>
                <w:sz w:val="7"/>
                <w:szCs w:val="7"/>
                <w:color w:val="auto"/>
              </w:rPr>
            </w:pPr>
          </w:p>
        </w:tc>
        <w:tc>
          <w:tcPr>
            <w:tcW w:w="40" w:type="dxa"/>
            <w:vAlign w:val="bottom"/>
          </w:tcPr>
          <w:p>
            <w:pPr>
              <w:spacing w:after="0"/>
              <w:rPr>
                <w:sz w:val="7"/>
                <w:szCs w:val="7"/>
                <w:color w:val="auto"/>
              </w:rPr>
            </w:pPr>
          </w:p>
        </w:tc>
        <w:tc>
          <w:tcPr>
            <w:tcW w:w="880" w:type="dxa"/>
            <w:vAlign w:val="bottom"/>
          </w:tcPr>
          <w:p>
            <w:pPr>
              <w:spacing w:after="0"/>
              <w:rPr>
                <w:sz w:val="7"/>
                <w:szCs w:val="7"/>
                <w:color w:val="auto"/>
              </w:rPr>
            </w:pPr>
          </w:p>
        </w:tc>
        <w:tc>
          <w:tcPr>
            <w:tcW w:w="40" w:type="dxa"/>
            <w:vAlign w:val="bottom"/>
          </w:tcPr>
          <w:p>
            <w:pPr>
              <w:spacing w:after="0"/>
              <w:rPr>
                <w:sz w:val="7"/>
                <w:szCs w:val="7"/>
                <w:color w:val="auto"/>
              </w:rPr>
            </w:pPr>
          </w:p>
        </w:tc>
        <w:tc>
          <w:tcPr>
            <w:tcW w:w="920" w:type="dxa"/>
            <w:vAlign w:val="bottom"/>
          </w:tcPr>
          <w:p>
            <w:pPr>
              <w:spacing w:after="0"/>
              <w:rPr>
                <w:sz w:val="7"/>
                <w:szCs w:val="7"/>
                <w:color w:val="auto"/>
              </w:rPr>
            </w:pPr>
          </w:p>
        </w:tc>
        <w:tc>
          <w:tcPr>
            <w:tcW w:w="40" w:type="dxa"/>
            <w:vAlign w:val="bottom"/>
          </w:tcPr>
          <w:p>
            <w:pPr>
              <w:spacing w:after="0"/>
              <w:rPr>
                <w:sz w:val="7"/>
                <w:szCs w:val="7"/>
                <w:color w:val="auto"/>
              </w:rPr>
            </w:pPr>
          </w:p>
        </w:tc>
        <w:tc>
          <w:tcPr>
            <w:tcW w:w="8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97"/>
        </w:trPr>
        <w:tc>
          <w:tcPr>
            <w:tcW w:w="480" w:type="dxa"/>
            <w:vAlign w:val="bottom"/>
          </w:tcPr>
          <w:p>
            <w:pPr>
              <w:jc w:val="right"/>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24"/>
                <w:szCs w:val="24"/>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24"/>
                <w:szCs w:val="2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w:t>
            </w:r>
          </w:p>
        </w:tc>
        <w:tc>
          <w:tcPr>
            <w:tcW w:w="100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24"/>
                <w:szCs w:val="24"/>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(13,747)</w:t>
            </w:r>
          </w:p>
        </w:tc>
        <w:tc>
          <w:tcPr>
            <w:tcW w:w="40" w:type="dxa"/>
            <w:vAlign w:val="bottom"/>
          </w:tcPr>
          <w:p>
            <w:pPr>
              <w:spacing w:after="0"/>
              <w:rPr>
                <w:sz w:val="24"/>
                <w:szCs w:val="24"/>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(13,747)</w:t>
            </w:r>
          </w:p>
        </w:tc>
        <w:tc>
          <w:tcPr>
            <w:tcW w:w="40" w:type="dxa"/>
            <w:vAlign w:val="bottom"/>
          </w:tcPr>
          <w:p>
            <w:pPr>
              <w:spacing w:after="0"/>
              <w:rPr>
                <w:sz w:val="24"/>
                <w:szCs w:val="24"/>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24"/>
                <w:szCs w:val="24"/>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(13,747)</w:t>
            </w:r>
          </w:p>
        </w:tc>
        <w:tc>
          <w:tcPr>
            <w:tcW w:w="0" w:type="dxa"/>
            <w:vAlign w:val="bottom"/>
          </w:tcPr>
          <w:p>
            <w:pPr>
              <w:spacing w:after="0"/>
              <w:rPr>
                <w:sz w:val="1"/>
                <w:szCs w:val="1"/>
                <w:color w:val="auto"/>
              </w:rPr>
            </w:pPr>
          </w:p>
        </w:tc>
      </w:tr>
      <w:tr>
        <w:trPr>
          <w:trHeight w:val="365"/>
        </w:trPr>
        <w:tc>
          <w:tcPr>
            <w:tcW w:w="480" w:type="dxa"/>
            <w:vAlign w:val="bottom"/>
          </w:tcPr>
          <w:p>
            <w:pPr>
              <w:jc w:val="right"/>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24"/>
                <w:szCs w:val="24"/>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24"/>
                <w:szCs w:val="2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w:t>
            </w:r>
          </w:p>
        </w:tc>
        <w:tc>
          <w:tcPr>
            <w:tcW w:w="100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24"/>
                <w:szCs w:val="24"/>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24"/>
                <w:szCs w:val="24"/>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24"/>
                <w:szCs w:val="24"/>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(4,200)</w:t>
            </w:r>
          </w:p>
        </w:tc>
        <w:tc>
          <w:tcPr>
            <w:tcW w:w="40" w:type="dxa"/>
            <w:vAlign w:val="bottom"/>
          </w:tcPr>
          <w:p>
            <w:pPr>
              <w:spacing w:after="0"/>
              <w:rPr>
                <w:sz w:val="24"/>
                <w:szCs w:val="24"/>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(4,200)</w:t>
            </w:r>
          </w:p>
        </w:tc>
        <w:tc>
          <w:tcPr>
            <w:tcW w:w="0" w:type="dxa"/>
            <w:vAlign w:val="bottom"/>
          </w:tcPr>
          <w:p>
            <w:pPr>
              <w:spacing w:after="0"/>
              <w:rPr>
                <w:sz w:val="1"/>
                <w:szCs w:val="1"/>
                <w:color w:val="auto"/>
              </w:rPr>
            </w:pPr>
          </w:p>
        </w:tc>
      </w:tr>
      <w:tr>
        <w:trPr>
          <w:trHeight w:val="66"/>
        </w:trPr>
        <w:tc>
          <w:tcPr>
            <w:tcW w:w="480" w:type="dxa"/>
            <w:vAlign w:val="bottom"/>
            <w:tcBorders>
              <w:bottom w:val="single" w:sz="8" w:color="auto"/>
            </w:tcBorders>
          </w:tcPr>
          <w:p>
            <w:pPr>
              <w:spacing w:after="0"/>
              <w:rPr>
                <w:sz w:val="5"/>
                <w:szCs w:val="5"/>
                <w:color w:val="auto"/>
              </w:rPr>
            </w:pPr>
          </w:p>
        </w:tc>
        <w:tc>
          <w:tcPr>
            <w:tcW w:w="60" w:type="dxa"/>
            <w:vAlign w:val="bottom"/>
          </w:tcPr>
          <w:p>
            <w:pPr>
              <w:spacing w:after="0"/>
              <w:rPr>
                <w:sz w:val="5"/>
                <w:szCs w:val="5"/>
                <w:color w:val="auto"/>
              </w:rPr>
            </w:pPr>
          </w:p>
        </w:tc>
        <w:tc>
          <w:tcPr>
            <w:tcW w:w="500" w:type="dxa"/>
            <w:vAlign w:val="bottom"/>
            <w:tcBorders>
              <w:bottom w:val="single" w:sz="8" w:color="auto"/>
            </w:tcBorders>
          </w:tcPr>
          <w:p>
            <w:pPr>
              <w:spacing w:after="0"/>
              <w:rPr>
                <w:sz w:val="5"/>
                <w:szCs w:val="5"/>
                <w:color w:val="auto"/>
              </w:rPr>
            </w:pPr>
          </w:p>
        </w:tc>
        <w:tc>
          <w:tcPr>
            <w:tcW w:w="40" w:type="dxa"/>
            <w:vAlign w:val="bottom"/>
          </w:tcPr>
          <w:p>
            <w:pPr>
              <w:spacing w:after="0"/>
              <w:rPr>
                <w:sz w:val="5"/>
                <w:szCs w:val="5"/>
                <w:color w:val="auto"/>
              </w:rPr>
            </w:pPr>
          </w:p>
        </w:tc>
        <w:tc>
          <w:tcPr>
            <w:tcW w:w="660" w:type="dxa"/>
            <w:vAlign w:val="bottom"/>
            <w:tcBorders>
              <w:bottom w:val="single" w:sz="8" w:color="auto"/>
            </w:tcBorders>
          </w:tcPr>
          <w:p>
            <w:pPr>
              <w:spacing w:after="0"/>
              <w:rPr>
                <w:sz w:val="5"/>
                <w:szCs w:val="5"/>
                <w:color w:val="auto"/>
              </w:rPr>
            </w:pPr>
          </w:p>
        </w:tc>
        <w:tc>
          <w:tcPr>
            <w:tcW w:w="40" w:type="dxa"/>
            <w:vAlign w:val="bottom"/>
          </w:tcPr>
          <w:p>
            <w:pPr>
              <w:spacing w:after="0"/>
              <w:rPr>
                <w:sz w:val="5"/>
                <w:szCs w:val="5"/>
                <w:color w:val="auto"/>
              </w:rPr>
            </w:pPr>
          </w:p>
        </w:tc>
        <w:tc>
          <w:tcPr>
            <w:tcW w:w="960" w:type="dxa"/>
            <w:vAlign w:val="bottom"/>
            <w:tcBorders>
              <w:bottom w:val="single" w:sz="8" w:color="auto"/>
            </w:tcBorders>
          </w:tcPr>
          <w:p>
            <w:pPr>
              <w:spacing w:after="0"/>
              <w:rPr>
                <w:sz w:val="5"/>
                <w:szCs w:val="5"/>
                <w:color w:val="auto"/>
              </w:rPr>
            </w:pPr>
          </w:p>
        </w:tc>
        <w:tc>
          <w:tcPr>
            <w:tcW w:w="40" w:type="dxa"/>
            <w:vAlign w:val="bottom"/>
          </w:tcPr>
          <w:p>
            <w:pPr>
              <w:spacing w:after="0"/>
              <w:rPr>
                <w:sz w:val="5"/>
                <w:szCs w:val="5"/>
                <w:color w:val="auto"/>
              </w:rPr>
            </w:pPr>
          </w:p>
        </w:tc>
        <w:tc>
          <w:tcPr>
            <w:tcW w:w="580" w:type="dxa"/>
            <w:vAlign w:val="bottom"/>
            <w:tcBorders>
              <w:bottom w:val="single" w:sz="8" w:color="auto"/>
            </w:tcBorders>
          </w:tcPr>
          <w:p>
            <w:pPr>
              <w:spacing w:after="0"/>
              <w:rPr>
                <w:sz w:val="5"/>
                <w:szCs w:val="5"/>
                <w:color w:val="auto"/>
              </w:rPr>
            </w:pPr>
          </w:p>
        </w:tc>
        <w:tc>
          <w:tcPr>
            <w:tcW w:w="40" w:type="dxa"/>
            <w:vAlign w:val="bottom"/>
          </w:tcPr>
          <w:p>
            <w:pPr>
              <w:spacing w:after="0"/>
              <w:rPr>
                <w:sz w:val="5"/>
                <w:szCs w:val="5"/>
                <w:color w:val="auto"/>
              </w:rPr>
            </w:pPr>
          </w:p>
        </w:tc>
        <w:tc>
          <w:tcPr>
            <w:tcW w:w="880" w:type="dxa"/>
            <w:vAlign w:val="bottom"/>
            <w:tcBorders>
              <w:bottom w:val="single" w:sz="8" w:color="auto"/>
            </w:tcBorders>
          </w:tcPr>
          <w:p>
            <w:pPr>
              <w:spacing w:after="0"/>
              <w:rPr>
                <w:sz w:val="5"/>
                <w:szCs w:val="5"/>
                <w:color w:val="auto"/>
              </w:rPr>
            </w:pPr>
          </w:p>
        </w:tc>
        <w:tc>
          <w:tcPr>
            <w:tcW w:w="40" w:type="dxa"/>
            <w:vAlign w:val="bottom"/>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40" w:type="dxa"/>
            <w:vAlign w:val="bottom"/>
          </w:tcPr>
          <w:p>
            <w:pPr>
              <w:spacing w:after="0"/>
              <w:rPr>
                <w:sz w:val="5"/>
                <w:szCs w:val="5"/>
                <w:color w:val="auto"/>
              </w:rPr>
            </w:pPr>
          </w:p>
        </w:tc>
        <w:tc>
          <w:tcPr>
            <w:tcW w:w="88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25"/>
        </w:trPr>
        <w:tc>
          <w:tcPr>
            <w:tcW w:w="480" w:type="dxa"/>
            <w:vAlign w:val="bottom"/>
          </w:tcPr>
          <w:p>
            <w:pPr>
              <w:jc w:val="right"/>
              <w:spacing w:after="0"/>
              <w:rPr>
                <w:sz w:val="20"/>
                <w:szCs w:val="20"/>
                <w:color w:val="auto"/>
              </w:rPr>
            </w:pPr>
            <w:r>
              <w:rPr>
                <w:rFonts w:ascii="Arial" w:cs="Arial" w:eastAsia="Arial" w:hAnsi="Arial"/>
                <w:sz w:val="14"/>
                <w:szCs w:val="14"/>
                <w:color w:val="auto"/>
                <w:w w:val="93"/>
              </w:rPr>
              <w:t>21,821</w:t>
            </w:r>
          </w:p>
        </w:tc>
        <w:tc>
          <w:tcPr>
            <w:tcW w:w="60" w:type="dxa"/>
            <w:vAlign w:val="bottom"/>
          </w:tcPr>
          <w:p>
            <w:pPr>
              <w:spacing w:after="0"/>
              <w:rPr>
                <w:sz w:val="19"/>
                <w:szCs w:val="19"/>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rPr>
              <w:t>22</w:t>
            </w:r>
          </w:p>
        </w:tc>
        <w:tc>
          <w:tcPr>
            <w:tcW w:w="4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309,110</w:t>
            </w:r>
          </w:p>
        </w:tc>
        <w:tc>
          <w:tcPr>
            <w:tcW w:w="1000" w:type="dxa"/>
            <w:vAlign w:val="bottom"/>
            <w:gridSpan w:val="2"/>
          </w:tcPr>
          <w:p>
            <w:pPr>
              <w:jc w:val="right"/>
              <w:spacing w:after="0"/>
              <w:rPr>
                <w:sz w:val="20"/>
                <w:szCs w:val="20"/>
                <w:color w:val="auto"/>
              </w:rPr>
            </w:pPr>
            <w:r>
              <w:rPr>
                <w:rFonts w:ascii="Arial" w:cs="Arial" w:eastAsia="Arial" w:hAnsi="Arial"/>
                <w:sz w:val="14"/>
                <w:szCs w:val="14"/>
                <w:color w:val="auto"/>
              </w:rPr>
              <w:t>(67,234)</w:t>
            </w:r>
          </w:p>
        </w:tc>
        <w:tc>
          <w:tcPr>
            <w:tcW w:w="4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(81,647)</w:t>
            </w:r>
          </w:p>
        </w:tc>
        <w:tc>
          <w:tcPr>
            <w:tcW w:w="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160,251</w:t>
            </w:r>
          </w:p>
        </w:tc>
        <w:tc>
          <w:tcPr>
            <w:tcW w:w="4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33,255</w:t>
            </w:r>
          </w:p>
        </w:tc>
        <w:tc>
          <w:tcPr>
            <w:tcW w:w="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193,506</w:t>
            </w:r>
          </w:p>
        </w:tc>
        <w:tc>
          <w:tcPr>
            <w:tcW w:w="0" w:type="dxa"/>
            <w:vAlign w:val="bottom"/>
          </w:tcPr>
          <w:p>
            <w:pPr>
              <w:spacing w:after="0"/>
              <w:rPr>
                <w:sz w:val="1"/>
                <w:szCs w:val="1"/>
                <w:color w:val="auto"/>
              </w:rPr>
            </w:pPr>
          </w:p>
        </w:tc>
      </w:tr>
      <w:tr>
        <w:trPr>
          <w:trHeight w:val="263"/>
        </w:trPr>
        <w:tc>
          <w:tcPr>
            <w:tcW w:w="480" w:type="dxa"/>
            <w:vAlign w:val="bottom"/>
          </w:tcPr>
          <w:p>
            <w:pPr>
              <w:jc w:val="right"/>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22"/>
                <w:szCs w:val="22"/>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22"/>
                <w:szCs w:val="22"/>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w:t>
            </w:r>
          </w:p>
        </w:tc>
        <w:tc>
          <w:tcPr>
            <w:tcW w:w="100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22"/>
                <w:szCs w:val="22"/>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45,012</w:t>
            </w:r>
          </w:p>
        </w:tc>
        <w:tc>
          <w:tcPr>
            <w:tcW w:w="40" w:type="dxa"/>
            <w:vAlign w:val="bottom"/>
          </w:tcPr>
          <w:p>
            <w:pPr>
              <w:spacing w:after="0"/>
              <w:rPr>
                <w:sz w:val="22"/>
                <w:szCs w:val="22"/>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45,012</w:t>
            </w:r>
          </w:p>
        </w:tc>
        <w:tc>
          <w:tcPr>
            <w:tcW w:w="40" w:type="dxa"/>
            <w:vAlign w:val="bottom"/>
          </w:tcPr>
          <w:p>
            <w:pPr>
              <w:spacing w:after="0"/>
              <w:rPr>
                <w:sz w:val="22"/>
                <w:szCs w:val="22"/>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4,503</w:t>
            </w:r>
          </w:p>
        </w:tc>
        <w:tc>
          <w:tcPr>
            <w:tcW w:w="40" w:type="dxa"/>
            <w:vAlign w:val="bottom"/>
          </w:tcPr>
          <w:p>
            <w:pPr>
              <w:spacing w:after="0"/>
              <w:rPr>
                <w:sz w:val="22"/>
                <w:szCs w:val="22"/>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49,515</w:t>
            </w:r>
          </w:p>
        </w:tc>
        <w:tc>
          <w:tcPr>
            <w:tcW w:w="0" w:type="dxa"/>
            <w:vAlign w:val="bottom"/>
          </w:tcPr>
          <w:p>
            <w:pPr>
              <w:spacing w:after="0"/>
              <w:rPr>
                <w:sz w:val="1"/>
                <w:szCs w:val="1"/>
                <w:color w:val="auto"/>
              </w:rPr>
            </w:pPr>
          </w:p>
        </w:tc>
      </w:tr>
      <w:tr>
        <w:trPr>
          <w:trHeight w:val="203"/>
        </w:trPr>
        <w:tc>
          <w:tcPr>
            <w:tcW w:w="480" w:type="dxa"/>
            <w:vAlign w:val="bottom"/>
          </w:tcPr>
          <w:p>
            <w:pPr>
              <w:jc w:val="right"/>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17"/>
                <w:szCs w:val="17"/>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w:t>
            </w:r>
          </w:p>
        </w:tc>
        <w:tc>
          <w:tcPr>
            <w:tcW w:w="1000" w:type="dxa"/>
            <w:vAlign w:val="bottom"/>
            <w:gridSpan w:val="2"/>
          </w:tcPr>
          <w:p>
            <w:pPr>
              <w:jc w:val="right"/>
              <w:spacing w:after="0"/>
              <w:rPr>
                <w:sz w:val="20"/>
                <w:szCs w:val="20"/>
                <w:color w:val="auto"/>
              </w:rPr>
            </w:pPr>
            <w:r>
              <w:rPr>
                <w:rFonts w:ascii="Arial" w:cs="Arial" w:eastAsia="Arial" w:hAnsi="Arial"/>
                <w:sz w:val="14"/>
                <w:szCs w:val="14"/>
                <w:color w:val="auto"/>
              </w:rPr>
              <w:t>(23,600)</w:t>
            </w:r>
          </w:p>
        </w:tc>
        <w:tc>
          <w:tcPr>
            <w:tcW w:w="4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(23,600)</w:t>
            </w:r>
          </w:p>
        </w:tc>
        <w:tc>
          <w:tcPr>
            <w:tcW w:w="4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(23,600)</w:t>
            </w:r>
          </w:p>
        </w:tc>
        <w:tc>
          <w:tcPr>
            <w:tcW w:w="0" w:type="dxa"/>
            <w:vAlign w:val="bottom"/>
          </w:tcPr>
          <w:p>
            <w:pPr>
              <w:spacing w:after="0"/>
              <w:rPr>
                <w:sz w:val="1"/>
                <w:szCs w:val="1"/>
                <w:color w:val="auto"/>
              </w:rPr>
            </w:pPr>
          </w:p>
        </w:tc>
      </w:tr>
      <w:tr>
        <w:trPr>
          <w:trHeight w:val="203"/>
        </w:trPr>
        <w:tc>
          <w:tcPr>
            <w:tcW w:w="480" w:type="dxa"/>
            <w:vAlign w:val="bottom"/>
          </w:tcPr>
          <w:p>
            <w:pPr>
              <w:jc w:val="right"/>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17"/>
                <w:szCs w:val="17"/>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14,494</w:t>
            </w:r>
          </w:p>
        </w:tc>
        <w:tc>
          <w:tcPr>
            <w:tcW w:w="100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14,494</w:t>
            </w:r>
          </w:p>
        </w:tc>
        <w:tc>
          <w:tcPr>
            <w:tcW w:w="4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14,494</w:t>
            </w:r>
          </w:p>
        </w:tc>
        <w:tc>
          <w:tcPr>
            <w:tcW w:w="0" w:type="dxa"/>
            <w:vAlign w:val="bottom"/>
          </w:tcPr>
          <w:p>
            <w:pPr>
              <w:spacing w:after="0"/>
              <w:rPr>
                <w:sz w:val="1"/>
                <w:szCs w:val="1"/>
                <w:color w:val="auto"/>
              </w:rPr>
            </w:pPr>
          </w:p>
        </w:tc>
      </w:tr>
      <w:tr>
        <w:trPr>
          <w:trHeight w:val="209"/>
        </w:trPr>
        <w:tc>
          <w:tcPr>
            <w:tcW w:w="480" w:type="dxa"/>
            <w:vAlign w:val="bottom"/>
          </w:tcPr>
          <w:p>
            <w:pPr>
              <w:jc w:val="right"/>
              <w:spacing w:after="0"/>
              <w:rPr>
                <w:sz w:val="20"/>
                <w:szCs w:val="20"/>
                <w:color w:val="auto"/>
              </w:rPr>
            </w:pPr>
            <w:r>
              <w:rPr>
                <w:rFonts w:ascii="Arial" w:cs="Arial" w:eastAsia="Arial" w:hAnsi="Arial"/>
                <w:sz w:val="14"/>
                <w:szCs w:val="14"/>
                <w:color w:val="auto"/>
              </w:rPr>
              <w:t>3,105</w:t>
            </w:r>
          </w:p>
        </w:tc>
        <w:tc>
          <w:tcPr>
            <w:tcW w:w="6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rPr>
              <w:t>3</w:t>
            </w:r>
          </w:p>
        </w:tc>
        <w:tc>
          <w:tcPr>
            <w:tcW w:w="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63,496</w:t>
            </w:r>
          </w:p>
        </w:tc>
        <w:tc>
          <w:tcPr>
            <w:tcW w:w="100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63,499</w:t>
            </w:r>
          </w:p>
        </w:tc>
        <w:tc>
          <w:tcPr>
            <w:tcW w:w="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63,499</w:t>
            </w:r>
          </w:p>
        </w:tc>
        <w:tc>
          <w:tcPr>
            <w:tcW w:w="0" w:type="dxa"/>
            <w:vAlign w:val="bottom"/>
          </w:tcPr>
          <w:p>
            <w:pPr>
              <w:spacing w:after="0"/>
              <w:rPr>
                <w:sz w:val="1"/>
                <w:szCs w:val="1"/>
                <w:color w:val="auto"/>
              </w:rPr>
            </w:pPr>
          </w:p>
        </w:tc>
      </w:tr>
      <w:tr>
        <w:trPr>
          <w:trHeight w:val="216"/>
        </w:trPr>
        <w:tc>
          <w:tcPr>
            <w:tcW w:w="480" w:type="dxa"/>
            <w:vAlign w:val="bottom"/>
            <w:vMerge w:val="restart"/>
          </w:tcPr>
          <w:p>
            <w:pPr>
              <w:jc w:val="right"/>
              <w:spacing w:after="0"/>
              <w:rPr>
                <w:sz w:val="20"/>
                <w:szCs w:val="20"/>
                <w:color w:val="auto"/>
              </w:rPr>
            </w:pPr>
            <w:r>
              <w:rPr>
                <w:rFonts w:ascii="Arial" w:cs="Arial" w:eastAsia="Arial" w:hAnsi="Arial"/>
                <w:sz w:val="14"/>
                <w:szCs w:val="14"/>
                <w:color w:val="auto"/>
                <w:w w:val="93"/>
              </w:rPr>
              <w:t>16,542</w:t>
            </w:r>
          </w:p>
        </w:tc>
        <w:tc>
          <w:tcPr>
            <w:tcW w:w="6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rPr>
              <w:t>16</w:t>
            </w:r>
          </w:p>
        </w:tc>
        <w:tc>
          <w:tcPr>
            <w:tcW w:w="40" w:type="dxa"/>
            <w:vAlign w:val="bottom"/>
          </w:tcPr>
          <w:p>
            <w:pPr>
              <w:spacing w:after="0"/>
              <w:rPr>
                <w:sz w:val="18"/>
                <w:szCs w:val="18"/>
                <w:color w:val="auto"/>
              </w:rPr>
            </w:pPr>
          </w:p>
        </w:tc>
        <w:tc>
          <w:tcPr>
            <w:tcW w:w="660" w:type="dxa"/>
            <w:vAlign w:val="bottom"/>
            <w:vMerge w:val="restart"/>
          </w:tcPr>
          <w:p>
            <w:pPr>
              <w:jc w:val="right"/>
              <w:spacing w:after="0"/>
              <w:rPr>
                <w:sz w:val="20"/>
                <w:szCs w:val="20"/>
                <w:color w:val="auto"/>
              </w:rPr>
            </w:pPr>
            <w:r>
              <w:rPr>
                <w:rFonts w:ascii="Arial" w:cs="Arial" w:eastAsia="Arial" w:hAnsi="Arial"/>
                <w:sz w:val="14"/>
                <w:szCs w:val="14"/>
                <w:color w:val="auto"/>
              </w:rPr>
              <w:t>131,020</w:t>
            </w:r>
          </w:p>
        </w:tc>
        <w:tc>
          <w:tcPr>
            <w:tcW w:w="1000" w:type="dxa"/>
            <w:vAlign w:val="bottom"/>
            <w:gridSpan w:val="2"/>
            <w:vMerge w:val="restart"/>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131,036</w:t>
            </w:r>
          </w:p>
        </w:tc>
        <w:tc>
          <w:tcPr>
            <w:tcW w:w="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131,036</w:t>
            </w:r>
          </w:p>
        </w:tc>
        <w:tc>
          <w:tcPr>
            <w:tcW w:w="0" w:type="dxa"/>
            <w:vAlign w:val="bottom"/>
          </w:tcPr>
          <w:p>
            <w:pPr>
              <w:spacing w:after="0"/>
              <w:rPr>
                <w:sz w:val="1"/>
                <w:szCs w:val="1"/>
                <w:color w:val="auto"/>
              </w:rPr>
            </w:pPr>
          </w:p>
        </w:tc>
      </w:tr>
      <w:tr>
        <w:trPr>
          <w:trHeight w:val="81"/>
        </w:trPr>
        <w:tc>
          <w:tcPr>
            <w:tcW w:w="480" w:type="dxa"/>
            <w:vAlign w:val="bottom"/>
            <w:vMerge w:val="continue"/>
          </w:tcPr>
          <w:p>
            <w:pPr>
              <w:spacing w:after="0"/>
              <w:rPr>
                <w:sz w:val="7"/>
                <w:szCs w:val="7"/>
                <w:color w:val="auto"/>
              </w:rPr>
            </w:pPr>
          </w:p>
        </w:tc>
        <w:tc>
          <w:tcPr>
            <w:tcW w:w="60" w:type="dxa"/>
            <w:vAlign w:val="bottom"/>
          </w:tcPr>
          <w:p>
            <w:pPr>
              <w:spacing w:after="0"/>
              <w:rPr>
                <w:sz w:val="7"/>
                <w:szCs w:val="7"/>
                <w:color w:val="auto"/>
              </w:rPr>
            </w:pPr>
          </w:p>
        </w:tc>
        <w:tc>
          <w:tcPr>
            <w:tcW w:w="500" w:type="dxa"/>
            <w:vAlign w:val="bottom"/>
          </w:tcPr>
          <w:p>
            <w:pPr>
              <w:spacing w:after="0"/>
              <w:rPr>
                <w:sz w:val="7"/>
                <w:szCs w:val="7"/>
                <w:color w:val="auto"/>
              </w:rPr>
            </w:pPr>
          </w:p>
        </w:tc>
        <w:tc>
          <w:tcPr>
            <w:tcW w:w="4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1000" w:type="dxa"/>
            <w:vAlign w:val="bottom"/>
            <w:gridSpan w:val="2"/>
            <w:vMerge w:val="continue"/>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tcPr>
          <w:p>
            <w:pPr>
              <w:spacing w:after="0"/>
              <w:rPr>
                <w:sz w:val="7"/>
                <w:szCs w:val="7"/>
                <w:color w:val="auto"/>
              </w:rPr>
            </w:pPr>
          </w:p>
        </w:tc>
        <w:tc>
          <w:tcPr>
            <w:tcW w:w="40" w:type="dxa"/>
            <w:vAlign w:val="bottom"/>
          </w:tcPr>
          <w:p>
            <w:pPr>
              <w:spacing w:after="0"/>
              <w:rPr>
                <w:sz w:val="7"/>
                <w:szCs w:val="7"/>
                <w:color w:val="auto"/>
              </w:rPr>
            </w:pPr>
          </w:p>
        </w:tc>
        <w:tc>
          <w:tcPr>
            <w:tcW w:w="880" w:type="dxa"/>
            <w:vAlign w:val="bottom"/>
          </w:tcPr>
          <w:p>
            <w:pPr>
              <w:spacing w:after="0"/>
              <w:rPr>
                <w:sz w:val="7"/>
                <w:szCs w:val="7"/>
                <w:color w:val="auto"/>
              </w:rPr>
            </w:pPr>
          </w:p>
        </w:tc>
        <w:tc>
          <w:tcPr>
            <w:tcW w:w="40" w:type="dxa"/>
            <w:vAlign w:val="bottom"/>
          </w:tcPr>
          <w:p>
            <w:pPr>
              <w:spacing w:after="0"/>
              <w:rPr>
                <w:sz w:val="7"/>
                <w:szCs w:val="7"/>
                <w:color w:val="auto"/>
              </w:rPr>
            </w:pPr>
          </w:p>
        </w:tc>
        <w:tc>
          <w:tcPr>
            <w:tcW w:w="920" w:type="dxa"/>
            <w:vAlign w:val="bottom"/>
          </w:tcPr>
          <w:p>
            <w:pPr>
              <w:spacing w:after="0"/>
              <w:rPr>
                <w:sz w:val="7"/>
                <w:szCs w:val="7"/>
                <w:color w:val="auto"/>
              </w:rPr>
            </w:pPr>
          </w:p>
        </w:tc>
        <w:tc>
          <w:tcPr>
            <w:tcW w:w="40" w:type="dxa"/>
            <w:vAlign w:val="bottom"/>
          </w:tcPr>
          <w:p>
            <w:pPr>
              <w:spacing w:after="0"/>
              <w:rPr>
                <w:sz w:val="7"/>
                <w:szCs w:val="7"/>
                <w:color w:val="auto"/>
              </w:rPr>
            </w:pPr>
          </w:p>
        </w:tc>
        <w:tc>
          <w:tcPr>
            <w:tcW w:w="8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16"/>
        </w:trPr>
        <w:tc>
          <w:tcPr>
            <w:tcW w:w="480" w:type="dxa"/>
            <w:vAlign w:val="bottom"/>
            <w:vMerge w:val="restart"/>
          </w:tcPr>
          <w:p>
            <w:pPr>
              <w:jc w:val="right"/>
              <w:spacing w:after="0"/>
              <w:rPr>
                <w:sz w:val="20"/>
                <w:szCs w:val="20"/>
                <w:color w:val="auto"/>
              </w:rPr>
            </w:pPr>
            <w:r>
              <w:rPr>
                <w:rFonts w:ascii="Arial" w:cs="Arial" w:eastAsia="Arial" w:hAnsi="Arial"/>
                <w:sz w:val="14"/>
                <w:szCs w:val="14"/>
                <w:color w:val="auto"/>
                <w:w w:val="93"/>
              </w:rPr>
              <w:t>32,626</w:t>
            </w:r>
          </w:p>
        </w:tc>
        <w:tc>
          <w:tcPr>
            <w:tcW w:w="6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rPr>
              <w:t>33</w:t>
            </w:r>
          </w:p>
        </w:tc>
        <w:tc>
          <w:tcPr>
            <w:tcW w:w="40" w:type="dxa"/>
            <w:vAlign w:val="bottom"/>
          </w:tcPr>
          <w:p>
            <w:pPr>
              <w:spacing w:after="0"/>
              <w:rPr>
                <w:sz w:val="18"/>
                <w:szCs w:val="18"/>
                <w:color w:val="auto"/>
              </w:rPr>
            </w:pPr>
          </w:p>
        </w:tc>
        <w:tc>
          <w:tcPr>
            <w:tcW w:w="660" w:type="dxa"/>
            <w:vAlign w:val="bottom"/>
            <w:vMerge w:val="restart"/>
          </w:tcPr>
          <w:p>
            <w:pPr>
              <w:jc w:val="right"/>
              <w:spacing w:after="0"/>
              <w:rPr>
                <w:sz w:val="20"/>
                <w:szCs w:val="20"/>
                <w:color w:val="auto"/>
              </w:rPr>
            </w:pPr>
            <w:r>
              <w:rPr>
                <w:rFonts w:ascii="Arial" w:cs="Arial" w:eastAsia="Arial" w:hAnsi="Arial"/>
                <w:sz w:val="14"/>
                <w:szCs w:val="14"/>
                <w:color w:val="auto"/>
              </w:rPr>
              <w:t>362,456</w:t>
            </w:r>
          </w:p>
        </w:tc>
        <w:tc>
          <w:tcPr>
            <w:tcW w:w="1000" w:type="dxa"/>
            <w:vAlign w:val="bottom"/>
            <w:gridSpan w:val="2"/>
            <w:vMerge w:val="restart"/>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362,489</w:t>
            </w:r>
          </w:p>
        </w:tc>
        <w:tc>
          <w:tcPr>
            <w:tcW w:w="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362,489</w:t>
            </w:r>
          </w:p>
        </w:tc>
        <w:tc>
          <w:tcPr>
            <w:tcW w:w="0" w:type="dxa"/>
            <w:vAlign w:val="bottom"/>
          </w:tcPr>
          <w:p>
            <w:pPr>
              <w:spacing w:after="0"/>
              <w:rPr>
                <w:sz w:val="1"/>
                <w:szCs w:val="1"/>
                <w:color w:val="auto"/>
              </w:rPr>
            </w:pPr>
          </w:p>
        </w:tc>
      </w:tr>
      <w:tr>
        <w:trPr>
          <w:trHeight w:val="81"/>
        </w:trPr>
        <w:tc>
          <w:tcPr>
            <w:tcW w:w="480" w:type="dxa"/>
            <w:vAlign w:val="bottom"/>
            <w:vMerge w:val="continue"/>
          </w:tcPr>
          <w:p>
            <w:pPr>
              <w:spacing w:after="0"/>
              <w:rPr>
                <w:sz w:val="7"/>
                <w:szCs w:val="7"/>
                <w:color w:val="auto"/>
              </w:rPr>
            </w:pPr>
          </w:p>
        </w:tc>
        <w:tc>
          <w:tcPr>
            <w:tcW w:w="60" w:type="dxa"/>
            <w:vAlign w:val="bottom"/>
          </w:tcPr>
          <w:p>
            <w:pPr>
              <w:spacing w:after="0"/>
              <w:rPr>
                <w:sz w:val="7"/>
                <w:szCs w:val="7"/>
                <w:color w:val="auto"/>
              </w:rPr>
            </w:pPr>
          </w:p>
        </w:tc>
        <w:tc>
          <w:tcPr>
            <w:tcW w:w="500" w:type="dxa"/>
            <w:vAlign w:val="bottom"/>
          </w:tcPr>
          <w:p>
            <w:pPr>
              <w:spacing w:after="0"/>
              <w:rPr>
                <w:sz w:val="7"/>
                <w:szCs w:val="7"/>
                <w:color w:val="auto"/>
              </w:rPr>
            </w:pPr>
          </w:p>
        </w:tc>
        <w:tc>
          <w:tcPr>
            <w:tcW w:w="4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1000" w:type="dxa"/>
            <w:vAlign w:val="bottom"/>
            <w:gridSpan w:val="2"/>
            <w:vMerge w:val="continue"/>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tcPr>
          <w:p>
            <w:pPr>
              <w:spacing w:after="0"/>
              <w:rPr>
                <w:sz w:val="7"/>
                <w:szCs w:val="7"/>
                <w:color w:val="auto"/>
              </w:rPr>
            </w:pPr>
          </w:p>
        </w:tc>
        <w:tc>
          <w:tcPr>
            <w:tcW w:w="40" w:type="dxa"/>
            <w:vAlign w:val="bottom"/>
          </w:tcPr>
          <w:p>
            <w:pPr>
              <w:spacing w:after="0"/>
              <w:rPr>
                <w:sz w:val="7"/>
                <w:szCs w:val="7"/>
                <w:color w:val="auto"/>
              </w:rPr>
            </w:pPr>
          </w:p>
        </w:tc>
        <w:tc>
          <w:tcPr>
            <w:tcW w:w="880" w:type="dxa"/>
            <w:vAlign w:val="bottom"/>
          </w:tcPr>
          <w:p>
            <w:pPr>
              <w:spacing w:after="0"/>
              <w:rPr>
                <w:sz w:val="7"/>
                <w:szCs w:val="7"/>
                <w:color w:val="auto"/>
              </w:rPr>
            </w:pPr>
          </w:p>
        </w:tc>
        <w:tc>
          <w:tcPr>
            <w:tcW w:w="40" w:type="dxa"/>
            <w:vAlign w:val="bottom"/>
          </w:tcPr>
          <w:p>
            <w:pPr>
              <w:spacing w:after="0"/>
              <w:rPr>
                <w:sz w:val="7"/>
                <w:szCs w:val="7"/>
                <w:color w:val="auto"/>
              </w:rPr>
            </w:pPr>
          </w:p>
        </w:tc>
        <w:tc>
          <w:tcPr>
            <w:tcW w:w="920" w:type="dxa"/>
            <w:vAlign w:val="bottom"/>
          </w:tcPr>
          <w:p>
            <w:pPr>
              <w:spacing w:after="0"/>
              <w:rPr>
                <w:sz w:val="7"/>
                <w:szCs w:val="7"/>
                <w:color w:val="auto"/>
              </w:rPr>
            </w:pPr>
          </w:p>
        </w:tc>
        <w:tc>
          <w:tcPr>
            <w:tcW w:w="40" w:type="dxa"/>
            <w:vAlign w:val="bottom"/>
          </w:tcPr>
          <w:p>
            <w:pPr>
              <w:spacing w:after="0"/>
              <w:rPr>
                <w:sz w:val="7"/>
                <w:szCs w:val="7"/>
                <w:color w:val="auto"/>
              </w:rPr>
            </w:pPr>
          </w:p>
        </w:tc>
        <w:tc>
          <w:tcPr>
            <w:tcW w:w="8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97"/>
        </w:trPr>
        <w:tc>
          <w:tcPr>
            <w:tcW w:w="480" w:type="dxa"/>
            <w:vAlign w:val="bottom"/>
          </w:tcPr>
          <w:p>
            <w:pPr>
              <w:jc w:val="right"/>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24"/>
                <w:szCs w:val="24"/>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24"/>
                <w:szCs w:val="2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w:t>
            </w:r>
          </w:p>
        </w:tc>
        <w:tc>
          <w:tcPr>
            <w:tcW w:w="1000" w:type="dxa"/>
            <w:vAlign w:val="bottom"/>
            <w:gridSpan w:val="2"/>
            <w:vMerge w:val="restart"/>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24"/>
                <w:szCs w:val="24"/>
                <w:color w:val="auto"/>
              </w:rPr>
            </w:pPr>
          </w:p>
        </w:tc>
        <w:tc>
          <w:tcPr>
            <w:tcW w:w="580" w:type="dxa"/>
            <w:vAlign w:val="bottom"/>
            <w:vMerge w:val="restart"/>
          </w:tcPr>
          <w:p>
            <w:pPr>
              <w:jc w:val="right"/>
              <w:spacing w:after="0"/>
              <w:rPr>
                <w:sz w:val="20"/>
                <w:szCs w:val="20"/>
                <w:color w:val="auto"/>
              </w:rPr>
            </w:pPr>
            <w:r>
              <w:rPr>
                <w:rFonts w:ascii="Arial" w:cs="Arial" w:eastAsia="Arial" w:hAnsi="Arial"/>
                <w:sz w:val="14"/>
                <w:szCs w:val="14"/>
                <w:color w:val="auto"/>
              </w:rPr>
              <w:t>(17,316)</w:t>
            </w:r>
          </w:p>
        </w:tc>
        <w:tc>
          <w:tcPr>
            <w:tcW w:w="40" w:type="dxa"/>
            <w:vAlign w:val="bottom"/>
          </w:tcPr>
          <w:p>
            <w:pPr>
              <w:spacing w:after="0"/>
              <w:rPr>
                <w:sz w:val="24"/>
                <w:szCs w:val="24"/>
                <w:color w:val="auto"/>
              </w:rPr>
            </w:pPr>
          </w:p>
        </w:tc>
        <w:tc>
          <w:tcPr>
            <w:tcW w:w="880" w:type="dxa"/>
            <w:vAlign w:val="bottom"/>
            <w:vMerge w:val="restart"/>
          </w:tcPr>
          <w:p>
            <w:pPr>
              <w:jc w:val="right"/>
              <w:spacing w:after="0"/>
              <w:rPr>
                <w:sz w:val="20"/>
                <w:szCs w:val="20"/>
                <w:color w:val="auto"/>
              </w:rPr>
            </w:pPr>
            <w:r>
              <w:rPr>
                <w:rFonts w:ascii="Arial" w:cs="Arial" w:eastAsia="Arial" w:hAnsi="Arial"/>
                <w:sz w:val="14"/>
                <w:szCs w:val="14"/>
                <w:color w:val="auto"/>
              </w:rPr>
              <w:t>(17,316)</w:t>
            </w:r>
          </w:p>
        </w:tc>
        <w:tc>
          <w:tcPr>
            <w:tcW w:w="40" w:type="dxa"/>
            <w:vAlign w:val="bottom"/>
          </w:tcPr>
          <w:p>
            <w:pPr>
              <w:spacing w:after="0"/>
              <w:rPr>
                <w:sz w:val="24"/>
                <w:szCs w:val="24"/>
                <w:color w:val="auto"/>
              </w:rPr>
            </w:pPr>
          </w:p>
        </w:tc>
        <w:tc>
          <w:tcPr>
            <w:tcW w:w="92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24"/>
                <w:szCs w:val="24"/>
                <w:color w:val="auto"/>
              </w:rPr>
            </w:pPr>
          </w:p>
        </w:tc>
        <w:tc>
          <w:tcPr>
            <w:tcW w:w="880" w:type="dxa"/>
            <w:vAlign w:val="bottom"/>
            <w:vMerge w:val="restart"/>
          </w:tcPr>
          <w:p>
            <w:pPr>
              <w:jc w:val="right"/>
              <w:spacing w:after="0"/>
              <w:rPr>
                <w:sz w:val="20"/>
                <w:szCs w:val="20"/>
                <w:color w:val="auto"/>
              </w:rPr>
            </w:pPr>
            <w:r>
              <w:rPr>
                <w:rFonts w:ascii="Arial" w:cs="Arial" w:eastAsia="Arial" w:hAnsi="Arial"/>
                <w:sz w:val="14"/>
                <w:szCs w:val="14"/>
                <w:color w:val="auto"/>
              </w:rPr>
              <w:t>(17,316)</w:t>
            </w:r>
          </w:p>
        </w:tc>
        <w:tc>
          <w:tcPr>
            <w:tcW w:w="0" w:type="dxa"/>
            <w:vAlign w:val="bottom"/>
          </w:tcPr>
          <w:p>
            <w:pPr>
              <w:spacing w:after="0"/>
              <w:rPr>
                <w:sz w:val="1"/>
                <w:szCs w:val="1"/>
                <w:color w:val="auto"/>
              </w:rPr>
            </w:pPr>
          </w:p>
        </w:tc>
      </w:tr>
      <w:tr>
        <w:trPr>
          <w:trHeight w:val="149"/>
        </w:trPr>
        <w:tc>
          <w:tcPr>
            <w:tcW w:w="4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000" w:type="dxa"/>
            <w:vAlign w:val="bottom"/>
            <w:gridSpan w:val="2"/>
            <w:vMerge w:val="continue"/>
          </w:tcPr>
          <w:p>
            <w:pPr>
              <w:spacing w:after="0"/>
              <w:rPr>
                <w:sz w:val="12"/>
                <w:szCs w:val="12"/>
                <w:color w:val="auto"/>
              </w:rPr>
            </w:pPr>
          </w:p>
        </w:tc>
        <w:tc>
          <w:tcPr>
            <w:tcW w:w="40" w:type="dxa"/>
            <w:vAlign w:val="bottom"/>
          </w:tcPr>
          <w:p>
            <w:pPr>
              <w:spacing w:after="0"/>
              <w:rPr>
                <w:sz w:val="12"/>
                <w:szCs w:val="12"/>
                <w:color w:val="auto"/>
              </w:rPr>
            </w:pPr>
          </w:p>
        </w:tc>
        <w:tc>
          <w:tcPr>
            <w:tcW w:w="58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88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92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8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480" w:type="dxa"/>
            <w:vAlign w:val="bottom"/>
          </w:tcPr>
          <w:p>
            <w:pPr>
              <w:jc w:val="right"/>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w:t>
            </w:r>
          </w:p>
        </w:tc>
        <w:tc>
          <w:tcPr>
            <w:tcW w:w="100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(4,800)</w:t>
            </w:r>
          </w:p>
        </w:tc>
        <w:tc>
          <w:tcPr>
            <w:tcW w:w="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(4,800)</w:t>
            </w:r>
          </w:p>
        </w:tc>
        <w:tc>
          <w:tcPr>
            <w:tcW w:w="0" w:type="dxa"/>
            <w:vAlign w:val="bottom"/>
          </w:tcPr>
          <w:p>
            <w:pPr>
              <w:spacing w:after="0"/>
              <w:rPr>
                <w:sz w:val="1"/>
                <w:szCs w:val="1"/>
                <w:color w:val="auto"/>
              </w:rPr>
            </w:pPr>
          </w:p>
        </w:tc>
      </w:tr>
      <w:tr>
        <w:trPr>
          <w:trHeight w:val="66"/>
        </w:trPr>
        <w:tc>
          <w:tcPr>
            <w:tcW w:w="480" w:type="dxa"/>
            <w:vAlign w:val="bottom"/>
            <w:tcBorders>
              <w:bottom w:val="single" w:sz="8" w:color="auto"/>
            </w:tcBorders>
          </w:tcPr>
          <w:p>
            <w:pPr>
              <w:spacing w:after="0"/>
              <w:rPr>
                <w:sz w:val="5"/>
                <w:szCs w:val="5"/>
                <w:color w:val="auto"/>
              </w:rPr>
            </w:pPr>
          </w:p>
        </w:tc>
        <w:tc>
          <w:tcPr>
            <w:tcW w:w="60" w:type="dxa"/>
            <w:vAlign w:val="bottom"/>
          </w:tcPr>
          <w:p>
            <w:pPr>
              <w:spacing w:after="0"/>
              <w:rPr>
                <w:sz w:val="5"/>
                <w:szCs w:val="5"/>
                <w:color w:val="auto"/>
              </w:rPr>
            </w:pPr>
          </w:p>
        </w:tc>
        <w:tc>
          <w:tcPr>
            <w:tcW w:w="500" w:type="dxa"/>
            <w:vAlign w:val="bottom"/>
            <w:tcBorders>
              <w:bottom w:val="single" w:sz="8" w:color="auto"/>
            </w:tcBorders>
          </w:tcPr>
          <w:p>
            <w:pPr>
              <w:spacing w:after="0"/>
              <w:rPr>
                <w:sz w:val="5"/>
                <w:szCs w:val="5"/>
                <w:color w:val="auto"/>
              </w:rPr>
            </w:pPr>
          </w:p>
        </w:tc>
        <w:tc>
          <w:tcPr>
            <w:tcW w:w="40" w:type="dxa"/>
            <w:vAlign w:val="bottom"/>
          </w:tcPr>
          <w:p>
            <w:pPr>
              <w:spacing w:after="0"/>
              <w:rPr>
                <w:sz w:val="5"/>
                <w:szCs w:val="5"/>
                <w:color w:val="auto"/>
              </w:rPr>
            </w:pPr>
          </w:p>
        </w:tc>
        <w:tc>
          <w:tcPr>
            <w:tcW w:w="660" w:type="dxa"/>
            <w:vAlign w:val="bottom"/>
            <w:tcBorders>
              <w:bottom w:val="single" w:sz="8" w:color="auto"/>
            </w:tcBorders>
          </w:tcPr>
          <w:p>
            <w:pPr>
              <w:spacing w:after="0"/>
              <w:rPr>
                <w:sz w:val="5"/>
                <w:szCs w:val="5"/>
                <w:color w:val="auto"/>
              </w:rPr>
            </w:pPr>
          </w:p>
        </w:tc>
        <w:tc>
          <w:tcPr>
            <w:tcW w:w="40" w:type="dxa"/>
            <w:vAlign w:val="bottom"/>
          </w:tcPr>
          <w:p>
            <w:pPr>
              <w:spacing w:after="0"/>
              <w:rPr>
                <w:sz w:val="5"/>
                <w:szCs w:val="5"/>
                <w:color w:val="auto"/>
              </w:rPr>
            </w:pPr>
          </w:p>
        </w:tc>
        <w:tc>
          <w:tcPr>
            <w:tcW w:w="960" w:type="dxa"/>
            <w:vAlign w:val="bottom"/>
            <w:tcBorders>
              <w:bottom w:val="single" w:sz="8" w:color="auto"/>
            </w:tcBorders>
          </w:tcPr>
          <w:p>
            <w:pPr>
              <w:spacing w:after="0"/>
              <w:rPr>
                <w:sz w:val="5"/>
                <w:szCs w:val="5"/>
                <w:color w:val="auto"/>
              </w:rPr>
            </w:pPr>
          </w:p>
        </w:tc>
        <w:tc>
          <w:tcPr>
            <w:tcW w:w="40" w:type="dxa"/>
            <w:vAlign w:val="bottom"/>
          </w:tcPr>
          <w:p>
            <w:pPr>
              <w:spacing w:after="0"/>
              <w:rPr>
                <w:sz w:val="5"/>
                <w:szCs w:val="5"/>
                <w:color w:val="auto"/>
              </w:rPr>
            </w:pPr>
          </w:p>
        </w:tc>
        <w:tc>
          <w:tcPr>
            <w:tcW w:w="580" w:type="dxa"/>
            <w:vAlign w:val="bottom"/>
            <w:tcBorders>
              <w:bottom w:val="single" w:sz="8" w:color="auto"/>
            </w:tcBorders>
          </w:tcPr>
          <w:p>
            <w:pPr>
              <w:spacing w:after="0"/>
              <w:rPr>
                <w:sz w:val="5"/>
                <w:szCs w:val="5"/>
                <w:color w:val="auto"/>
              </w:rPr>
            </w:pPr>
          </w:p>
        </w:tc>
        <w:tc>
          <w:tcPr>
            <w:tcW w:w="40" w:type="dxa"/>
            <w:vAlign w:val="bottom"/>
          </w:tcPr>
          <w:p>
            <w:pPr>
              <w:spacing w:after="0"/>
              <w:rPr>
                <w:sz w:val="5"/>
                <w:szCs w:val="5"/>
                <w:color w:val="auto"/>
              </w:rPr>
            </w:pPr>
          </w:p>
        </w:tc>
        <w:tc>
          <w:tcPr>
            <w:tcW w:w="880" w:type="dxa"/>
            <w:vAlign w:val="bottom"/>
            <w:tcBorders>
              <w:bottom w:val="single" w:sz="8" w:color="auto"/>
            </w:tcBorders>
          </w:tcPr>
          <w:p>
            <w:pPr>
              <w:spacing w:after="0"/>
              <w:rPr>
                <w:sz w:val="5"/>
                <w:szCs w:val="5"/>
                <w:color w:val="auto"/>
              </w:rPr>
            </w:pPr>
          </w:p>
        </w:tc>
        <w:tc>
          <w:tcPr>
            <w:tcW w:w="40" w:type="dxa"/>
            <w:vAlign w:val="bottom"/>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40" w:type="dxa"/>
            <w:vAlign w:val="bottom"/>
          </w:tcPr>
          <w:p>
            <w:pPr>
              <w:spacing w:after="0"/>
              <w:rPr>
                <w:sz w:val="5"/>
                <w:szCs w:val="5"/>
                <w:color w:val="auto"/>
              </w:rPr>
            </w:pPr>
          </w:p>
        </w:tc>
        <w:tc>
          <w:tcPr>
            <w:tcW w:w="88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25"/>
        </w:trPr>
        <w:tc>
          <w:tcPr>
            <w:tcW w:w="480" w:type="dxa"/>
            <w:vAlign w:val="bottom"/>
          </w:tcPr>
          <w:p>
            <w:pPr>
              <w:jc w:val="right"/>
              <w:spacing w:after="0"/>
              <w:rPr>
                <w:sz w:val="20"/>
                <w:szCs w:val="20"/>
                <w:color w:val="auto"/>
              </w:rPr>
            </w:pPr>
            <w:r>
              <w:rPr>
                <w:rFonts w:ascii="Arial" w:cs="Arial" w:eastAsia="Arial" w:hAnsi="Arial"/>
                <w:sz w:val="14"/>
                <w:szCs w:val="14"/>
                <w:color w:val="auto"/>
                <w:w w:val="93"/>
              </w:rPr>
              <w:t>74,094</w:t>
            </w:r>
          </w:p>
        </w:tc>
        <w:tc>
          <w:tcPr>
            <w:tcW w:w="60" w:type="dxa"/>
            <w:vAlign w:val="bottom"/>
          </w:tcPr>
          <w:p>
            <w:pPr>
              <w:spacing w:after="0"/>
              <w:rPr>
                <w:sz w:val="19"/>
                <w:szCs w:val="19"/>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rPr>
              <w:t>74</w:t>
            </w:r>
          </w:p>
        </w:tc>
        <w:tc>
          <w:tcPr>
            <w:tcW w:w="4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880,576</w:t>
            </w:r>
          </w:p>
        </w:tc>
        <w:tc>
          <w:tcPr>
            <w:tcW w:w="1000" w:type="dxa"/>
            <w:vAlign w:val="bottom"/>
            <w:gridSpan w:val="2"/>
          </w:tcPr>
          <w:p>
            <w:pPr>
              <w:jc w:val="right"/>
              <w:spacing w:after="0"/>
              <w:rPr>
                <w:sz w:val="20"/>
                <w:szCs w:val="20"/>
                <w:color w:val="auto"/>
              </w:rPr>
            </w:pPr>
            <w:r>
              <w:rPr>
                <w:rFonts w:ascii="Arial" w:cs="Arial" w:eastAsia="Arial" w:hAnsi="Arial"/>
                <w:sz w:val="14"/>
                <w:szCs w:val="14"/>
                <w:color w:val="auto"/>
              </w:rPr>
              <w:t>(90,834)</w:t>
            </w:r>
          </w:p>
        </w:tc>
        <w:tc>
          <w:tcPr>
            <w:tcW w:w="4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(53,951)</w:t>
            </w:r>
          </w:p>
        </w:tc>
        <w:tc>
          <w:tcPr>
            <w:tcW w:w="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735,865</w:t>
            </w:r>
          </w:p>
        </w:tc>
        <w:tc>
          <w:tcPr>
            <w:tcW w:w="4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32,958</w:t>
            </w:r>
          </w:p>
        </w:tc>
        <w:tc>
          <w:tcPr>
            <w:tcW w:w="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768,823</w:t>
            </w:r>
          </w:p>
        </w:tc>
        <w:tc>
          <w:tcPr>
            <w:tcW w:w="0" w:type="dxa"/>
            <w:vAlign w:val="bottom"/>
          </w:tcPr>
          <w:p>
            <w:pPr>
              <w:spacing w:after="0"/>
              <w:rPr>
                <w:sz w:val="1"/>
                <w:szCs w:val="1"/>
                <w:color w:val="auto"/>
              </w:rPr>
            </w:pPr>
          </w:p>
        </w:tc>
      </w:tr>
      <w:tr>
        <w:trPr>
          <w:trHeight w:val="243"/>
        </w:trPr>
        <w:tc>
          <w:tcPr>
            <w:tcW w:w="480" w:type="dxa"/>
            <w:vAlign w:val="bottom"/>
          </w:tcPr>
          <w:p>
            <w:pPr>
              <w:jc w:val="right"/>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21"/>
                <w:szCs w:val="21"/>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21"/>
                <w:szCs w:val="21"/>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w:t>
            </w:r>
          </w:p>
        </w:tc>
        <w:tc>
          <w:tcPr>
            <w:tcW w:w="100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21"/>
                <w:szCs w:val="21"/>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92,114</w:t>
            </w:r>
          </w:p>
        </w:tc>
        <w:tc>
          <w:tcPr>
            <w:tcW w:w="4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92,114</w:t>
            </w:r>
          </w:p>
        </w:tc>
        <w:tc>
          <w:tcPr>
            <w:tcW w:w="4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4,506</w:t>
            </w:r>
          </w:p>
        </w:tc>
        <w:tc>
          <w:tcPr>
            <w:tcW w:w="4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96,620</w:t>
            </w:r>
          </w:p>
        </w:tc>
        <w:tc>
          <w:tcPr>
            <w:tcW w:w="0" w:type="dxa"/>
            <w:vAlign w:val="bottom"/>
          </w:tcPr>
          <w:p>
            <w:pPr>
              <w:spacing w:after="0"/>
              <w:rPr>
                <w:sz w:val="1"/>
                <w:szCs w:val="1"/>
                <w:color w:val="auto"/>
              </w:rPr>
            </w:pPr>
          </w:p>
        </w:tc>
      </w:tr>
      <w:tr>
        <w:trPr>
          <w:trHeight w:val="243"/>
        </w:trPr>
        <w:tc>
          <w:tcPr>
            <w:tcW w:w="480" w:type="dxa"/>
            <w:vAlign w:val="bottom"/>
          </w:tcPr>
          <w:p>
            <w:pPr>
              <w:jc w:val="right"/>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21"/>
                <w:szCs w:val="21"/>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21"/>
                <w:szCs w:val="21"/>
                <w:color w:val="auto"/>
              </w:rPr>
            </w:pPr>
          </w:p>
        </w:tc>
        <w:tc>
          <w:tcPr>
            <w:tcW w:w="66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1000" w:type="dxa"/>
            <w:vAlign w:val="bottom"/>
            <w:gridSpan w:val="2"/>
            <w:vMerge w:val="restart"/>
          </w:tcPr>
          <w:p>
            <w:pPr>
              <w:jc w:val="right"/>
              <w:spacing w:after="0"/>
              <w:rPr>
                <w:sz w:val="20"/>
                <w:szCs w:val="20"/>
                <w:color w:val="auto"/>
              </w:rPr>
            </w:pPr>
            <w:r>
              <w:rPr>
                <w:rFonts w:ascii="Arial" w:cs="Arial" w:eastAsia="Arial" w:hAnsi="Arial"/>
                <w:sz w:val="14"/>
                <w:szCs w:val="14"/>
                <w:color w:val="auto"/>
              </w:rPr>
              <w:t>9,143</w:t>
            </w:r>
          </w:p>
        </w:tc>
        <w:tc>
          <w:tcPr>
            <w:tcW w:w="40" w:type="dxa"/>
            <w:vAlign w:val="bottom"/>
          </w:tcPr>
          <w:p>
            <w:pPr>
              <w:spacing w:after="0"/>
              <w:rPr>
                <w:sz w:val="21"/>
                <w:szCs w:val="21"/>
                <w:color w:val="auto"/>
              </w:rPr>
            </w:pPr>
          </w:p>
        </w:tc>
        <w:tc>
          <w:tcPr>
            <w:tcW w:w="58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9,143</w:t>
            </w:r>
          </w:p>
        </w:tc>
        <w:tc>
          <w:tcPr>
            <w:tcW w:w="4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9,143</w:t>
            </w:r>
          </w:p>
        </w:tc>
        <w:tc>
          <w:tcPr>
            <w:tcW w:w="0" w:type="dxa"/>
            <w:vAlign w:val="bottom"/>
          </w:tcPr>
          <w:p>
            <w:pPr>
              <w:spacing w:after="0"/>
              <w:rPr>
                <w:sz w:val="1"/>
                <w:szCs w:val="1"/>
                <w:color w:val="auto"/>
              </w:rPr>
            </w:pPr>
          </w:p>
        </w:tc>
      </w:tr>
      <w:tr>
        <w:trPr>
          <w:trHeight w:val="81"/>
        </w:trPr>
        <w:tc>
          <w:tcPr>
            <w:tcW w:w="48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7"/>
                <w:szCs w:val="7"/>
                <w:color w:val="auto"/>
              </w:rPr>
            </w:pPr>
          </w:p>
        </w:tc>
        <w:tc>
          <w:tcPr>
            <w:tcW w:w="50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1000" w:type="dxa"/>
            <w:vAlign w:val="bottom"/>
            <w:gridSpan w:val="2"/>
            <w:vMerge w:val="continue"/>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vMerge w:val="continue"/>
          </w:tcPr>
          <w:p>
            <w:pPr>
              <w:spacing w:after="0"/>
              <w:rPr>
                <w:sz w:val="7"/>
                <w:szCs w:val="7"/>
                <w:color w:val="auto"/>
              </w:rPr>
            </w:pPr>
          </w:p>
        </w:tc>
        <w:tc>
          <w:tcPr>
            <w:tcW w:w="40" w:type="dxa"/>
            <w:vAlign w:val="bottom"/>
          </w:tcPr>
          <w:p>
            <w:pPr>
              <w:spacing w:after="0"/>
              <w:rPr>
                <w:sz w:val="7"/>
                <w:szCs w:val="7"/>
                <w:color w:val="auto"/>
              </w:rPr>
            </w:pPr>
          </w:p>
        </w:tc>
        <w:tc>
          <w:tcPr>
            <w:tcW w:w="880" w:type="dxa"/>
            <w:vAlign w:val="bottom"/>
            <w:vMerge w:val="restart"/>
          </w:tcPr>
          <w:p>
            <w:pPr>
              <w:jc w:val="right"/>
              <w:spacing w:after="0"/>
              <w:rPr>
                <w:sz w:val="20"/>
                <w:szCs w:val="20"/>
                <w:color w:val="auto"/>
              </w:rPr>
            </w:pPr>
            <w:r>
              <w:rPr>
                <w:rFonts w:ascii="Arial" w:cs="Arial" w:eastAsia="Arial" w:hAnsi="Arial"/>
                <w:sz w:val="14"/>
                <w:szCs w:val="14"/>
                <w:color w:val="auto"/>
              </w:rPr>
              <w:t>15,054</w:t>
            </w:r>
          </w:p>
        </w:tc>
        <w:tc>
          <w:tcPr>
            <w:tcW w:w="40" w:type="dxa"/>
            <w:vAlign w:val="bottom"/>
          </w:tcPr>
          <w:p>
            <w:pPr>
              <w:spacing w:after="0"/>
              <w:rPr>
                <w:sz w:val="7"/>
                <w:szCs w:val="7"/>
                <w:color w:val="auto"/>
              </w:rPr>
            </w:pPr>
          </w:p>
        </w:tc>
        <w:tc>
          <w:tcPr>
            <w:tcW w:w="92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7"/>
                <w:szCs w:val="7"/>
                <w:color w:val="auto"/>
              </w:rPr>
            </w:pPr>
          </w:p>
        </w:tc>
        <w:tc>
          <w:tcPr>
            <w:tcW w:w="880" w:type="dxa"/>
            <w:vAlign w:val="bottom"/>
            <w:vMerge w:val="restart"/>
          </w:tcPr>
          <w:p>
            <w:pPr>
              <w:jc w:val="right"/>
              <w:spacing w:after="0"/>
              <w:rPr>
                <w:sz w:val="20"/>
                <w:szCs w:val="20"/>
                <w:color w:val="auto"/>
              </w:rPr>
            </w:pPr>
            <w:r>
              <w:rPr>
                <w:rFonts w:ascii="Arial" w:cs="Arial" w:eastAsia="Arial" w:hAnsi="Arial"/>
                <w:sz w:val="14"/>
                <w:szCs w:val="14"/>
                <w:color w:val="auto"/>
              </w:rPr>
              <w:t>15,054</w:t>
            </w:r>
          </w:p>
        </w:tc>
        <w:tc>
          <w:tcPr>
            <w:tcW w:w="0" w:type="dxa"/>
            <w:vAlign w:val="bottom"/>
          </w:tcPr>
          <w:p>
            <w:pPr>
              <w:spacing w:after="0"/>
              <w:rPr>
                <w:sz w:val="1"/>
                <w:szCs w:val="1"/>
                <w:color w:val="auto"/>
              </w:rPr>
            </w:pPr>
          </w:p>
        </w:tc>
      </w:tr>
      <w:tr>
        <w:trPr>
          <w:trHeight w:val="203"/>
        </w:trPr>
        <w:tc>
          <w:tcPr>
            <w:tcW w:w="480" w:type="dxa"/>
            <w:vAlign w:val="bottom"/>
            <w:vMerge w:val="continue"/>
          </w:tcPr>
          <w:p>
            <w:pPr>
              <w:spacing w:after="0"/>
              <w:rPr>
                <w:sz w:val="17"/>
                <w:szCs w:val="17"/>
                <w:color w:val="auto"/>
              </w:rPr>
            </w:pPr>
          </w:p>
        </w:tc>
        <w:tc>
          <w:tcPr>
            <w:tcW w:w="60" w:type="dxa"/>
            <w:vAlign w:val="bottom"/>
          </w:tcPr>
          <w:p>
            <w:pPr>
              <w:spacing w:after="0"/>
              <w:rPr>
                <w:sz w:val="17"/>
                <w:szCs w:val="17"/>
                <w:color w:val="auto"/>
              </w:rPr>
            </w:pPr>
          </w:p>
        </w:tc>
        <w:tc>
          <w:tcPr>
            <w:tcW w:w="500" w:type="dxa"/>
            <w:vAlign w:val="bottom"/>
            <w:vMerge w:val="continue"/>
          </w:tcPr>
          <w:p>
            <w:pPr>
              <w:spacing w:after="0"/>
              <w:rPr>
                <w:sz w:val="17"/>
                <w:szCs w:val="17"/>
                <w:color w:val="auto"/>
              </w:rPr>
            </w:pPr>
          </w:p>
        </w:tc>
        <w:tc>
          <w:tcPr>
            <w:tcW w:w="4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15,054</w:t>
            </w:r>
          </w:p>
        </w:tc>
        <w:tc>
          <w:tcPr>
            <w:tcW w:w="100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7"/>
                <w:szCs w:val="17"/>
                <w:color w:val="auto"/>
              </w:rPr>
            </w:pPr>
          </w:p>
        </w:tc>
        <w:tc>
          <w:tcPr>
            <w:tcW w:w="880" w:type="dxa"/>
            <w:vAlign w:val="bottom"/>
            <w:vMerge w:val="continue"/>
          </w:tcPr>
          <w:p>
            <w:pPr>
              <w:spacing w:after="0"/>
              <w:rPr>
                <w:sz w:val="17"/>
                <w:szCs w:val="17"/>
                <w:color w:val="auto"/>
              </w:rPr>
            </w:pPr>
          </w:p>
        </w:tc>
        <w:tc>
          <w:tcPr>
            <w:tcW w:w="40" w:type="dxa"/>
            <w:vAlign w:val="bottom"/>
          </w:tcPr>
          <w:p>
            <w:pPr>
              <w:spacing w:after="0"/>
              <w:rPr>
                <w:sz w:val="17"/>
                <w:szCs w:val="17"/>
                <w:color w:val="auto"/>
              </w:rPr>
            </w:pPr>
          </w:p>
        </w:tc>
        <w:tc>
          <w:tcPr>
            <w:tcW w:w="920" w:type="dxa"/>
            <w:vAlign w:val="bottom"/>
            <w:vMerge w:val="continue"/>
          </w:tcPr>
          <w:p>
            <w:pPr>
              <w:spacing w:after="0"/>
              <w:rPr>
                <w:sz w:val="17"/>
                <w:szCs w:val="17"/>
                <w:color w:val="auto"/>
              </w:rPr>
            </w:pPr>
          </w:p>
        </w:tc>
        <w:tc>
          <w:tcPr>
            <w:tcW w:w="40" w:type="dxa"/>
            <w:vAlign w:val="bottom"/>
          </w:tcPr>
          <w:p>
            <w:pPr>
              <w:spacing w:after="0"/>
              <w:rPr>
                <w:sz w:val="17"/>
                <w:szCs w:val="17"/>
                <w:color w:val="auto"/>
              </w:rPr>
            </w:pPr>
          </w:p>
        </w:tc>
        <w:tc>
          <w:tcPr>
            <w:tcW w:w="88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594"/>
        </w:trPr>
        <w:tc>
          <w:tcPr>
            <w:tcW w:w="480" w:type="dxa"/>
            <w:vAlign w:val="bottom"/>
          </w:tcPr>
          <w:p>
            <w:pPr>
              <w:jc w:val="right"/>
              <w:spacing w:after="0"/>
              <w:rPr>
                <w:sz w:val="20"/>
                <w:szCs w:val="20"/>
                <w:color w:val="auto"/>
              </w:rPr>
            </w:pPr>
            <w:r>
              <w:rPr>
                <w:rFonts w:ascii="Arial" w:cs="Arial" w:eastAsia="Arial" w:hAnsi="Arial"/>
                <w:sz w:val="14"/>
                <w:szCs w:val="14"/>
                <w:color w:val="auto"/>
              </w:rPr>
              <w:t>385</w:t>
            </w:r>
          </w:p>
        </w:tc>
        <w:tc>
          <w:tcPr>
            <w:tcW w:w="60" w:type="dxa"/>
            <w:vAlign w:val="bottom"/>
          </w:tcPr>
          <w:p>
            <w:pPr>
              <w:spacing w:after="0"/>
              <w:rPr>
                <w:sz w:val="24"/>
                <w:szCs w:val="24"/>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24"/>
                <w:szCs w:val="2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(903)</w:t>
            </w:r>
          </w:p>
        </w:tc>
        <w:tc>
          <w:tcPr>
            <w:tcW w:w="100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24"/>
                <w:szCs w:val="24"/>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24"/>
                <w:szCs w:val="24"/>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(903)</w:t>
            </w:r>
          </w:p>
        </w:tc>
        <w:tc>
          <w:tcPr>
            <w:tcW w:w="40" w:type="dxa"/>
            <w:vAlign w:val="bottom"/>
          </w:tcPr>
          <w:p>
            <w:pPr>
              <w:spacing w:after="0"/>
              <w:rPr>
                <w:sz w:val="24"/>
                <w:szCs w:val="24"/>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24"/>
                <w:szCs w:val="24"/>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(903)</w:t>
            </w:r>
          </w:p>
        </w:tc>
        <w:tc>
          <w:tcPr>
            <w:tcW w:w="0" w:type="dxa"/>
            <w:vAlign w:val="bottom"/>
          </w:tcPr>
          <w:p>
            <w:pPr>
              <w:spacing w:after="0"/>
              <w:rPr>
                <w:sz w:val="1"/>
                <w:szCs w:val="1"/>
                <w:color w:val="auto"/>
              </w:rPr>
            </w:pPr>
          </w:p>
        </w:tc>
      </w:tr>
      <w:tr>
        <w:trPr>
          <w:trHeight w:val="216"/>
        </w:trPr>
        <w:tc>
          <w:tcPr>
            <w:tcW w:w="480" w:type="dxa"/>
            <w:vAlign w:val="bottom"/>
          </w:tcPr>
          <w:p>
            <w:pPr>
              <w:jc w:val="right"/>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w:t>
            </w:r>
          </w:p>
        </w:tc>
        <w:tc>
          <w:tcPr>
            <w:tcW w:w="1000" w:type="dxa"/>
            <w:vAlign w:val="bottom"/>
            <w:gridSpan w:val="2"/>
            <w:vMerge w:val="restart"/>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(36,545)</w:t>
            </w:r>
          </w:p>
        </w:tc>
        <w:tc>
          <w:tcPr>
            <w:tcW w:w="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(36,545)</w:t>
            </w:r>
          </w:p>
        </w:tc>
        <w:tc>
          <w:tcPr>
            <w:tcW w:w="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(36,545)</w:t>
            </w:r>
          </w:p>
        </w:tc>
        <w:tc>
          <w:tcPr>
            <w:tcW w:w="0" w:type="dxa"/>
            <w:vAlign w:val="bottom"/>
          </w:tcPr>
          <w:p>
            <w:pPr>
              <w:spacing w:after="0"/>
              <w:rPr>
                <w:sz w:val="1"/>
                <w:szCs w:val="1"/>
                <w:color w:val="auto"/>
              </w:rPr>
            </w:pPr>
          </w:p>
        </w:tc>
      </w:tr>
      <w:tr>
        <w:trPr>
          <w:trHeight w:val="81"/>
        </w:trPr>
        <w:tc>
          <w:tcPr>
            <w:tcW w:w="480" w:type="dxa"/>
            <w:vAlign w:val="bottom"/>
          </w:tcPr>
          <w:p>
            <w:pPr>
              <w:spacing w:after="0"/>
              <w:rPr>
                <w:sz w:val="7"/>
                <w:szCs w:val="7"/>
                <w:color w:val="auto"/>
              </w:rPr>
            </w:pPr>
          </w:p>
        </w:tc>
        <w:tc>
          <w:tcPr>
            <w:tcW w:w="60" w:type="dxa"/>
            <w:vAlign w:val="bottom"/>
          </w:tcPr>
          <w:p>
            <w:pPr>
              <w:spacing w:after="0"/>
              <w:rPr>
                <w:sz w:val="7"/>
                <w:szCs w:val="7"/>
                <w:color w:val="auto"/>
              </w:rPr>
            </w:pPr>
          </w:p>
        </w:tc>
        <w:tc>
          <w:tcPr>
            <w:tcW w:w="500" w:type="dxa"/>
            <w:vAlign w:val="bottom"/>
          </w:tcPr>
          <w:p>
            <w:pPr>
              <w:spacing w:after="0"/>
              <w:rPr>
                <w:sz w:val="7"/>
                <w:szCs w:val="7"/>
                <w:color w:val="auto"/>
              </w:rPr>
            </w:pPr>
          </w:p>
        </w:tc>
        <w:tc>
          <w:tcPr>
            <w:tcW w:w="40" w:type="dxa"/>
            <w:vAlign w:val="bottom"/>
          </w:tcPr>
          <w:p>
            <w:pPr>
              <w:spacing w:after="0"/>
              <w:rPr>
                <w:sz w:val="7"/>
                <w:szCs w:val="7"/>
                <w:color w:val="auto"/>
              </w:rPr>
            </w:pPr>
          </w:p>
        </w:tc>
        <w:tc>
          <w:tcPr>
            <w:tcW w:w="660" w:type="dxa"/>
            <w:vAlign w:val="bottom"/>
          </w:tcPr>
          <w:p>
            <w:pPr>
              <w:spacing w:after="0"/>
              <w:rPr>
                <w:sz w:val="7"/>
                <w:szCs w:val="7"/>
                <w:color w:val="auto"/>
              </w:rPr>
            </w:pPr>
          </w:p>
        </w:tc>
        <w:tc>
          <w:tcPr>
            <w:tcW w:w="1000" w:type="dxa"/>
            <w:vAlign w:val="bottom"/>
            <w:gridSpan w:val="2"/>
            <w:vMerge w:val="continue"/>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tcPr>
          <w:p>
            <w:pPr>
              <w:spacing w:after="0"/>
              <w:rPr>
                <w:sz w:val="7"/>
                <w:szCs w:val="7"/>
                <w:color w:val="auto"/>
              </w:rPr>
            </w:pPr>
          </w:p>
        </w:tc>
        <w:tc>
          <w:tcPr>
            <w:tcW w:w="40" w:type="dxa"/>
            <w:vAlign w:val="bottom"/>
          </w:tcPr>
          <w:p>
            <w:pPr>
              <w:spacing w:after="0"/>
              <w:rPr>
                <w:sz w:val="7"/>
                <w:szCs w:val="7"/>
                <w:color w:val="auto"/>
              </w:rPr>
            </w:pPr>
          </w:p>
        </w:tc>
        <w:tc>
          <w:tcPr>
            <w:tcW w:w="880" w:type="dxa"/>
            <w:vAlign w:val="bottom"/>
          </w:tcPr>
          <w:p>
            <w:pPr>
              <w:spacing w:after="0"/>
              <w:rPr>
                <w:sz w:val="7"/>
                <w:szCs w:val="7"/>
                <w:color w:val="auto"/>
              </w:rPr>
            </w:pPr>
          </w:p>
        </w:tc>
        <w:tc>
          <w:tcPr>
            <w:tcW w:w="40" w:type="dxa"/>
            <w:vAlign w:val="bottom"/>
          </w:tcPr>
          <w:p>
            <w:pPr>
              <w:spacing w:after="0"/>
              <w:rPr>
                <w:sz w:val="7"/>
                <w:szCs w:val="7"/>
                <w:color w:val="auto"/>
              </w:rPr>
            </w:pPr>
          </w:p>
        </w:tc>
        <w:tc>
          <w:tcPr>
            <w:tcW w:w="920" w:type="dxa"/>
            <w:vAlign w:val="bottom"/>
          </w:tcPr>
          <w:p>
            <w:pPr>
              <w:spacing w:after="0"/>
              <w:rPr>
                <w:sz w:val="7"/>
                <w:szCs w:val="7"/>
                <w:color w:val="auto"/>
              </w:rPr>
            </w:pPr>
          </w:p>
        </w:tc>
        <w:tc>
          <w:tcPr>
            <w:tcW w:w="40" w:type="dxa"/>
            <w:vAlign w:val="bottom"/>
          </w:tcPr>
          <w:p>
            <w:pPr>
              <w:spacing w:after="0"/>
              <w:rPr>
                <w:sz w:val="7"/>
                <w:szCs w:val="7"/>
                <w:color w:val="auto"/>
              </w:rPr>
            </w:pPr>
          </w:p>
        </w:tc>
        <w:tc>
          <w:tcPr>
            <w:tcW w:w="8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16"/>
        </w:trPr>
        <w:tc>
          <w:tcPr>
            <w:tcW w:w="480" w:type="dxa"/>
            <w:vAlign w:val="bottom"/>
          </w:tcPr>
          <w:p>
            <w:pPr>
              <w:jc w:val="right"/>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w:t>
            </w:r>
          </w:p>
        </w:tc>
        <w:tc>
          <w:tcPr>
            <w:tcW w:w="100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(4,800)</w:t>
            </w:r>
          </w:p>
        </w:tc>
        <w:tc>
          <w:tcPr>
            <w:tcW w:w="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(4,800)</w:t>
            </w:r>
          </w:p>
        </w:tc>
        <w:tc>
          <w:tcPr>
            <w:tcW w:w="0" w:type="dxa"/>
            <w:vAlign w:val="bottom"/>
          </w:tcPr>
          <w:p>
            <w:pPr>
              <w:spacing w:after="0"/>
              <w:rPr>
                <w:sz w:val="1"/>
                <w:szCs w:val="1"/>
                <w:color w:val="auto"/>
              </w:rPr>
            </w:pPr>
          </w:p>
        </w:tc>
      </w:tr>
      <w:tr>
        <w:trPr>
          <w:trHeight w:val="66"/>
        </w:trPr>
        <w:tc>
          <w:tcPr>
            <w:tcW w:w="480" w:type="dxa"/>
            <w:vAlign w:val="bottom"/>
            <w:tcBorders>
              <w:bottom w:val="single" w:sz="8" w:color="auto"/>
            </w:tcBorders>
          </w:tcPr>
          <w:p>
            <w:pPr>
              <w:spacing w:after="0"/>
              <w:rPr>
                <w:sz w:val="5"/>
                <w:szCs w:val="5"/>
                <w:color w:val="auto"/>
              </w:rPr>
            </w:pPr>
          </w:p>
        </w:tc>
        <w:tc>
          <w:tcPr>
            <w:tcW w:w="60" w:type="dxa"/>
            <w:vAlign w:val="bottom"/>
          </w:tcPr>
          <w:p>
            <w:pPr>
              <w:spacing w:after="0"/>
              <w:rPr>
                <w:sz w:val="5"/>
                <w:szCs w:val="5"/>
                <w:color w:val="auto"/>
              </w:rPr>
            </w:pPr>
          </w:p>
        </w:tc>
        <w:tc>
          <w:tcPr>
            <w:tcW w:w="500" w:type="dxa"/>
            <w:vAlign w:val="bottom"/>
            <w:tcBorders>
              <w:bottom w:val="single" w:sz="8" w:color="auto"/>
            </w:tcBorders>
          </w:tcPr>
          <w:p>
            <w:pPr>
              <w:spacing w:after="0"/>
              <w:rPr>
                <w:sz w:val="5"/>
                <w:szCs w:val="5"/>
                <w:color w:val="auto"/>
              </w:rPr>
            </w:pPr>
          </w:p>
        </w:tc>
        <w:tc>
          <w:tcPr>
            <w:tcW w:w="40" w:type="dxa"/>
            <w:vAlign w:val="bottom"/>
          </w:tcPr>
          <w:p>
            <w:pPr>
              <w:spacing w:after="0"/>
              <w:rPr>
                <w:sz w:val="5"/>
                <w:szCs w:val="5"/>
                <w:color w:val="auto"/>
              </w:rPr>
            </w:pPr>
          </w:p>
        </w:tc>
        <w:tc>
          <w:tcPr>
            <w:tcW w:w="660" w:type="dxa"/>
            <w:vAlign w:val="bottom"/>
            <w:tcBorders>
              <w:bottom w:val="single" w:sz="8" w:color="auto"/>
            </w:tcBorders>
          </w:tcPr>
          <w:p>
            <w:pPr>
              <w:spacing w:after="0"/>
              <w:rPr>
                <w:sz w:val="5"/>
                <w:szCs w:val="5"/>
                <w:color w:val="auto"/>
              </w:rPr>
            </w:pPr>
          </w:p>
        </w:tc>
        <w:tc>
          <w:tcPr>
            <w:tcW w:w="40" w:type="dxa"/>
            <w:vAlign w:val="bottom"/>
          </w:tcPr>
          <w:p>
            <w:pPr>
              <w:spacing w:after="0"/>
              <w:rPr>
                <w:sz w:val="5"/>
                <w:szCs w:val="5"/>
                <w:color w:val="auto"/>
              </w:rPr>
            </w:pPr>
          </w:p>
        </w:tc>
        <w:tc>
          <w:tcPr>
            <w:tcW w:w="960" w:type="dxa"/>
            <w:vAlign w:val="bottom"/>
            <w:tcBorders>
              <w:bottom w:val="single" w:sz="8" w:color="auto"/>
            </w:tcBorders>
          </w:tcPr>
          <w:p>
            <w:pPr>
              <w:spacing w:after="0"/>
              <w:rPr>
                <w:sz w:val="5"/>
                <w:szCs w:val="5"/>
                <w:color w:val="auto"/>
              </w:rPr>
            </w:pPr>
          </w:p>
        </w:tc>
        <w:tc>
          <w:tcPr>
            <w:tcW w:w="40" w:type="dxa"/>
            <w:vAlign w:val="bottom"/>
          </w:tcPr>
          <w:p>
            <w:pPr>
              <w:spacing w:after="0"/>
              <w:rPr>
                <w:sz w:val="5"/>
                <w:szCs w:val="5"/>
                <w:color w:val="auto"/>
              </w:rPr>
            </w:pPr>
          </w:p>
        </w:tc>
        <w:tc>
          <w:tcPr>
            <w:tcW w:w="580" w:type="dxa"/>
            <w:vAlign w:val="bottom"/>
            <w:tcBorders>
              <w:bottom w:val="single" w:sz="8" w:color="auto"/>
            </w:tcBorders>
          </w:tcPr>
          <w:p>
            <w:pPr>
              <w:spacing w:after="0"/>
              <w:rPr>
                <w:sz w:val="5"/>
                <w:szCs w:val="5"/>
                <w:color w:val="auto"/>
              </w:rPr>
            </w:pPr>
          </w:p>
        </w:tc>
        <w:tc>
          <w:tcPr>
            <w:tcW w:w="40" w:type="dxa"/>
            <w:vAlign w:val="bottom"/>
          </w:tcPr>
          <w:p>
            <w:pPr>
              <w:spacing w:after="0"/>
              <w:rPr>
                <w:sz w:val="5"/>
                <w:szCs w:val="5"/>
                <w:color w:val="auto"/>
              </w:rPr>
            </w:pPr>
          </w:p>
        </w:tc>
        <w:tc>
          <w:tcPr>
            <w:tcW w:w="880" w:type="dxa"/>
            <w:vAlign w:val="bottom"/>
            <w:tcBorders>
              <w:bottom w:val="single" w:sz="8" w:color="auto"/>
            </w:tcBorders>
          </w:tcPr>
          <w:p>
            <w:pPr>
              <w:spacing w:after="0"/>
              <w:rPr>
                <w:sz w:val="5"/>
                <w:szCs w:val="5"/>
                <w:color w:val="auto"/>
              </w:rPr>
            </w:pPr>
          </w:p>
        </w:tc>
        <w:tc>
          <w:tcPr>
            <w:tcW w:w="40" w:type="dxa"/>
            <w:vAlign w:val="bottom"/>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40" w:type="dxa"/>
            <w:vAlign w:val="bottom"/>
          </w:tcPr>
          <w:p>
            <w:pPr>
              <w:spacing w:after="0"/>
              <w:rPr>
                <w:sz w:val="5"/>
                <w:szCs w:val="5"/>
                <w:color w:val="auto"/>
              </w:rPr>
            </w:pPr>
          </w:p>
        </w:tc>
        <w:tc>
          <w:tcPr>
            <w:tcW w:w="88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1"/>
        </w:trPr>
        <w:tc>
          <w:tcPr>
            <w:tcW w:w="480" w:type="dxa"/>
            <w:vAlign w:val="bottom"/>
          </w:tcPr>
          <w:p>
            <w:pPr>
              <w:jc w:val="right"/>
              <w:spacing w:after="0"/>
              <w:rPr>
                <w:sz w:val="20"/>
                <w:szCs w:val="20"/>
                <w:color w:val="auto"/>
              </w:rPr>
            </w:pPr>
            <w:r>
              <w:rPr>
                <w:rFonts w:ascii="Arial" w:cs="Arial" w:eastAsia="Arial" w:hAnsi="Arial"/>
                <w:sz w:val="14"/>
                <w:szCs w:val="14"/>
                <w:color w:val="auto"/>
                <w:w w:val="93"/>
              </w:rPr>
              <w:t>74,479</w:t>
            </w:r>
          </w:p>
        </w:tc>
        <w:tc>
          <w:tcPr>
            <w:tcW w:w="6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rPr>
              <w:t>$ 74</w:t>
            </w:r>
          </w:p>
        </w:tc>
        <w:tc>
          <w:tcPr>
            <w:tcW w:w="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w w:val="96"/>
              </w:rPr>
              <w:t>$ 894,727</w:t>
            </w:r>
          </w:p>
        </w:tc>
        <w:tc>
          <w:tcPr>
            <w:tcW w:w="1000" w:type="dxa"/>
            <w:vAlign w:val="bottom"/>
            <w:gridSpan w:val="2"/>
          </w:tcPr>
          <w:p>
            <w:pPr>
              <w:jc w:val="right"/>
              <w:spacing w:after="0"/>
              <w:rPr>
                <w:sz w:val="20"/>
                <w:szCs w:val="20"/>
                <w:color w:val="auto"/>
              </w:rPr>
            </w:pPr>
            <w:r>
              <w:rPr>
                <w:rFonts w:ascii="Arial" w:cs="Arial" w:eastAsia="Arial" w:hAnsi="Arial"/>
                <w:sz w:val="14"/>
                <w:szCs w:val="14"/>
                <w:color w:val="auto"/>
              </w:rPr>
              <w:t>$ (81,691)</w:t>
            </w:r>
          </w:p>
        </w:tc>
        <w:tc>
          <w:tcPr>
            <w:tcW w:w="4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$ 1,618</w:t>
            </w:r>
          </w:p>
        </w:tc>
        <w:tc>
          <w:tcPr>
            <w:tcW w:w="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$ 814,728</w:t>
            </w:r>
          </w:p>
        </w:tc>
        <w:tc>
          <w:tcPr>
            <w:tcW w:w="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$ 32,664</w:t>
            </w:r>
          </w:p>
        </w:tc>
        <w:tc>
          <w:tcPr>
            <w:tcW w:w="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$ 847,392</w:t>
            </w:r>
          </w:p>
        </w:tc>
        <w:tc>
          <w:tcPr>
            <w:tcW w:w="0" w:type="dxa"/>
            <w:vAlign w:val="bottom"/>
          </w:tcPr>
          <w:p>
            <w:pPr>
              <w:spacing w:after="0"/>
              <w:rPr>
                <w:sz w:val="1"/>
                <w:szCs w:val="1"/>
                <w:color w:val="auto"/>
              </w:rPr>
            </w:pPr>
          </w:p>
        </w:tc>
      </w:tr>
      <w:tr>
        <w:trPr>
          <w:trHeight w:val="60"/>
        </w:trPr>
        <w:tc>
          <w:tcPr>
            <w:tcW w:w="480" w:type="dxa"/>
            <w:vAlign w:val="bottom"/>
            <w:tcBorders>
              <w:bottom w:val="single" w:sz="8" w:color="auto"/>
            </w:tcBorders>
          </w:tcPr>
          <w:p>
            <w:pPr>
              <w:spacing w:after="0"/>
              <w:rPr>
                <w:sz w:val="5"/>
                <w:szCs w:val="5"/>
                <w:color w:val="auto"/>
              </w:rPr>
            </w:pPr>
          </w:p>
        </w:tc>
        <w:tc>
          <w:tcPr>
            <w:tcW w:w="60" w:type="dxa"/>
            <w:vAlign w:val="bottom"/>
          </w:tcPr>
          <w:p>
            <w:pPr>
              <w:spacing w:after="0"/>
              <w:rPr>
                <w:sz w:val="5"/>
                <w:szCs w:val="5"/>
                <w:color w:val="auto"/>
              </w:rPr>
            </w:pPr>
          </w:p>
        </w:tc>
        <w:tc>
          <w:tcPr>
            <w:tcW w:w="500" w:type="dxa"/>
            <w:vAlign w:val="bottom"/>
            <w:tcBorders>
              <w:bottom w:val="single" w:sz="8" w:color="auto"/>
            </w:tcBorders>
          </w:tcPr>
          <w:p>
            <w:pPr>
              <w:spacing w:after="0"/>
              <w:rPr>
                <w:sz w:val="5"/>
                <w:szCs w:val="5"/>
                <w:color w:val="auto"/>
              </w:rPr>
            </w:pPr>
          </w:p>
        </w:tc>
        <w:tc>
          <w:tcPr>
            <w:tcW w:w="40" w:type="dxa"/>
            <w:vAlign w:val="bottom"/>
          </w:tcPr>
          <w:p>
            <w:pPr>
              <w:spacing w:after="0"/>
              <w:rPr>
                <w:sz w:val="5"/>
                <w:szCs w:val="5"/>
                <w:color w:val="auto"/>
              </w:rPr>
            </w:pPr>
          </w:p>
        </w:tc>
        <w:tc>
          <w:tcPr>
            <w:tcW w:w="660" w:type="dxa"/>
            <w:vAlign w:val="bottom"/>
            <w:tcBorders>
              <w:bottom w:val="single" w:sz="8" w:color="auto"/>
            </w:tcBorders>
          </w:tcPr>
          <w:p>
            <w:pPr>
              <w:spacing w:after="0"/>
              <w:rPr>
                <w:sz w:val="5"/>
                <w:szCs w:val="5"/>
                <w:color w:val="auto"/>
              </w:rPr>
            </w:pPr>
          </w:p>
        </w:tc>
        <w:tc>
          <w:tcPr>
            <w:tcW w:w="40" w:type="dxa"/>
            <w:vAlign w:val="bottom"/>
          </w:tcPr>
          <w:p>
            <w:pPr>
              <w:spacing w:after="0"/>
              <w:rPr>
                <w:sz w:val="5"/>
                <w:szCs w:val="5"/>
                <w:color w:val="auto"/>
              </w:rPr>
            </w:pPr>
          </w:p>
        </w:tc>
        <w:tc>
          <w:tcPr>
            <w:tcW w:w="960" w:type="dxa"/>
            <w:vAlign w:val="bottom"/>
            <w:tcBorders>
              <w:bottom w:val="single" w:sz="8" w:color="auto"/>
            </w:tcBorders>
          </w:tcPr>
          <w:p>
            <w:pPr>
              <w:spacing w:after="0"/>
              <w:rPr>
                <w:sz w:val="5"/>
                <w:szCs w:val="5"/>
                <w:color w:val="auto"/>
              </w:rPr>
            </w:pPr>
          </w:p>
        </w:tc>
        <w:tc>
          <w:tcPr>
            <w:tcW w:w="40" w:type="dxa"/>
            <w:vAlign w:val="bottom"/>
          </w:tcPr>
          <w:p>
            <w:pPr>
              <w:spacing w:after="0"/>
              <w:rPr>
                <w:sz w:val="5"/>
                <w:szCs w:val="5"/>
                <w:color w:val="auto"/>
              </w:rPr>
            </w:pPr>
          </w:p>
        </w:tc>
        <w:tc>
          <w:tcPr>
            <w:tcW w:w="580" w:type="dxa"/>
            <w:vAlign w:val="bottom"/>
            <w:tcBorders>
              <w:bottom w:val="single" w:sz="8" w:color="auto"/>
            </w:tcBorders>
          </w:tcPr>
          <w:p>
            <w:pPr>
              <w:spacing w:after="0"/>
              <w:rPr>
                <w:sz w:val="5"/>
                <w:szCs w:val="5"/>
                <w:color w:val="auto"/>
              </w:rPr>
            </w:pPr>
          </w:p>
        </w:tc>
        <w:tc>
          <w:tcPr>
            <w:tcW w:w="40" w:type="dxa"/>
            <w:vAlign w:val="bottom"/>
          </w:tcPr>
          <w:p>
            <w:pPr>
              <w:spacing w:after="0"/>
              <w:rPr>
                <w:sz w:val="5"/>
                <w:szCs w:val="5"/>
                <w:color w:val="auto"/>
              </w:rPr>
            </w:pPr>
          </w:p>
        </w:tc>
        <w:tc>
          <w:tcPr>
            <w:tcW w:w="880" w:type="dxa"/>
            <w:vAlign w:val="bottom"/>
            <w:tcBorders>
              <w:bottom w:val="single" w:sz="8" w:color="auto"/>
            </w:tcBorders>
          </w:tcPr>
          <w:p>
            <w:pPr>
              <w:spacing w:after="0"/>
              <w:rPr>
                <w:sz w:val="5"/>
                <w:szCs w:val="5"/>
                <w:color w:val="auto"/>
              </w:rPr>
            </w:pPr>
          </w:p>
        </w:tc>
        <w:tc>
          <w:tcPr>
            <w:tcW w:w="40" w:type="dxa"/>
            <w:vAlign w:val="bottom"/>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40" w:type="dxa"/>
            <w:vAlign w:val="bottom"/>
          </w:tcPr>
          <w:p>
            <w:pPr>
              <w:spacing w:after="0"/>
              <w:rPr>
                <w:sz w:val="5"/>
                <w:szCs w:val="5"/>
                <w:color w:val="auto"/>
              </w:rPr>
            </w:pPr>
          </w:p>
        </w:tc>
        <w:tc>
          <w:tcPr>
            <w:tcW w:w="88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121" w:lineRule="exact"/>
        <w:rPr>
          <w:sz w:val="20"/>
          <w:szCs w:val="20"/>
          <w:color w:val="auto"/>
        </w:rPr>
      </w:pPr>
    </w:p>
    <w:p>
      <w:pPr>
        <w:sectPr>
          <w:pgSz w:w="11900" w:h="16838" w:orient="portrait"/>
          <w:cols w:equalWidth="0" w:num="2">
            <w:col w:w="2660" w:space="140"/>
            <w:col w:w="6219"/>
          </w:cols>
          <w:pgMar w:left="1440" w:top="125" w:right="1440" w:bottom="1440" w:gutter="0" w:footer="0" w:header="0"/>
          <w:type w:val="continuous"/>
        </w:sectPr>
      </w:pPr>
    </w:p>
    <w:p>
      <w:pPr>
        <w:jc w:val="center"/>
        <w:ind w:right="-20"/>
        <w:spacing w:after="0"/>
        <w:rPr>
          <w:sz w:val="20"/>
          <w:szCs w:val="20"/>
          <w:color w:val="auto"/>
        </w:rPr>
      </w:pPr>
      <w:r>
        <w:rPr>
          <w:rFonts w:ascii="Arial" w:cs="Arial" w:eastAsia="Arial" w:hAnsi="Arial"/>
          <w:sz w:val="16"/>
          <w:szCs w:val="16"/>
          <w:color w:val="auto"/>
        </w:rPr>
        <w:t>The accompanying notes are an integral part of these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F-8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15240</wp:posOffset>
            </wp:positionH>
            <wp:positionV relativeFrom="paragraph">
              <wp:posOffset>83185</wp:posOffset>
            </wp:positionV>
            <wp:extent cx="5702935" cy="2603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2">
                      <a:extLst>
                        <a:ext uri="{28A0092B-C50C-407E-A947-70E740481C1C}"/>
                      </a:extLst>
                    </a:blip>
                    <a:srcRect/>
                    <a:stretch>
                      <a:fillRect/>
                    </a:stretch>
                  </pic:blipFill>
                  <pic:spPr bwMode="auto">
                    <a:xfrm>
                      <a:off x="0" y="0"/>
                      <a:ext cx="5702935"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type w:val="continuous"/>
        </w:sectPr>
      </w:pPr>
    </w:p>
    <w:bookmarkStart w:id="94" w:name="page95"/>
    <w:bookmarkEnd w:id="94"/>
    <w:p>
      <w:pPr>
        <w:ind w:left="38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ACUSHNET HOLDINGS CORP.</w:t>
      </w:r>
    </w:p>
    <w:p>
      <w:pPr>
        <w:spacing w:after="0" w:line="225" w:lineRule="exact"/>
        <w:rPr>
          <w:sz w:val="20"/>
          <w:szCs w:val="20"/>
          <w:color w:val="auto"/>
        </w:rPr>
      </w:pPr>
    </w:p>
    <w:p>
      <w:pPr>
        <w:ind w:left="216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25"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1. Description of Business</w:t>
      </w:r>
    </w:p>
    <w:p>
      <w:pPr>
        <w:spacing w:after="0" w:line="229" w:lineRule="exact"/>
        <w:rPr>
          <w:sz w:val="20"/>
          <w:szCs w:val="20"/>
          <w:color w:val="auto"/>
        </w:rPr>
      </w:pPr>
    </w:p>
    <w:p>
      <w:pPr>
        <w:ind w:left="1240" w:right="1219" w:firstLine="648"/>
        <w:spacing w:after="0" w:line="269" w:lineRule="auto"/>
        <w:rPr>
          <w:sz w:val="20"/>
          <w:szCs w:val="20"/>
          <w:color w:val="auto"/>
        </w:rPr>
      </w:pPr>
      <w:r>
        <w:rPr>
          <w:rFonts w:ascii="Arial" w:cs="Arial" w:eastAsia="Arial" w:hAnsi="Arial"/>
          <w:sz w:val="17"/>
          <w:szCs w:val="17"/>
          <w:color w:val="auto"/>
        </w:rPr>
        <w:t>Acushnet Holdings Corp. (the “Company”), headquartered in Fairhaven, Massachusetts, is the global leader in the design, development, manufacture and distribution of performance-driven golf products. The Company has established positions across all major golf equipment and golf wear categories under its globally recognized brands of Titleist, FootJoy, Scotty Cameron and Vokey Design. Acushnet products are sold primarily to on-course golf pro shops and selected off-course golf specialty stores, sporting goods stores and other qualified retailers. The Company sells products primarily in the United States, Europe (primarily the United Kingdom, Germany, France and Sweden), Asia (primarily Japan, Korea, China and Singapore), Canada and Australia. Acushnet manufactures and sources its products principally in the United States, China, Thailand, the United Kingdom and Japan.</w:t>
      </w:r>
    </w:p>
    <w:p>
      <w:pPr>
        <w:spacing w:after="0" w:line="179" w:lineRule="exact"/>
        <w:rPr>
          <w:sz w:val="20"/>
          <w:szCs w:val="20"/>
          <w:color w:val="auto"/>
        </w:rPr>
      </w:pPr>
    </w:p>
    <w:p>
      <w:pPr>
        <w:ind w:left="1240" w:right="4219" w:hanging="7"/>
        <w:spacing w:after="0" w:line="503" w:lineRule="auto"/>
        <w:tabs>
          <w:tab w:leader="none" w:pos="1420" w:val="left"/>
        </w:tabs>
        <w:numPr>
          <w:ilvl w:val="0"/>
          <w:numId w:val="32"/>
        </w:numPr>
        <w:rPr>
          <w:rFonts w:ascii="Arial" w:cs="Arial" w:eastAsia="Arial" w:hAnsi="Arial"/>
          <w:sz w:val="18"/>
          <w:szCs w:val="18"/>
          <w:b w:val="1"/>
          <w:bCs w:val="1"/>
          <w:color w:val="auto"/>
        </w:rPr>
      </w:pPr>
      <w:r>
        <w:rPr>
          <w:rFonts w:ascii="Arial" w:cs="Arial" w:eastAsia="Arial" w:hAnsi="Arial"/>
          <w:sz w:val="18"/>
          <w:szCs w:val="18"/>
          <w:b w:val="1"/>
          <w:bCs w:val="1"/>
          <w:color w:val="auto"/>
        </w:rPr>
        <w:t>Summary of Significant Accounting Policies Basis of Presentation</w:t>
      </w:r>
    </w:p>
    <w:p>
      <w:pPr>
        <w:spacing w:after="0" w:line="1" w:lineRule="exact"/>
        <w:rPr>
          <w:sz w:val="20"/>
          <w:szCs w:val="20"/>
          <w:color w:val="auto"/>
        </w:rPr>
      </w:pPr>
    </w:p>
    <w:p>
      <w:pPr>
        <w:ind w:left="1240" w:right="1699" w:firstLine="648"/>
        <w:spacing w:after="0" w:line="291" w:lineRule="auto"/>
        <w:rPr>
          <w:sz w:val="20"/>
          <w:szCs w:val="20"/>
          <w:color w:val="auto"/>
        </w:rPr>
      </w:pPr>
      <w:r>
        <w:rPr>
          <w:rFonts w:ascii="Arial" w:cs="Arial" w:eastAsia="Arial" w:hAnsi="Arial"/>
          <w:sz w:val="16"/>
          <w:szCs w:val="16"/>
          <w:color w:val="auto"/>
        </w:rPr>
        <w:t>The accompanying consolidated financial statements have been prepared in conformity with accounting principles generally accepted in the United States</w:t>
      </w:r>
    </w:p>
    <w:p>
      <w:pPr>
        <w:ind w:left="1240" w:right="1239"/>
        <w:spacing w:after="0" w:line="295" w:lineRule="auto"/>
        <w:rPr>
          <w:sz w:val="20"/>
          <w:szCs w:val="20"/>
          <w:color w:val="auto"/>
        </w:rPr>
      </w:pPr>
      <w:r>
        <w:rPr>
          <w:rFonts w:ascii="Arial" w:cs="Arial" w:eastAsia="Arial" w:hAnsi="Arial"/>
          <w:sz w:val="16"/>
          <w:szCs w:val="16"/>
          <w:color w:val="auto"/>
        </w:rPr>
        <w:t>(“U.S. GAAP”) and include the accounts of the Company, its wholly- owned subsidiaries and a variable interest entity (“VIE”) in which the Company is the primary beneficiary. All intercompany balances and transactions have been eliminated in consolidation. Certain prior period amounts have been reclassified to conform to current year presentation.</w:t>
      </w:r>
    </w:p>
    <w:p>
      <w:pPr>
        <w:spacing w:after="0" w:line="158"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Use of Estimates</w:t>
      </w:r>
    </w:p>
    <w:p>
      <w:pPr>
        <w:spacing w:after="0" w:line="229" w:lineRule="exact"/>
        <w:rPr>
          <w:sz w:val="20"/>
          <w:szCs w:val="20"/>
          <w:color w:val="auto"/>
        </w:rPr>
      </w:pPr>
    </w:p>
    <w:p>
      <w:pPr>
        <w:ind w:left="1240" w:right="1359" w:firstLine="648"/>
        <w:spacing w:after="0" w:line="276" w:lineRule="auto"/>
        <w:rPr>
          <w:sz w:val="20"/>
          <w:szCs w:val="20"/>
          <w:color w:val="auto"/>
        </w:rPr>
      </w:pPr>
      <w:r>
        <w:rPr>
          <w:rFonts w:ascii="Arial" w:cs="Arial" w:eastAsia="Arial" w:hAnsi="Arial"/>
          <w:sz w:val="17"/>
          <w:szCs w:val="17"/>
          <w:color w:val="auto"/>
        </w:rPr>
        <w:t>The preparation of the Company’s consolidated financial statements in accordance with U.S. GAAP requires management to make estimates and judgments that affect reported amounts of assets, liabilities, stockholders’ equity, net sales and expenses, and the disclosure of contingent assets and liabilities in its consolidated financial statements. Actual results could differ from those estimates.</w:t>
      </w:r>
    </w:p>
    <w:p>
      <w:pPr>
        <w:spacing w:after="0" w:line="169"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Acquisition</w:t>
      </w:r>
    </w:p>
    <w:p>
      <w:pPr>
        <w:spacing w:after="0" w:line="229" w:lineRule="exact"/>
        <w:rPr>
          <w:sz w:val="20"/>
          <w:szCs w:val="20"/>
          <w:color w:val="auto"/>
        </w:rPr>
      </w:pPr>
    </w:p>
    <w:p>
      <w:pPr>
        <w:ind w:left="1240" w:right="1339" w:firstLine="648"/>
        <w:spacing w:after="0" w:line="254" w:lineRule="auto"/>
        <w:rPr>
          <w:sz w:val="20"/>
          <w:szCs w:val="20"/>
          <w:color w:val="auto"/>
        </w:rPr>
      </w:pPr>
      <w:r>
        <w:rPr>
          <w:rFonts w:ascii="Arial" w:cs="Arial" w:eastAsia="Arial" w:hAnsi="Arial"/>
          <w:sz w:val="18"/>
          <w:szCs w:val="18"/>
          <w:color w:val="auto"/>
        </w:rPr>
        <w:t>Acushnet Holdings Corp. was incorporated in Delaware on May 9, 2011 as Alexandria Holdings Corp., an entity owned by Fila Korea Co., Ltd. (“Fila Korea”), a leading sport and leisure apparel and footwear company which is a public company listed on the Korea Exchange, and a consortium of investors (the “Financial Investors”) led by Mirae Asset Global Investments, a global investment management firm. Acushnet Holdings Corp. acquired Acushnet Company, our operating subsidiary, from Beam Suntory, Inc. (at the time known as Fortune Brands, Inc.) (“Beam”) on July 29, 2011 (the “Acquisition”).</w:t>
      </w:r>
    </w:p>
    <w:p>
      <w:pPr>
        <w:spacing w:after="0" w:line="188"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Initial Public Offering</w:t>
      </w:r>
    </w:p>
    <w:p>
      <w:pPr>
        <w:spacing w:after="0" w:line="229" w:lineRule="exact"/>
        <w:rPr>
          <w:sz w:val="20"/>
          <w:szCs w:val="20"/>
          <w:color w:val="auto"/>
        </w:rPr>
      </w:pPr>
    </w:p>
    <w:p>
      <w:pPr>
        <w:ind w:left="1240" w:right="1259" w:firstLine="648"/>
        <w:spacing w:after="0" w:line="253" w:lineRule="auto"/>
        <w:rPr>
          <w:sz w:val="20"/>
          <w:szCs w:val="20"/>
          <w:color w:val="auto"/>
        </w:rPr>
      </w:pPr>
      <w:r>
        <w:rPr>
          <w:rFonts w:ascii="Arial" w:cs="Arial" w:eastAsia="Arial" w:hAnsi="Arial"/>
          <w:sz w:val="18"/>
          <w:szCs w:val="18"/>
          <w:color w:val="auto"/>
        </w:rPr>
        <w:t>On November 2, 2016, the Company completed an initial public offering of 19,333,333 shares of its common stock sold by selling stockholders at a public offering price of $17.00 per share. Upon the closing of the Company’s initial public offering, all remaining outstanding shares of the Company’s Series A redeemable convertible preferred stock (“Series A preferred stock”) were automatically converted into 11,556,495 shares of the Company’s common stock and the Company’s 7.5% convertible notes due 2021 (“convertible notes”) were automatically converted into 22,791,852 shares of the Company’s common stock. The underwriters of the Company’s initial public offering exercised their over-allotment option to purchase an additional 2,899,999 shares of common stock from the selling stockholders at the initial public offering price of $17.00 per share.</w:t>
      </w:r>
    </w:p>
    <w:p>
      <w:pPr>
        <w:spacing w:after="0" w:line="193" w:lineRule="exact"/>
        <w:rPr>
          <w:sz w:val="20"/>
          <w:szCs w:val="20"/>
          <w:color w:val="auto"/>
        </w:rPr>
      </w:pPr>
    </w:p>
    <w:p>
      <w:pPr>
        <w:ind w:left="1240" w:right="1279" w:firstLine="648"/>
        <w:spacing w:after="0" w:line="291" w:lineRule="auto"/>
        <w:rPr>
          <w:sz w:val="20"/>
          <w:szCs w:val="20"/>
          <w:color w:val="auto"/>
        </w:rPr>
      </w:pPr>
      <w:r>
        <w:rPr>
          <w:rFonts w:ascii="Arial" w:cs="Arial" w:eastAsia="Arial" w:hAnsi="Arial"/>
          <w:sz w:val="16"/>
          <w:szCs w:val="16"/>
          <w:color w:val="auto"/>
        </w:rPr>
        <w:t>Following the pricing of the initial public offering, Magnus Holdings Co., Ltd. (“Magnus”), a wholly-owned subsidiary of Fila Korea, purchased from the Financial Investors on a pro rata basis 14,818,720 shares of the Company’s common stock, resulting in Magnus holding a controlling ownership interest in the Company’s outstanding common stock. The 14,818,720 shares of the Company’s common stock sold by the Financial Investors were received upon the automatic conversion of certain of the Company’s outstanding convertible notes (Note 9) and Series A preferred stock</w:t>
      </w:r>
    </w:p>
    <w:p>
      <w:pPr>
        <w:spacing w:after="0" w:line="167"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F-9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786765</wp:posOffset>
            </wp:positionH>
            <wp:positionV relativeFrom="paragraph">
              <wp:posOffset>83185</wp:posOffset>
            </wp:positionV>
            <wp:extent cx="4159250" cy="2603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33">
                      <a:extLst>
                        <a:ext uri="{28A0092B-C50C-407E-A947-70E740481C1C}"/>
                      </a:extLst>
                    </a:blip>
                    <a:srcRect/>
                    <a:stretch>
                      <a:fillRect/>
                    </a:stretch>
                  </pic:blipFill>
                  <pic:spPr bwMode="auto">
                    <a:xfrm>
                      <a:off x="0" y="0"/>
                      <a:ext cx="4159250" cy="26035"/>
                    </a:xfrm>
                    <a:prstGeom prst="rect">
                      <a:avLst/>
                    </a:prstGeom>
                    <a:noFill/>
                  </pic:spPr>
                </pic:pic>
              </a:graphicData>
            </a:graphic>
          </wp:anchor>
        </w:drawing>
      </w:r>
    </w:p>
    <w:p>
      <w:pPr>
        <w:sectPr>
          <w:pgSz w:w="11900" w:h="16838" w:orient="portrait"/>
          <w:cols w:equalWidth="0" w:num="1">
            <w:col w:w="9019"/>
          </w:cols>
          <w:pgMar w:left="1440" w:top="125" w:right="1440" w:bottom="59" w:gutter="0" w:footer="0" w:header="0"/>
        </w:sectPr>
      </w:pPr>
    </w:p>
    <w:bookmarkStart w:id="95" w:name="page96"/>
    <w:bookmarkEnd w:id="95"/>
    <w:p>
      <w:pPr>
        <w:spacing w:after="0" w:line="20" w:lineRule="exact"/>
        <w:rPr>
          <w:sz w:val="20"/>
          <w:szCs w:val="20"/>
          <w:color w:val="auto"/>
        </w:rPr>
      </w:pPr>
    </w:p>
    <w:p>
      <w:pPr>
        <w:sectPr>
          <w:pgSz w:w="11900" w:h="16838" w:orient="portrait"/>
          <w:cols w:equalWidth="1" w:num="1" w:space="0"/>
          <w:pgMar w:left="1440" w:top="1440" w:right="1440" w:bottom="875" w:gutter="0" w:footer="0" w:header="0"/>
        </w:sectPr>
      </w:pPr>
    </w:p>
    <w:bookmarkStart w:id="96" w:name="page97"/>
    <w:bookmarkEnd w:id="96"/>
    <w:p>
      <w:pPr>
        <w:ind w:left="124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1240" w:right="1399"/>
        <w:spacing w:after="0" w:line="264" w:lineRule="auto"/>
        <w:rPr>
          <w:sz w:val="20"/>
          <w:szCs w:val="20"/>
          <w:color w:val="auto"/>
        </w:rPr>
      </w:pPr>
      <w:r>
        <w:rPr>
          <w:rFonts w:ascii="Arial" w:cs="Arial" w:eastAsia="Arial" w:hAnsi="Arial"/>
          <w:sz w:val="18"/>
          <w:szCs w:val="18"/>
          <w:color w:val="auto"/>
        </w:rPr>
        <w:t>(Note 15). The remaining outstanding convertible notes and Series A preferred stock automatically converted into shares of the Company’s common stock prior to the closing of the initial public offering.</w:t>
      </w:r>
    </w:p>
    <w:p>
      <w:pPr>
        <w:spacing w:after="0" w:line="181" w:lineRule="exact"/>
        <w:rPr>
          <w:sz w:val="20"/>
          <w:szCs w:val="20"/>
          <w:color w:val="auto"/>
        </w:rPr>
      </w:pPr>
    </w:p>
    <w:p>
      <w:pPr>
        <w:ind w:left="1240" w:right="1339" w:firstLine="648"/>
        <w:spacing w:after="0" w:line="270" w:lineRule="auto"/>
        <w:rPr>
          <w:sz w:val="20"/>
          <w:szCs w:val="20"/>
          <w:color w:val="auto"/>
        </w:rPr>
      </w:pPr>
      <w:r>
        <w:rPr>
          <w:rFonts w:ascii="Arial" w:cs="Arial" w:eastAsia="Arial" w:hAnsi="Arial"/>
          <w:sz w:val="17"/>
          <w:szCs w:val="17"/>
          <w:color w:val="auto"/>
        </w:rPr>
        <w:t>On October 14, 2016, the Company effected a nine-for-one stock split of its issued and outstanding shares of common stock and a proportional adjustment to the existing conversion ratios for its convertible notes, Series A preferred stock, and the exercise price for the common stock warrants and the strike price of stock-based compensation. Accordingly, all share and per share amounts for all periods presented in the accompanying consolidated financial statements and notes thereto have been adjusted retroactively, where applicable, to reflect this stock split and adjustment of the common stock warrant exercise price, and convertible notes and redeemable convertible preferred stock conversion ratios.</w:t>
      </w:r>
    </w:p>
    <w:p>
      <w:pPr>
        <w:spacing w:after="0" w:line="178"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Variable Interest Entities</w:t>
      </w:r>
    </w:p>
    <w:p>
      <w:pPr>
        <w:spacing w:after="0" w:line="229" w:lineRule="exact"/>
        <w:rPr>
          <w:sz w:val="20"/>
          <w:szCs w:val="20"/>
          <w:color w:val="auto"/>
        </w:rPr>
      </w:pPr>
    </w:p>
    <w:p>
      <w:pPr>
        <w:ind w:left="1240" w:right="1239" w:firstLine="648"/>
        <w:spacing w:after="0" w:line="270" w:lineRule="auto"/>
        <w:rPr>
          <w:sz w:val="20"/>
          <w:szCs w:val="20"/>
          <w:color w:val="auto"/>
        </w:rPr>
      </w:pPr>
      <w:r>
        <w:rPr>
          <w:rFonts w:ascii="Arial" w:cs="Arial" w:eastAsia="Arial" w:hAnsi="Arial"/>
          <w:sz w:val="17"/>
          <w:szCs w:val="17"/>
          <w:color w:val="auto"/>
        </w:rPr>
        <w:t>VIEs are entities that, by design, either (i) lack sufficient equity to permit the entity to finance its activities independently, or (ii) have equity holders that do not have the power to direct the activities of the entity that most significantly impact its economic performance, the obligation to absorb the entity’s expected losses, or the right to receive the entity’s expected residual returns. The Company consolidates a VIE when it is the primary beneficiary, which is the party that has both (i) the power to direct the activities that most significantly impact the VIE’s economic performance and (ii) through its interests in the VIE, the obligation to absorb expected losses or the right to receive expected benefits from the VIE that could potentially be significant to the VIE.</w:t>
      </w:r>
    </w:p>
    <w:p>
      <w:pPr>
        <w:spacing w:after="0" w:line="182" w:lineRule="exact"/>
        <w:rPr>
          <w:sz w:val="20"/>
          <w:szCs w:val="20"/>
          <w:color w:val="auto"/>
        </w:rPr>
      </w:pPr>
    </w:p>
    <w:p>
      <w:pPr>
        <w:ind w:left="1240" w:right="1279" w:firstLine="648"/>
        <w:spacing w:after="0" w:line="287" w:lineRule="auto"/>
        <w:rPr>
          <w:sz w:val="20"/>
          <w:szCs w:val="20"/>
          <w:color w:val="auto"/>
        </w:rPr>
      </w:pPr>
      <w:r>
        <w:rPr>
          <w:rFonts w:ascii="Arial" w:cs="Arial" w:eastAsia="Arial" w:hAnsi="Arial"/>
          <w:sz w:val="16"/>
          <w:szCs w:val="16"/>
          <w:color w:val="auto"/>
        </w:rPr>
        <w:t>The Company consolidates the accounts of Acushnet Lionscore Limited, a VIE which is 40% owned by the Company. The sole purpose of the VIE is to manufacture the Company’s golf footwear and as such, the Company is deemed to be the primary beneficiary. The Company has presented separately on its consolidated balance sheets, to the extent material, the assets of its consolidated VIE that can only be used to settle specific obligations of its consolidated VIE and the liabilities of its consolidated VIE for which creditors do not have recourse to its general credit. The general creditors of the VIE do not have recourse to the Company. Certain directors of the noncontrolling entities have guaranteed the credit lines of the VIE, for which there were no outstanding borrowings as of December 31, 2017 and 2016. In addition, pursuant to the terms of the agreement governing the VIE, the Company is not required to provide financial support to the VIE.</w:t>
      </w:r>
    </w:p>
    <w:p>
      <w:pPr>
        <w:spacing w:after="0" w:line="169"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Cash and Restricted Cash</w:t>
      </w:r>
    </w:p>
    <w:p>
      <w:pPr>
        <w:spacing w:after="0" w:line="229" w:lineRule="exact"/>
        <w:rPr>
          <w:sz w:val="20"/>
          <w:szCs w:val="20"/>
          <w:color w:val="auto"/>
        </w:rPr>
      </w:pPr>
    </w:p>
    <w:p>
      <w:pPr>
        <w:ind w:left="1240" w:right="1239" w:firstLine="648"/>
        <w:spacing w:after="0" w:line="254" w:lineRule="auto"/>
        <w:rPr>
          <w:sz w:val="20"/>
          <w:szCs w:val="20"/>
          <w:color w:val="auto"/>
        </w:rPr>
      </w:pPr>
      <w:r>
        <w:rPr>
          <w:rFonts w:ascii="Arial" w:cs="Arial" w:eastAsia="Arial" w:hAnsi="Arial"/>
          <w:sz w:val="18"/>
          <w:szCs w:val="18"/>
          <w:color w:val="auto"/>
        </w:rPr>
        <w:t>Cash held in Company checking accounts is included in cash. Book overdrafts not subject to offset with other accounts with the same financial institution are classified as accounts payable. As of December 31, 2017 and 2016, book overdrafts in the amount of $2.9 million and $3.6 million, respectively, were recorded in accounts payable. The Company classifies as restricted certain cash that is not available for use in its operations. As of December 31, 2017 and 2016, the amount of restricted cash included in cash and restricted cash on the consolidated balance sheet was $2.3 million and $3.1 million, respectively.</w:t>
      </w:r>
    </w:p>
    <w:p>
      <w:pPr>
        <w:spacing w:after="0" w:line="188"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Accounts Receivable</w:t>
      </w:r>
    </w:p>
    <w:p>
      <w:pPr>
        <w:spacing w:after="0" w:line="229" w:lineRule="exact"/>
        <w:rPr>
          <w:sz w:val="20"/>
          <w:szCs w:val="20"/>
          <w:color w:val="auto"/>
        </w:rPr>
      </w:pPr>
    </w:p>
    <w:p>
      <w:pPr>
        <w:ind w:left="1240" w:right="1239" w:firstLine="683"/>
        <w:spacing w:after="0" w:line="293" w:lineRule="auto"/>
        <w:rPr>
          <w:sz w:val="20"/>
          <w:szCs w:val="20"/>
          <w:color w:val="auto"/>
        </w:rPr>
      </w:pPr>
      <w:r>
        <w:rPr>
          <w:rFonts w:ascii="Arial" w:cs="Arial" w:eastAsia="Arial" w:hAnsi="Arial"/>
          <w:sz w:val="16"/>
          <w:szCs w:val="16"/>
          <w:color w:val="auto"/>
        </w:rPr>
        <w:t>Accounts receivable are presented net of an allowance for doubtful accounts. The allowance for doubtful accounts is assessed each reporting period by the Company for estimated losses resulting from the inability or unwillingness of its customers to make required payments. The allowance is based on various factors, including credit risk assessments, length of time the receivables are past due, historical experience, customer specific information available to the Company and existing economic conditions.</w:t>
      </w:r>
    </w:p>
    <w:p>
      <w:pPr>
        <w:spacing w:after="0" w:line="161"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Allowance for Sales Returns</w:t>
      </w:r>
    </w:p>
    <w:p>
      <w:pPr>
        <w:spacing w:after="0" w:line="229" w:lineRule="exact"/>
        <w:rPr>
          <w:sz w:val="20"/>
          <w:szCs w:val="20"/>
          <w:color w:val="auto"/>
        </w:rPr>
      </w:pPr>
    </w:p>
    <w:p>
      <w:pPr>
        <w:ind w:left="1240" w:right="1339" w:firstLine="683"/>
        <w:spacing w:after="0" w:line="293" w:lineRule="auto"/>
        <w:rPr>
          <w:sz w:val="20"/>
          <w:szCs w:val="20"/>
          <w:color w:val="auto"/>
        </w:rPr>
      </w:pPr>
      <w:r>
        <w:rPr>
          <w:rFonts w:ascii="Arial" w:cs="Arial" w:eastAsia="Arial" w:hAnsi="Arial"/>
          <w:sz w:val="16"/>
          <w:szCs w:val="16"/>
          <w:color w:val="auto"/>
        </w:rPr>
        <w:t>A sales returns allowance is recorded for anticipated returns through a reduction of sales and cost of goods sold in the period that the related sales are recorded. Sales returns are estimated based upon historical rates of product returns, current economic trends and changes in customer demands as well as specific identification of outstanding returns. In accordance with this policy, the allowance for sales returns was $13.5 million and $9.8 million as of December 31, 2017 and 2016, respectively.</w:t>
      </w: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786765</wp:posOffset>
            </wp:positionH>
            <wp:positionV relativeFrom="paragraph">
              <wp:posOffset>83185</wp:posOffset>
            </wp:positionV>
            <wp:extent cx="4159250" cy="2603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34">
                      <a:extLst>
                        <a:ext uri="{28A0092B-C50C-407E-A947-70E740481C1C}"/>
                      </a:extLst>
                    </a:blip>
                    <a:srcRect/>
                    <a:stretch>
                      <a:fillRect/>
                    </a:stretch>
                  </pic:blipFill>
                  <pic:spPr bwMode="auto">
                    <a:xfrm>
                      <a:off x="0" y="0"/>
                      <a:ext cx="4159250" cy="26035"/>
                    </a:xfrm>
                    <a:prstGeom prst="rect">
                      <a:avLst/>
                    </a:prstGeom>
                    <a:noFill/>
                  </pic:spPr>
                </pic:pic>
              </a:graphicData>
            </a:graphic>
          </wp:anchor>
        </w:drawing>
      </w:r>
    </w:p>
    <w:p>
      <w:pPr>
        <w:sectPr>
          <w:pgSz w:w="11900" w:h="16838" w:orient="portrait"/>
          <w:cols w:equalWidth="0" w:num="1">
            <w:col w:w="9019"/>
          </w:cols>
          <w:pgMar w:left="1440" w:top="125" w:right="1440" w:bottom="491" w:gutter="0" w:footer="0" w:header="0"/>
        </w:sectPr>
      </w:pPr>
    </w:p>
    <w:bookmarkStart w:id="97" w:name="page98"/>
    <w:bookmarkEnd w:id="97"/>
    <w:p>
      <w:pPr>
        <w:spacing w:after="0" w:line="69" w:lineRule="exact"/>
        <w:rPr>
          <w:sz w:val="20"/>
          <w:szCs w:val="20"/>
          <w:color w:val="auto"/>
        </w:rPr>
      </w:pPr>
    </w:p>
    <w:p>
      <w:pPr>
        <w:ind w:left="124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Concentration of Credit Risk and of Significant Customers</w:t>
      </w:r>
    </w:p>
    <w:p>
      <w:pPr>
        <w:spacing w:after="0" w:line="229" w:lineRule="exact"/>
        <w:rPr>
          <w:sz w:val="20"/>
          <w:szCs w:val="20"/>
          <w:color w:val="auto"/>
        </w:rPr>
      </w:pPr>
    </w:p>
    <w:p>
      <w:pPr>
        <w:ind w:left="1240" w:right="1219" w:firstLine="693"/>
        <w:spacing w:after="0" w:line="269" w:lineRule="auto"/>
        <w:rPr>
          <w:sz w:val="20"/>
          <w:szCs w:val="20"/>
          <w:color w:val="auto"/>
        </w:rPr>
      </w:pPr>
      <w:r>
        <w:rPr>
          <w:rFonts w:ascii="Arial" w:cs="Arial" w:eastAsia="Arial" w:hAnsi="Arial"/>
          <w:sz w:val="17"/>
          <w:szCs w:val="17"/>
          <w:color w:val="auto"/>
        </w:rPr>
        <w:t>Financial instruments that potentially expose the Company to concentration of credit risk are cash and accounts receivable. Substantially all of the Company's cash deposits are maintained at large, creditworthy financial institutions. The Company's deposits, at times, may exceed federally insured limits. The Company does not believe that it is subject to unusual credit risk beyond the normal credit risk associated with commercial banking relationships. As part of its ongoing procedures, the Company monitors its concentration of deposits with various financial institutions in order to avoid any undue exposure. As of December 31, 2017 and 2016, the Company had $44.7 million and $75.6 million, respectively, in banks located outside the United States. The risk with respect to the Company's accounts receivable is managed by the Company through its policy of monitoring the creditworthiness of its customers to which it grants credit terms in the normal course of business.</w:t>
      </w:r>
    </w:p>
    <w:p>
      <w:pPr>
        <w:spacing w:after="0" w:line="176"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Inventories</w:t>
      </w:r>
    </w:p>
    <w:p>
      <w:pPr>
        <w:spacing w:after="0" w:line="229" w:lineRule="exact"/>
        <w:rPr>
          <w:sz w:val="20"/>
          <w:szCs w:val="20"/>
          <w:color w:val="auto"/>
        </w:rPr>
      </w:pPr>
    </w:p>
    <w:p>
      <w:pPr>
        <w:ind w:left="1240" w:right="1239" w:firstLine="648"/>
        <w:spacing w:after="0" w:line="271" w:lineRule="auto"/>
        <w:rPr>
          <w:sz w:val="20"/>
          <w:szCs w:val="20"/>
          <w:color w:val="auto"/>
        </w:rPr>
      </w:pPr>
      <w:r>
        <w:rPr>
          <w:rFonts w:ascii="Arial" w:cs="Arial" w:eastAsia="Arial" w:hAnsi="Arial"/>
          <w:sz w:val="17"/>
          <w:szCs w:val="17"/>
          <w:color w:val="auto"/>
        </w:rPr>
        <w:t>Inventories are valued at the lower of cost and net realizable value. Cost is determined using the first-in, first-out inventory method. The inventory balance, which includes material, labor and manufacturing overhead costs, is recorded net of an allowance for obsolete or slow moving inventory. The Company's allowance for obsolete or slow moving inventory contains estimates regarding uncertainties. Such estimates are updated each reporting period and require the Company to make assumptions and to apply judgment regarding a number of factors, including market conditions, selling environment, historical results and current inventory trends.</w:t>
      </w:r>
    </w:p>
    <w:p>
      <w:pPr>
        <w:spacing w:after="0" w:line="175"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Property, Plant and Equipment</w:t>
      </w:r>
    </w:p>
    <w:p>
      <w:pPr>
        <w:spacing w:after="0" w:line="229" w:lineRule="exact"/>
        <w:rPr>
          <w:sz w:val="20"/>
          <w:szCs w:val="20"/>
          <w:color w:val="auto"/>
        </w:rPr>
      </w:pPr>
    </w:p>
    <w:p>
      <w:pPr>
        <w:ind w:left="1240" w:right="1279" w:firstLine="648"/>
        <w:spacing w:after="0" w:line="297" w:lineRule="auto"/>
        <w:rPr>
          <w:sz w:val="20"/>
          <w:szCs w:val="20"/>
          <w:color w:val="auto"/>
        </w:rPr>
      </w:pPr>
      <w:r>
        <w:rPr>
          <w:rFonts w:ascii="Arial" w:cs="Arial" w:eastAsia="Arial" w:hAnsi="Arial"/>
          <w:sz w:val="16"/>
          <w:szCs w:val="16"/>
          <w:color w:val="auto"/>
        </w:rPr>
        <w:t>Property, plant and equipment are recorded at cost less accumulated depreciation and amortization. Depreciation is provided on a straight-line basis over the estimated useful lives of the assets. Gains or losses resulting from disposals are included in income from operations. Betterments and renewals, which improve and extend the life of an asset, are capitalized. Maintenance and repair costs are expensed as incurred.</w:t>
      </w:r>
    </w:p>
    <w:p>
      <w:pPr>
        <w:spacing w:after="0" w:line="158" w:lineRule="exact"/>
        <w:rPr>
          <w:sz w:val="20"/>
          <w:szCs w:val="20"/>
          <w:color w:val="auto"/>
        </w:rPr>
      </w:pPr>
    </w:p>
    <w:p>
      <w:pPr>
        <w:ind w:left="1880"/>
        <w:spacing w:after="0"/>
        <w:rPr>
          <w:sz w:val="20"/>
          <w:szCs w:val="20"/>
          <w:color w:val="auto"/>
        </w:rPr>
      </w:pPr>
      <w:r>
        <w:rPr>
          <w:rFonts w:ascii="Arial" w:cs="Arial" w:eastAsia="Arial" w:hAnsi="Arial"/>
          <w:sz w:val="16"/>
          <w:szCs w:val="16"/>
          <w:color w:val="auto"/>
        </w:rPr>
        <w:t>Estimated useful lives of property, plant and equipment asset categories were as</w:t>
      </w:r>
    </w:p>
    <w:p>
      <w:pPr>
        <w:spacing w:after="0" w:line="46" w:lineRule="exact"/>
        <w:rPr>
          <w:sz w:val="20"/>
          <w:szCs w:val="20"/>
          <w:color w:val="auto"/>
        </w:rPr>
      </w:pPr>
    </w:p>
    <w:tbl>
      <w:tblPr>
        <w:tblLayout w:type="fixed"/>
        <w:tblInd w:w="1240" w:type="dxa"/>
        <w:tblCellMar>
          <w:top w:w="0" w:type="dxa"/>
          <w:left w:w="0" w:type="dxa"/>
          <w:bottom w:w="0" w:type="dxa"/>
          <w:right w:w="0" w:type="dxa"/>
        </w:tblCellMar>
      </w:tblPr>
      <w:tr>
        <w:trPr>
          <w:trHeight w:val="230"/>
        </w:trPr>
        <w:tc>
          <w:tcPr>
            <w:tcW w:w="4340" w:type="dxa"/>
            <w:vAlign w:val="bottom"/>
          </w:tcPr>
          <w:p>
            <w:pPr>
              <w:spacing w:after="0"/>
              <w:rPr>
                <w:sz w:val="20"/>
                <w:szCs w:val="20"/>
                <w:color w:val="auto"/>
              </w:rPr>
            </w:pPr>
            <w:r>
              <w:rPr>
                <w:rFonts w:ascii="Arial" w:cs="Arial" w:eastAsia="Arial" w:hAnsi="Arial"/>
                <w:sz w:val="18"/>
                <w:szCs w:val="18"/>
                <w:color w:val="auto"/>
              </w:rPr>
              <w:t>follows:</w:t>
            </w:r>
          </w:p>
        </w:tc>
        <w:tc>
          <w:tcPr>
            <w:tcW w:w="1480" w:type="dxa"/>
            <w:vAlign w:val="bottom"/>
          </w:tcPr>
          <w:p>
            <w:pPr>
              <w:spacing w:after="0"/>
              <w:rPr>
                <w:sz w:val="20"/>
                <w:szCs w:val="20"/>
                <w:color w:val="auto"/>
              </w:rPr>
            </w:pPr>
          </w:p>
        </w:tc>
        <w:tc>
          <w:tcPr>
            <w:tcW w:w="720" w:type="dxa"/>
            <w:vAlign w:val="bottom"/>
          </w:tcPr>
          <w:p>
            <w:pPr>
              <w:spacing w:after="0"/>
              <w:rPr>
                <w:sz w:val="20"/>
                <w:szCs w:val="20"/>
                <w:color w:val="auto"/>
              </w:rPr>
            </w:pPr>
          </w:p>
        </w:tc>
      </w:tr>
      <w:tr>
        <w:trPr>
          <w:trHeight w:val="215"/>
        </w:trPr>
        <w:tc>
          <w:tcPr>
            <w:tcW w:w="434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720" w:type="dxa"/>
            <w:vAlign w:val="bottom"/>
          </w:tcPr>
          <w:p>
            <w:pPr>
              <w:spacing w:after="0"/>
              <w:rPr>
                <w:sz w:val="18"/>
                <w:szCs w:val="18"/>
                <w:color w:val="auto"/>
              </w:rPr>
            </w:pPr>
          </w:p>
        </w:tc>
      </w:tr>
      <w:tr>
        <w:trPr>
          <w:trHeight w:val="202"/>
        </w:trPr>
        <w:tc>
          <w:tcPr>
            <w:tcW w:w="4340" w:type="dxa"/>
            <w:vAlign w:val="bottom"/>
            <w:shd w:val="clear" w:color="auto" w:fill="CCEEFF"/>
          </w:tcPr>
          <w:p>
            <w:pPr>
              <w:spacing w:after="0"/>
              <w:rPr>
                <w:sz w:val="17"/>
                <w:szCs w:val="17"/>
                <w:color w:val="auto"/>
              </w:rPr>
            </w:pPr>
          </w:p>
        </w:tc>
        <w:tc>
          <w:tcPr>
            <w:tcW w:w="1480" w:type="dxa"/>
            <w:vAlign w:val="bottom"/>
            <w:shd w:val="clear" w:color="auto" w:fill="CCEEFF"/>
          </w:tcPr>
          <w:p>
            <w:pPr>
              <w:spacing w:after="0"/>
              <w:rPr>
                <w:sz w:val="17"/>
                <w:szCs w:val="17"/>
                <w:color w:val="auto"/>
              </w:rPr>
            </w:pPr>
          </w:p>
        </w:tc>
        <w:tc>
          <w:tcPr>
            <w:tcW w:w="720" w:type="dxa"/>
            <w:vAlign w:val="bottom"/>
            <w:shd w:val="clear" w:color="auto" w:fill="CCEEFF"/>
          </w:tcPr>
          <w:p>
            <w:pPr>
              <w:jc w:val="right"/>
              <w:ind w:right="330"/>
              <w:spacing w:after="0" w:line="201" w:lineRule="exact"/>
              <w:rPr>
                <w:sz w:val="20"/>
                <w:szCs w:val="20"/>
                <w:color w:val="auto"/>
              </w:rPr>
            </w:pPr>
            <w:r>
              <w:rPr>
                <w:rFonts w:ascii="Arial" w:cs="Arial" w:eastAsia="Arial" w:hAnsi="Arial"/>
                <w:sz w:val="18"/>
                <w:szCs w:val="18"/>
                <w:color w:val="auto"/>
              </w:rPr>
              <w:t>40</w:t>
            </w:r>
          </w:p>
        </w:tc>
      </w:tr>
      <w:tr>
        <w:trPr>
          <w:trHeight w:val="230"/>
        </w:trPr>
        <w:tc>
          <w:tcPr>
            <w:tcW w:w="4340" w:type="dxa"/>
            <w:vAlign w:val="bottom"/>
            <w:shd w:val="clear" w:color="auto" w:fill="CCEEFF"/>
          </w:tcPr>
          <w:p>
            <w:pPr>
              <w:spacing w:after="0"/>
              <w:rPr>
                <w:sz w:val="20"/>
                <w:szCs w:val="20"/>
                <w:color w:val="auto"/>
              </w:rPr>
            </w:pPr>
            <w:r>
              <w:rPr>
                <w:rFonts w:ascii="Arial" w:cs="Arial" w:eastAsia="Arial" w:hAnsi="Arial"/>
                <w:sz w:val="18"/>
                <w:szCs w:val="18"/>
                <w:color w:val="auto"/>
              </w:rPr>
              <w:t>Buildings and improvements</w:t>
            </w: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w:t>
            </w:r>
          </w:p>
        </w:tc>
        <w:tc>
          <w:tcPr>
            <w:tcW w:w="72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88"/>
              </w:rPr>
              <w:t>–years</w:t>
            </w:r>
          </w:p>
        </w:tc>
      </w:tr>
      <w:tr>
        <w:trPr>
          <w:trHeight w:val="202"/>
        </w:trPr>
        <w:tc>
          <w:tcPr>
            <w:tcW w:w="4340" w:type="dxa"/>
            <w:vAlign w:val="bottom"/>
          </w:tcPr>
          <w:p>
            <w:pPr>
              <w:spacing w:after="0"/>
              <w:rPr>
                <w:sz w:val="17"/>
                <w:szCs w:val="17"/>
                <w:color w:val="auto"/>
              </w:rPr>
            </w:pPr>
          </w:p>
        </w:tc>
        <w:tc>
          <w:tcPr>
            <w:tcW w:w="1480" w:type="dxa"/>
            <w:vAlign w:val="bottom"/>
          </w:tcPr>
          <w:p>
            <w:pPr>
              <w:spacing w:after="0"/>
              <w:rPr>
                <w:sz w:val="17"/>
                <w:szCs w:val="17"/>
                <w:color w:val="auto"/>
              </w:rPr>
            </w:pPr>
          </w:p>
        </w:tc>
        <w:tc>
          <w:tcPr>
            <w:tcW w:w="720" w:type="dxa"/>
            <w:vAlign w:val="bottom"/>
          </w:tcPr>
          <w:p>
            <w:pPr>
              <w:jc w:val="right"/>
              <w:ind w:right="330"/>
              <w:spacing w:after="0" w:line="201" w:lineRule="exact"/>
              <w:rPr>
                <w:sz w:val="20"/>
                <w:szCs w:val="20"/>
                <w:color w:val="auto"/>
              </w:rPr>
            </w:pPr>
            <w:r>
              <w:rPr>
                <w:rFonts w:ascii="Arial" w:cs="Arial" w:eastAsia="Arial" w:hAnsi="Arial"/>
                <w:sz w:val="18"/>
                <w:szCs w:val="18"/>
                <w:color w:val="auto"/>
              </w:rPr>
              <w:t>10</w:t>
            </w:r>
          </w:p>
        </w:tc>
      </w:tr>
      <w:tr>
        <w:trPr>
          <w:trHeight w:val="230"/>
        </w:trPr>
        <w:tc>
          <w:tcPr>
            <w:tcW w:w="4340" w:type="dxa"/>
            <w:vAlign w:val="bottom"/>
          </w:tcPr>
          <w:p>
            <w:pPr>
              <w:spacing w:after="0"/>
              <w:rPr>
                <w:sz w:val="20"/>
                <w:szCs w:val="20"/>
                <w:color w:val="auto"/>
              </w:rPr>
            </w:pPr>
            <w:r>
              <w:rPr>
                <w:rFonts w:ascii="Arial" w:cs="Arial" w:eastAsia="Arial" w:hAnsi="Arial"/>
                <w:sz w:val="18"/>
                <w:szCs w:val="18"/>
                <w:color w:val="auto"/>
              </w:rPr>
              <w:t>Machinery and equipment</w:t>
            </w:r>
          </w:p>
        </w:tc>
        <w:tc>
          <w:tcPr>
            <w:tcW w:w="1480" w:type="dxa"/>
            <w:vAlign w:val="bottom"/>
          </w:tcPr>
          <w:p>
            <w:pPr>
              <w:jc w:val="right"/>
              <w:spacing w:after="0"/>
              <w:rPr>
                <w:sz w:val="20"/>
                <w:szCs w:val="20"/>
                <w:color w:val="auto"/>
              </w:rPr>
            </w:pPr>
            <w:r>
              <w:rPr>
                <w:rFonts w:ascii="Arial" w:cs="Arial" w:eastAsia="Arial" w:hAnsi="Arial"/>
                <w:sz w:val="18"/>
                <w:szCs w:val="18"/>
                <w:color w:val="auto"/>
              </w:rPr>
              <w:t>3</w:t>
            </w:r>
          </w:p>
        </w:tc>
        <w:tc>
          <w:tcPr>
            <w:tcW w:w="720" w:type="dxa"/>
            <w:vAlign w:val="bottom"/>
          </w:tcPr>
          <w:p>
            <w:pPr>
              <w:jc w:val="right"/>
              <w:ind w:right="130"/>
              <w:spacing w:after="0"/>
              <w:rPr>
                <w:sz w:val="20"/>
                <w:szCs w:val="20"/>
                <w:color w:val="auto"/>
              </w:rPr>
            </w:pPr>
            <w:r>
              <w:rPr>
                <w:rFonts w:ascii="Arial" w:cs="Arial" w:eastAsia="Arial" w:hAnsi="Arial"/>
                <w:sz w:val="18"/>
                <w:szCs w:val="18"/>
                <w:color w:val="auto"/>
                <w:w w:val="88"/>
              </w:rPr>
              <w:t>–years</w:t>
            </w:r>
          </w:p>
        </w:tc>
      </w:tr>
      <w:tr>
        <w:trPr>
          <w:trHeight w:val="202"/>
        </w:trPr>
        <w:tc>
          <w:tcPr>
            <w:tcW w:w="4340" w:type="dxa"/>
            <w:vAlign w:val="bottom"/>
            <w:shd w:val="clear" w:color="auto" w:fill="CCEEFF"/>
          </w:tcPr>
          <w:p>
            <w:pPr>
              <w:spacing w:after="0"/>
              <w:rPr>
                <w:sz w:val="17"/>
                <w:szCs w:val="17"/>
                <w:color w:val="auto"/>
              </w:rPr>
            </w:pPr>
          </w:p>
        </w:tc>
        <w:tc>
          <w:tcPr>
            <w:tcW w:w="1480" w:type="dxa"/>
            <w:vAlign w:val="bottom"/>
            <w:shd w:val="clear" w:color="auto" w:fill="CCEEFF"/>
          </w:tcPr>
          <w:p>
            <w:pPr>
              <w:spacing w:after="0"/>
              <w:rPr>
                <w:sz w:val="17"/>
                <w:szCs w:val="17"/>
                <w:color w:val="auto"/>
              </w:rPr>
            </w:pPr>
          </w:p>
        </w:tc>
        <w:tc>
          <w:tcPr>
            <w:tcW w:w="720" w:type="dxa"/>
            <w:vAlign w:val="bottom"/>
            <w:shd w:val="clear" w:color="auto" w:fill="CCEEFF"/>
          </w:tcPr>
          <w:p>
            <w:pPr>
              <w:jc w:val="right"/>
              <w:ind w:right="330"/>
              <w:spacing w:after="0" w:line="201" w:lineRule="exact"/>
              <w:rPr>
                <w:sz w:val="20"/>
                <w:szCs w:val="20"/>
                <w:color w:val="auto"/>
              </w:rPr>
            </w:pPr>
            <w:r>
              <w:rPr>
                <w:rFonts w:ascii="Arial" w:cs="Arial" w:eastAsia="Arial" w:hAnsi="Arial"/>
                <w:sz w:val="18"/>
                <w:szCs w:val="18"/>
                <w:color w:val="auto"/>
              </w:rPr>
              <w:t>10</w:t>
            </w:r>
          </w:p>
        </w:tc>
      </w:tr>
      <w:tr>
        <w:trPr>
          <w:trHeight w:val="230"/>
        </w:trPr>
        <w:tc>
          <w:tcPr>
            <w:tcW w:w="4340" w:type="dxa"/>
            <w:vAlign w:val="bottom"/>
            <w:shd w:val="clear" w:color="auto" w:fill="CCEEFF"/>
          </w:tcPr>
          <w:p>
            <w:pPr>
              <w:spacing w:after="0"/>
              <w:rPr>
                <w:sz w:val="20"/>
                <w:szCs w:val="20"/>
                <w:color w:val="auto"/>
              </w:rPr>
            </w:pPr>
            <w:r>
              <w:rPr>
                <w:rFonts w:ascii="Arial" w:cs="Arial" w:eastAsia="Arial" w:hAnsi="Arial"/>
                <w:sz w:val="18"/>
                <w:szCs w:val="18"/>
                <w:color w:val="auto"/>
              </w:rPr>
              <w:t>Furniture, fixtures and computer hardware</w:t>
            </w: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w:t>
            </w:r>
          </w:p>
        </w:tc>
        <w:tc>
          <w:tcPr>
            <w:tcW w:w="72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88"/>
              </w:rPr>
              <w:t>–years</w:t>
            </w:r>
          </w:p>
        </w:tc>
      </w:tr>
      <w:tr>
        <w:trPr>
          <w:trHeight w:val="202"/>
        </w:trPr>
        <w:tc>
          <w:tcPr>
            <w:tcW w:w="4340" w:type="dxa"/>
            <w:vAlign w:val="bottom"/>
          </w:tcPr>
          <w:p>
            <w:pPr>
              <w:spacing w:after="0"/>
              <w:rPr>
                <w:sz w:val="17"/>
                <w:szCs w:val="17"/>
                <w:color w:val="auto"/>
              </w:rPr>
            </w:pPr>
          </w:p>
        </w:tc>
        <w:tc>
          <w:tcPr>
            <w:tcW w:w="1480" w:type="dxa"/>
            <w:vAlign w:val="bottom"/>
          </w:tcPr>
          <w:p>
            <w:pPr>
              <w:spacing w:after="0"/>
              <w:rPr>
                <w:sz w:val="17"/>
                <w:szCs w:val="17"/>
                <w:color w:val="auto"/>
              </w:rPr>
            </w:pPr>
          </w:p>
        </w:tc>
        <w:tc>
          <w:tcPr>
            <w:tcW w:w="720" w:type="dxa"/>
            <w:vAlign w:val="bottom"/>
          </w:tcPr>
          <w:p>
            <w:pPr>
              <w:jc w:val="right"/>
              <w:ind w:right="330"/>
              <w:spacing w:after="0" w:line="201" w:lineRule="exact"/>
              <w:rPr>
                <w:sz w:val="20"/>
                <w:szCs w:val="20"/>
                <w:color w:val="auto"/>
              </w:rPr>
            </w:pPr>
            <w:r>
              <w:rPr>
                <w:rFonts w:ascii="Arial" w:cs="Arial" w:eastAsia="Arial" w:hAnsi="Arial"/>
                <w:sz w:val="18"/>
                <w:szCs w:val="18"/>
                <w:color w:val="auto"/>
              </w:rPr>
              <w:t>10</w:t>
            </w:r>
          </w:p>
        </w:tc>
      </w:tr>
      <w:tr>
        <w:trPr>
          <w:trHeight w:val="230"/>
        </w:trPr>
        <w:tc>
          <w:tcPr>
            <w:tcW w:w="4340" w:type="dxa"/>
            <w:vAlign w:val="bottom"/>
          </w:tcPr>
          <w:p>
            <w:pPr>
              <w:spacing w:after="0"/>
              <w:rPr>
                <w:sz w:val="20"/>
                <w:szCs w:val="20"/>
                <w:color w:val="auto"/>
              </w:rPr>
            </w:pPr>
            <w:r>
              <w:rPr>
                <w:rFonts w:ascii="Arial" w:cs="Arial" w:eastAsia="Arial" w:hAnsi="Arial"/>
                <w:sz w:val="18"/>
                <w:szCs w:val="18"/>
                <w:color w:val="auto"/>
              </w:rPr>
              <w:t>Computer software</w:t>
            </w:r>
          </w:p>
        </w:tc>
        <w:tc>
          <w:tcPr>
            <w:tcW w:w="1480" w:type="dxa"/>
            <w:vAlign w:val="bottom"/>
          </w:tcPr>
          <w:p>
            <w:pPr>
              <w:jc w:val="right"/>
              <w:spacing w:after="0"/>
              <w:rPr>
                <w:sz w:val="20"/>
                <w:szCs w:val="20"/>
                <w:color w:val="auto"/>
              </w:rPr>
            </w:pPr>
            <w:r>
              <w:rPr>
                <w:rFonts w:ascii="Arial" w:cs="Arial" w:eastAsia="Arial" w:hAnsi="Arial"/>
                <w:sz w:val="18"/>
                <w:szCs w:val="18"/>
                <w:color w:val="auto"/>
              </w:rPr>
              <w:t>1</w:t>
            </w:r>
          </w:p>
        </w:tc>
        <w:tc>
          <w:tcPr>
            <w:tcW w:w="720" w:type="dxa"/>
            <w:vAlign w:val="bottom"/>
          </w:tcPr>
          <w:p>
            <w:pPr>
              <w:jc w:val="right"/>
              <w:ind w:right="130"/>
              <w:spacing w:after="0"/>
              <w:rPr>
                <w:sz w:val="20"/>
                <w:szCs w:val="20"/>
                <w:color w:val="auto"/>
              </w:rPr>
            </w:pPr>
            <w:r>
              <w:rPr>
                <w:rFonts w:ascii="Arial" w:cs="Arial" w:eastAsia="Arial" w:hAnsi="Arial"/>
                <w:sz w:val="18"/>
                <w:szCs w:val="18"/>
                <w:color w:val="auto"/>
                <w:w w:val="88"/>
              </w:rPr>
              <w:t>–years</w:t>
            </w:r>
          </w:p>
        </w:tc>
      </w:tr>
    </w:tbl>
    <w:p>
      <w:pPr>
        <w:spacing w:after="0" w:line="202" w:lineRule="exact"/>
        <w:rPr>
          <w:sz w:val="20"/>
          <w:szCs w:val="20"/>
          <w:color w:val="auto"/>
        </w:rPr>
      </w:pPr>
    </w:p>
    <w:p>
      <w:pPr>
        <w:jc w:val="both"/>
        <w:ind w:left="1240" w:right="1459" w:firstLine="648"/>
        <w:spacing w:after="0" w:line="277" w:lineRule="auto"/>
        <w:rPr>
          <w:sz w:val="20"/>
          <w:szCs w:val="20"/>
          <w:color w:val="auto"/>
        </w:rPr>
      </w:pPr>
      <w:r>
        <w:rPr>
          <w:rFonts w:ascii="Arial" w:cs="Arial" w:eastAsia="Arial" w:hAnsi="Arial"/>
          <w:sz w:val="18"/>
          <w:szCs w:val="18"/>
          <w:color w:val="auto"/>
        </w:rPr>
        <w:t>Leasehold and tenant improvements are amortized over the shorter of the lease term or the estimated useful lives of the assets.</w:t>
      </w:r>
    </w:p>
    <w:p>
      <w:pPr>
        <w:spacing w:after="0" w:line="170" w:lineRule="exact"/>
        <w:rPr>
          <w:sz w:val="20"/>
          <w:szCs w:val="20"/>
          <w:color w:val="auto"/>
        </w:rPr>
      </w:pPr>
    </w:p>
    <w:p>
      <w:pPr>
        <w:ind w:left="1240" w:right="1259" w:firstLine="648"/>
        <w:spacing w:after="0" w:line="269" w:lineRule="auto"/>
        <w:rPr>
          <w:sz w:val="20"/>
          <w:szCs w:val="20"/>
          <w:color w:val="auto"/>
        </w:rPr>
      </w:pPr>
      <w:r>
        <w:rPr>
          <w:rFonts w:ascii="Arial" w:cs="Arial" w:eastAsia="Arial" w:hAnsi="Arial"/>
          <w:sz w:val="17"/>
          <w:szCs w:val="17"/>
          <w:color w:val="auto"/>
        </w:rPr>
        <w:t>Certain costs incurred in connection with the development of the Company's internal-use software are capitalized. Software development costs are primarily related to the Company's enterprise resource planning system. Costs incurred in the preliminary stages of development are expensed as incurred. Internal and external costs incurred in the application development phase, if direct and incremental, are capitalized until the software is substantially complete and ready for its intended use. Capitalization ceases upon completion of all substantial testing performed to ensure the product is ready for its intended use. Costs such as maintenance and training are expensed as incurred. The capitalized internal-use software costs are included in property, plant and equipment and once the software is placed into service are amortized over the estimated useful life which ranges from three to ten years.</w:t>
      </w:r>
    </w:p>
    <w:p>
      <w:pPr>
        <w:spacing w:after="0" w:line="179"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Long-Lived Assets</w:t>
      </w:r>
    </w:p>
    <w:p>
      <w:pPr>
        <w:spacing w:after="0" w:line="229" w:lineRule="exact"/>
        <w:rPr>
          <w:sz w:val="20"/>
          <w:szCs w:val="20"/>
          <w:color w:val="auto"/>
        </w:rPr>
      </w:pPr>
    </w:p>
    <w:p>
      <w:pPr>
        <w:ind w:left="1240" w:right="1239" w:firstLine="683"/>
        <w:spacing w:after="0" w:line="270" w:lineRule="auto"/>
        <w:rPr>
          <w:sz w:val="20"/>
          <w:szCs w:val="20"/>
          <w:color w:val="auto"/>
        </w:rPr>
      </w:pPr>
      <w:r>
        <w:rPr>
          <w:rFonts w:ascii="Arial" w:cs="Arial" w:eastAsia="Arial" w:hAnsi="Arial"/>
          <w:sz w:val="17"/>
          <w:szCs w:val="17"/>
          <w:color w:val="auto"/>
        </w:rPr>
        <w:t>A long-lived asset (including amortizable identifiable intangible assets) or asset group is tested for recoverability whenever events or changes in circumstances indicate that its carrying amount may not be recoverable. When such events occur, the Company compares the sum of the undiscounted cash flows expected to result from the use and eventual disposition of the asset or asset group to the carrying amount of the long-lived asset or asset group. The cash flows are based on the best estimate of future cash flows derived from the most recent business projections. If the carrying value exceeds the sum of the undiscounted cash flows, an impairment loss is recognized based on the excess of the asset's or asset group's carrying value over its fair value. Fair value is determined based on discounted expected</w:t>
      </w:r>
    </w:p>
    <w:p>
      <w:pPr>
        <w:sectPr>
          <w:pgSz w:w="11900" w:h="16908" w:orient="portrait"/>
          <w:cols w:equalWidth="0" w:num="1">
            <w:col w:w="9019"/>
          </w:cols>
          <w:pgMar w:left="1440" w:top="125" w:right="1440" w:bottom="0" w:gutter="0" w:footer="0" w:header="0"/>
        </w:sectPr>
      </w:pPr>
    </w:p>
    <w:bookmarkStart w:id="98" w:name="page99"/>
    <w:bookmarkEnd w:id="98"/>
    <w:p>
      <w:pPr>
        <w:jc w:val="center"/>
        <w:spacing w:after="0"/>
        <w:rPr>
          <w:sz w:val="20"/>
          <w:szCs w:val="20"/>
          <w:color w:val="auto"/>
        </w:rPr>
      </w:pPr>
      <w:r>
        <w:rPr>
          <w:rFonts w:ascii="Arial" w:cs="Arial" w:eastAsia="Arial" w:hAnsi="Arial"/>
          <w:sz w:val="16"/>
          <w:szCs w:val="16"/>
          <w:color w:val="auto"/>
        </w:rPr>
        <w:t>F-11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786765</wp:posOffset>
            </wp:positionH>
            <wp:positionV relativeFrom="paragraph">
              <wp:posOffset>97790</wp:posOffset>
            </wp:positionV>
            <wp:extent cx="4159250" cy="2603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35">
                      <a:extLst>
                        <a:ext uri="{28A0092B-C50C-407E-A947-70E740481C1C}"/>
                      </a:extLst>
                    </a:blip>
                    <a:srcRect/>
                    <a:stretch>
                      <a:fillRect/>
                    </a:stretch>
                  </pic:blipFill>
                  <pic:spPr bwMode="auto">
                    <a:xfrm>
                      <a:off x="0" y="0"/>
                      <a:ext cx="415925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99" w:name="page100"/>
    <w:bookmarkEnd w:id="99"/>
    <w:p>
      <w:pPr>
        <w:ind w:left="124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1240" w:right="1559"/>
        <w:spacing w:after="0" w:line="342" w:lineRule="auto"/>
        <w:rPr>
          <w:sz w:val="20"/>
          <w:szCs w:val="20"/>
          <w:color w:val="auto"/>
        </w:rPr>
      </w:pPr>
      <w:r>
        <w:rPr>
          <w:rFonts w:ascii="Arial" w:cs="Arial" w:eastAsia="Arial" w:hAnsi="Arial"/>
          <w:sz w:val="16"/>
          <w:szCs w:val="16"/>
          <w:color w:val="auto"/>
        </w:rPr>
        <w:t>future cash flows on a market participant basis. Any impairment charge would be recognized within operating expenses as a selling, general and administrative expense.</w:t>
      </w:r>
    </w:p>
    <w:p>
      <w:pPr>
        <w:spacing w:after="0" w:line="124" w:lineRule="exact"/>
        <w:rPr>
          <w:sz w:val="20"/>
          <w:szCs w:val="20"/>
          <w:color w:val="auto"/>
        </w:rPr>
      </w:pPr>
    </w:p>
    <w:p>
      <w:pPr>
        <w:ind w:left="1240" w:right="1219" w:firstLine="648"/>
        <w:spacing w:after="0" w:line="257" w:lineRule="auto"/>
        <w:rPr>
          <w:sz w:val="20"/>
          <w:szCs w:val="20"/>
          <w:color w:val="auto"/>
        </w:rPr>
      </w:pPr>
      <w:r>
        <w:rPr>
          <w:rFonts w:ascii="Arial" w:cs="Arial" w:eastAsia="Arial" w:hAnsi="Arial"/>
          <w:sz w:val="18"/>
          <w:szCs w:val="18"/>
          <w:color w:val="auto"/>
        </w:rPr>
        <w:t>The Company continually evaluates whether events and circumstances have occurred that indicate the remaining estimated useful life of long-lived assets may warrant revision or that the remaining balance may not be recoverable. These factors may include a significant deterioration of operating results, changes in business plans, or changes in anticipated cash flows.</w:t>
      </w:r>
    </w:p>
    <w:p>
      <w:pPr>
        <w:spacing w:after="0" w:line="184"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Goodwill and Indefinite-Lived Intangible Assets</w:t>
      </w:r>
    </w:p>
    <w:p>
      <w:pPr>
        <w:spacing w:after="0" w:line="229" w:lineRule="exact"/>
        <w:rPr>
          <w:sz w:val="20"/>
          <w:szCs w:val="20"/>
          <w:color w:val="auto"/>
        </w:rPr>
      </w:pPr>
    </w:p>
    <w:p>
      <w:pPr>
        <w:jc w:val="both"/>
        <w:ind w:left="1240" w:right="1379" w:firstLine="648"/>
        <w:spacing w:after="0" w:line="312" w:lineRule="auto"/>
        <w:rPr>
          <w:sz w:val="20"/>
          <w:szCs w:val="20"/>
          <w:color w:val="auto"/>
        </w:rPr>
      </w:pPr>
      <w:r>
        <w:rPr>
          <w:rFonts w:ascii="Arial" w:cs="Arial" w:eastAsia="Arial" w:hAnsi="Arial"/>
          <w:sz w:val="16"/>
          <w:szCs w:val="16"/>
          <w:color w:val="auto"/>
        </w:rPr>
        <w:t>Goodwill and indefinite-lived intangible assets are not amortized but instead are measured for impairment at least annually, or more frequently when events or changes in circumstances indicate that the carrying amount of the asset may be impaired.</w:t>
      </w:r>
    </w:p>
    <w:p>
      <w:pPr>
        <w:spacing w:after="0" w:line="147" w:lineRule="exact"/>
        <w:rPr>
          <w:sz w:val="20"/>
          <w:szCs w:val="20"/>
          <w:color w:val="auto"/>
        </w:rPr>
      </w:pPr>
    </w:p>
    <w:p>
      <w:pPr>
        <w:ind w:left="1240" w:right="1219" w:firstLine="648"/>
        <w:spacing w:after="0" w:line="284" w:lineRule="auto"/>
        <w:rPr>
          <w:sz w:val="20"/>
          <w:szCs w:val="20"/>
          <w:color w:val="auto"/>
        </w:rPr>
      </w:pPr>
      <w:r>
        <w:rPr>
          <w:rFonts w:ascii="Arial" w:cs="Arial" w:eastAsia="Arial" w:hAnsi="Arial"/>
          <w:sz w:val="16"/>
          <w:szCs w:val="16"/>
          <w:color w:val="auto"/>
        </w:rPr>
        <w:t>Goodwill is assigned to reporting units for purposes of impairment testing. A reporting unit may be the same as an operating segment or one level below an operating segment. For purposes of assessing potential impairment, the Company may assess qualitative factors to determine if it is more likely than not that the fair value of a reporting unit is less than its carrying amount, including goodwill. If the Company determines based on the qualitative factors that it is not more likely than not that the fair value of a reporting unit is less than its carrying amount, no further testing is necessary. If, however, the Company determines that it is more likely than not that the fair value of a reporting unit is less than its carrying amount, the Company performs the first step of a two-step quantitative goodwill impairment test. In the first step, the Company compares the fair value of the reporting unit to its carrying value. If the fair value of the reporting unit exceeds the carrying value of the net assets assigned to that unit, goodwill is considered not impaired and the Company is not required to perform further testing. If the carrying value of the net assets assigned to the reporting unit exceeds the fair value of the reporting unit, then the Company must perform the second step of the impairment test in order to determine the implied fair value of the reporting unit's goodwill. If the carrying value of a reporting unit's goodwill exceeds its implied fair value, then the Company would record an impairment loss equal to the difference. The fair value of the reporting units is determined using the income approach. The income approach uses a discounted cash flow analysis which involves applying appropriate discount rates to estimated future cash flows based on forecasts of sales, costs and capital requirements.</w:t>
      </w:r>
    </w:p>
    <w:p>
      <w:pPr>
        <w:spacing w:after="0" w:line="182" w:lineRule="exact"/>
        <w:rPr>
          <w:sz w:val="20"/>
          <w:szCs w:val="20"/>
          <w:color w:val="auto"/>
        </w:rPr>
      </w:pPr>
    </w:p>
    <w:p>
      <w:pPr>
        <w:jc w:val="both"/>
        <w:ind w:left="1240" w:right="1379" w:firstLine="648"/>
        <w:spacing w:after="0" w:line="264" w:lineRule="auto"/>
        <w:rPr>
          <w:sz w:val="20"/>
          <w:szCs w:val="20"/>
          <w:color w:val="auto"/>
        </w:rPr>
      </w:pPr>
      <w:r>
        <w:rPr>
          <w:rFonts w:ascii="Arial" w:cs="Arial" w:eastAsia="Arial" w:hAnsi="Arial"/>
          <w:sz w:val="18"/>
          <w:szCs w:val="18"/>
          <w:color w:val="auto"/>
        </w:rPr>
        <w:t>The Company performs its annual impairment tests in the fourth quarter of each fiscal year. As of December 31, 2017, no impairment of goodwill was identified and the fair value of each reporting unit exceeded its carrying value.</w:t>
      </w:r>
    </w:p>
    <w:p>
      <w:pPr>
        <w:spacing w:after="0" w:line="181" w:lineRule="exact"/>
        <w:rPr>
          <w:sz w:val="20"/>
          <w:szCs w:val="20"/>
          <w:color w:val="auto"/>
        </w:rPr>
      </w:pPr>
    </w:p>
    <w:p>
      <w:pPr>
        <w:ind w:left="1240" w:right="1259" w:firstLine="648"/>
        <w:spacing w:after="0" w:line="269" w:lineRule="auto"/>
        <w:rPr>
          <w:sz w:val="20"/>
          <w:szCs w:val="20"/>
          <w:color w:val="auto"/>
        </w:rPr>
      </w:pPr>
      <w:r>
        <w:rPr>
          <w:rFonts w:ascii="Arial" w:cs="Arial" w:eastAsia="Arial" w:hAnsi="Arial"/>
          <w:sz w:val="17"/>
          <w:szCs w:val="17"/>
          <w:color w:val="auto"/>
        </w:rPr>
        <w:t>Purchased intangible assets other than goodwill are amortized over their useful lives unless those lives are determined to be indefinite. The Company's trademarks have been assigned an indefinite life as the Company currently anticipates that these trademarks will contribute to its cash flows indefinitely. Trademarks are reviewed for impairment annually and may be reviewed more frequently if indicators of impairment are present. Impairment losses are recorded to the extent that the carrying value of the indefinite-lived intangible asset exceeds its fair value. The Company measures the fair value of its trademarks using the relief-from-royalty method, which estimates the present value of royalty income that could be hypothetically earned by licensing the brand name to a third party over the remaining useful life. As of December 31, 2017, no impairment of trademarks was identified.</w:t>
      </w:r>
    </w:p>
    <w:p>
      <w:pPr>
        <w:spacing w:after="0" w:line="179"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Deferred Financing Costs</w:t>
      </w:r>
    </w:p>
    <w:p>
      <w:pPr>
        <w:spacing w:after="0" w:line="229" w:lineRule="exact"/>
        <w:rPr>
          <w:sz w:val="20"/>
          <w:szCs w:val="20"/>
          <w:color w:val="auto"/>
        </w:rPr>
      </w:pPr>
    </w:p>
    <w:p>
      <w:pPr>
        <w:ind w:left="1240" w:right="1359" w:firstLine="648"/>
        <w:spacing w:after="0" w:line="255" w:lineRule="auto"/>
        <w:rPr>
          <w:sz w:val="20"/>
          <w:szCs w:val="20"/>
          <w:color w:val="auto"/>
        </w:rPr>
      </w:pPr>
      <w:r>
        <w:rPr>
          <w:rFonts w:ascii="Arial" w:cs="Arial" w:eastAsia="Arial" w:hAnsi="Arial"/>
          <w:sz w:val="18"/>
          <w:szCs w:val="18"/>
          <w:color w:val="auto"/>
        </w:rPr>
        <w:t>The Company defers costs directly associated with acquiring third-party financing. These deferred costs are amortized as interest expense over the term of the related indebtedness. Deferred financing costs associated with the revolving credit facilities are included in other current and noncurrent assets and deferred financing costs associated with all other indebtedness are netted against debt on the consolidated balance sheet.</w:t>
      </w:r>
    </w:p>
    <w:p>
      <w:pPr>
        <w:spacing w:after="0" w:line="189"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Fair Value Measurements</w:t>
      </w:r>
    </w:p>
    <w:p>
      <w:pPr>
        <w:spacing w:after="0" w:line="229" w:lineRule="exact"/>
        <w:rPr>
          <w:sz w:val="20"/>
          <w:szCs w:val="20"/>
          <w:color w:val="auto"/>
        </w:rPr>
      </w:pPr>
    </w:p>
    <w:p>
      <w:pPr>
        <w:ind w:left="1240" w:right="1239" w:firstLine="648"/>
        <w:spacing w:after="0" w:line="272" w:lineRule="auto"/>
        <w:rPr>
          <w:sz w:val="20"/>
          <w:szCs w:val="20"/>
          <w:color w:val="auto"/>
        </w:rPr>
      </w:pPr>
      <w:r>
        <w:rPr>
          <w:rFonts w:ascii="Arial" w:cs="Arial" w:eastAsia="Arial" w:hAnsi="Arial"/>
          <w:sz w:val="17"/>
          <w:szCs w:val="17"/>
          <w:color w:val="auto"/>
        </w:rPr>
        <w:t>Certain assets and liabilities are carried at fair value under U.S. GAAP. Fair value is defined as the exchange price that would be received for an asset or paid to transfer a liability (an exit price) in the principal or most advantageous market for the asset or liability in an orderly transaction between market participants on the measurement date. Valuation techniques used to measure fair value maximize the use of observable inputs and minimize the use of unobservable inputs. Financial assets and liabilities carried at fair value are to be classified and disclosed in one of the</w:t>
      </w:r>
    </w:p>
    <w:p>
      <w:pPr>
        <w:sectPr>
          <w:pgSz w:w="11900" w:h="16838" w:orient="portrait"/>
          <w:cols w:equalWidth="0" w:num="1">
            <w:col w:w="9019"/>
          </w:cols>
          <w:pgMar w:left="1440" w:top="125" w:right="1440" w:bottom="12" w:gutter="0" w:footer="0" w:header="0"/>
        </w:sectPr>
      </w:pPr>
    </w:p>
    <w:bookmarkStart w:id="100" w:name="page101"/>
    <w:bookmarkEnd w:id="100"/>
    <w:p>
      <w:pPr>
        <w:jc w:val="center"/>
        <w:spacing w:after="0"/>
        <w:rPr>
          <w:sz w:val="20"/>
          <w:szCs w:val="20"/>
          <w:color w:val="auto"/>
        </w:rPr>
      </w:pPr>
      <w:r>
        <w:rPr>
          <w:rFonts w:ascii="Arial" w:cs="Arial" w:eastAsia="Arial" w:hAnsi="Arial"/>
          <w:sz w:val="16"/>
          <w:szCs w:val="16"/>
          <w:color w:val="auto"/>
        </w:rPr>
        <w:t>F-12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786765</wp:posOffset>
            </wp:positionH>
            <wp:positionV relativeFrom="paragraph">
              <wp:posOffset>97790</wp:posOffset>
            </wp:positionV>
            <wp:extent cx="4159250" cy="2603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36">
                      <a:extLst>
                        <a:ext uri="{28A0092B-C50C-407E-A947-70E740481C1C}"/>
                      </a:extLst>
                    </a:blip>
                    <a:srcRect/>
                    <a:stretch>
                      <a:fillRect/>
                    </a:stretch>
                  </pic:blipFill>
                  <pic:spPr bwMode="auto">
                    <a:xfrm>
                      <a:off x="0" y="0"/>
                      <a:ext cx="415925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101" w:name="page102"/>
    <w:bookmarkEnd w:id="101"/>
    <w:p>
      <w:pPr>
        <w:ind w:left="124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1240" w:right="1579"/>
        <w:spacing w:after="0" w:line="277" w:lineRule="auto"/>
        <w:rPr>
          <w:sz w:val="20"/>
          <w:szCs w:val="20"/>
          <w:color w:val="auto"/>
        </w:rPr>
      </w:pPr>
      <w:r>
        <w:rPr>
          <w:rFonts w:ascii="Arial" w:cs="Arial" w:eastAsia="Arial" w:hAnsi="Arial"/>
          <w:sz w:val="18"/>
          <w:szCs w:val="18"/>
          <w:color w:val="auto"/>
        </w:rPr>
        <w:t>following three levels of the fair value hierarchy, of which the first two are considered observable and the last is considered unobservable:</w:t>
      </w:r>
    </w:p>
    <w:p>
      <w:pPr>
        <w:spacing w:after="0" w:line="170" w:lineRule="exact"/>
        <w:rPr>
          <w:sz w:val="20"/>
          <w:szCs w:val="20"/>
          <w:color w:val="auto"/>
        </w:rPr>
      </w:pPr>
    </w:p>
    <w:p>
      <w:pPr>
        <w:ind w:left="2200" w:hanging="319"/>
        <w:spacing w:after="0"/>
        <w:tabs>
          <w:tab w:leader="none" w:pos="2200" w:val="left"/>
        </w:tabs>
        <w:numPr>
          <w:ilvl w:val="0"/>
          <w:numId w:val="33"/>
        </w:numPr>
        <w:rPr>
          <w:rFonts w:ascii="Arial" w:cs="Arial" w:eastAsia="Arial" w:hAnsi="Arial"/>
          <w:sz w:val="17"/>
          <w:szCs w:val="17"/>
          <w:color w:val="auto"/>
        </w:rPr>
      </w:pPr>
      <w:r>
        <w:rPr>
          <w:rFonts w:ascii="Arial" w:cs="Arial" w:eastAsia="Arial" w:hAnsi="Arial"/>
          <w:sz w:val="17"/>
          <w:szCs w:val="17"/>
          <w:color w:val="auto"/>
        </w:rPr>
        <w:t>Level 1—Quoted prices in active markets for identical assets or liabilities.</w:t>
      </w:r>
    </w:p>
    <w:p>
      <w:pPr>
        <w:spacing w:after="0" w:line="236" w:lineRule="exact"/>
        <w:rPr>
          <w:rFonts w:ascii="Arial" w:cs="Arial" w:eastAsia="Arial" w:hAnsi="Arial"/>
          <w:sz w:val="17"/>
          <w:szCs w:val="17"/>
          <w:color w:val="auto"/>
        </w:rPr>
      </w:pPr>
    </w:p>
    <w:p>
      <w:pPr>
        <w:ind w:left="2200" w:right="1299" w:hanging="319"/>
        <w:spacing w:after="0" w:line="257" w:lineRule="auto"/>
        <w:tabs>
          <w:tab w:leader="none" w:pos="2200" w:val="left"/>
        </w:tabs>
        <w:numPr>
          <w:ilvl w:val="0"/>
          <w:numId w:val="33"/>
        </w:numPr>
        <w:rPr>
          <w:rFonts w:ascii="Arial" w:cs="Arial" w:eastAsia="Arial" w:hAnsi="Arial"/>
          <w:sz w:val="18"/>
          <w:szCs w:val="18"/>
          <w:color w:val="auto"/>
        </w:rPr>
      </w:pPr>
      <w:r>
        <w:rPr>
          <w:rFonts w:ascii="Arial" w:cs="Arial" w:eastAsia="Arial" w:hAnsi="Arial"/>
          <w:sz w:val="18"/>
          <w:szCs w:val="18"/>
          <w:color w:val="auto"/>
        </w:rPr>
        <w:t>Level 2—Observable inputs (other than Level 1 quoted prices), such as quoted prices in active markets for similar assets or liabilities, quoted prices in markets that are not active for identical or similar assets or liabilities, or other inputs that are observable or can be corroborated by observable market data.</w:t>
      </w:r>
    </w:p>
    <w:p>
      <w:pPr>
        <w:spacing w:after="0" w:line="188" w:lineRule="exact"/>
        <w:rPr>
          <w:rFonts w:ascii="Arial" w:cs="Arial" w:eastAsia="Arial" w:hAnsi="Arial"/>
          <w:sz w:val="18"/>
          <w:szCs w:val="18"/>
          <w:color w:val="auto"/>
        </w:rPr>
      </w:pPr>
    </w:p>
    <w:p>
      <w:pPr>
        <w:ind w:left="2200" w:right="1379" w:hanging="319"/>
        <w:spacing w:after="0" w:line="259" w:lineRule="auto"/>
        <w:tabs>
          <w:tab w:leader="none" w:pos="2200" w:val="left"/>
        </w:tabs>
        <w:numPr>
          <w:ilvl w:val="0"/>
          <w:numId w:val="33"/>
        </w:numPr>
        <w:rPr>
          <w:rFonts w:ascii="Arial" w:cs="Arial" w:eastAsia="Arial" w:hAnsi="Arial"/>
          <w:sz w:val="18"/>
          <w:szCs w:val="18"/>
          <w:color w:val="auto"/>
        </w:rPr>
      </w:pPr>
      <w:r>
        <w:rPr>
          <w:rFonts w:ascii="Arial" w:cs="Arial" w:eastAsia="Arial" w:hAnsi="Arial"/>
          <w:sz w:val="18"/>
          <w:szCs w:val="18"/>
          <w:color w:val="auto"/>
        </w:rPr>
        <w:t>Level 3—Unobservable inputs that are supported by little or no market activity and that are significant to determining the fair value of the assets or liabilities, including pricing models, discounted cash flow methodologies and similar techniques.</w:t>
      </w:r>
    </w:p>
    <w:p>
      <w:pPr>
        <w:spacing w:after="0" w:line="187" w:lineRule="exact"/>
        <w:rPr>
          <w:sz w:val="20"/>
          <w:szCs w:val="20"/>
          <w:color w:val="auto"/>
        </w:rPr>
      </w:pPr>
    </w:p>
    <w:p>
      <w:pPr>
        <w:ind w:left="1240" w:right="1279" w:firstLine="648"/>
        <w:spacing w:after="0" w:line="293" w:lineRule="auto"/>
        <w:rPr>
          <w:sz w:val="20"/>
          <w:szCs w:val="20"/>
          <w:color w:val="auto"/>
        </w:rPr>
      </w:pPr>
      <w:r>
        <w:rPr>
          <w:rFonts w:ascii="Arial" w:cs="Arial" w:eastAsia="Arial" w:hAnsi="Arial"/>
          <w:sz w:val="16"/>
          <w:szCs w:val="16"/>
          <w:color w:val="auto"/>
        </w:rPr>
        <w:t>The Company’s foreign exchange derivative assets and liabilities are carried at fair value determined according to the fair value hierarchy described above (Note 11). The carrying value of accounts receivable, accounts payable and accrued expenses approximates fair value due to the short-term nature of these assets and liabilities. The Company adopted the fair value measurement disclosures for nonfinancial assets and liabilities, such as goodwill and indefinite-lived intangible assets.</w:t>
      </w:r>
    </w:p>
    <w:p>
      <w:pPr>
        <w:spacing w:after="0" w:line="165" w:lineRule="exact"/>
        <w:rPr>
          <w:sz w:val="20"/>
          <w:szCs w:val="20"/>
          <w:color w:val="auto"/>
        </w:rPr>
      </w:pPr>
    </w:p>
    <w:p>
      <w:pPr>
        <w:ind w:left="1240" w:right="1259" w:firstLine="648"/>
        <w:spacing w:after="0" w:line="297" w:lineRule="auto"/>
        <w:rPr>
          <w:sz w:val="20"/>
          <w:szCs w:val="20"/>
          <w:color w:val="auto"/>
        </w:rPr>
      </w:pPr>
      <w:r>
        <w:rPr>
          <w:rFonts w:ascii="Arial" w:cs="Arial" w:eastAsia="Arial" w:hAnsi="Arial"/>
          <w:sz w:val="16"/>
          <w:szCs w:val="16"/>
          <w:color w:val="auto"/>
        </w:rPr>
        <w:t>In some instances where a market price is available, but the instrument is in an inactive or over-the-counter market, the Company consistently applies the dealer (market maker) pricing estimate and uses a midpoint approach on bid and ask prices from financial institutions to determine the reasonableness of these estimates. Assets and liabilities subject to this fair value valuation approach are typically classified as Level 2.</w:t>
      </w:r>
    </w:p>
    <w:p>
      <w:pPr>
        <w:spacing w:after="0" w:line="154"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Pension and Other Postretirement Benefit Plans</w:t>
      </w:r>
    </w:p>
    <w:p>
      <w:pPr>
        <w:spacing w:after="0" w:line="229" w:lineRule="exact"/>
        <w:rPr>
          <w:sz w:val="20"/>
          <w:szCs w:val="20"/>
          <w:color w:val="auto"/>
        </w:rPr>
      </w:pPr>
    </w:p>
    <w:p>
      <w:pPr>
        <w:ind w:left="1240" w:right="1279" w:firstLine="648"/>
        <w:spacing w:after="0" w:line="312" w:lineRule="auto"/>
        <w:rPr>
          <w:sz w:val="20"/>
          <w:szCs w:val="20"/>
          <w:color w:val="auto"/>
        </w:rPr>
      </w:pPr>
      <w:r>
        <w:rPr>
          <w:rFonts w:ascii="Arial" w:cs="Arial" w:eastAsia="Arial" w:hAnsi="Arial"/>
          <w:sz w:val="16"/>
          <w:szCs w:val="16"/>
          <w:color w:val="auto"/>
        </w:rPr>
        <w:t>The Company provides U.S. and foreign defined benefit and defined contribution plans to eligible employees and postretirement benefits to certain retirees, including pensions, postretirement healthcare benefits and other postretirement benefits.</w:t>
      </w:r>
    </w:p>
    <w:p>
      <w:pPr>
        <w:spacing w:after="0" w:line="147" w:lineRule="exact"/>
        <w:rPr>
          <w:sz w:val="20"/>
          <w:szCs w:val="20"/>
          <w:color w:val="auto"/>
        </w:rPr>
      </w:pPr>
    </w:p>
    <w:p>
      <w:pPr>
        <w:ind w:left="1240" w:right="1219" w:firstLine="648"/>
        <w:spacing w:after="0" w:line="284" w:lineRule="auto"/>
        <w:rPr>
          <w:sz w:val="20"/>
          <w:szCs w:val="20"/>
          <w:color w:val="auto"/>
        </w:rPr>
      </w:pPr>
      <w:r>
        <w:rPr>
          <w:rFonts w:ascii="Arial" w:cs="Arial" w:eastAsia="Arial" w:hAnsi="Arial"/>
          <w:sz w:val="16"/>
          <w:szCs w:val="16"/>
          <w:color w:val="auto"/>
        </w:rPr>
        <w:t>Plan assets and obligations are measured using various actuarial assumptions, such as discount rates, rate of compensation increase, mortality rates, turnover rates and health care cost trend rates, as determined at each year end measurement date. The measurement of net periodic benefit cost is based on various actuarial assumptions, including discount rates, expected return on plan assets and rate of compensation increase, which are determined as of the prior year measurement date. The determination of the discount rate is generally based on an index created from a hypothetical bond portfolio consisting of high-quality fixed income securities with durations that match the timing of expected benefit payments. The expected return on plan assets is determined based on several factors, including adjusted historical returns, historical risk premiums for various asset classes and target asset allocations within the portfolio. Adjustments made to the historical returns are based on recent return experience in the equity and fixed income markets and the belief that deviations from historical returns are likely over the relevant investment horizon. Actual cost is also dependent on various other factors related to the employees covered by these plans. The effects of actuarial deviations from assumptions are generally accumulated and, if over a specified corridor, amortized over the remaining service period of the employees. The cost or benefit of plan changes, such as increasing or decreasing benefits for prior employee service (prior service cost), is deferred and included in expense on a straight-line basis over the average remaining service period of the related employees. The Company's actuarial assumptions are reviewed on an annual basis and modified when appropriate.</w:t>
      </w:r>
    </w:p>
    <w:p>
      <w:pPr>
        <w:spacing w:after="0" w:line="182" w:lineRule="exact"/>
        <w:rPr>
          <w:sz w:val="20"/>
          <w:szCs w:val="20"/>
          <w:color w:val="auto"/>
        </w:rPr>
      </w:pPr>
    </w:p>
    <w:p>
      <w:pPr>
        <w:ind w:left="1240" w:right="1219" w:firstLine="648"/>
        <w:spacing w:after="0" w:line="287" w:lineRule="auto"/>
        <w:rPr>
          <w:sz w:val="20"/>
          <w:szCs w:val="20"/>
          <w:color w:val="auto"/>
        </w:rPr>
      </w:pPr>
      <w:r>
        <w:rPr>
          <w:rFonts w:ascii="Arial" w:cs="Arial" w:eastAsia="Arial" w:hAnsi="Arial"/>
          <w:sz w:val="16"/>
          <w:szCs w:val="16"/>
          <w:color w:val="auto"/>
        </w:rPr>
        <w:t>To calculate the U.S. pension and postretirement benefit plan expense in 2017, the Company applied the individual spot rates along the yield curve that correspond with the timing of each future cash outflow for the benefit payments in order to calculate interest cost and service cost. Prior to 2017, the service cost and interest cost components were determined using a single weighted-average discount rate. The change does not affect the measurement of the total benefit plan obligations, as the change in the service cost and interest cost offsets in the actuarial gains and losses recorded in other comprehensive income. The Company changed to the new method to provide a more precise measure of service and interest cost by improving the correlation between the projected benefit cash flows and the discrete spot yield curve rates. The Company accounted for this change as a change in estimate prospectively beginning in 2017.</w:t>
      </w:r>
    </w:p>
    <w:p>
      <w:pPr>
        <w:sectPr>
          <w:pgSz w:w="11900" w:h="16838" w:orient="portrait"/>
          <w:cols w:equalWidth="0" w:num="1">
            <w:col w:w="9019"/>
          </w:cols>
          <w:pgMar w:left="1440" w:top="125" w:right="1440" w:bottom="82" w:gutter="0" w:footer="0" w:header="0"/>
        </w:sectPr>
      </w:pPr>
    </w:p>
    <w:p>
      <w:pPr>
        <w:spacing w:after="0" w:line="38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F-13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786765</wp:posOffset>
            </wp:positionH>
            <wp:positionV relativeFrom="paragraph">
              <wp:posOffset>97790</wp:posOffset>
            </wp:positionV>
            <wp:extent cx="4159250" cy="2603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37">
                      <a:extLst>
                        <a:ext uri="{28A0092B-C50C-407E-A947-70E740481C1C}"/>
                      </a:extLst>
                    </a:blip>
                    <a:srcRect/>
                    <a:stretch>
                      <a:fillRect/>
                    </a:stretch>
                  </pic:blipFill>
                  <pic:spPr bwMode="auto">
                    <a:xfrm>
                      <a:off x="0" y="0"/>
                      <a:ext cx="4159250" cy="26035"/>
                    </a:xfrm>
                    <a:prstGeom prst="rect">
                      <a:avLst/>
                    </a:prstGeom>
                    <a:noFill/>
                  </pic:spPr>
                </pic:pic>
              </a:graphicData>
            </a:graphic>
          </wp:anchor>
        </w:drawing>
      </w:r>
    </w:p>
    <w:p>
      <w:pPr>
        <w:sectPr>
          <w:pgSz w:w="11900" w:h="16838" w:orient="portrait"/>
          <w:cols w:equalWidth="0" w:num="1">
            <w:col w:w="9019"/>
          </w:cols>
          <w:pgMar w:left="1440" w:top="125" w:right="1440" w:bottom="82" w:gutter="0" w:footer="0" w:header="0"/>
          <w:type w:val="continuous"/>
        </w:sectPr>
      </w:pPr>
    </w:p>
    <w:bookmarkStart w:id="102" w:name="page103"/>
    <w:bookmarkEnd w:id="102"/>
    <w:p>
      <w:pPr>
        <w:spacing w:after="0" w:line="20" w:lineRule="exact"/>
        <w:rPr>
          <w:sz w:val="20"/>
          <w:szCs w:val="20"/>
          <w:color w:val="auto"/>
        </w:rPr>
      </w:pPr>
    </w:p>
    <w:p>
      <w:pPr>
        <w:sectPr>
          <w:pgSz w:w="11900" w:h="16838" w:orient="portrait"/>
          <w:cols w:equalWidth="1" w:num="1" w:space="0"/>
          <w:pgMar w:left="1440" w:top="1440" w:right="1440" w:bottom="875" w:gutter="0" w:footer="0" w:header="0"/>
        </w:sectPr>
      </w:pPr>
    </w:p>
    <w:bookmarkStart w:id="103" w:name="page104"/>
    <w:bookmarkEnd w:id="103"/>
    <w:p>
      <w:pPr>
        <w:ind w:left="124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Income Taxes</w:t>
      </w:r>
    </w:p>
    <w:p>
      <w:pPr>
        <w:spacing w:after="0" w:line="229" w:lineRule="exact"/>
        <w:rPr>
          <w:sz w:val="20"/>
          <w:szCs w:val="20"/>
          <w:color w:val="auto"/>
        </w:rPr>
      </w:pPr>
    </w:p>
    <w:p>
      <w:pPr>
        <w:ind w:left="1240" w:right="1239" w:firstLine="648"/>
        <w:spacing w:after="0" w:line="290" w:lineRule="auto"/>
        <w:rPr>
          <w:sz w:val="20"/>
          <w:szCs w:val="20"/>
          <w:color w:val="auto"/>
        </w:rPr>
      </w:pPr>
      <w:r>
        <w:rPr>
          <w:rFonts w:ascii="Arial" w:cs="Arial" w:eastAsia="Arial" w:hAnsi="Arial"/>
          <w:sz w:val="16"/>
          <w:szCs w:val="16"/>
          <w:color w:val="auto"/>
        </w:rPr>
        <w:t>The Company accounts for income taxes using the asset and liability method, which requires the recognition of deferred tax assets and liabilities for the expected future tax consequences of temporary differences between consolidated financial statement carrying amounts and tax basis amounts enacted tax rates expected to be in effect when the temporary differences reverse. A valuation allowance is recorded to reduce deferred income tax assets when it is more-likely-than-not that such assets will not be realized. Potential for recovery of deferred tax assets is evaluated by estimating the future taxable profits expected and considering prudent and feasible tax planning strategies.</w:t>
      </w:r>
    </w:p>
    <w:p>
      <w:pPr>
        <w:spacing w:after="0" w:line="166" w:lineRule="exact"/>
        <w:rPr>
          <w:sz w:val="20"/>
          <w:szCs w:val="20"/>
          <w:color w:val="auto"/>
        </w:rPr>
      </w:pPr>
    </w:p>
    <w:p>
      <w:pPr>
        <w:ind w:left="1240" w:right="1259" w:firstLine="648"/>
        <w:spacing w:after="0" w:line="285" w:lineRule="auto"/>
        <w:rPr>
          <w:sz w:val="20"/>
          <w:szCs w:val="20"/>
          <w:color w:val="auto"/>
        </w:rPr>
      </w:pPr>
      <w:r>
        <w:rPr>
          <w:rFonts w:ascii="Arial" w:cs="Arial" w:eastAsia="Arial" w:hAnsi="Arial"/>
          <w:sz w:val="16"/>
          <w:szCs w:val="16"/>
          <w:color w:val="auto"/>
        </w:rPr>
        <w:t>The Company records liabilities for uncertain income tax positions based on the two step process. The first step is recognition, where an individual tax position is evaluated as to whether it has a likelihood of greater than 50% of being sustained upon examination based on the technical merits of the position, including resolution of any related appeals or litigation processes. For tax positions that are currently estimated to have a less than 50% likelihood of being sustained, no tax benefit is recorded. For tax positions that have met the recognition threshold in the first step, the Company performs the second step of measuring the benefit to be recorded. The amount of the benefit that may be recognized is the largest amount that has a greater than 50% likelihood of being realized on ultimate settlement. The actual benefits ultimately realized may differ from the estimates. In future periods, changes in facts, circumstances, and new information may require the Company to change the recognition and measurement estimates with regard to individual tax positions. Changes in recognition and measurement estimates are recorded in income tax expense and liability in the period in which such changes occur. The Company recognizes accrued interest and penalties related to unrecognized tax benefits in the provision for income taxes on the consolidated statements of income.</w:t>
      </w:r>
    </w:p>
    <w:p>
      <w:pPr>
        <w:spacing w:after="0" w:line="178" w:lineRule="exact"/>
        <w:rPr>
          <w:sz w:val="20"/>
          <w:szCs w:val="20"/>
          <w:color w:val="auto"/>
        </w:rPr>
      </w:pPr>
    </w:p>
    <w:p>
      <w:pPr>
        <w:ind w:left="1240" w:right="1359" w:firstLine="648"/>
        <w:spacing w:after="0" w:line="271" w:lineRule="auto"/>
        <w:rPr>
          <w:sz w:val="20"/>
          <w:szCs w:val="20"/>
          <w:color w:val="auto"/>
        </w:rPr>
      </w:pPr>
      <w:r>
        <w:rPr>
          <w:rFonts w:ascii="Arial" w:cs="Arial" w:eastAsia="Arial" w:hAnsi="Arial"/>
          <w:sz w:val="17"/>
          <w:szCs w:val="17"/>
          <w:color w:val="auto"/>
        </w:rPr>
        <w:t>Beam has indemnified certain tax obligations that relate to periods during which Fortune Brands, Inc. owned Acushnet Company (Note 13). These estimated tax obligations are recorded in accrued taxes and other noncurrent liabilities, and the related indemnification receivable is recorded in other current and noncurrent assets on the consolidated balance sheet. Any changes in the value of these specifically identified tax obligations are recorded in the period identified in income tax expense and the related change in the indemnification asset is recorded in other (income) expense, net on the consolidated statement of operations.</w:t>
      </w:r>
    </w:p>
    <w:p>
      <w:pPr>
        <w:spacing w:after="0" w:line="175"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Revenue Recognition</w:t>
      </w:r>
    </w:p>
    <w:p>
      <w:pPr>
        <w:spacing w:after="0" w:line="229" w:lineRule="exact"/>
        <w:rPr>
          <w:sz w:val="20"/>
          <w:szCs w:val="20"/>
          <w:color w:val="auto"/>
        </w:rPr>
      </w:pPr>
    </w:p>
    <w:p>
      <w:pPr>
        <w:ind w:left="1240" w:right="1239" w:firstLine="648"/>
        <w:spacing w:after="0" w:line="288" w:lineRule="auto"/>
        <w:rPr>
          <w:sz w:val="20"/>
          <w:szCs w:val="20"/>
          <w:color w:val="auto"/>
        </w:rPr>
      </w:pPr>
      <w:r>
        <w:rPr>
          <w:rFonts w:ascii="Arial" w:cs="Arial" w:eastAsia="Arial" w:hAnsi="Arial"/>
          <w:sz w:val="16"/>
          <w:szCs w:val="16"/>
          <w:color w:val="auto"/>
        </w:rPr>
        <w:t>Revenue is recognized upon shipment or upon receipt by the customer depending on the country of the sale and the agreement with the customer, net of allowances for discounts, sales returns, customer sales incentives and cooperative advertising. The criteria for recognition of revenue is met when persuasive evidence that an arrangement exists, both title and risk of loss have passed to the customer, the price is fixed or determinable and collectability is reasonably assured. In circumstances where either title or risk of loss pass upon receipt by the customer, revenue is deferred until such event occurs based on an estimate of the shipping time from the Company's distribution centers to the customer using historical and expected delivery times by geographic location. Amounts billed to customers for shipping and handling are included in net sales.</w:t>
      </w:r>
    </w:p>
    <w:p>
      <w:pPr>
        <w:spacing w:after="0" w:line="165"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Customer Sales Incentives</w:t>
      </w:r>
    </w:p>
    <w:p>
      <w:pPr>
        <w:spacing w:after="0" w:line="229" w:lineRule="exact"/>
        <w:rPr>
          <w:sz w:val="20"/>
          <w:szCs w:val="20"/>
          <w:color w:val="auto"/>
        </w:rPr>
      </w:pPr>
    </w:p>
    <w:p>
      <w:pPr>
        <w:ind w:left="1240" w:right="1339" w:firstLine="648"/>
        <w:spacing w:after="0" w:line="291" w:lineRule="auto"/>
        <w:rPr>
          <w:sz w:val="20"/>
          <w:szCs w:val="20"/>
          <w:color w:val="auto"/>
        </w:rPr>
      </w:pPr>
      <w:r>
        <w:rPr>
          <w:rFonts w:ascii="Arial" w:cs="Arial" w:eastAsia="Arial" w:hAnsi="Arial"/>
          <w:sz w:val="16"/>
          <w:szCs w:val="16"/>
          <w:color w:val="auto"/>
        </w:rPr>
        <w:t>The Company offers customer sales incentives, including off-invoice discounts and sales-based rebate programs, to its customers which are primarily accounted for as a reduction in sales at the time the revenue is recognized. Sales-based rebates are estimated using assumptions related to the percentage of customers who will achieve qualifying purchase goals and the level of achievement. These assumptions are based on historical experience, current year program design, current marketplace conditions and sales forecasts, including considerations of product life cycles.</w:t>
      </w:r>
    </w:p>
    <w:p>
      <w:pPr>
        <w:spacing w:after="0" w:line="163"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Cost of Goods Sold</w:t>
      </w:r>
    </w:p>
    <w:p>
      <w:pPr>
        <w:spacing w:after="0" w:line="229" w:lineRule="exact"/>
        <w:rPr>
          <w:sz w:val="20"/>
          <w:szCs w:val="20"/>
          <w:color w:val="auto"/>
        </w:rPr>
      </w:pPr>
    </w:p>
    <w:p>
      <w:pPr>
        <w:jc w:val="both"/>
        <w:ind w:left="1240" w:right="1319" w:firstLine="648"/>
        <w:spacing w:after="0" w:line="259" w:lineRule="auto"/>
        <w:rPr>
          <w:sz w:val="20"/>
          <w:szCs w:val="20"/>
          <w:color w:val="auto"/>
        </w:rPr>
      </w:pPr>
      <w:r>
        <w:rPr>
          <w:rFonts w:ascii="Arial" w:cs="Arial" w:eastAsia="Arial" w:hAnsi="Arial"/>
          <w:sz w:val="18"/>
          <w:szCs w:val="18"/>
          <w:color w:val="auto"/>
        </w:rPr>
        <w:t>Cost of goods sold includes all costs to make products saleable, such as inbound freight, purchasing and receiving costs, inspection costs and transfer costs. In addition, all depreciation expense associated with assets used to manufacture products and make them saleable is included in cost of goods sold.</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786765</wp:posOffset>
            </wp:positionH>
            <wp:positionV relativeFrom="paragraph">
              <wp:posOffset>83185</wp:posOffset>
            </wp:positionV>
            <wp:extent cx="4159250" cy="2603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38">
                      <a:extLst>
                        <a:ext uri="{28A0092B-C50C-407E-A947-70E740481C1C}"/>
                      </a:extLst>
                    </a:blip>
                    <a:srcRect/>
                    <a:stretch>
                      <a:fillRect/>
                    </a:stretch>
                  </pic:blipFill>
                  <pic:spPr bwMode="auto">
                    <a:xfrm>
                      <a:off x="0" y="0"/>
                      <a:ext cx="4159250" cy="26035"/>
                    </a:xfrm>
                    <a:prstGeom prst="rect">
                      <a:avLst/>
                    </a:prstGeom>
                    <a:noFill/>
                  </pic:spPr>
                </pic:pic>
              </a:graphicData>
            </a:graphic>
          </wp:anchor>
        </w:drawing>
      </w:r>
    </w:p>
    <w:p>
      <w:pPr>
        <w:sectPr>
          <w:pgSz w:w="11900" w:h="16838" w:orient="portrait"/>
          <w:cols w:equalWidth="0" w:num="1">
            <w:col w:w="9019"/>
          </w:cols>
          <w:pgMar w:left="1440" w:top="125" w:right="1440" w:bottom="491" w:gutter="0" w:footer="0" w:header="0"/>
        </w:sectPr>
      </w:pPr>
    </w:p>
    <w:bookmarkStart w:id="104" w:name="page105"/>
    <w:bookmarkEnd w:id="104"/>
    <w:p>
      <w:pPr>
        <w:ind w:left="124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Product Warranty</w:t>
      </w:r>
    </w:p>
    <w:p>
      <w:pPr>
        <w:spacing w:after="0" w:line="229" w:lineRule="exact"/>
        <w:rPr>
          <w:sz w:val="20"/>
          <w:szCs w:val="20"/>
          <w:color w:val="auto"/>
        </w:rPr>
      </w:pPr>
    </w:p>
    <w:p>
      <w:pPr>
        <w:ind w:left="1240" w:right="1219" w:firstLine="648"/>
        <w:spacing w:after="0" w:line="290" w:lineRule="auto"/>
        <w:rPr>
          <w:sz w:val="20"/>
          <w:szCs w:val="20"/>
          <w:color w:val="auto"/>
        </w:rPr>
      </w:pPr>
      <w:r>
        <w:rPr>
          <w:rFonts w:ascii="Arial" w:cs="Arial" w:eastAsia="Arial" w:hAnsi="Arial"/>
          <w:sz w:val="16"/>
          <w:szCs w:val="16"/>
          <w:color w:val="auto"/>
        </w:rPr>
        <w:t>The Company has defined warranties ranging from one to two years. Products covered by the defined warranty policies include all Titleist golf products, FootJoy golf shoes, and FootJoy golf outerwear. These product warranties generally obligate the Company to pay for the cost of replacement products, including the cost of shipping replacement products to its customers. The estimated cost of satisfying future warranty claims is accrued at the time the sale is recorded. In estimating future warranty obligations, the Company considers various factors, including its warranty policies and practices, the historical frequency of claims, and the cost to replace or repair products under warranty.</w:t>
      </w:r>
    </w:p>
    <w:p>
      <w:pPr>
        <w:spacing w:after="0" w:line="162"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Advertising and Promotion</w:t>
      </w:r>
    </w:p>
    <w:p>
      <w:pPr>
        <w:spacing w:after="0" w:line="229" w:lineRule="exact"/>
        <w:rPr>
          <w:sz w:val="20"/>
          <w:szCs w:val="20"/>
          <w:color w:val="auto"/>
        </w:rPr>
      </w:pPr>
    </w:p>
    <w:p>
      <w:pPr>
        <w:ind w:left="1240" w:right="1359" w:firstLine="648"/>
        <w:spacing w:after="0" w:line="284" w:lineRule="auto"/>
        <w:rPr>
          <w:sz w:val="20"/>
          <w:szCs w:val="20"/>
          <w:color w:val="auto"/>
        </w:rPr>
      </w:pPr>
      <w:r>
        <w:rPr>
          <w:rFonts w:ascii="Arial" w:cs="Arial" w:eastAsia="Arial" w:hAnsi="Arial"/>
          <w:sz w:val="16"/>
          <w:szCs w:val="16"/>
          <w:color w:val="auto"/>
        </w:rPr>
        <w:t>Advertising and promotional costs are included in selling, general and administrative expense on the consolidated statement of operations and include product endorsement arrangements with members of the various professional golf tours, media placement and production costs (television, print and internet), tour support expenses and point-of-sale materials. Advertising production costs are expensed as incurred. Media placement costs are expensed in the month the advertising appears. Product endorsement arrangements are expensed based upon the specific provisions of player contracts. Advertising and promotional expense was $192.7 million, $196.0 million and</w:t>
      </w:r>
    </w:p>
    <w:p>
      <w:pPr>
        <w:spacing w:after="0" w:line="1" w:lineRule="exact"/>
        <w:rPr>
          <w:sz w:val="20"/>
          <w:szCs w:val="20"/>
          <w:color w:val="auto"/>
        </w:rPr>
      </w:pPr>
    </w:p>
    <w:p>
      <w:pPr>
        <w:ind w:left="1240"/>
        <w:spacing w:after="0"/>
        <w:rPr>
          <w:sz w:val="20"/>
          <w:szCs w:val="20"/>
          <w:color w:val="auto"/>
        </w:rPr>
      </w:pPr>
      <w:r>
        <w:rPr>
          <w:rFonts w:ascii="Arial" w:cs="Arial" w:eastAsia="Arial" w:hAnsi="Arial"/>
          <w:sz w:val="17"/>
          <w:szCs w:val="17"/>
          <w:color w:val="auto"/>
        </w:rPr>
        <w:t>$203.3 million for the years ended December 31, 2017, 2016 and 2015, respectively.</w:t>
      </w:r>
    </w:p>
    <w:p>
      <w:pPr>
        <w:spacing w:after="0" w:line="218"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Selling</w:t>
      </w:r>
    </w:p>
    <w:p>
      <w:pPr>
        <w:spacing w:after="0" w:line="229" w:lineRule="exact"/>
        <w:rPr>
          <w:sz w:val="20"/>
          <w:szCs w:val="20"/>
          <w:color w:val="auto"/>
        </w:rPr>
      </w:pPr>
    </w:p>
    <w:p>
      <w:pPr>
        <w:ind w:left="1240" w:right="1639" w:firstLine="648"/>
        <w:spacing w:after="0" w:line="276" w:lineRule="auto"/>
        <w:rPr>
          <w:sz w:val="20"/>
          <w:szCs w:val="20"/>
          <w:color w:val="auto"/>
        </w:rPr>
      </w:pPr>
      <w:r>
        <w:rPr>
          <w:rFonts w:ascii="Arial" w:cs="Arial" w:eastAsia="Arial" w:hAnsi="Arial"/>
          <w:sz w:val="17"/>
          <w:szCs w:val="17"/>
          <w:color w:val="auto"/>
        </w:rPr>
        <w:t>Selling expenses including field sales, sales administration and shipping and handling costs are included in selling, general and administrative expense on the consolidated statement of operations. Shipping and handling costs included in selling expenses were $32.5 million, $32.4 million and $32.6 million for the years ended December 31, 2017, 2016 and 2015, respectively.</w:t>
      </w:r>
    </w:p>
    <w:p>
      <w:pPr>
        <w:spacing w:after="0" w:line="169"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Research and Development</w:t>
      </w:r>
    </w:p>
    <w:p>
      <w:pPr>
        <w:spacing w:after="0" w:line="229" w:lineRule="exact"/>
        <w:rPr>
          <w:sz w:val="20"/>
          <w:szCs w:val="20"/>
          <w:color w:val="auto"/>
        </w:rPr>
      </w:pPr>
    </w:p>
    <w:p>
      <w:pPr>
        <w:ind w:left="1240" w:right="1459" w:firstLine="648"/>
        <w:spacing w:after="0" w:line="264" w:lineRule="auto"/>
        <w:rPr>
          <w:sz w:val="20"/>
          <w:szCs w:val="20"/>
          <w:color w:val="auto"/>
        </w:rPr>
      </w:pPr>
      <w:r>
        <w:rPr>
          <w:rFonts w:ascii="Arial" w:cs="Arial" w:eastAsia="Arial" w:hAnsi="Arial"/>
          <w:sz w:val="18"/>
          <w:szCs w:val="18"/>
          <w:color w:val="auto"/>
        </w:rPr>
        <w:t>Research and development expenses include product development, product improvement, product engineering, and process improvement costs and are expensed as incurred.</w:t>
      </w:r>
    </w:p>
    <w:p>
      <w:pPr>
        <w:spacing w:after="0" w:line="177"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Foreign Currency Translation and Transactions</w:t>
      </w:r>
    </w:p>
    <w:p>
      <w:pPr>
        <w:spacing w:after="0" w:line="229" w:lineRule="exact"/>
        <w:rPr>
          <w:sz w:val="20"/>
          <w:szCs w:val="20"/>
          <w:color w:val="auto"/>
        </w:rPr>
      </w:pPr>
    </w:p>
    <w:p>
      <w:pPr>
        <w:ind w:left="1240" w:right="1239" w:firstLine="648"/>
        <w:spacing w:after="0" w:line="288" w:lineRule="auto"/>
        <w:rPr>
          <w:sz w:val="20"/>
          <w:szCs w:val="20"/>
          <w:color w:val="auto"/>
        </w:rPr>
      </w:pPr>
      <w:r>
        <w:rPr>
          <w:rFonts w:ascii="Arial" w:cs="Arial" w:eastAsia="Arial" w:hAnsi="Arial"/>
          <w:sz w:val="16"/>
          <w:szCs w:val="16"/>
          <w:color w:val="auto"/>
        </w:rPr>
        <w:t>Assets and liabilities denominated in foreign currency are translated into U.S. dollars at the actual rates of exchange at the balance sheet date. Revenues and expenses are translated at the average rates of exchange for the reporting period. The related translation adjustments are recorded as a component of accumulated other comprehensive income (loss). Transactions denominated in a currency other than the functional currency are re-measured into functional currency with resulting transaction gains or losses recorded as selling, general and administrative expense on the consolidated statement of operations. Foreign currency transaction gain (loss) included in selling, general and administrative expense was a gain of $4.1 million, a gain of $1.2 million and a loss of $4.7 million for the years ended December 31, 2017, 2016 and 2015, respectively.</w:t>
      </w:r>
    </w:p>
    <w:p>
      <w:pPr>
        <w:spacing w:after="0" w:line="165"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Derivative Financial Instruments</w:t>
      </w:r>
    </w:p>
    <w:p>
      <w:pPr>
        <w:spacing w:after="0" w:line="229" w:lineRule="exact"/>
        <w:rPr>
          <w:sz w:val="20"/>
          <w:szCs w:val="20"/>
          <w:color w:val="auto"/>
        </w:rPr>
      </w:pPr>
    </w:p>
    <w:p>
      <w:pPr>
        <w:ind w:left="1240" w:right="1239" w:firstLine="648"/>
        <w:spacing w:after="0" w:line="270" w:lineRule="auto"/>
        <w:rPr>
          <w:sz w:val="20"/>
          <w:szCs w:val="20"/>
          <w:color w:val="auto"/>
        </w:rPr>
      </w:pPr>
      <w:r>
        <w:rPr>
          <w:rFonts w:ascii="Arial" w:cs="Arial" w:eastAsia="Arial" w:hAnsi="Arial"/>
          <w:sz w:val="17"/>
          <w:szCs w:val="17"/>
          <w:color w:val="auto"/>
        </w:rPr>
        <w:t>All derivatives are recognized as either assets or liabilities on the consolidated balance sheet and measurement of these instruments is at fair value. If the derivative is designated as a fair value hedge, the changes in the fair value of the derivative and of the hedged item attributable to the hedged risk are recognized in earnings in the same period. If the derivative is designated as a cash flow hedge, the effective portions of changes in the fair value of the derivative are recorded as a component of accumulated other comprehensive income (loss) and are recognized in the consolidated statement of operations when the hedged item affects earnings. Any portion of the change in fair value that is determined to be ineffective is immediately recognized in earnings as cost of goods sold.</w:t>
      </w:r>
    </w:p>
    <w:p>
      <w:pPr>
        <w:spacing w:after="0" w:line="178" w:lineRule="exact"/>
        <w:rPr>
          <w:sz w:val="20"/>
          <w:szCs w:val="20"/>
          <w:color w:val="auto"/>
        </w:rPr>
      </w:pPr>
    </w:p>
    <w:p>
      <w:pPr>
        <w:ind w:left="1240" w:right="1359" w:firstLine="648"/>
        <w:spacing w:after="0" w:line="273" w:lineRule="auto"/>
        <w:rPr>
          <w:sz w:val="20"/>
          <w:szCs w:val="20"/>
          <w:color w:val="auto"/>
        </w:rPr>
      </w:pPr>
      <w:r>
        <w:rPr>
          <w:rFonts w:ascii="Arial" w:cs="Arial" w:eastAsia="Arial" w:hAnsi="Arial"/>
          <w:sz w:val="17"/>
          <w:szCs w:val="17"/>
          <w:color w:val="auto"/>
        </w:rPr>
        <w:t>The Company may elect to enter into foreign exchange forwards to mitigate the change in fair value of specific assets and liabilities which do not qualify as hedging instruments under U.S. GAAP. Accordingly, these undesignated instruments are recorded at fair value as a derivative asset or liability with the corresponding change in fair value recognized in selling, general and administrative expense, together with the re-measurement gain or loss from the</w:t>
      </w:r>
    </w:p>
    <w:p>
      <w:pPr>
        <w:sectPr>
          <w:pgSz w:w="11900" w:h="16838" w:orient="portrait"/>
          <w:cols w:equalWidth="0" w:num="1">
            <w:col w:w="9019"/>
          </w:cols>
          <w:pgMar w:left="1440" w:top="125" w:right="1440" w:bottom="0" w:gutter="0" w:footer="0" w:header="0"/>
        </w:sectPr>
      </w:pPr>
    </w:p>
    <w:p>
      <w:pPr>
        <w:spacing w:after="0" w:line="39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F-15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786765</wp:posOffset>
            </wp:positionH>
            <wp:positionV relativeFrom="paragraph">
              <wp:posOffset>97790</wp:posOffset>
            </wp:positionV>
            <wp:extent cx="4159250" cy="2603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39">
                      <a:extLst>
                        <a:ext uri="{28A0092B-C50C-407E-A947-70E740481C1C}"/>
                      </a:extLst>
                    </a:blip>
                    <a:srcRect/>
                    <a:stretch>
                      <a:fillRect/>
                    </a:stretch>
                  </pic:blipFill>
                  <pic:spPr bwMode="auto">
                    <a:xfrm>
                      <a:off x="0" y="0"/>
                      <a:ext cx="4159250" cy="26035"/>
                    </a:xfrm>
                    <a:prstGeom prst="rect">
                      <a:avLst/>
                    </a:prstGeom>
                    <a:noFill/>
                  </pic:spPr>
                </pic:pic>
              </a:graphicData>
            </a:graphic>
          </wp:anchor>
        </w:drawing>
      </w:r>
    </w:p>
    <w:p>
      <w:pPr>
        <w:sectPr>
          <w:pgSz w:w="11900" w:h="16838" w:orient="portrait"/>
          <w:cols w:equalWidth="0" w:num="1">
            <w:col w:w="9019"/>
          </w:cols>
          <w:pgMar w:left="1440" w:top="125" w:right="1440" w:bottom="0" w:gutter="0" w:footer="0" w:header="0"/>
          <w:type w:val="continuous"/>
        </w:sectPr>
      </w:pPr>
    </w:p>
    <w:bookmarkStart w:id="105" w:name="page106"/>
    <w:bookmarkEnd w:id="105"/>
    <w:p>
      <w:pPr>
        <w:spacing w:after="0" w:line="20" w:lineRule="exact"/>
        <w:rPr>
          <w:sz w:val="20"/>
          <w:szCs w:val="20"/>
          <w:color w:val="auto"/>
        </w:rPr>
      </w:pPr>
    </w:p>
    <w:p>
      <w:pPr>
        <w:sectPr>
          <w:pgSz w:w="11900" w:h="16838" w:orient="portrait"/>
          <w:cols w:equalWidth="1" w:num="1" w:space="0"/>
          <w:pgMar w:left="1440" w:top="1440" w:right="1440" w:bottom="875" w:gutter="0" w:footer="0" w:header="0"/>
        </w:sectPr>
      </w:pPr>
    </w:p>
    <w:bookmarkStart w:id="106" w:name="page107"/>
    <w:bookmarkEnd w:id="106"/>
    <w:p>
      <w:pPr>
        <w:ind w:left="124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1240" w:right="1479"/>
        <w:spacing w:after="0" w:line="342" w:lineRule="auto"/>
        <w:rPr>
          <w:sz w:val="20"/>
          <w:szCs w:val="20"/>
          <w:color w:val="auto"/>
        </w:rPr>
      </w:pPr>
      <w:r>
        <w:rPr>
          <w:rFonts w:ascii="Arial" w:cs="Arial" w:eastAsia="Arial" w:hAnsi="Arial"/>
          <w:sz w:val="16"/>
          <w:szCs w:val="16"/>
          <w:color w:val="auto"/>
        </w:rPr>
        <w:t>hedged asset or liability. There were no outstanding foreign exchange forward contracts not designated under hedge accounting as of December 31, 2017 and 2016.</w:t>
      </w:r>
    </w:p>
    <w:p>
      <w:pPr>
        <w:spacing w:after="0" w:line="120"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Share-based Compensation</w:t>
      </w:r>
    </w:p>
    <w:p>
      <w:pPr>
        <w:spacing w:after="0" w:line="229" w:lineRule="exact"/>
        <w:rPr>
          <w:sz w:val="20"/>
          <w:szCs w:val="20"/>
          <w:color w:val="auto"/>
        </w:rPr>
      </w:pPr>
    </w:p>
    <w:p>
      <w:pPr>
        <w:ind w:left="1240" w:right="1259" w:firstLine="648"/>
        <w:spacing w:after="0" w:line="289" w:lineRule="auto"/>
        <w:rPr>
          <w:sz w:val="20"/>
          <w:szCs w:val="20"/>
          <w:color w:val="auto"/>
        </w:rPr>
      </w:pPr>
      <w:r>
        <w:rPr>
          <w:rFonts w:ascii="Arial" w:cs="Arial" w:eastAsia="Arial" w:hAnsi="Arial"/>
          <w:sz w:val="16"/>
          <w:szCs w:val="16"/>
          <w:color w:val="auto"/>
        </w:rPr>
        <w:t>The Company has a share-based compensation plan for employees and non-employee members of the Company's Board of Directors. All awards granted under the plan are measured at fair value at the date of the grant and amortized as expense over the requisite service period of the award, which is generally the vesting period of the respective award. The Company accounts for forfeitures in compensation expense when they occur. The Company issues share-based awards with service-based vesting conditions and performance-based vesting conditions. For awards with performance-based vesting conditions, the measurement of the expense is based on the Company’s level of achievement of the applicable cumulative Adjusted EBITDA performance metrics.</w:t>
      </w:r>
    </w:p>
    <w:p>
      <w:pPr>
        <w:spacing w:after="0" w:line="163"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Equity Appreciation Rights Plan</w:t>
      </w:r>
    </w:p>
    <w:p>
      <w:pPr>
        <w:spacing w:after="0" w:line="229" w:lineRule="exact"/>
        <w:rPr>
          <w:sz w:val="20"/>
          <w:szCs w:val="20"/>
          <w:color w:val="auto"/>
        </w:rPr>
      </w:pPr>
    </w:p>
    <w:p>
      <w:pPr>
        <w:ind w:left="1240" w:right="1359" w:firstLine="648"/>
        <w:spacing w:after="0" w:line="293" w:lineRule="auto"/>
        <w:rPr>
          <w:sz w:val="20"/>
          <w:szCs w:val="20"/>
          <w:color w:val="auto"/>
        </w:rPr>
      </w:pPr>
      <w:r>
        <w:rPr>
          <w:rFonts w:ascii="Arial" w:cs="Arial" w:eastAsia="Arial" w:hAnsi="Arial"/>
          <w:sz w:val="16"/>
          <w:szCs w:val="16"/>
          <w:color w:val="auto"/>
        </w:rPr>
        <w:t>Awards granted under the Company's Equity Appreciation Rights (“EAR”) plan were accounted for as liability-classified awards because it was a cash settled plan. The Company elected the intrinsic value method to measure its liability-classified awards and amortized share-based compensation expense for those awards expected to vest on a straight-line basis over the requisite service period. The Company re-measured the intrinsic value of the awards at the end of each reporting period.</w:t>
      </w:r>
    </w:p>
    <w:p>
      <w:pPr>
        <w:spacing w:after="0" w:line="161"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Net Income (Loss) Per Common Share</w:t>
      </w:r>
    </w:p>
    <w:p>
      <w:pPr>
        <w:spacing w:after="0" w:line="229" w:lineRule="exact"/>
        <w:rPr>
          <w:sz w:val="20"/>
          <w:szCs w:val="20"/>
          <w:color w:val="auto"/>
        </w:rPr>
      </w:pPr>
    </w:p>
    <w:p>
      <w:pPr>
        <w:ind w:left="1240" w:right="1219" w:firstLine="648"/>
        <w:spacing w:after="0" w:line="285" w:lineRule="auto"/>
        <w:rPr>
          <w:sz w:val="20"/>
          <w:szCs w:val="20"/>
          <w:color w:val="auto"/>
        </w:rPr>
      </w:pPr>
      <w:r>
        <w:rPr>
          <w:rFonts w:ascii="Arial" w:cs="Arial" w:eastAsia="Arial" w:hAnsi="Arial"/>
          <w:sz w:val="16"/>
          <w:szCs w:val="16"/>
          <w:color w:val="auto"/>
        </w:rPr>
        <w:t>Net income (loss) per common share attributable to Acushnet Holdings Corp. is calculated under the treasury stock method. Prior to the conversion of the redeemable convertible preferred shares to common stock in connection with the Company’s initial public offering in 2016, the Company applied the two-class method to calculate its basic and diluted net income (loss) per common share attributable to Acushnet Holdings Corp., as its redeemable convertible preferred shares were participating securities. The two-class method is an earnings allocation formula that treats a participating security as having rights to earnings that otherwise would have been available to common stockholders. Net income (loss) per common share available to Acushnet Holdings Corp. was determined by allocating undistributed earnings between holders of common shares and redeemable convertible preferred shares, based on the participation rights of the preferred shares. Basic net income (loss) per share attributable to Acushnet Holdings Corp. was computed by dividing the net income (loss) available to Acushnet Holdings Corp. by the weighted-average number of common shares outstanding during the period. Diluted net income (loss) per common share attributable to Acushnet Holdings Corp. was computed by dividing the net income (loss) available to Acushnet Holdings Corp. after giving effect to the diluted securities by the weighted-average number of dilutive shares outstanding during the period.</w:t>
      </w:r>
    </w:p>
    <w:p>
      <w:pPr>
        <w:spacing w:after="0" w:line="391" w:lineRule="exact"/>
        <w:rPr>
          <w:sz w:val="20"/>
          <w:szCs w:val="20"/>
          <w:color w:val="auto"/>
        </w:rPr>
      </w:pPr>
    </w:p>
    <w:p>
      <w:pPr>
        <w:ind w:left="1240" w:right="1299" w:firstLine="648"/>
        <w:spacing w:after="0" w:line="297" w:lineRule="auto"/>
        <w:rPr>
          <w:sz w:val="20"/>
          <w:szCs w:val="20"/>
          <w:color w:val="auto"/>
        </w:rPr>
      </w:pPr>
      <w:r>
        <w:rPr>
          <w:rFonts w:ascii="Arial" w:cs="Arial" w:eastAsia="Arial" w:hAnsi="Arial"/>
          <w:sz w:val="16"/>
          <w:szCs w:val="16"/>
          <w:color w:val="auto"/>
        </w:rPr>
        <w:t>Diluted net income (loss) per common share attributable to Acushnet Holdings Corp. for the years ended December 31, 2017 and 2016 reflects the potential dilution that would occur if the Restricted Stock Units (“RSUs”) were converted into common shares. The restricted stock units are included as potential dilutive securities to the extent they are dilutive under the treasury stock method for the applicable periods.</w:t>
      </w:r>
    </w:p>
    <w:p>
      <w:pPr>
        <w:spacing w:after="0" w:line="158" w:lineRule="exact"/>
        <w:rPr>
          <w:sz w:val="20"/>
          <w:szCs w:val="20"/>
          <w:color w:val="auto"/>
        </w:rPr>
      </w:pPr>
    </w:p>
    <w:p>
      <w:pPr>
        <w:ind w:left="1240" w:right="1339" w:firstLine="648"/>
        <w:spacing w:after="0" w:line="289" w:lineRule="auto"/>
        <w:rPr>
          <w:sz w:val="20"/>
          <w:szCs w:val="20"/>
          <w:color w:val="auto"/>
        </w:rPr>
      </w:pPr>
      <w:r>
        <w:rPr>
          <w:rFonts w:ascii="Arial" w:cs="Arial" w:eastAsia="Arial" w:hAnsi="Arial"/>
          <w:sz w:val="16"/>
          <w:szCs w:val="16"/>
          <w:color w:val="auto"/>
        </w:rPr>
        <w:t>Diluted net income (loss) per common share attributable to Acushnet Holdings Corp. for the year ended December 31, 2015 reflects the potential dilution that would occur if common stock warrants, convertible notes, redeemable convertible preferred stock, stock options or any other dilutive equity instruments were exercised or converted into common shares. The common stock warrants and stock options are included as potential dilutive securities to the extent they are dilutive under the treasury stock method for the applicable periods. The convertible notes and redeemable convertible preferred stock are included as potential dilutive securities to the extent they are dilutive under the if-converted method for the applicable periods.</w:t>
      </w:r>
    </w:p>
    <w:p>
      <w:pPr>
        <w:spacing w:after="0" w:line="163"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Recently Adopted Accounting Standards</w:t>
      </w:r>
    </w:p>
    <w:p>
      <w:pPr>
        <w:spacing w:after="0" w:line="229" w:lineRule="exact"/>
        <w:rPr>
          <w:sz w:val="20"/>
          <w:szCs w:val="20"/>
          <w:color w:val="auto"/>
        </w:rPr>
      </w:pPr>
    </w:p>
    <w:p>
      <w:pPr>
        <w:ind w:left="1240"/>
        <w:spacing w:after="0"/>
        <w:rPr>
          <w:sz w:val="20"/>
          <w:szCs w:val="20"/>
          <w:color w:val="auto"/>
        </w:rPr>
      </w:pPr>
      <w:r>
        <w:rPr>
          <w:rFonts w:ascii="Arial" w:cs="Arial" w:eastAsia="Arial" w:hAnsi="Arial"/>
          <w:sz w:val="18"/>
          <w:szCs w:val="18"/>
          <w:b w:val="1"/>
          <w:bCs w:val="1"/>
          <w:i w:val="1"/>
          <w:iCs w:val="1"/>
          <w:color w:val="auto"/>
        </w:rPr>
        <w:t>Consolidation— Interests Held Through Related Parties</w:t>
      </w:r>
    </w:p>
    <w:p>
      <w:pPr>
        <w:spacing w:after="0" w:line="225" w:lineRule="exact"/>
        <w:rPr>
          <w:sz w:val="20"/>
          <w:szCs w:val="20"/>
          <w:color w:val="auto"/>
        </w:rPr>
      </w:pPr>
    </w:p>
    <w:p>
      <w:pPr>
        <w:ind w:left="1240" w:right="1259" w:firstLine="648"/>
        <w:spacing w:after="0" w:line="220" w:lineRule="exact"/>
        <w:rPr>
          <w:sz w:val="20"/>
          <w:szCs w:val="20"/>
          <w:color w:val="auto"/>
        </w:rPr>
      </w:pPr>
      <w:r>
        <w:rPr>
          <w:rFonts w:ascii="Arial" w:cs="Arial" w:eastAsia="Arial" w:hAnsi="Arial"/>
          <w:sz w:val="16"/>
          <w:szCs w:val="16"/>
          <w:color w:val="auto"/>
        </w:rPr>
        <w:t>In October 2016, the Financial Accounting Standards Board (“FASB”) issued Accounting Standards Update (“ASU”) 2016</w:t>
      </w:r>
      <w:r>
        <w:rPr>
          <w:rFonts w:ascii="MS PGothic" w:cs="MS PGothic" w:eastAsia="MS PGothic" w:hAnsi="MS PGothic"/>
          <w:sz w:val="16"/>
          <w:szCs w:val="16"/>
          <w:color w:val="auto"/>
        </w:rPr>
        <w:t>‑</w:t>
      </w:r>
      <w:r>
        <w:rPr>
          <w:rFonts w:ascii="Arial" w:cs="Arial" w:eastAsia="Arial" w:hAnsi="Arial"/>
          <w:sz w:val="16"/>
          <w:szCs w:val="16"/>
          <w:color w:val="auto"/>
        </w:rPr>
        <w:t>17, “</w:t>
      </w:r>
      <w:r>
        <w:rPr>
          <w:rFonts w:ascii="Arial" w:cs="Arial" w:eastAsia="Arial" w:hAnsi="Arial"/>
          <w:sz w:val="16"/>
          <w:szCs w:val="16"/>
          <w:i w:val="1"/>
          <w:iCs w:val="1"/>
          <w:color w:val="auto"/>
        </w:rPr>
        <w:t>Consolidation: Interests Held through</w:t>
      </w:r>
      <w:r>
        <w:rPr>
          <w:rFonts w:ascii="Arial" w:cs="Arial" w:eastAsia="Arial" w:hAnsi="Arial"/>
          <w:sz w:val="16"/>
          <w:szCs w:val="16"/>
          <w:color w:val="auto"/>
        </w:rPr>
        <w:t xml:space="preserve"> </w:t>
      </w:r>
      <w:r>
        <w:rPr>
          <w:rFonts w:ascii="Arial" w:cs="Arial" w:eastAsia="Arial" w:hAnsi="Arial"/>
          <w:sz w:val="16"/>
          <w:szCs w:val="16"/>
          <w:i w:val="1"/>
          <w:iCs w:val="1"/>
          <w:color w:val="auto"/>
        </w:rPr>
        <w:t>Related Parties that are under Common Control.</w:t>
      </w:r>
      <w:r>
        <w:rPr>
          <w:rFonts w:ascii="Arial" w:cs="Arial" w:eastAsia="Arial" w:hAnsi="Arial"/>
          <w:sz w:val="16"/>
          <w:szCs w:val="16"/>
          <w:color w:val="auto"/>
        </w:rPr>
        <w:t>” ASU 2016</w:t>
      </w:r>
      <w:r>
        <w:rPr>
          <w:rFonts w:ascii="MS PGothic" w:cs="MS PGothic" w:eastAsia="MS PGothic" w:hAnsi="MS PGothic"/>
          <w:sz w:val="16"/>
          <w:szCs w:val="16"/>
          <w:color w:val="auto"/>
        </w:rPr>
        <w:t>‑</w:t>
      </w:r>
      <w:r>
        <w:rPr>
          <w:rFonts w:ascii="Arial" w:cs="Arial" w:eastAsia="Arial" w:hAnsi="Arial"/>
          <w:sz w:val="16"/>
          <w:szCs w:val="16"/>
          <w:color w:val="auto"/>
        </w:rPr>
        <w:t>17 changes the evaluation of</w:t>
      </w:r>
      <w:r>
        <w:rPr>
          <w:rFonts w:ascii="Arial" w:cs="Arial" w:eastAsia="Arial" w:hAnsi="Arial"/>
          <w:sz w:val="16"/>
          <w:szCs w:val="16"/>
          <w:i w:val="1"/>
          <w:iCs w:val="1"/>
          <w:color w:val="auto"/>
        </w:rPr>
        <w:t xml:space="preserve"> </w:t>
      </w:r>
      <w:r>
        <w:rPr>
          <w:rFonts w:ascii="Arial" w:cs="Arial" w:eastAsia="Arial" w:hAnsi="Arial"/>
          <w:sz w:val="16"/>
          <w:szCs w:val="16"/>
          <w:color w:val="auto"/>
        </w:rPr>
        <w:t>whether a reporting entity is the primary beneficiary of a VIE by changing how</w:t>
      </w:r>
    </w:p>
    <w:p>
      <w:pPr>
        <w:sectPr>
          <w:pgSz w:w="11900" w:h="16838" w:orient="portrait"/>
          <w:cols w:equalWidth="0" w:num="1">
            <w:col w:w="9019"/>
          </w:cols>
          <w:pgMar w:left="1440" w:top="125" w:right="1440" w:bottom="0" w:gutter="0" w:footer="0" w:header="0"/>
        </w:sectPr>
      </w:pPr>
    </w:p>
    <w:p>
      <w:pPr>
        <w:spacing w:after="0" w:line="200" w:lineRule="exact"/>
        <w:rPr>
          <w:sz w:val="20"/>
          <w:szCs w:val="20"/>
          <w:color w:val="auto"/>
        </w:rPr>
      </w:pPr>
    </w:p>
    <w:p>
      <w:pPr>
        <w:spacing w:after="0" w:line="22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F-16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786765</wp:posOffset>
            </wp:positionH>
            <wp:positionV relativeFrom="paragraph">
              <wp:posOffset>97790</wp:posOffset>
            </wp:positionV>
            <wp:extent cx="4159250" cy="2603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40">
                      <a:extLst>
                        <a:ext uri="{28A0092B-C50C-407E-A947-70E740481C1C}"/>
                      </a:extLst>
                    </a:blip>
                    <a:srcRect/>
                    <a:stretch>
                      <a:fillRect/>
                    </a:stretch>
                  </pic:blipFill>
                  <pic:spPr bwMode="auto">
                    <a:xfrm>
                      <a:off x="0" y="0"/>
                      <a:ext cx="4159250" cy="26035"/>
                    </a:xfrm>
                    <a:prstGeom prst="rect">
                      <a:avLst/>
                    </a:prstGeom>
                    <a:noFill/>
                  </pic:spPr>
                </pic:pic>
              </a:graphicData>
            </a:graphic>
          </wp:anchor>
        </w:drawing>
      </w:r>
    </w:p>
    <w:p>
      <w:pPr>
        <w:sectPr>
          <w:pgSz w:w="11900" w:h="16838" w:orient="portrait"/>
          <w:cols w:equalWidth="0" w:num="1">
            <w:col w:w="9019"/>
          </w:cols>
          <w:pgMar w:left="1440" w:top="125" w:right="1440" w:bottom="0" w:gutter="0" w:footer="0" w:header="0"/>
          <w:type w:val="continuous"/>
        </w:sectPr>
      </w:pPr>
    </w:p>
    <w:bookmarkStart w:id="107" w:name="page108"/>
    <w:bookmarkEnd w:id="107"/>
    <w:p>
      <w:pPr>
        <w:spacing w:after="0" w:line="20" w:lineRule="exact"/>
        <w:rPr>
          <w:sz w:val="20"/>
          <w:szCs w:val="20"/>
          <w:color w:val="auto"/>
        </w:rPr>
      </w:pPr>
    </w:p>
    <w:p>
      <w:pPr>
        <w:sectPr>
          <w:pgSz w:w="11900" w:h="16838" w:orient="portrait"/>
          <w:cols w:equalWidth="1" w:num="1" w:space="0"/>
          <w:pgMar w:left="1440" w:top="1440" w:right="1440" w:bottom="875" w:gutter="0" w:footer="0" w:header="0"/>
        </w:sectPr>
      </w:pPr>
    </w:p>
    <w:bookmarkStart w:id="108" w:name="page109"/>
    <w:bookmarkEnd w:id="108"/>
    <w:p>
      <w:pPr>
        <w:ind w:left="124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1240" w:right="1279"/>
        <w:spacing w:after="0" w:line="257" w:lineRule="auto"/>
        <w:rPr>
          <w:sz w:val="20"/>
          <w:szCs w:val="20"/>
          <w:color w:val="auto"/>
        </w:rPr>
      </w:pPr>
      <w:r>
        <w:rPr>
          <w:rFonts w:ascii="Arial" w:cs="Arial" w:eastAsia="Arial" w:hAnsi="Arial"/>
          <w:sz w:val="18"/>
          <w:szCs w:val="18"/>
          <w:color w:val="auto"/>
        </w:rPr>
        <w:t>a reporting entity that is a single decision maker of a VIE treats indirect interests in the entity held through related parties that are under common control with the reporting entity. The Company adopted the provisions of this standard during the three months ended March 31, 2017. The adoption of this standard did not have an impact on the consolidated financial statements.</w:t>
      </w:r>
    </w:p>
    <w:p>
      <w:pPr>
        <w:spacing w:after="0" w:line="188" w:lineRule="exact"/>
        <w:rPr>
          <w:sz w:val="20"/>
          <w:szCs w:val="20"/>
          <w:color w:val="auto"/>
        </w:rPr>
      </w:pPr>
    </w:p>
    <w:p>
      <w:pPr>
        <w:ind w:left="1240"/>
        <w:spacing w:after="0"/>
        <w:rPr>
          <w:sz w:val="20"/>
          <w:szCs w:val="20"/>
          <w:color w:val="auto"/>
        </w:rPr>
      </w:pPr>
      <w:r>
        <w:rPr>
          <w:rFonts w:ascii="Arial" w:cs="Arial" w:eastAsia="Arial" w:hAnsi="Arial"/>
          <w:sz w:val="18"/>
          <w:szCs w:val="18"/>
          <w:b w:val="1"/>
          <w:bCs w:val="1"/>
          <w:i w:val="1"/>
          <w:iCs w:val="1"/>
          <w:color w:val="auto"/>
        </w:rPr>
        <w:t>Compensation—Stock Compensation</w:t>
      </w:r>
    </w:p>
    <w:p>
      <w:pPr>
        <w:spacing w:after="0" w:line="225" w:lineRule="exact"/>
        <w:rPr>
          <w:sz w:val="20"/>
          <w:szCs w:val="20"/>
          <w:color w:val="auto"/>
        </w:rPr>
      </w:pPr>
    </w:p>
    <w:p>
      <w:pPr>
        <w:ind w:left="1240" w:right="1259" w:firstLine="648"/>
        <w:spacing w:after="0" w:line="218" w:lineRule="exact"/>
        <w:rPr>
          <w:sz w:val="20"/>
          <w:szCs w:val="20"/>
          <w:color w:val="auto"/>
        </w:rPr>
      </w:pPr>
      <w:r>
        <w:rPr>
          <w:rFonts w:ascii="Arial" w:cs="Arial" w:eastAsia="Arial" w:hAnsi="Arial"/>
          <w:sz w:val="16"/>
          <w:szCs w:val="16"/>
          <w:color w:val="auto"/>
        </w:rPr>
        <w:t>In March 2016, the FASB issued ASU 2016</w:t>
      </w:r>
      <w:r>
        <w:rPr>
          <w:rFonts w:ascii="MS PGothic" w:cs="MS PGothic" w:eastAsia="MS PGothic" w:hAnsi="MS PGothic"/>
          <w:sz w:val="16"/>
          <w:szCs w:val="16"/>
          <w:color w:val="auto"/>
        </w:rPr>
        <w:t>‑</w:t>
      </w:r>
      <w:r>
        <w:rPr>
          <w:rFonts w:ascii="Arial" w:cs="Arial" w:eastAsia="Arial" w:hAnsi="Arial"/>
          <w:sz w:val="16"/>
          <w:szCs w:val="16"/>
          <w:color w:val="auto"/>
        </w:rPr>
        <w:t>09, “</w:t>
      </w:r>
      <w:r>
        <w:rPr>
          <w:rFonts w:ascii="Arial" w:cs="Arial" w:eastAsia="Arial" w:hAnsi="Arial"/>
          <w:sz w:val="16"/>
          <w:szCs w:val="16"/>
          <w:i w:val="1"/>
          <w:iCs w:val="1"/>
          <w:color w:val="auto"/>
        </w:rPr>
        <w:t>Compensation—Stock</w:t>
      </w:r>
      <w:r>
        <w:rPr>
          <w:rFonts w:ascii="Arial" w:cs="Arial" w:eastAsia="Arial" w:hAnsi="Arial"/>
          <w:sz w:val="16"/>
          <w:szCs w:val="16"/>
          <w:color w:val="auto"/>
        </w:rPr>
        <w:t xml:space="preserve"> </w:t>
      </w:r>
      <w:r>
        <w:rPr>
          <w:rFonts w:ascii="Arial" w:cs="Arial" w:eastAsia="Arial" w:hAnsi="Arial"/>
          <w:sz w:val="16"/>
          <w:szCs w:val="16"/>
          <w:i w:val="1"/>
          <w:iCs w:val="1"/>
          <w:color w:val="auto"/>
        </w:rPr>
        <w:t>Compensation: Improvements to Employee Share</w:t>
      </w:r>
      <w:r>
        <w:rPr>
          <w:rFonts w:ascii="MS PGothic" w:cs="MS PGothic" w:eastAsia="MS PGothic" w:hAnsi="MS PGothic"/>
          <w:sz w:val="16"/>
          <w:szCs w:val="16"/>
          <w:i w:val="1"/>
          <w:iCs w:val="1"/>
          <w:color w:val="auto"/>
        </w:rPr>
        <w:t>‑</w:t>
      </w:r>
      <w:r>
        <w:rPr>
          <w:rFonts w:ascii="Arial" w:cs="Arial" w:eastAsia="Arial" w:hAnsi="Arial"/>
          <w:sz w:val="16"/>
          <w:szCs w:val="16"/>
          <w:i w:val="1"/>
          <w:iCs w:val="1"/>
          <w:color w:val="auto"/>
        </w:rPr>
        <w:t xml:space="preserve">Based Payment Accounting” </w:t>
      </w:r>
      <w:r>
        <w:rPr>
          <w:rFonts w:ascii="Arial" w:cs="Arial" w:eastAsia="Arial" w:hAnsi="Arial"/>
          <w:sz w:val="16"/>
          <w:szCs w:val="16"/>
          <w:color w:val="auto"/>
        </w:rPr>
        <w:t>to simplify</w:t>
      </w:r>
      <w:r>
        <w:rPr>
          <w:rFonts w:ascii="Arial" w:cs="Arial" w:eastAsia="Arial" w:hAnsi="Arial"/>
          <w:sz w:val="16"/>
          <w:szCs w:val="16"/>
          <w:i w:val="1"/>
          <w:iCs w:val="1"/>
          <w:color w:val="auto"/>
        </w:rPr>
        <w:t xml:space="preserve"> </w:t>
      </w:r>
      <w:r>
        <w:rPr>
          <w:rFonts w:ascii="Arial" w:cs="Arial" w:eastAsia="Arial" w:hAnsi="Arial"/>
          <w:sz w:val="16"/>
          <w:szCs w:val="16"/>
          <w:color w:val="auto"/>
        </w:rPr>
        <w:t>accounting for employee share</w:t>
      </w:r>
      <w:r>
        <w:rPr>
          <w:rFonts w:ascii="MS PGothic" w:cs="MS PGothic" w:eastAsia="MS PGothic" w:hAnsi="MS PGothic"/>
          <w:sz w:val="16"/>
          <w:szCs w:val="16"/>
          <w:color w:val="auto"/>
        </w:rPr>
        <w:t>‑</w:t>
      </w:r>
      <w:r>
        <w:rPr>
          <w:rFonts w:ascii="Arial" w:cs="Arial" w:eastAsia="Arial" w:hAnsi="Arial"/>
          <w:sz w:val="16"/>
          <w:szCs w:val="16"/>
          <w:color w:val="auto"/>
        </w:rPr>
        <w:t>based payment transactions, including the income tax consequences, classification of awards as either equity or liabilities and classification on the statement of cash flows. The Company adopted the provisions of this standard prospectively during the three months ended March 31, 2017. The adoption of this standard did not have a material impact on the consolidated financial statements.</w:t>
      </w:r>
    </w:p>
    <w:p>
      <w:pPr>
        <w:spacing w:after="0" w:line="201"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Recently Issued Accounting Standards</w:t>
      </w:r>
    </w:p>
    <w:p>
      <w:pPr>
        <w:spacing w:after="0" w:line="229" w:lineRule="exact"/>
        <w:rPr>
          <w:sz w:val="20"/>
          <w:szCs w:val="20"/>
          <w:color w:val="auto"/>
        </w:rPr>
      </w:pPr>
    </w:p>
    <w:p>
      <w:pPr>
        <w:ind w:left="1240"/>
        <w:spacing w:after="0"/>
        <w:rPr>
          <w:sz w:val="20"/>
          <w:szCs w:val="20"/>
          <w:color w:val="auto"/>
        </w:rPr>
      </w:pPr>
      <w:r>
        <w:rPr>
          <w:rFonts w:ascii="Arial" w:cs="Arial" w:eastAsia="Arial" w:hAnsi="Arial"/>
          <w:sz w:val="18"/>
          <w:szCs w:val="18"/>
          <w:b w:val="1"/>
          <w:bCs w:val="1"/>
          <w:i w:val="1"/>
          <w:iCs w:val="1"/>
          <w:color w:val="auto"/>
        </w:rPr>
        <w:t>Income Statement—Reporting Comprehensive Income</w:t>
      </w:r>
    </w:p>
    <w:p>
      <w:pPr>
        <w:spacing w:after="0" w:line="225" w:lineRule="exact"/>
        <w:rPr>
          <w:sz w:val="20"/>
          <w:szCs w:val="20"/>
          <w:color w:val="auto"/>
        </w:rPr>
      </w:pPr>
    </w:p>
    <w:p>
      <w:pPr>
        <w:ind w:left="1240" w:right="1259" w:firstLine="648"/>
        <w:spacing w:after="0" w:line="218" w:lineRule="exact"/>
        <w:rPr>
          <w:sz w:val="20"/>
          <w:szCs w:val="20"/>
          <w:color w:val="auto"/>
        </w:rPr>
      </w:pPr>
      <w:r>
        <w:rPr>
          <w:rFonts w:ascii="Arial" w:cs="Arial" w:eastAsia="Arial" w:hAnsi="Arial"/>
          <w:sz w:val="16"/>
          <w:szCs w:val="16"/>
          <w:color w:val="auto"/>
        </w:rPr>
        <w:t>In February 2018, the FASB issued ASU 2018</w:t>
      </w:r>
      <w:r>
        <w:rPr>
          <w:rFonts w:ascii="MS PGothic" w:cs="MS PGothic" w:eastAsia="MS PGothic" w:hAnsi="MS PGothic"/>
          <w:sz w:val="16"/>
          <w:szCs w:val="16"/>
          <w:color w:val="auto"/>
        </w:rPr>
        <w:t>‑</w:t>
      </w:r>
      <w:r>
        <w:rPr>
          <w:rFonts w:ascii="Arial" w:cs="Arial" w:eastAsia="Arial" w:hAnsi="Arial"/>
          <w:sz w:val="16"/>
          <w:szCs w:val="16"/>
          <w:color w:val="auto"/>
        </w:rPr>
        <w:t xml:space="preserve">02, </w:t>
      </w:r>
      <w:r>
        <w:rPr>
          <w:rFonts w:ascii="Arial" w:cs="Arial" w:eastAsia="Arial" w:hAnsi="Arial"/>
          <w:sz w:val="16"/>
          <w:szCs w:val="16"/>
          <w:i w:val="1"/>
          <w:iCs w:val="1"/>
          <w:color w:val="auto"/>
        </w:rPr>
        <w:t>“Income Statement—</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Reporting Comprehensive Income (Topic 220) —Reclassification of Certain Tax Effects from Accumulated Other Comprehensive Income.” </w:t>
      </w:r>
      <w:r>
        <w:rPr>
          <w:rFonts w:ascii="Arial" w:cs="Arial" w:eastAsia="Arial" w:hAnsi="Arial"/>
          <w:sz w:val="16"/>
          <w:szCs w:val="16"/>
          <w:color w:val="auto"/>
        </w:rPr>
        <w:t>The amendments in this update allow a</w:t>
      </w:r>
      <w:r>
        <w:rPr>
          <w:rFonts w:ascii="Arial" w:cs="Arial" w:eastAsia="Arial" w:hAnsi="Arial"/>
          <w:sz w:val="16"/>
          <w:szCs w:val="16"/>
          <w:i w:val="1"/>
          <w:iCs w:val="1"/>
          <w:color w:val="auto"/>
        </w:rPr>
        <w:t xml:space="preserve"> </w:t>
      </w:r>
      <w:r>
        <w:rPr>
          <w:rFonts w:ascii="Arial" w:cs="Arial" w:eastAsia="Arial" w:hAnsi="Arial"/>
          <w:sz w:val="16"/>
          <w:szCs w:val="16"/>
          <w:color w:val="auto"/>
        </w:rPr>
        <w:t>reclassification from accumulated other comprehensive income to retained earnings for stranded tax effects resulting from the Tax Cuts and Jobs Act of 2017. ASU 2018</w:t>
      </w:r>
      <w:r>
        <w:rPr>
          <w:rFonts w:ascii="MS PGothic" w:cs="MS PGothic" w:eastAsia="MS PGothic" w:hAnsi="MS PGothic"/>
          <w:sz w:val="16"/>
          <w:szCs w:val="16"/>
          <w:color w:val="auto"/>
        </w:rPr>
        <w:t>‑</w:t>
      </w:r>
      <w:r>
        <w:rPr>
          <w:rFonts w:ascii="Arial" w:cs="Arial" w:eastAsia="Arial" w:hAnsi="Arial"/>
          <w:sz w:val="16"/>
          <w:szCs w:val="16"/>
          <w:color w:val="auto"/>
        </w:rPr>
        <w:t>02 is effective for annual periods beginning after December 15, 2018, and interim periods within those fiscal years. Early adoption is permitted. The Company is still analyzing the complete impact this standard will have on its consolidated financial statements.</w:t>
      </w:r>
    </w:p>
    <w:p>
      <w:pPr>
        <w:spacing w:after="0" w:line="203" w:lineRule="exact"/>
        <w:rPr>
          <w:sz w:val="20"/>
          <w:szCs w:val="20"/>
          <w:color w:val="auto"/>
        </w:rPr>
      </w:pPr>
    </w:p>
    <w:p>
      <w:pPr>
        <w:ind w:left="1240" w:right="1739"/>
        <w:spacing w:after="0" w:line="277" w:lineRule="auto"/>
        <w:rPr>
          <w:sz w:val="20"/>
          <w:szCs w:val="20"/>
          <w:color w:val="auto"/>
        </w:rPr>
      </w:pPr>
      <w:r>
        <w:rPr>
          <w:rFonts w:ascii="Arial" w:cs="Arial" w:eastAsia="Arial" w:hAnsi="Arial"/>
          <w:sz w:val="18"/>
          <w:szCs w:val="18"/>
          <w:b w:val="1"/>
          <w:bCs w:val="1"/>
          <w:i w:val="1"/>
          <w:iCs w:val="1"/>
          <w:color w:val="auto"/>
        </w:rPr>
        <w:t>Derivatives and Hedging (Topic 815) —Targeted Improvements to Accounting for Hedging Activities</w:t>
      </w:r>
    </w:p>
    <w:p>
      <w:pPr>
        <w:spacing w:after="0" w:line="170" w:lineRule="exact"/>
        <w:rPr>
          <w:sz w:val="20"/>
          <w:szCs w:val="20"/>
          <w:color w:val="auto"/>
        </w:rPr>
      </w:pPr>
    </w:p>
    <w:p>
      <w:pPr>
        <w:ind w:left="1240" w:right="1279" w:firstLine="648"/>
        <w:spacing w:after="0" w:line="217" w:lineRule="exact"/>
        <w:rPr>
          <w:sz w:val="20"/>
          <w:szCs w:val="20"/>
          <w:color w:val="auto"/>
        </w:rPr>
      </w:pPr>
      <w:r>
        <w:rPr>
          <w:rFonts w:ascii="Arial" w:cs="Arial" w:eastAsia="Arial" w:hAnsi="Arial"/>
          <w:sz w:val="17"/>
          <w:szCs w:val="17"/>
          <w:color w:val="auto"/>
        </w:rPr>
        <w:t>In August 2017, the FASB issued ASU 2017</w:t>
      </w:r>
      <w:r>
        <w:rPr>
          <w:rFonts w:ascii="MS PGothic" w:cs="MS PGothic" w:eastAsia="MS PGothic" w:hAnsi="MS PGothic"/>
          <w:sz w:val="17"/>
          <w:szCs w:val="17"/>
          <w:color w:val="auto"/>
        </w:rPr>
        <w:t>‑</w:t>
      </w:r>
      <w:r>
        <w:rPr>
          <w:rFonts w:ascii="Arial" w:cs="Arial" w:eastAsia="Arial" w:hAnsi="Arial"/>
          <w:sz w:val="17"/>
          <w:szCs w:val="17"/>
          <w:color w:val="auto"/>
        </w:rPr>
        <w:t xml:space="preserve">12, </w:t>
      </w:r>
      <w:r>
        <w:rPr>
          <w:rFonts w:ascii="Arial" w:cs="Arial" w:eastAsia="Arial" w:hAnsi="Arial"/>
          <w:sz w:val="17"/>
          <w:szCs w:val="17"/>
          <w:i w:val="1"/>
          <w:iCs w:val="1"/>
          <w:color w:val="auto"/>
        </w:rPr>
        <w:t>“Derivatives and Hedging</w:t>
      </w:r>
      <w:r>
        <w:rPr>
          <w:rFonts w:ascii="Arial" w:cs="Arial" w:eastAsia="Arial" w:hAnsi="Arial"/>
          <w:sz w:val="17"/>
          <w:szCs w:val="17"/>
          <w:color w:val="auto"/>
        </w:rPr>
        <w:t xml:space="preserve"> </w:t>
      </w:r>
      <w:r>
        <w:rPr>
          <w:rFonts w:ascii="Arial" w:cs="Arial" w:eastAsia="Arial" w:hAnsi="Arial"/>
          <w:sz w:val="17"/>
          <w:szCs w:val="17"/>
          <w:i w:val="1"/>
          <w:iCs w:val="1"/>
          <w:color w:val="auto"/>
        </w:rPr>
        <w:t>(Topic 815): Targeted Improvements to Accounting for Hedging Activities</w:t>
      </w:r>
      <w:r>
        <w:rPr>
          <w:rFonts w:ascii="Arial" w:cs="Arial" w:eastAsia="Arial" w:hAnsi="Arial"/>
          <w:sz w:val="17"/>
          <w:szCs w:val="17"/>
          <w:color w:val="auto"/>
        </w:rPr>
        <w:t>.” The</w:t>
      </w:r>
      <w:r>
        <w:rPr>
          <w:rFonts w:ascii="Arial" w:cs="Arial" w:eastAsia="Arial" w:hAnsi="Arial"/>
          <w:sz w:val="17"/>
          <w:szCs w:val="17"/>
          <w:i w:val="1"/>
          <w:iCs w:val="1"/>
          <w:color w:val="auto"/>
        </w:rPr>
        <w:t xml:space="preserve"> </w:t>
      </w:r>
      <w:r>
        <w:rPr>
          <w:rFonts w:ascii="Arial" w:cs="Arial" w:eastAsia="Arial" w:hAnsi="Arial"/>
          <w:sz w:val="17"/>
          <w:szCs w:val="17"/>
          <w:color w:val="auto"/>
        </w:rPr>
        <w:t>amendments in this update expand and refine hedge accounting guidance and align the recognition and presentation of the effects of the hedging instrument and the hedged item in the financial statements. ASU 2017-12 also simplifies the application of hedge accounting guidance, hedge documentation requirements and the assessment of hedge effectiveness. ASU 2017</w:t>
      </w:r>
      <w:r>
        <w:rPr>
          <w:rFonts w:ascii="MS PGothic" w:cs="MS PGothic" w:eastAsia="MS PGothic" w:hAnsi="MS PGothic"/>
          <w:sz w:val="17"/>
          <w:szCs w:val="17"/>
          <w:color w:val="auto"/>
        </w:rPr>
        <w:t>‑</w:t>
      </w:r>
      <w:r>
        <w:rPr>
          <w:rFonts w:ascii="Arial" w:cs="Arial" w:eastAsia="Arial" w:hAnsi="Arial"/>
          <w:sz w:val="17"/>
          <w:szCs w:val="17"/>
          <w:color w:val="auto"/>
        </w:rPr>
        <w:t>12 is effective for annual periods beginning after December 15, 2018, and interim periods within those fiscal years. Early adoption is permitted. The effect of adoption should be reflected as of the beginning of the fiscal year of adoption. The adoption of this standard is not expected to have a material impact on the consolidated financial statements.</w:t>
      </w:r>
    </w:p>
    <w:p>
      <w:pPr>
        <w:spacing w:after="0" w:line="210" w:lineRule="exact"/>
        <w:rPr>
          <w:sz w:val="20"/>
          <w:szCs w:val="20"/>
          <w:color w:val="auto"/>
        </w:rPr>
      </w:pPr>
    </w:p>
    <w:p>
      <w:pPr>
        <w:ind w:left="1240"/>
        <w:spacing w:after="0"/>
        <w:rPr>
          <w:sz w:val="20"/>
          <w:szCs w:val="20"/>
          <w:color w:val="auto"/>
        </w:rPr>
      </w:pPr>
      <w:r>
        <w:rPr>
          <w:rFonts w:ascii="Arial" w:cs="Arial" w:eastAsia="Arial" w:hAnsi="Arial"/>
          <w:sz w:val="18"/>
          <w:szCs w:val="18"/>
          <w:b w:val="1"/>
          <w:bCs w:val="1"/>
          <w:i w:val="1"/>
          <w:iCs w:val="1"/>
          <w:color w:val="auto"/>
        </w:rPr>
        <w:t>Compensation—Stock Compensation—Scope of Modification Accounting</w:t>
      </w:r>
    </w:p>
    <w:p>
      <w:pPr>
        <w:spacing w:after="0" w:line="225" w:lineRule="exact"/>
        <w:rPr>
          <w:sz w:val="20"/>
          <w:szCs w:val="20"/>
          <w:color w:val="auto"/>
        </w:rPr>
      </w:pPr>
    </w:p>
    <w:p>
      <w:pPr>
        <w:ind w:left="1240" w:right="1479" w:firstLine="648"/>
        <w:spacing w:after="0" w:line="218" w:lineRule="exact"/>
        <w:rPr>
          <w:sz w:val="20"/>
          <w:szCs w:val="20"/>
          <w:color w:val="auto"/>
        </w:rPr>
      </w:pPr>
      <w:r>
        <w:rPr>
          <w:rFonts w:ascii="Arial" w:cs="Arial" w:eastAsia="Arial" w:hAnsi="Arial"/>
          <w:sz w:val="17"/>
          <w:szCs w:val="17"/>
          <w:color w:val="auto"/>
        </w:rPr>
        <w:t>In May 2017, the FASB issued ASU 2017</w:t>
      </w:r>
      <w:r>
        <w:rPr>
          <w:rFonts w:ascii="MS PGothic" w:cs="MS PGothic" w:eastAsia="MS PGothic" w:hAnsi="MS PGothic"/>
          <w:sz w:val="17"/>
          <w:szCs w:val="17"/>
          <w:color w:val="auto"/>
        </w:rPr>
        <w:t>‑</w:t>
      </w:r>
      <w:r>
        <w:rPr>
          <w:rFonts w:ascii="Arial" w:cs="Arial" w:eastAsia="Arial" w:hAnsi="Arial"/>
          <w:sz w:val="17"/>
          <w:szCs w:val="17"/>
          <w:color w:val="auto"/>
        </w:rPr>
        <w:t xml:space="preserve">09, </w:t>
      </w:r>
      <w:r>
        <w:rPr>
          <w:rFonts w:ascii="Arial" w:cs="Arial" w:eastAsia="Arial" w:hAnsi="Arial"/>
          <w:sz w:val="17"/>
          <w:szCs w:val="17"/>
          <w:i w:val="1"/>
          <w:iCs w:val="1"/>
          <w:color w:val="auto"/>
        </w:rPr>
        <w:t>“Compensation—Stock</w:t>
      </w:r>
      <w:r>
        <w:rPr>
          <w:rFonts w:ascii="Arial" w:cs="Arial" w:eastAsia="Arial" w:hAnsi="Arial"/>
          <w:sz w:val="17"/>
          <w:szCs w:val="17"/>
          <w:color w:val="auto"/>
        </w:rPr>
        <w:t xml:space="preserve"> </w:t>
      </w:r>
      <w:r>
        <w:rPr>
          <w:rFonts w:ascii="Arial" w:cs="Arial" w:eastAsia="Arial" w:hAnsi="Arial"/>
          <w:sz w:val="17"/>
          <w:szCs w:val="17"/>
          <w:i w:val="1"/>
          <w:iCs w:val="1"/>
          <w:color w:val="auto"/>
        </w:rPr>
        <w:t>Compensation: Scope of Modification Accounting</w:t>
      </w:r>
      <w:r>
        <w:rPr>
          <w:rFonts w:ascii="Arial" w:cs="Arial" w:eastAsia="Arial" w:hAnsi="Arial"/>
          <w:sz w:val="17"/>
          <w:szCs w:val="17"/>
          <w:color w:val="auto"/>
        </w:rPr>
        <w:t>.” The amendments in this update</w:t>
      </w:r>
      <w:r>
        <w:rPr>
          <w:rFonts w:ascii="Arial" w:cs="Arial" w:eastAsia="Arial" w:hAnsi="Arial"/>
          <w:sz w:val="17"/>
          <w:szCs w:val="17"/>
          <w:i w:val="1"/>
          <w:iCs w:val="1"/>
          <w:color w:val="auto"/>
        </w:rPr>
        <w:t xml:space="preserve"> </w:t>
      </w:r>
      <w:r>
        <w:rPr>
          <w:rFonts w:ascii="Arial" w:cs="Arial" w:eastAsia="Arial" w:hAnsi="Arial"/>
          <w:sz w:val="17"/>
          <w:szCs w:val="17"/>
          <w:color w:val="auto"/>
        </w:rPr>
        <w:t>provide guidance about which changes to the terms or conditions of a share-based payment award require an entity to apply modification accounting in Topic 718, Compensation</w:t>
      </w:r>
      <w:r>
        <w:rPr>
          <w:rFonts w:ascii="Arial" w:cs="Arial" w:eastAsia="Arial" w:hAnsi="Arial"/>
          <w:sz w:val="17"/>
          <w:szCs w:val="17"/>
          <w:b w:val="1"/>
          <w:bCs w:val="1"/>
          <w:i w:val="1"/>
          <w:iCs w:val="1"/>
          <w:color w:val="auto"/>
        </w:rPr>
        <w:t>—</w:t>
      </w:r>
      <w:r>
        <w:rPr>
          <w:rFonts w:ascii="Arial" w:cs="Arial" w:eastAsia="Arial" w:hAnsi="Arial"/>
          <w:sz w:val="17"/>
          <w:szCs w:val="17"/>
          <w:color w:val="auto"/>
        </w:rPr>
        <w:t>Stock Compensation. ASU 2017</w:t>
      </w:r>
      <w:r>
        <w:rPr>
          <w:rFonts w:ascii="MS PGothic" w:cs="MS PGothic" w:eastAsia="MS PGothic" w:hAnsi="MS PGothic"/>
          <w:sz w:val="17"/>
          <w:szCs w:val="17"/>
          <w:color w:val="auto"/>
        </w:rPr>
        <w:t>‑</w:t>
      </w:r>
      <w:r>
        <w:rPr>
          <w:rFonts w:ascii="Arial" w:cs="Arial" w:eastAsia="Arial" w:hAnsi="Arial"/>
          <w:sz w:val="17"/>
          <w:szCs w:val="17"/>
          <w:color w:val="auto"/>
        </w:rPr>
        <w:t>09 is effective for annual periods beginning after December 15, 2017, and interim periods within those fiscal years. Early adoption is permitted. The adoption of this standard is not expected to have a material impact on the consolidated financial statements.</w:t>
      </w:r>
    </w:p>
    <w:p>
      <w:pPr>
        <w:spacing w:after="0" w:line="205" w:lineRule="exact"/>
        <w:rPr>
          <w:sz w:val="20"/>
          <w:szCs w:val="20"/>
          <w:color w:val="auto"/>
        </w:rPr>
      </w:pPr>
    </w:p>
    <w:p>
      <w:pPr>
        <w:ind w:left="1240"/>
        <w:spacing w:after="0"/>
        <w:rPr>
          <w:sz w:val="20"/>
          <w:szCs w:val="20"/>
          <w:color w:val="auto"/>
        </w:rPr>
      </w:pPr>
      <w:r>
        <w:rPr>
          <w:rFonts w:ascii="Arial" w:cs="Arial" w:eastAsia="Arial" w:hAnsi="Arial"/>
          <w:sz w:val="18"/>
          <w:szCs w:val="18"/>
          <w:b w:val="1"/>
          <w:bCs w:val="1"/>
          <w:i w:val="1"/>
          <w:iCs w:val="1"/>
          <w:color w:val="auto"/>
        </w:rPr>
        <w:t>Compensation—Retirement Benefits</w:t>
      </w:r>
    </w:p>
    <w:p>
      <w:pPr>
        <w:spacing w:after="0" w:line="225" w:lineRule="exact"/>
        <w:rPr>
          <w:sz w:val="20"/>
          <w:szCs w:val="20"/>
          <w:color w:val="auto"/>
        </w:rPr>
      </w:pPr>
    </w:p>
    <w:p>
      <w:pPr>
        <w:ind w:left="1240" w:right="1259" w:firstLine="693"/>
        <w:spacing w:after="0" w:line="217" w:lineRule="exact"/>
        <w:rPr>
          <w:sz w:val="20"/>
          <w:szCs w:val="20"/>
          <w:color w:val="auto"/>
        </w:rPr>
      </w:pPr>
      <w:r>
        <w:rPr>
          <w:rFonts w:ascii="Arial" w:cs="Arial" w:eastAsia="Arial" w:hAnsi="Arial"/>
          <w:sz w:val="17"/>
          <w:szCs w:val="17"/>
          <w:color w:val="auto"/>
        </w:rPr>
        <w:t>In March 2017, the FASB issued ASU 2017</w:t>
      </w:r>
      <w:r>
        <w:rPr>
          <w:rFonts w:ascii="MS PGothic" w:cs="MS PGothic" w:eastAsia="MS PGothic" w:hAnsi="MS PGothic"/>
          <w:sz w:val="17"/>
          <w:szCs w:val="17"/>
          <w:color w:val="auto"/>
        </w:rPr>
        <w:t>‑</w:t>
      </w:r>
      <w:r>
        <w:rPr>
          <w:rFonts w:ascii="Arial" w:cs="Arial" w:eastAsia="Arial" w:hAnsi="Arial"/>
          <w:sz w:val="17"/>
          <w:szCs w:val="17"/>
          <w:color w:val="auto"/>
        </w:rPr>
        <w:t>07, “</w:t>
      </w:r>
      <w:r>
        <w:rPr>
          <w:rFonts w:ascii="Arial" w:cs="Arial" w:eastAsia="Arial" w:hAnsi="Arial"/>
          <w:sz w:val="17"/>
          <w:szCs w:val="17"/>
          <w:i w:val="1"/>
          <w:iCs w:val="1"/>
          <w:color w:val="auto"/>
        </w:rPr>
        <w:t>Compensation</w:t>
      </w:r>
      <w:r>
        <w:rPr>
          <w:rFonts w:ascii="Arial" w:cs="Arial" w:eastAsia="Arial" w:hAnsi="Arial"/>
          <w:sz w:val="17"/>
          <w:szCs w:val="17"/>
          <w:b w:val="1"/>
          <w:bCs w:val="1"/>
          <w:i w:val="1"/>
          <w:iCs w:val="1"/>
          <w:color w:val="auto"/>
        </w:rPr>
        <w:t>—</w:t>
      </w:r>
      <w:r>
        <w:rPr>
          <w:rFonts w:ascii="Arial" w:cs="Arial" w:eastAsia="Arial" w:hAnsi="Arial"/>
          <w:sz w:val="17"/>
          <w:szCs w:val="17"/>
          <w:i w:val="1"/>
          <w:iCs w:val="1"/>
          <w:color w:val="auto"/>
        </w:rPr>
        <w:t>Retirement</w:t>
      </w:r>
      <w:r>
        <w:rPr>
          <w:rFonts w:ascii="Arial" w:cs="Arial" w:eastAsia="Arial" w:hAnsi="Arial"/>
          <w:sz w:val="17"/>
          <w:szCs w:val="17"/>
          <w:color w:val="auto"/>
        </w:rPr>
        <w:t xml:space="preserve"> </w:t>
      </w:r>
      <w:r>
        <w:rPr>
          <w:rFonts w:ascii="Arial" w:cs="Arial" w:eastAsia="Arial" w:hAnsi="Arial"/>
          <w:sz w:val="17"/>
          <w:szCs w:val="17"/>
          <w:i w:val="1"/>
          <w:iCs w:val="1"/>
          <w:color w:val="auto"/>
        </w:rPr>
        <w:t>Benefits: Improving the Presentation of Net Periodic Pension Cost and Net Periodic Post Retirement Benefit Cost.</w:t>
      </w:r>
      <w:r>
        <w:rPr>
          <w:rFonts w:ascii="Arial" w:cs="Arial" w:eastAsia="Arial" w:hAnsi="Arial"/>
          <w:sz w:val="17"/>
          <w:szCs w:val="17"/>
          <w:color w:val="auto"/>
        </w:rPr>
        <w:t>” ASU 2017</w:t>
      </w:r>
      <w:r>
        <w:rPr>
          <w:rFonts w:ascii="MS PGothic" w:cs="MS PGothic" w:eastAsia="MS PGothic" w:hAnsi="MS PGothic"/>
          <w:sz w:val="17"/>
          <w:szCs w:val="17"/>
          <w:color w:val="auto"/>
        </w:rPr>
        <w:t>‑</w:t>
      </w:r>
      <w:r>
        <w:rPr>
          <w:rFonts w:ascii="Arial" w:cs="Arial" w:eastAsia="Arial" w:hAnsi="Arial"/>
          <w:sz w:val="17"/>
          <w:szCs w:val="17"/>
          <w:color w:val="auto"/>
        </w:rPr>
        <w:t>07 requires that an employer report the service cost</w:t>
      </w:r>
      <w:r>
        <w:rPr>
          <w:rFonts w:ascii="Arial" w:cs="Arial" w:eastAsia="Arial" w:hAnsi="Arial"/>
          <w:sz w:val="17"/>
          <w:szCs w:val="17"/>
          <w:i w:val="1"/>
          <w:iCs w:val="1"/>
          <w:color w:val="auto"/>
        </w:rPr>
        <w:t xml:space="preserve"> </w:t>
      </w:r>
      <w:r>
        <w:rPr>
          <w:rFonts w:ascii="Arial" w:cs="Arial" w:eastAsia="Arial" w:hAnsi="Arial"/>
          <w:sz w:val="17"/>
          <w:szCs w:val="17"/>
          <w:color w:val="auto"/>
        </w:rPr>
        <w:t>component of net periodic pension and net periodic post retirement cost in the same line item as other compensation costs arising from services rendered by the employees during the period. It also requires the other components of net periodic pension and net periodic postretirement benefit cost to be presented in the income statement separately from the service cost component and outside a subtotal of income from operations. Additionally, only the service cost component is eligible for capitalization. ASU 2017</w:t>
      </w:r>
      <w:r>
        <w:rPr>
          <w:rFonts w:ascii="MS PGothic" w:cs="MS PGothic" w:eastAsia="MS PGothic" w:hAnsi="MS PGothic"/>
          <w:sz w:val="17"/>
          <w:szCs w:val="17"/>
          <w:color w:val="auto"/>
        </w:rPr>
        <w:t>‑</w:t>
      </w:r>
      <w:r>
        <w:rPr>
          <w:rFonts w:ascii="Arial" w:cs="Arial" w:eastAsia="Arial" w:hAnsi="Arial"/>
          <w:sz w:val="17"/>
          <w:szCs w:val="17"/>
          <w:color w:val="auto"/>
        </w:rPr>
        <w:t>07 is effective for annual periods beginning after December 15, 2017, and interim periods within those fiscal years. Early adoption is permitted as of the beginning of an annual period for which financial statements have not been issued or made available for issuance. The adoption of this standard is not expected to have a material impact on the consolidated financial statements.</w:t>
      </w:r>
    </w:p>
    <w:p>
      <w:pPr>
        <w:sectPr>
          <w:pgSz w:w="11900" w:h="16838" w:orient="portrait"/>
          <w:cols w:equalWidth="0" w:num="1">
            <w:col w:w="9019"/>
          </w:cols>
          <w:pgMar w:left="1440" w:top="125" w:right="1440" w:bottom="42" w:gutter="0" w:footer="0" w:header="0"/>
        </w:sectPr>
      </w:pPr>
    </w:p>
    <w:bookmarkStart w:id="109" w:name="page110"/>
    <w:bookmarkEnd w:id="109"/>
    <w:p>
      <w:pPr>
        <w:jc w:val="center"/>
        <w:spacing w:after="0"/>
        <w:rPr>
          <w:sz w:val="20"/>
          <w:szCs w:val="20"/>
          <w:color w:val="auto"/>
        </w:rPr>
      </w:pPr>
      <w:r>
        <w:rPr>
          <w:rFonts w:ascii="Arial" w:cs="Arial" w:eastAsia="Arial" w:hAnsi="Arial"/>
          <w:sz w:val="16"/>
          <w:szCs w:val="16"/>
          <w:color w:val="auto"/>
        </w:rPr>
        <w:t>F-17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786765</wp:posOffset>
            </wp:positionH>
            <wp:positionV relativeFrom="paragraph">
              <wp:posOffset>97790</wp:posOffset>
            </wp:positionV>
            <wp:extent cx="4159250" cy="2603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41">
                      <a:extLst>
                        <a:ext uri="{28A0092B-C50C-407E-A947-70E740481C1C}"/>
                      </a:extLst>
                    </a:blip>
                    <a:srcRect/>
                    <a:stretch>
                      <a:fillRect/>
                    </a:stretch>
                  </pic:blipFill>
                  <pic:spPr bwMode="auto">
                    <a:xfrm>
                      <a:off x="0" y="0"/>
                      <a:ext cx="415925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110" w:name="page111"/>
    <w:bookmarkEnd w:id="110"/>
    <w:p>
      <w:pPr>
        <w:ind w:left="124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1240"/>
        <w:spacing w:after="0"/>
        <w:rPr>
          <w:sz w:val="20"/>
          <w:szCs w:val="20"/>
          <w:color w:val="auto"/>
        </w:rPr>
      </w:pPr>
      <w:r>
        <w:rPr>
          <w:rFonts w:ascii="Arial" w:cs="Arial" w:eastAsia="Arial" w:hAnsi="Arial"/>
          <w:sz w:val="17"/>
          <w:szCs w:val="17"/>
          <w:b w:val="1"/>
          <w:bCs w:val="1"/>
          <w:i w:val="1"/>
          <w:iCs w:val="1"/>
          <w:color w:val="auto"/>
        </w:rPr>
        <w:t>Intangibles—Goodwill and Other</w:t>
      </w:r>
      <w:r>
        <w:rPr>
          <w:rFonts w:ascii="Arial" w:cs="Arial" w:eastAsia="Arial" w:hAnsi="Arial"/>
          <w:sz w:val="17"/>
          <w:szCs w:val="17"/>
          <w:i w:val="1"/>
          <w:iCs w:val="1"/>
          <w:color w:val="auto"/>
        </w:rPr>
        <w:t>—</w:t>
      </w:r>
      <w:r>
        <w:rPr>
          <w:rFonts w:ascii="Arial" w:cs="Arial" w:eastAsia="Arial" w:hAnsi="Arial"/>
          <w:sz w:val="17"/>
          <w:szCs w:val="17"/>
          <w:b w:val="1"/>
          <w:bCs w:val="1"/>
          <w:i w:val="1"/>
          <w:iCs w:val="1"/>
          <w:color w:val="auto"/>
        </w:rPr>
        <w:t>Simplifying the Test for Goodwill Impairment</w:t>
      </w:r>
    </w:p>
    <w:p>
      <w:pPr>
        <w:spacing w:after="0" w:line="237" w:lineRule="exact"/>
        <w:rPr>
          <w:sz w:val="20"/>
          <w:szCs w:val="20"/>
          <w:color w:val="auto"/>
        </w:rPr>
      </w:pPr>
    </w:p>
    <w:p>
      <w:pPr>
        <w:ind w:left="1240" w:right="1219" w:firstLine="693"/>
        <w:spacing w:after="0" w:line="218" w:lineRule="exact"/>
        <w:rPr>
          <w:sz w:val="20"/>
          <w:szCs w:val="20"/>
          <w:color w:val="auto"/>
        </w:rPr>
      </w:pPr>
      <w:r>
        <w:rPr>
          <w:rFonts w:ascii="Arial" w:cs="Arial" w:eastAsia="Arial" w:hAnsi="Arial"/>
          <w:sz w:val="17"/>
          <w:szCs w:val="17"/>
          <w:color w:val="auto"/>
        </w:rPr>
        <w:t>In January 2017, the FASB issued ASU 2017</w:t>
      </w:r>
      <w:r>
        <w:rPr>
          <w:rFonts w:ascii="MS PGothic" w:cs="MS PGothic" w:eastAsia="MS PGothic" w:hAnsi="MS PGothic"/>
          <w:sz w:val="17"/>
          <w:szCs w:val="17"/>
          <w:color w:val="auto"/>
        </w:rPr>
        <w:t>‑</w:t>
      </w:r>
      <w:r>
        <w:rPr>
          <w:rFonts w:ascii="Arial" w:cs="Arial" w:eastAsia="Arial" w:hAnsi="Arial"/>
          <w:sz w:val="17"/>
          <w:szCs w:val="17"/>
          <w:color w:val="auto"/>
        </w:rPr>
        <w:t>04, “</w:t>
      </w:r>
      <w:r>
        <w:rPr>
          <w:rFonts w:ascii="Arial" w:cs="Arial" w:eastAsia="Arial" w:hAnsi="Arial"/>
          <w:sz w:val="17"/>
          <w:szCs w:val="17"/>
          <w:i w:val="1"/>
          <w:iCs w:val="1"/>
          <w:color w:val="auto"/>
        </w:rPr>
        <w:t>Intangibles—Goodwill and</w:t>
      </w:r>
      <w:r>
        <w:rPr>
          <w:rFonts w:ascii="Arial" w:cs="Arial" w:eastAsia="Arial" w:hAnsi="Arial"/>
          <w:sz w:val="17"/>
          <w:szCs w:val="17"/>
          <w:color w:val="auto"/>
        </w:rPr>
        <w:t xml:space="preserve"> </w:t>
      </w:r>
      <w:r>
        <w:rPr>
          <w:rFonts w:ascii="Arial" w:cs="Arial" w:eastAsia="Arial" w:hAnsi="Arial"/>
          <w:sz w:val="17"/>
          <w:szCs w:val="17"/>
          <w:i w:val="1"/>
          <w:iCs w:val="1"/>
          <w:color w:val="auto"/>
        </w:rPr>
        <w:t>Other: Simplifying the Test for Goodwill Impairment.</w:t>
      </w:r>
      <w:r>
        <w:rPr>
          <w:rFonts w:ascii="Arial" w:cs="Arial" w:eastAsia="Arial" w:hAnsi="Arial"/>
          <w:sz w:val="17"/>
          <w:szCs w:val="17"/>
          <w:color w:val="auto"/>
        </w:rPr>
        <w:t>” ASU 2017</w:t>
      </w:r>
      <w:r>
        <w:rPr>
          <w:rFonts w:ascii="MS PGothic" w:cs="MS PGothic" w:eastAsia="MS PGothic" w:hAnsi="MS PGothic"/>
          <w:sz w:val="17"/>
          <w:szCs w:val="17"/>
          <w:color w:val="auto"/>
        </w:rPr>
        <w:t>‑</w:t>
      </w:r>
      <w:r>
        <w:rPr>
          <w:rFonts w:ascii="Arial" w:cs="Arial" w:eastAsia="Arial" w:hAnsi="Arial"/>
          <w:sz w:val="17"/>
          <w:szCs w:val="17"/>
          <w:color w:val="auto"/>
        </w:rPr>
        <w:t>04 removes the second</w:t>
      </w:r>
      <w:r>
        <w:rPr>
          <w:rFonts w:ascii="Arial" w:cs="Arial" w:eastAsia="Arial" w:hAnsi="Arial"/>
          <w:sz w:val="17"/>
          <w:szCs w:val="17"/>
          <w:i w:val="1"/>
          <w:iCs w:val="1"/>
          <w:color w:val="auto"/>
        </w:rPr>
        <w:t xml:space="preserve"> </w:t>
      </w:r>
      <w:r>
        <w:rPr>
          <w:rFonts w:ascii="Arial" w:cs="Arial" w:eastAsia="Arial" w:hAnsi="Arial"/>
          <w:sz w:val="17"/>
          <w:szCs w:val="17"/>
          <w:color w:val="auto"/>
        </w:rPr>
        <w:t>step of the goodwill impairment test. Instead an entity will perform a one-step quantitative test and record the amount of goodwill impairment as the excess of a reporting unit’s carrying amount over its fair value, not to exceed the total amount of goodwill allocated to the reporting unit. ASU 2017</w:t>
      </w:r>
      <w:r>
        <w:rPr>
          <w:rFonts w:ascii="MS PGothic" w:cs="MS PGothic" w:eastAsia="MS PGothic" w:hAnsi="MS PGothic"/>
          <w:sz w:val="17"/>
          <w:szCs w:val="17"/>
          <w:color w:val="auto"/>
        </w:rPr>
        <w:t>‑</w:t>
      </w:r>
      <w:r>
        <w:rPr>
          <w:rFonts w:ascii="Arial" w:cs="Arial" w:eastAsia="Arial" w:hAnsi="Arial"/>
          <w:sz w:val="17"/>
          <w:szCs w:val="17"/>
          <w:color w:val="auto"/>
        </w:rPr>
        <w:t>04 is effective for annual periods beginning after December 15, 2019, and interim periods within those fiscal years. Early adoption is permitted for interim or annual goodwill impairment tests performed on testing dates after January 1, 2017. The adoption of this standard is not expected to have a material impact on the consolidated financial statements.</w:t>
      </w:r>
    </w:p>
    <w:p>
      <w:pPr>
        <w:spacing w:after="0" w:line="202" w:lineRule="exact"/>
        <w:rPr>
          <w:sz w:val="20"/>
          <w:szCs w:val="20"/>
          <w:color w:val="auto"/>
        </w:rPr>
      </w:pPr>
    </w:p>
    <w:p>
      <w:pPr>
        <w:ind w:left="1240"/>
        <w:spacing w:after="0"/>
        <w:rPr>
          <w:sz w:val="20"/>
          <w:szCs w:val="20"/>
          <w:color w:val="auto"/>
        </w:rPr>
      </w:pPr>
      <w:r>
        <w:rPr>
          <w:rFonts w:ascii="Arial" w:cs="Arial" w:eastAsia="Arial" w:hAnsi="Arial"/>
          <w:sz w:val="18"/>
          <w:szCs w:val="18"/>
          <w:b w:val="1"/>
          <w:bCs w:val="1"/>
          <w:i w:val="1"/>
          <w:iCs w:val="1"/>
          <w:color w:val="auto"/>
        </w:rPr>
        <w:t>Business Combination—Clarifying the Definition of a Business</w:t>
      </w:r>
    </w:p>
    <w:p>
      <w:pPr>
        <w:spacing w:after="0" w:line="225" w:lineRule="exact"/>
        <w:rPr>
          <w:sz w:val="20"/>
          <w:szCs w:val="20"/>
          <w:color w:val="auto"/>
        </w:rPr>
      </w:pPr>
    </w:p>
    <w:p>
      <w:pPr>
        <w:ind w:left="1240" w:right="1219" w:firstLine="693"/>
        <w:spacing w:after="0" w:line="217" w:lineRule="exact"/>
        <w:rPr>
          <w:sz w:val="20"/>
          <w:szCs w:val="20"/>
          <w:color w:val="auto"/>
        </w:rPr>
      </w:pPr>
      <w:r>
        <w:rPr>
          <w:rFonts w:ascii="Arial" w:cs="Arial" w:eastAsia="Arial" w:hAnsi="Arial"/>
          <w:sz w:val="16"/>
          <w:szCs w:val="16"/>
          <w:color w:val="auto"/>
        </w:rPr>
        <w:t>In January 2017, the FASB issued ASU 2017</w:t>
      </w:r>
      <w:r>
        <w:rPr>
          <w:rFonts w:ascii="MS PGothic" w:cs="MS PGothic" w:eastAsia="MS PGothic" w:hAnsi="MS PGothic"/>
          <w:sz w:val="16"/>
          <w:szCs w:val="16"/>
          <w:color w:val="auto"/>
        </w:rPr>
        <w:t>‑</w:t>
      </w:r>
      <w:r>
        <w:rPr>
          <w:rFonts w:ascii="Arial" w:cs="Arial" w:eastAsia="Arial" w:hAnsi="Arial"/>
          <w:sz w:val="16"/>
          <w:szCs w:val="16"/>
          <w:color w:val="auto"/>
        </w:rPr>
        <w:t>01, “</w:t>
      </w:r>
      <w:r>
        <w:rPr>
          <w:rFonts w:ascii="Arial" w:cs="Arial" w:eastAsia="Arial" w:hAnsi="Arial"/>
          <w:sz w:val="16"/>
          <w:szCs w:val="16"/>
          <w:i w:val="1"/>
          <w:iCs w:val="1"/>
          <w:color w:val="auto"/>
        </w:rPr>
        <w:t>Business Combinations:</w:t>
      </w:r>
      <w:r>
        <w:rPr>
          <w:rFonts w:ascii="Arial" w:cs="Arial" w:eastAsia="Arial" w:hAnsi="Arial"/>
          <w:sz w:val="16"/>
          <w:szCs w:val="16"/>
          <w:color w:val="auto"/>
        </w:rPr>
        <w:t xml:space="preserve"> </w:t>
      </w:r>
      <w:r>
        <w:rPr>
          <w:rFonts w:ascii="Arial" w:cs="Arial" w:eastAsia="Arial" w:hAnsi="Arial"/>
          <w:sz w:val="16"/>
          <w:szCs w:val="16"/>
          <w:i w:val="1"/>
          <w:iCs w:val="1"/>
          <w:color w:val="auto"/>
        </w:rPr>
        <w:t>Clarifying the Definition of a Business.</w:t>
      </w:r>
      <w:r>
        <w:rPr>
          <w:rFonts w:ascii="Arial" w:cs="Arial" w:eastAsia="Arial" w:hAnsi="Arial"/>
          <w:sz w:val="16"/>
          <w:szCs w:val="16"/>
          <w:color w:val="auto"/>
        </w:rPr>
        <w:t>” ASU 2017</w:t>
      </w:r>
      <w:r>
        <w:rPr>
          <w:rFonts w:ascii="MS PGothic" w:cs="MS PGothic" w:eastAsia="MS PGothic" w:hAnsi="MS PGothic"/>
          <w:sz w:val="16"/>
          <w:szCs w:val="16"/>
          <w:color w:val="auto"/>
        </w:rPr>
        <w:t>‑</w:t>
      </w:r>
      <w:r>
        <w:rPr>
          <w:rFonts w:ascii="Arial" w:cs="Arial" w:eastAsia="Arial" w:hAnsi="Arial"/>
          <w:sz w:val="16"/>
          <w:szCs w:val="16"/>
          <w:color w:val="auto"/>
        </w:rPr>
        <w:t>01 clarifies the definition of a business</w:t>
      </w:r>
      <w:r>
        <w:rPr>
          <w:rFonts w:ascii="Arial" w:cs="Arial" w:eastAsia="Arial" w:hAnsi="Arial"/>
          <w:sz w:val="16"/>
          <w:szCs w:val="16"/>
          <w:i w:val="1"/>
          <w:iCs w:val="1"/>
          <w:color w:val="auto"/>
        </w:rPr>
        <w:t xml:space="preserve"> </w:t>
      </w:r>
      <w:r>
        <w:rPr>
          <w:rFonts w:ascii="Arial" w:cs="Arial" w:eastAsia="Arial" w:hAnsi="Arial"/>
          <w:sz w:val="16"/>
          <w:szCs w:val="16"/>
          <w:color w:val="auto"/>
        </w:rPr>
        <w:t>with the objective of adding guidance to assist entities with evaluating whether transactions should be accounted for as acquisitions (or disposals) of businesses. ASU 2017</w:t>
      </w:r>
      <w:r>
        <w:rPr>
          <w:rFonts w:ascii="MS PGothic" w:cs="MS PGothic" w:eastAsia="MS PGothic" w:hAnsi="MS PGothic"/>
          <w:sz w:val="16"/>
          <w:szCs w:val="16"/>
          <w:color w:val="auto"/>
        </w:rPr>
        <w:t>‑</w:t>
      </w:r>
      <w:r>
        <w:rPr>
          <w:rFonts w:ascii="Arial" w:cs="Arial" w:eastAsia="Arial" w:hAnsi="Arial"/>
          <w:sz w:val="16"/>
          <w:szCs w:val="16"/>
          <w:color w:val="auto"/>
        </w:rPr>
        <w:t>01 is effective for annual periods beginning after December 15, 2017, and interim periods within those fiscal years. Early application is permitted for transactions for which the acquisition date occurs before the issuance date or effective date of the amendments, only when the transaction has not been reported in financial statements that have been issued or made available for issuance. The adoption of this standard is not expected to have a material impact on the consolidated financial statements.</w:t>
      </w:r>
    </w:p>
    <w:p>
      <w:pPr>
        <w:spacing w:after="0" w:line="207" w:lineRule="exact"/>
        <w:rPr>
          <w:sz w:val="20"/>
          <w:szCs w:val="20"/>
          <w:color w:val="auto"/>
        </w:rPr>
      </w:pPr>
    </w:p>
    <w:p>
      <w:pPr>
        <w:ind w:left="1240"/>
        <w:spacing w:after="0"/>
        <w:rPr>
          <w:sz w:val="20"/>
          <w:szCs w:val="20"/>
          <w:color w:val="auto"/>
        </w:rPr>
      </w:pPr>
      <w:r>
        <w:rPr>
          <w:rFonts w:ascii="Arial" w:cs="Arial" w:eastAsia="Arial" w:hAnsi="Arial"/>
          <w:sz w:val="18"/>
          <w:szCs w:val="18"/>
          <w:b w:val="1"/>
          <w:bCs w:val="1"/>
          <w:i w:val="1"/>
          <w:iCs w:val="1"/>
          <w:color w:val="auto"/>
        </w:rPr>
        <w:t>Income Taxes</w:t>
      </w:r>
    </w:p>
    <w:p>
      <w:pPr>
        <w:spacing w:after="0" w:line="225" w:lineRule="exact"/>
        <w:rPr>
          <w:sz w:val="20"/>
          <w:szCs w:val="20"/>
          <w:color w:val="auto"/>
        </w:rPr>
      </w:pPr>
    </w:p>
    <w:p>
      <w:pPr>
        <w:ind w:left="1240" w:right="1299" w:firstLine="648"/>
        <w:spacing w:after="0" w:line="218" w:lineRule="exact"/>
        <w:rPr>
          <w:sz w:val="20"/>
          <w:szCs w:val="20"/>
          <w:color w:val="auto"/>
        </w:rPr>
      </w:pPr>
      <w:r>
        <w:rPr>
          <w:rFonts w:ascii="Arial" w:cs="Arial" w:eastAsia="Arial" w:hAnsi="Arial"/>
          <w:sz w:val="17"/>
          <w:szCs w:val="17"/>
          <w:color w:val="auto"/>
        </w:rPr>
        <w:t>In October 2016, the FASB issued ASU 2016</w:t>
      </w:r>
      <w:r>
        <w:rPr>
          <w:rFonts w:ascii="MS PGothic" w:cs="MS PGothic" w:eastAsia="MS PGothic" w:hAnsi="MS PGothic"/>
          <w:sz w:val="17"/>
          <w:szCs w:val="17"/>
          <w:color w:val="auto"/>
        </w:rPr>
        <w:t>‑</w:t>
      </w:r>
      <w:r>
        <w:rPr>
          <w:rFonts w:ascii="Arial" w:cs="Arial" w:eastAsia="Arial" w:hAnsi="Arial"/>
          <w:sz w:val="17"/>
          <w:szCs w:val="17"/>
          <w:color w:val="auto"/>
        </w:rPr>
        <w:t>16, “</w:t>
      </w:r>
      <w:r>
        <w:rPr>
          <w:rFonts w:ascii="Arial" w:cs="Arial" w:eastAsia="Arial" w:hAnsi="Arial"/>
          <w:sz w:val="17"/>
          <w:szCs w:val="17"/>
          <w:i w:val="1"/>
          <w:iCs w:val="1"/>
          <w:color w:val="auto"/>
        </w:rPr>
        <w:t>Income Taxes: Intra-Entity</w:t>
      </w:r>
      <w:r>
        <w:rPr>
          <w:rFonts w:ascii="Arial" w:cs="Arial" w:eastAsia="Arial" w:hAnsi="Arial"/>
          <w:sz w:val="17"/>
          <w:szCs w:val="17"/>
          <w:color w:val="auto"/>
        </w:rPr>
        <w:t xml:space="preserve"> </w:t>
      </w:r>
      <w:r>
        <w:rPr>
          <w:rFonts w:ascii="Arial" w:cs="Arial" w:eastAsia="Arial" w:hAnsi="Arial"/>
          <w:sz w:val="17"/>
          <w:szCs w:val="17"/>
          <w:i w:val="1"/>
          <w:iCs w:val="1"/>
          <w:color w:val="auto"/>
        </w:rPr>
        <w:t>Transfers of Assets other than Inventory.</w:t>
      </w:r>
      <w:r>
        <w:rPr>
          <w:rFonts w:ascii="Arial" w:cs="Arial" w:eastAsia="Arial" w:hAnsi="Arial"/>
          <w:sz w:val="17"/>
          <w:szCs w:val="17"/>
          <w:color w:val="auto"/>
        </w:rPr>
        <w:t>” ASU 2016-16 requires that entities recognize</w:t>
      </w:r>
      <w:r>
        <w:rPr>
          <w:rFonts w:ascii="Arial" w:cs="Arial" w:eastAsia="Arial" w:hAnsi="Arial"/>
          <w:sz w:val="17"/>
          <w:szCs w:val="17"/>
          <w:i w:val="1"/>
          <w:iCs w:val="1"/>
          <w:color w:val="auto"/>
        </w:rPr>
        <w:t xml:space="preserve"> </w:t>
      </w:r>
      <w:r>
        <w:rPr>
          <w:rFonts w:ascii="Arial" w:cs="Arial" w:eastAsia="Arial" w:hAnsi="Arial"/>
          <w:sz w:val="17"/>
          <w:szCs w:val="17"/>
          <w:color w:val="auto"/>
        </w:rPr>
        <w:t>the income tax consequences of an intra-entity transfer of an asset other than inventory when the transfer occurs. The guidance is effective for financial statements issued for annual periods beginning after December 15, 2017, including interim periods within those fiscal years. The adoption of this standard is not expected to have a material impact on the consolidated financial statements.</w:t>
      </w:r>
    </w:p>
    <w:p>
      <w:pPr>
        <w:spacing w:after="0" w:line="206" w:lineRule="exact"/>
        <w:rPr>
          <w:sz w:val="20"/>
          <w:szCs w:val="20"/>
          <w:color w:val="auto"/>
        </w:rPr>
      </w:pPr>
    </w:p>
    <w:p>
      <w:pPr>
        <w:ind w:left="1240"/>
        <w:spacing w:after="0"/>
        <w:rPr>
          <w:sz w:val="20"/>
          <w:szCs w:val="20"/>
          <w:color w:val="auto"/>
        </w:rPr>
      </w:pPr>
      <w:r>
        <w:rPr>
          <w:rFonts w:ascii="Arial" w:cs="Arial" w:eastAsia="Arial" w:hAnsi="Arial"/>
          <w:sz w:val="18"/>
          <w:szCs w:val="18"/>
          <w:b w:val="1"/>
          <w:bCs w:val="1"/>
          <w:i w:val="1"/>
          <w:iCs w:val="1"/>
          <w:color w:val="auto"/>
        </w:rPr>
        <w:t>Statement of Cash Flows</w:t>
      </w:r>
    </w:p>
    <w:p>
      <w:pPr>
        <w:spacing w:after="0" w:line="225" w:lineRule="exact"/>
        <w:rPr>
          <w:sz w:val="20"/>
          <w:szCs w:val="20"/>
          <w:color w:val="auto"/>
        </w:rPr>
      </w:pPr>
    </w:p>
    <w:p>
      <w:pPr>
        <w:ind w:left="1240" w:right="1279" w:firstLine="648"/>
        <w:spacing w:after="0" w:line="218" w:lineRule="exact"/>
        <w:rPr>
          <w:sz w:val="20"/>
          <w:szCs w:val="20"/>
          <w:color w:val="auto"/>
        </w:rPr>
      </w:pPr>
      <w:r>
        <w:rPr>
          <w:rFonts w:ascii="Arial" w:cs="Arial" w:eastAsia="Arial" w:hAnsi="Arial"/>
          <w:sz w:val="17"/>
          <w:szCs w:val="17"/>
          <w:color w:val="auto"/>
        </w:rPr>
        <w:t>In August 2016, the FASB issued ASU 2016</w:t>
      </w:r>
      <w:r>
        <w:rPr>
          <w:rFonts w:ascii="MS PGothic" w:cs="MS PGothic" w:eastAsia="MS PGothic" w:hAnsi="MS PGothic"/>
          <w:sz w:val="17"/>
          <w:szCs w:val="17"/>
          <w:color w:val="auto"/>
        </w:rPr>
        <w:t>‑</w:t>
      </w:r>
      <w:r>
        <w:rPr>
          <w:rFonts w:ascii="Arial" w:cs="Arial" w:eastAsia="Arial" w:hAnsi="Arial"/>
          <w:sz w:val="17"/>
          <w:szCs w:val="17"/>
          <w:color w:val="auto"/>
        </w:rPr>
        <w:t>15, “</w:t>
      </w:r>
      <w:r>
        <w:rPr>
          <w:rFonts w:ascii="Arial" w:cs="Arial" w:eastAsia="Arial" w:hAnsi="Arial"/>
          <w:sz w:val="17"/>
          <w:szCs w:val="17"/>
          <w:i w:val="1"/>
          <w:iCs w:val="1"/>
          <w:color w:val="auto"/>
        </w:rPr>
        <w:t>Statement of Cash Flows:</w:t>
      </w:r>
      <w:r>
        <w:rPr>
          <w:rFonts w:ascii="Arial" w:cs="Arial" w:eastAsia="Arial" w:hAnsi="Arial"/>
          <w:sz w:val="17"/>
          <w:szCs w:val="17"/>
          <w:color w:val="auto"/>
        </w:rPr>
        <w:t xml:space="preserve"> </w:t>
      </w:r>
      <w:r>
        <w:rPr>
          <w:rFonts w:ascii="Arial" w:cs="Arial" w:eastAsia="Arial" w:hAnsi="Arial"/>
          <w:sz w:val="17"/>
          <w:szCs w:val="17"/>
          <w:i w:val="1"/>
          <w:iCs w:val="1"/>
          <w:color w:val="auto"/>
        </w:rPr>
        <w:t>Classification of Certain Cash Receipts and Cash Payments</w:t>
      </w:r>
      <w:r>
        <w:rPr>
          <w:rFonts w:ascii="Arial" w:cs="Arial" w:eastAsia="Arial" w:hAnsi="Arial"/>
          <w:sz w:val="17"/>
          <w:szCs w:val="17"/>
          <w:color w:val="auto"/>
        </w:rPr>
        <w:t>” to address diversity in</w:t>
      </w:r>
      <w:r>
        <w:rPr>
          <w:rFonts w:ascii="Arial" w:cs="Arial" w:eastAsia="Arial" w:hAnsi="Arial"/>
          <w:sz w:val="17"/>
          <w:szCs w:val="17"/>
          <w:i w:val="1"/>
          <w:iCs w:val="1"/>
          <w:color w:val="auto"/>
        </w:rPr>
        <w:t xml:space="preserve"> </w:t>
      </w:r>
      <w:r>
        <w:rPr>
          <w:rFonts w:ascii="Arial" w:cs="Arial" w:eastAsia="Arial" w:hAnsi="Arial"/>
          <w:sz w:val="17"/>
          <w:szCs w:val="17"/>
          <w:color w:val="auto"/>
        </w:rPr>
        <w:t>practice in how certain cash receipts and cash payments are presented and classified in the statement of cash flows. The guidance is effective for financial statements issued for annual periods beginning after December 15, 2017, including interim periods within those fiscal years. The adoption of this standard is not expected to have a material impact on the consolidated financial statements.</w:t>
      </w:r>
    </w:p>
    <w:p>
      <w:pPr>
        <w:spacing w:after="0" w:line="206" w:lineRule="exact"/>
        <w:rPr>
          <w:sz w:val="20"/>
          <w:szCs w:val="20"/>
          <w:color w:val="auto"/>
        </w:rPr>
      </w:pPr>
    </w:p>
    <w:p>
      <w:pPr>
        <w:ind w:left="1240"/>
        <w:spacing w:after="0"/>
        <w:rPr>
          <w:sz w:val="20"/>
          <w:szCs w:val="20"/>
          <w:color w:val="auto"/>
        </w:rPr>
      </w:pPr>
      <w:r>
        <w:rPr>
          <w:rFonts w:ascii="Arial" w:cs="Arial" w:eastAsia="Arial" w:hAnsi="Arial"/>
          <w:sz w:val="18"/>
          <w:szCs w:val="18"/>
          <w:b w:val="1"/>
          <w:bCs w:val="1"/>
          <w:i w:val="1"/>
          <w:iCs w:val="1"/>
          <w:color w:val="auto"/>
        </w:rPr>
        <w:t>Revenue from Contracts with Customers</w:t>
      </w:r>
    </w:p>
    <w:p>
      <w:pPr>
        <w:spacing w:after="0" w:line="225" w:lineRule="exact"/>
        <w:rPr>
          <w:sz w:val="20"/>
          <w:szCs w:val="20"/>
          <w:color w:val="auto"/>
        </w:rPr>
      </w:pPr>
    </w:p>
    <w:p>
      <w:pPr>
        <w:ind w:left="1240" w:right="1279" w:firstLine="648"/>
        <w:spacing w:after="0" w:line="218" w:lineRule="exact"/>
        <w:rPr>
          <w:sz w:val="20"/>
          <w:szCs w:val="20"/>
          <w:color w:val="auto"/>
        </w:rPr>
      </w:pPr>
      <w:r>
        <w:rPr>
          <w:rFonts w:ascii="Arial" w:cs="Arial" w:eastAsia="Arial" w:hAnsi="Arial"/>
          <w:sz w:val="16"/>
          <w:szCs w:val="16"/>
          <w:color w:val="auto"/>
        </w:rPr>
        <w:t>In May 2014, the FASB issued ASU 2014</w:t>
      </w:r>
      <w:r>
        <w:rPr>
          <w:rFonts w:ascii="MS PGothic" w:cs="MS PGothic" w:eastAsia="MS PGothic" w:hAnsi="MS PGothic"/>
          <w:sz w:val="16"/>
          <w:szCs w:val="16"/>
          <w:color w:val="auto"/>
        </w:rPr>
        <w:t>‑</w:t>
      </w:r>
      <w:r>
        <w:rPr>
          <w:rFonts w:ascii="Arial" w:cs="Arial" w:eastAsia="Arial" w:hAnsi="Arial"/>
          <w:sz w:val="16"/>
          <w:szCs w:val="16"/>
          <w:color w:val="auto"/>
        </w:rPr>
        <w:t>09, “</w:t>
      </w:r>
      <w:r>
        <w:rPr>
          <w:rFonts w:ascii="Arial" w:cs="Arial" w:eastAsia="Arial" w:hAnsi="Arial"/>
          <w:sz w:val="16"/>
          <w:szCs w:val="16"/>
          <w:i w:val="1"/>
          <w:iCs w:val="1"/>
          <w:color w:val="auto"/>
        </w:rPr>
        <w:t>Revenue from Contracts with</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Customers.” </w:t>
      </w:r>
      <w:r>
        <w:rPr>
          <w:rFonts w:ascii="Arial" w:cs="Arial" w:eastAsia="Arial" w:hAnsi="Arial"/>
          <w:sz w:val="16"/>
          <w:szCs w:val="16"/>
          <w:color w:val="auto"/>
        </w:rPr>
        <w:t>ASU 2014</w:t>
      </w:r>
      <w:r>
        <w:rPr>
          <w:rFonts w:ascii="MS PGothic" w:cs="MS PGothic" w:eastAsia="MS PGothic" w:hAnsi="MS PGothic"/>
          <w:sz w:val="16"/>
          <w:szCs w:val="16"/>
          <w:color w:val="auto"/>
        </w:rPr>
        <w:t>‑</w:t>
      </w:r>
      <w:r>
        <w:rPr>
          <w:rFonts w:ascii="Arial" w:cs="Arial" w:eastAsia="Arial" w:hAnsi="Arial"/>
          <w:sz w:val="16"/>
          <w:szCs w:val="16"/>
          <w:color w:val="auto"/>
        </w:rPr>
        <w:t>09 amends revenue recognition guidance and requires more</w:t>
      </w:r>
      <w:r>
        <w:rPr>
          <w:rFonts w:ascii="Arial" w:cs="Arial" w:eastAsia="Arial" w:hAnsi="Arial"/>
          <w:sz w:val="16"/>
          <w:szCs w:val="16"/>
          <w:i w:val="1"/>
          <w:iCs w:val="1"/>
          <w:color w:val="auto"/>
        </w:rPr>
        <w:t xml:space="preserve"> </w:t>
      </w:r>
      <w:r>
        <w:rPr>
          <w:rFonts w:ascii="Arial" w:cs="Arial" w:eastAsia="Arial" w:hAnsi="Arial"/>
          <w:sz w:val="16"/>
          <w:szCs w:val="16"/>
          <w:color w:val="auto"/>
        </w:rPr>
        <w:t>detailed disclosures to enable users of financial statements to understand the nature, amount, timing and uncertainty of revenue and cash flows arising from contracts with customers. In March 2016, the FASB issued ASU 2016</w:t>
      </w:r>
      <w:r>
        <w:rPr>
          <w:rFonts w:ascii="MS PGothic" w:cs="MS PGothic" w:eastAsia="MS PGothic" w:hAnsi="MS PGothic"/>
          <w:sz w:val="16"/>
          <w:szCs w:val="16"/>
          <w:color w:val="auto"/>
        </w:rPr>
        <w:t>‑</w:t>
      </w:r>
      <w:r>
        <w:rPr>
          <w:rFonts w:ascii="Arial" w:cs="Arial" w:eastAsia="Arial" w:hAnsi="Arial"/>
          <w:sz w:val="16"/>
          <w:szCs w:val="16"/>
          <w:color w:val="auto"/>
        </w:rPr>
        <w:t>08, “</w:t>
      </w:r>
      <w:r>
        <w:rPr>
          <w:rFonts w:ascii="Arial" w:cs="Arial" w:eastAsia="Arial" w:hAnsi="Arial"/>
          <w:sz w:val="16"/>
          <w:szCs w:val="16"/>
          <w:i w:val="1"/>
          <w:iCs w:val="1"/>
          <w:color w:val="auto"/>
        </w:rPr>
        <w:t>Revenue from Contracts with</w:t>
      </w:r>
      <w:r>
        <w:rPr>
          <w:rFonts w:ascii="Arial" w:cs="Arial" w:eastAsia="Arial" w:hAnsi="Arial"/>
          <w:sz w:val="16"/>
          <w:szCs w:val="16"/>
          <w:color w:val="auto"/>
        </w:rPr>
        <w:t xml:space="preserve"> </w:t>
      </w:r>
      <w:r>
        <w:rPr>
          <w:rFonts w:ascii="Arial" w:cs="Arial" w:eastAsia="Arial" w:hAnsi="Arial"/>
          <w:sz w:val="16"/>
          <w:szCs w:val="16"/>
          <w:i w:val="1"/>
          <w:iCs w:val="1"/>
          <w:color w:val="auto"/>
        </w:rPr>
        <w:t>Customers: Principal versus Agent Considerations</w:t>
      </w:r>
      <w:r>
        <w:rPr>
          <w:rFonts w:ascii="Arial" w:cs="Arial" w:eastAsia="Arial" w:hAnsi="Arial"/>
          <w:sz w:val="16"/>
          <w:szCs w:val="16"/>
          <w:color w:val="auto"/>
        </w:rPr>
        <w:t>” clarifying the implementation</w:t>
      </w:r>
      <w:r>
        <w:rPr>
          <w:rFonts w:ascii="Arial" w:cs="Arial" w:eastAsia="Arial" w:hAnsi="Arial"/>
          <w:sz w:val="16"/>
          <w:szCs w:val="16"/>
          <w:i w:val="1"/>
          <w:iCs w:val="1"/>
          <w:color w:val="auto"/>
        </w:rPr>
        <w:t xml:space="preserve"> </w:t>
      </w:r>
      <w:r>
        <w:rPr>
          <w:rFonts w:ascii="Arial" w:cs="Arial" w:eastAsia="Arial" w:hAnsi="Arial"/>
          <w:sz w:val="16"/>
          <w:szCs w:val="16"/>
          <w:color w:val="auto"/>
        </w:rPr>
        <w:t>guidance on principal versus agent considerations. In August 2015, the FASB issued ASU 2015</w:t>
      </w:r>
      <w:r>
        <w:rPr>
          <w:rFonts w:ascii="MS PGothic" w:cs="MS PGothic" w:eastAsia="MS PGothic" w:hAnsi="MS PGothic"/>
          <w:sz w:val="16"/>
          <w:szCs w:val="16"/>
          <w:color w:val="auto"/>
        </w:rPr>
        <w:t>‑</w:t>
      </w:r>
      <w:r>
        <w:rPr>
          <w:rFonts w:ascii="Arial" w:cs="Arial" w:eastAsia="Arial" w:hAnsi="Arial"/>
          <w:sz w:val="16"/>
          <w:szCs w:val="16"/>
          <w:color w:val="auto"/>
        </w:rPr>
        <w:t>14, “</w:t>
      </w:r>
      <w:r>
        <w:rPr>
          <w:rFonts w:ascii="Arial" w:cs="Arial" w:eastAsia="Arial" w:hAnsi="Arial"/>
          <w:sz w:val="16"/>
          <w:szCs w:val="16"/>
          <w:i w:val="1"/>
          <w:iCs w:val="1"/>
          <w:color w:val="auto"/>
        </w:rPr>
        <w:t>Revenue from Contracts with Customers: Deferral of the Effective Date</w:t>
      </w:r>
      <w:r>
        <w:rPr>
          <w:rFonts w:ascii="Arial" w:cs="Arial" w:eastAsia="Arial" w:hAnsi="Arial"/>
          <w:sz w:val="16"/>
          <w:szCs w:val="16"/>
          <w:color w:val="auto"/>
        </w:rPr>
        <w:t>.” deferring the adoption of previously issued guidance published. In May 2016, the FASB issued ASU 2016</w:t>
      </w:r>
      <w:r>
        <w:rPr>
          <w:rFonts w:ascii="MS PGothic" w:cs="MS PGothic" w:eastAsia="MS PGothic" w:hAnsi="MS PGothic"/>
          <w:sz w:val="16"/>
          <w:szCs w:val="16"/>
          <w:color w:val="auto"/>
        </w:rPr>
        <w:t>‑</w:t>
      </w:r>
      <w:r>
        <w:rPr>
          <w:rFonts w:ascii="Arial" w:cs="Arial" w:eastAsia="Arial" w:hAnsi="Arial"/>
          <w:sz w:val="16"/>
          <w:szCs w:val="16"/>
          <w:color w:val="auto"/>
        </w:rPr>
        <w:t>12, “</w:t>
      </w:r>
      <w:r>
        <w:rPr>
          <w:rFonts w:ascii="Arial" w:cs="Arial" w:eastAsia="Arial" w:hAnsi="Arial"/>
          <w:sz w:val="16"/>
          <w:szCs w:val="16"/>
          <w:i w:val="1"/>
          <w:iCs w:val="1"/>
          <w:color w:val="auto"/>
        </w:rPr>
        <w:t>Revenue from Contracts with Customers: Narrow</w:t>
      </w:r>
      <w:r>
        <w:rPr>
          <w:rFonts w:ascii="MS PGothic" w:cs="MS PGothic" w:eastAsia="MS PGothic" w:hAnsi="MS PGothic"/>
          <w:sz w:val="16"/>
          <w:szCs w:val="16"/>
          <w:i w:val="1"/>
          <w:iCs w:val="1"/>
          <w:color w:val="auto"/>
        </w:rPr>
        <w:t>‑</w:t>
      </w:r>
      <w:r>
        <w:rPr>
          <w:rFonts w:ascii="Arial" w:cs="Arial" w:eastAsia="Arial" w:hAnsi="Arial"/>
          <w:sz w:val="16"/>
          <w:szCs w:val="16"/>
          <w:i w:val="1"/>
          <w:iCs w:val="1"/>
          <w:color w:val="auto"/>
        </w:rPr>
        <w:t>Scope</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Improvements and Practical Expedients.” </w:t>
      </w:r>
      <w:r>
        <w:rPr>
          <w:rFonts w:ascii="Arial" w:cs="Arial" w:eastAsia="Arial" w:hAnsi="Arial"/>
          <w:sz w:val="16"/>
          <w:szCs w:val="16"/>
          <w:color w:val="auto"/>
        </w:rPr>
        <w:t>ASU 2016</w:t>
      </w:r>
      <w:r>
        <w:rPr>
          <w:rFonts w:ascii="MS PGothic" w:cs="MS PGothic" w:eastAsia="MS PGothic" w:hAnsi="MS PGothic"/>
          <w:sz w:val="16"/>
          <w:szCs w:val="16"/>
          <w:color w:val="auto"/>
        </w:rPr>
        <w:t>‑</w:t>
      </w:r>
      <w:r>
        <w:rPr>
          <w:rFonts w:ascii="Arial" w:cs="Arial" w:eastAsia="Arial" w:hAnsi="Arial"/>
          <w:sz w:val="16"/>
          <w:szCs w:val="16"/>
          <w:color w:val="auto"/>
        </w:rPr>
        <w:t>12 addresses narrow</w:t>
      </w:r>
      <w:r>
        <w:rPr>
          <w:rFonts w:ascii="MS PGothic" w:cs="MS PGothic" w:eastAsia="MS PGothic" w:hAnsi="MS PGothic"/>
          <w:sz w:val="16"/>
          <w:szCs w:val="16"/>
          <w:color w:val="auto"/>
        </w:rPr>
        <w:t>‑</w:t>
      </w:r>
      <w:r>
        <w:rPr>
          <w:rFonts w:ascii="Arial" w:cs="Arial" w:eastAsia="Arial" w:hAnsi="Arial"/>
          <w:sz w:val="16"/>
          <w:szCs w:val="16"/>
          <w:color w:val="auto"/>
        </w:rPr>
        <w:t>scope</w:t>
      </w:r>
      <w:r>
        <w:rPr>
          <w:rFonts w:ascii="Arial" w:cs="Arial" w:eastAsia="Arial" w:hAnsi="Arial"/>
          <w:sz w:val="16"/>
          <w:szCs w:val="16"/>
          <w:i w:val="1"/>
          <w:iCs w:val="1"/>
          <w:color w:val="auto"/>
        </w:rPr>
        <w:t xml:space="preserve"> </w:t>
      </w:r>
      <w:r>
        <w:rPr>
          <w:rFonts w:ascii="Arial" w:cs="Arial" w:eastAsia="Arial" w:hAnsi="Arial"/>
          <w:sz w:val="16"/>
          <w:szCs w:val="16"/>
          <w:color w:val="auto"/>
        </w:rPr>
        <w:t>improvements to the guidance on collectability, noncash consideration and completed contracts at transition and provides a practical expedient for contract modifications and an accounting policy election related to the presentation of sales taxes and other similar taxes collected from customers. ASU 2016</w:t>
      </w:r>
      <w:r>
        <w:rPr>
          <w:rFonts w:ascii="MS PGothic" w:cs="MS PGothic" w:eastAsia="MS PGothic" w:hAnsi="MS PGothic"/>
          <w:sz w:val="16"/>
          <w:szCs w:val="16"/>
          <w:color w:val="auto"/>
        </w:rPr>
        <w:t>‑</w:t>
      </w:r>
      <w:r>
        <w:rPr>
          <w:rFonts w:ascii="Arial" w:cs="Arial" w:eastAsia="Arial" w:hAnsi="Arial"/>
          <w:sz w:val="16"/>
          <w:szCs w:val="16"/>
          <w:color w:val="auto"/>
        </w:rPr>
        <w:t>08 and 2015</w:t>
      </w:r>
      <w:r>
        <w:rPr>
          <w:rFonts w:ascii="MS PGothic" w:cs="MS PGothic" w:eastAsia="MS PGothic" w:hAnsi="MS PGothic"/>
          <w:sz w:val="16"/>
          <w:szCs w:val="16"/>
          <w:color w:val="auto"/>
        </w:rPr>
        <w:t>‑</w:t>
      </w:r>
      <w:r>
        <w:rPr>
          <w:rFonts w:ascii="Arial" w:cs="Arial" w:eastAsia="Arial" w:hAnsi="Arial"/>
          <w:sz w:val="16"/>
          <w:szCs w:val="16"/>
          <w:color w:val="auto"/>
        </w:rPr>
        <w:t>14 are effective for reporting periods beginning after December 15, 2017, including interim periods within those fiscal years. The new standard permits the use of either the retrospective or modified retrospective approach on adoption. The Company has adopted the standard on January 1, 2018 using a modified retrospective approach with the cumulative effect of initially applying the new standard recognized in retained earnings at the date of adoption. The Company has identified customer incentives and expanded disclosures as the primary areas that will be affected by the new guidance. Based upon the terms of the Company’s agreements and the materiality of the transactions related to customer incentives, the Company does not expect the effect of adoption to have a material impact on the Company’s consolidated financial statements.</w:t>
      </w:r>
    </w:p>
    <w:p>
      <w:pPr>
        <w:sectPr>
          <w:pgSz w:w="11900" w:h="16838" w:orient="portrait"/>
          <w:cols w:equalWidth="0" w:num="1">
            <w:col w:w="9019"/>
          </w:cols>
          <w:pgMar w:left="1440" w:top="125" w:right="1440" w:bottom="0" w:gutter="0" w:footer="0" w:header="0"/>
        </w:sectPr>
      </w:pPr>
    </w:p>
    <w:bookmarkStart w:id="111" w:name="page112"/>
    <w:bookmarkEnd w:id="111"/>
    <w:p>
      <w:pPr>
        <w:jc w:val="center"/>
        <w:spacing w:after="0"/>
        <w:rPr>
          <w:sz w:val="20"/>
          <w:szCs w:val="20"/>
          <w:color w:val="auto"/>
        </w:rPr>
      </w:pPr>
      <w:r>
        <w:rPr>
          <w:rFonts w:ascii="Arial" w:cs="Arial" w:eastAsia="Arial" w:hAnsi="Arial"/>
          <w:sz w:val="16"/>
          <w:szCs w:val="16"/>
          <w:color w:val="auto"/>
        </w:rPr>
        <w:t>F-18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786765</wp:posOffset>
            </wp:positionH>
            <wp:positionV relativeFrom="paragraph">
              <wp:posOffset>97790</wp:posOffset>
            </wp:positionV>
            <wp:extent cx="4159250" cy="2603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42">
                      <a:extLst>
                        <a:ext uri="{28A0092B-C50C-407E-A947-70E740481C1C}"/>
                      </a:extLst>
                    </a:blip>
                    <a:srcRect/>
                    <a:stretch>
                      <a:fillRect/>
                    </a:stretch>
                  </pic:blipFill>
                  <pic:spPr bwMode="auto">
                    <a:xfrm>
                      <a:off x="0" y="0"/>
                      <a:ext cx="415925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112" w:name="page113"/>
    <w:bookmarkEnd w:id="112"/>
    <w:p>
      <w:pPr>
        <w:ind w:left="124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1240"/>
        <w:spacing w:after="0"/>
        <w:rPr>
          <w:sz w:val="20"/>
          <w:szCs w:val="20"/>
          <w:color w:val="auto"/>
        </w:rPr>
      </w:pPr>
      <w:r>
        <w:rPr>
          <w:rFonts w:ascii="Arial" w:cs="Arial" w:eastAsia="Arial" w:hAnsi="Arial"/>
          <w:sz w:val="18"/>
          <w:szCs w:val="18"/>
          <w:b w:val="1"/>
          <w:bCs w:val="1"/>
          <w:i w:val="1"/>
          <w:iCs w:val="1"/>
          <w:color w:val="auto"/>
        </w:rPr>
        <w:t>Leases</w:t>
      </w:r>
    </w:p>
    <w:p>
      <w:pPr>
        <w:spacing w:after="0" w:line="225" w:lineRule="exact"/>
        <w:rPr>
          <w:sz w:val="20"/>
          <w:szCs w:val="20"/>
          <w:color w:val="auto"/>
        </w:rPr>
      </w:pPr>
    </w:p>
    <w:p>
      <w:pPr>
        <w:ind w:left="1240" w:right="1259" w:firstLine="648"/>
        <w:spacing w:after="0" w:line="218" w:lineRule="exact"/>
        <w:rPr>
          <w:sz w:val="20"/>
          <w:szCs w:val="20"/>
          <w:color w:val="auto"/>
        </w:rPr>
      </w:pPr>
      <w:r>
        <w:rPr>
          <w:rFonts w:ascii="Arial" w:cs="Arial" w:eastAsia="Arial" w:hAnsi="Arial"/>
          <w:sz w:val="16"/>
          <w:szCs w:val="16"/>
          <w:color w:val="auto"/>
        </w:rPr>
        <w:t>In February 2016, the FASB issued ASU 2016</w:t>
      </w:r>
      <w:r>
        <w:rPr>
          <w:rFonts w:ascii="MS PGothic" w:cs="MS PGothic" w:eastAsia="MS PGothic" w:hAnsi="MS PGothic"/>
          <w:sz w:val="16"/>
          <w:szCs w:val="16"/>
          <w:color w:val="auto"/>
        </w:rPr>
        <w:t>‑</w:t>
      </w:r>
      <w:r>
        <w:rPr>
          <w:rFonts w:ascii="Arial" w:cs="Arial" w:eastAsia="Arial" w:hAnsi="Arial"/>
          <w:sz w:val="16"/>
          <w:szCs w:val="16"/>
          <w:color w:val="auto"/>
        </w:rPr>
        <w:t>02, “</w:t>
      </w:r>
      <w:r>
        <w:rPr>
          <w:rFonts w:ascii="Arial" w:cs="Arial" w:eastAsia="Arial" w:hAnsi="Arial"/>
          <w:sz w:val="16"/>
          <w:szCs w:val="16"/>
          <w:i w:val="1"/>
          <w:iCs w:val="1"/>
          <w:color w:val="auto"/>
        </w:rPr>
        <w:t>Leases,</w:t>
      </w:r>
      <w:r>
        <w:rPr>
          <w:rFonts w:ascii="Arial" w:cs="Arial" w:eastAsia="Arial" w:hAnsi="Arial"/>
          <w:sz w:val="16"/>
          <w:szCs w:val="16"/>
          <w:color w:val="auto"/>
        </w:rPr>
        <w:t>” which will require lessees to recognize right</w:t>
      </w:r>
      <w:r>
        <w:rPr>
          <w:rFonts w:ascii="MS PGothic" w:cs="MS PGothic" w:eastAsia="MS PGothic" w:hAnsi="MS PGothic"/>
          <w:sz w:val="16"/>
          <w:szCs w:val="16"/>
          <w:color w:val="auto"/>
        </w:rPr>
        <w:t>‑</w:t>
      </w:r>
      <w:r>
        <w:rPr>
          <w:rFonts w:ascii="Arial" w:cs="Arial" w:eastAsia="Arial" w:hAnsi="Arial"/>
          <w:sz w:val="16"/>
          <w:szCs w:val="16"/>
          <w:color w:val="auto"/>
        </w:rPr>
        <w:t>of</w:t>
      </w:r>
      <w:r>
        <w:rPr>
          <w:rFonts w:ascii="MS PGothic" w:cs="MS PGothic" w:eastAsia="MS PGothic" w:hAnsi="MS PGothic"/>
          <w:sz w:val="16"/>
          <w:szCs w:val="16"/>
          <w:color w:val="auto"/>
        </w:rPr>
        <w:t>‑</w:t>
      </w:r>
      <w:r>
        <w:rPr>
          <w:rFonts w:ascii="Arial" w:cs="Arial" w:eastAsia="Arial" w:hAnsi="Arial"/>
          <w:sz w:val="16"/>
          <w:szCs w:val="16"/>
          <w:color w:val="auto"/>
        </w:rPr>
        <w:t>use assets and lease liabilities for leases which were formerly classified as operating leases. The guidance is effective for financial statements issued for annual periods beginning after December 15, 2018, including interim periods within those fiscal years. While the Company is still analyzing the complete impact this ASU will have on its consolidated financial statements and related disclosures, it does expect the adoption of this standard will have a material impact on its consolidated financial statements.</w:t>
      </w:r>
    </w:p>
    <w:p>
      <w:pPr>
        <w:spacing w:after="0" w:line="200" w:lineRule="exact"/>
        <w:rPr>
          <w:sz w:val="20"/>
          <w:szCs w:val="20"/>
          <w:color w:val="auto"/>
        </w:rPr>
      </w:pPr>
    </w:p>
    <w:p>
      <w:pPr>
        <w:spacing w:after="0" w:line="203"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3. Allowance for Doubtful Accounts</w:t>
      </w:r>
    </w:p>
    <w:p>
      <w:pPr>
        <w:spacing w:after="0" w:line="229" w:lineRule="exact"/>
        <w:rPr>
          <w:sz w:val="20"/>
          <w:szCs w:val="20"/>
          <w:color w:val="auto"/>
        </w:rPr>
      </w:pPr>
    </w:p>
    <w:p>
      <w:pPr>
        <w:ind w:left="1880"/>
        <w:spacing w:after="0"/>
        <w:rPr>
          <w:sz w:val="20"/>
          <w:szCs w:val="20"/>
          <w:color w:val="auto"/>
        </w:rPr>
      </w:pPr>
      <w:r>
        <w:rPr>
          <w:rFonts w:ascii="Arial" w:cs="Arial" w:eastAsia="Arial" w:hAnsi="Arial"/>
          <w:sz w:val="18"/>
          <w:szCs w:val="18"/>
          <w:color w:val="auto"/>
        </w:rPr>
        <w:t>The change to the allowance for doubtful accounts was as follows:</w:t>
      </w:r>
    </w:p>
    <w:p>
      <w:pPr>
        <w:spacing w:after="0" w:line="284" w:lineRule="exact"/>
        <w:rPr>
          <w:sz w:val="20"/>
          <w:szCs w:val="20"/>
          <w:color w:val="auto"/>
        </w:rPr>
      </w:pPr>
    </w:p>
    <w:tbl>
      <w:tblPr>
        <w:tblLayout w:type="fixed"/>
        <w:tblInd w:w="1240" w:type="dxa"/>
        <w:tblCellMar>
          <w:top w:w="0" w:type="dxa"/>
          <w:left w:w="0" w:type="dxa"/>
          <w:bottom w:w="0" w:type="dxa"/>
          <w:right w:w="0" w:type="dxa"/>
        </w:tblCellMar>
      </w:tblPr>
      <w:tr>
        <w:trPr>
          <w:trHeight w:val="171"/>
        </w:trPr>
        <w:tc>
          <w:tcPr>
            <w:tcW w:w="3200" w:type="dxa"/>
            <w:vAlign w:val="bottom"/>
            <w:gridSpan w:val="2"/>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10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tcBorders>
              <w:bottom w:val="single" w:sz="8" w:color="auto"/>
            </w:tcBorders>
          </w:tcPr>
          <w:p>
            <w:pPr>
              <w:jc w:val="right"/>
              <w:ind w:right="80"/>
              <w:spacing w:after="0"/>
              <w:rPr>
                <w:sz w:val="20"/>
                <w:szCs w:val="20"/>
                <w:color w:val="auto"/>
              </w:rPr>
            </w:pPr>
            <w:r>
              <w:rPr>
                <w:rFonts w:ascii="Arial" w:cs="Arial" w:eastAsia="Arial" w:hAnsi="Arial"/>
                <w:sz w:val="14"/>
                <w:szCs w:val="14"/>
                <w:b w:val="1"/>
                <w:bCs w:val="1"/>
                <w:color w:val="auto"/>
              </w:rPr>
              <w:t>2017</w:t>
            </w: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tcBorders>
              <w:bottom w:val="single" w:sz="8" w:color="auto"/>
            </w:tcBorders>
          </w:tcPr>
          <w:p>
            <w:pPr>
              <w:jc w:val="right"/>
              <w:ind w:right="80"/>
              <w:spacing w:after="0"/>
              <w:rPr>
                <w:sz w:val="20"/>
                <w:szCs w:val="20"/>
                <w:color w:val="auto"/>
              </w:rPr>
            </w:pPr>
            <w:r>
              <w:rPr>
                <w:rFonts w:ascii="Arial" w:cs="Arial" w:eastAsia="Arial" w:hAnsi="Arial"/>
                <w:sz w:val="14"/>
                <w:szCs w:val="14"/>
                <w:b w:val="1"/>
                <w:bCs w:val="1"/>
                <w:color w:val="auto"/>
              </w:rPr>
              <w:t>2016</w:t>
            </w: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tcBorders>
              <w:bottom w:val="single" w:sz="8" w:color="auto"/>
            </w:tcBorders>
          </w:tcPr>
          <w:p>
            <w:pPr>
              <w:jc w:val="right"/>
              <w:ind w:right="80"/>
              <w:spacing w:after="0"/>
              <w:rPr>
                <w:sz w:val="20"/>
                <w:szCs w:val="20"/>
                <w:color w:val="auto"/>
              </w:rPr>
            </w:pPr>
            <w:r>
              <w:rPr>
                <w:rFonts w:ascii="Arial" w:cs="Arial" w:eastAsia="Arial" w:hAnsi="Arial"/>
                <w:sz w:val="14"/>
                <w:szCs w:val="14"/>
                <w:b w:val="1"/>
                <w:bCs w:val="1"/>
                <w:color w:val="auto"/>
              </w:rPr>
              <w:t>2015</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20" w:type="dxa"/>
            <w:vAlign w:val="bottom"/>
            <w:vMerge w:val="restart"/>
          </w:tcPr>
          <w:p>
            <w:pPr>
              <w:spacing w:after="0"/>
              <w:rPr>
                <w:sz w:val="17"/>
                <w:szCs w:val="17"/>
                <w:color w:val="auto"/>
              </w:rPr>
            </w:pPr>
          </w:p>
        </w:tc>
        <w:tc>
          <w:tcPr>
            <w:tcW w:w="31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318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Balance at beginning of year</w:t>
            </w: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12,255</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12,363</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8,528</w:t>
            </w: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180" w:type="dxa"/>
            <w:vAlign w:val="bottom"/>
          </w:tcPr>
          <w:p>
            <w:pPr>
              <w:spacing w:after="0"/>
              <w:rPr>
                <w:sz w:val="20"/>
                <w:szCs w:val="20"/>
                <w:color w:val="auto"/>
              </w:rPr>
            </w:pPr>
            <w:r>
              <w:rPr>
                <w:rFonts w:ascii="Arial" w:cs="Arial" w:eastAsia="Arial" w:hAnsi="Arial"/>
                <w:sz w:val="16"/>
                <w:szCs w:val="16"/>
                <w:color w:val="auto"/>
              </w:rPr>
              <w:t>Bad debt expense</w:t>
            </w:r>
          </w:p>
        </w:tc>
        <w:tc>
          <w:tcPr>
            <w:tcW w:w="10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0" w:type="dxa"/>
            <w:vAlign w:val="bottom"/>
          </w:tcPr>
          <w:p>
            <w:pPr>
              <w:jc w:val="right"/>
              <w:spacing w:after="0"/>
              <w:rPr>
                <w:sz w:val="20"/>
                <w:szCs w:val="20"/>
                <w:color w:val="auto"/>
              </w:rPr>
            </w:pPr>
            <w:r>
              <w:rPr>
                <w:rFonts w:ascii="Arial" w:cs="Arial" w:eastAsia="Arial" w:hAnsi="Arial"/>
                <w:sz w:val="16"/>
                <w:szCs w:val="16"/>
                <w:color w:val="auto"/>
              </w:rPr>
              <w:t>337</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0" w:type="dxa"/>
            <w:vAlign w:val="bottom"/>
          </w:tcPr>
          <w:p>
            <w:pPr>
              <w:jc w:val="right"/>
              <w:spacing w:after="0"/>
              <w:rPr>
                <w:sz w:val="20"/>
                <w:szCs w:val="20"/>
                <w:color w:val="auto"/>
              </w:rPr>
            </w:pPr>
            <w:r>
              <w:rPr>
                <w:rFonts w:ascii="Arial" w:cs="Arial" w:eastAsia="Arial" w:hAnsi="Arial"/>
                <w:sz w:val="16"/>
                <w:szCs w:val="16"/>
                <w:color w:val="auto"/>
              </w:rPr>
              <w:t>6,507</w:t>
            </w: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0" w:type="dxa"/>
            <w:vAlign w:val="bottom"/>
          </w:tcPr>
          <w:p>
            <w:pPr>
              <w:jc w:val="right"/>
              <w:spacing w:after="0"/>
              <w:rPr>
                <w:sz w:val="20"/>
                <w:szCs w:val="20"/>
                <w:color w:val="auto"/>
              </w:rPr>
            </w:pPr>
            <w:r>
              <w:rPr>
                <w:rFonts w:ascii="Arial" w:cs="Arial" w:eastAsia="Arial" w:hAnsi="Arial"/>
                <w:sz w:val="16"/>
                <w:szCs w:val="16"/>
                <w:color w:val="auto"/>
              </w:rPr>
              <w:t>4,771</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180" w:type="dxa"/>
            <w:vAlign w:val="bottom"/>
            <w:shd w:val="clear" w:color="auto" w:fill="CCEEFF"/>
          </w:tcPr>
          <w:p>
            <w:pPr>
              <w:spacing w:after="0"/>
              <w:rPr>
                <w:sz w:val="20"/>
                <w:szCs w:val="20"/>
                <w:color w:val="auto"/>
              </w:rPr>
            </w:pPr>
            <w:r>
              <w:rPr>
                <w:rFonts w:ascii="Arial" w:cs="Arial" w:eastAsia="Arial" w:hAnsi="Arial"/>
                <w:sz w:val="16"/>
                <w:szCs w:val="16"/>
                <w:color w:val="auto"/>
              </w:rPr>
              <w:t>Amount of receivables written off</w:t>
            </w:r>
          </w:p>
        </w:tc>
        <w:tc>
          <w:tcPr>
            <w:tcW w:w="10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(3,300)</w:t>
            </w: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(6,315)</w:t>
            </w: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(634)</w:t>
            </w: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180" w:type="dxa"/>
            <w:vAlign w:val="bottom"/>
            <w:tcBorders>
              <w:bottom w:val="single" w:sz="8" w:color="CCEEFF"/>
            </w:tcBorders>
          </w:tcPr>
          <w:p>
            <w:pPr>
              <w:spacing w:after="0"/>
              <w:rPr>
                <w:sz w:val="20"/>
                <w:szCs w:val="20"/>
                <w:color w:val="auto"/>
              </w:rPr>
            </w:pPr>
            <w:r>
              <w:rPr>
                <w:rFonts w:ascii="Arial" w:cs="Arial" w:eastAsia="Arial" w:hAnsi="Arial"/>
                <w:sz w:val="16"/>
                <w:szCs w:val="16"/>
                <w:color w:val="auto"/>
              </w:rPr>
              <w:t>Foreign currency translation</w:t>
            </w:r>
          </w:p>
        </w:tc>
        <w:tc>
          <w:tcPr>
            <w:tcW w:w="1000" w:type="dxa"/>
            <w:vAlign w:val="bottom"/>
            <w:tcBorders>
              <w:bottom w:val="single" w:sz="8" w:color="CCEEFF"/>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683</w:t>
            </w:r>
          </w:p>
        </w:tc>
        <w:tc>
          <w:tcPr>
            <w:tcW w:w="120" w:type="dxa"/>
            <w:vAlign w:val="bottom"/>
            <w:tcBorders>
              <w:bottom w:val="single" w:sz="8" w:color="CCEEFF"/>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(300)</w:t>
            </w:r>
          </w:p>
        </w:tc>
        <w:tc>
          <w:tcPr>
            <w:tcW w:w="140" w:type="dxa"/>
            <w:vAlign w:val="bottom"/>
            <w:tcBorders>
              <w:bottom w:val="single" w:sz="8" w:color="CCEEFF"/>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(302)</w:t>
            </w:r>
          </w:p>
        </w:tc>
        <w:tc>
          <w:tcPr>
            <w:tcW w:w="60" w:type="dxa"/>
            <w:vAlign w:val="bottom"/>
            <w:tcBorders>
              <w:bottom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1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6"/>
                <w:szCs w:val="16"/>
                <w:b w:val="1"/>
                <w:bCs w:val="1"/>
                <w:color w:val="auto"/>
              </w:rPr>
              <w:t>Balance at end of year</w:t>
            </w:r>
          </w:p>
        </w:tc>
        <w:tc>
          <w:tcPr>
            <w:tcW w:w="1000" w:type="dxa"/>
            <w:vAlign w:val="bottom"/>
            <w:tcBorders>
              <w:bottom w:val="single" w:sz="8" w:color="CCEEFF"/>
            </w:tcBorders>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9,975</w:t>
            </w:r>
          </w:p>
        </w:tc>
        <w:tc>
          <w:tcPr>
            <w:tcW w:w="120" w:type="dxa"/>
            <w:vAlign w:val="bottom"/>
            <w:tcBorders>
              <w:bottom w:val="single" w:sz="8" w:color="CCEEFF"/>
            </w:tcBorders>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12,255</w:t>
            </w:r>
          </w:p>
        </w:tc>
        <w:tc>
          <w:tcPr>
            <w:tcW w:w="140" w:type="dxa"/>
            <w:vAlign w:val="bottom"/>
            <w:tcBorders>
              <w:bottom w:val="single" w:sz="8" w:color="CCEEFF"/>
            </w:tcBorders>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12,363</w:t>
            </w:r>
          </w:p>
        </w:tc>
        <w:tc>
          <w:tcPr>
            <w:tcW w:w="60" w:type="dxa"/>
            <w:vAlign w:val="bottom"/>
            <w:tcBorders>
              <w:bottom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1240" w:right="1279" w:firstLine="648"/>
        <w:spacing w:after="0" w:line="217" w:lineRule="exact"/>
        <w:rPr>
          <w:sz w:val="20"/>
          <w:szCs w:val="20"/>
          <w:color w:val="auto"/>
        </w:rPr>
      </w:pPr>
      <w:r>
        <w:rPr>
          <w:rFonts w:ascii="Arial" w:cs="Arial" w:eastAsia="Arial" w:hAnsi="Arial"/>
          <w:sz w:val="16"/>
          <w:szCs w:val="16"/>
          <w:color w:val="auto"/>
        </w:rPr>
        <w:t>On September 14, 2016 Golfsmith International Holdings LP, one of the Company’s largest customers in the years ended December 31, 2016 and 2015, announced that its U.S.</w:t>
      </w:r>
      <w:r>
        <w:rPr>
          <w:rFonts w:ascii="MS PGothic" w:cs="MS PGothic" w:eastAsia="MS PGothic" w:hAnsi="MS PGothic"/>
          <w:sz w:val="16"/>
          <w:szCs w:val="16"/>
          <w:color w:val="auto"/>
        </w:rPr>
        <w:t>‑</w:t>
      </w:r>
      <w:r>
        <w:rPr>
          <w:rFonts w:ascii="Arial" w:cs="Arial" w:eastAsia="Arial" w:hAnsi="Arial"/>
          <w:sz w:val="16"/>
          <w:szCs w:val="16"/>
          <w:color w:val="auto"/>
        </w:rPr>
        <w:t>based business, Golfsmith International Holdings, Inc., (Golfsmith) commenced a Chapter 11 case under Title 11 of the United States Code in the United States Bankruptcy Court for the District of Delaware, and its Canada</w:t>
      </w:r>
      <w:r>
        <w:rPr>
          <w:rFonts w:ascii="MS PGothic" w:cs="MS PGothic" w:eastAsia="MS PGothic" w:hAnsi="MS PGothic"/>
          <w:sz w:val="16"/>
          <w:szCs w:val="16"/>
          <w:color w:val="auto"/>
        </w:rPr>
        <w:t>‑</w:t>
      </w:r>
      <w:r>
        <w:rPr>
          <w:rFonts w:ascii="Arial" w:cs="Arial" w:eastAsia="Arial" w:hAnsi="Arial"/>
          <w:sz w:val="16"/>
          <w:szCs w:val="16"/>
          <w:color w:val="auto"/>
        </w:rPr>
        <w:t>based business, Golf Town Canada Inc., (Golf Town) commenced creditor protection proceedings under the Companies’ Creditors Arrangement Act in the Ontario Superior Court of Justice (Commercial List). The Company’s outstanding receivable related to Golfsmith and Golf Town was reserved for in full by the time of the bankruptcy filing and as of December 31, 2016 the portion related to Golfsmith had been written off.</w:t>
      </w:r>
    </w:p>
    <w:p>
      <w:pPr>
        <w:spacing w:after="0" w:line="203"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4. Inventories</w:t>
      </w:r>
    </w:p>
    <w:p>
      <w:pPr>
        <w:spacing w:after="0" w:line="229" w:lineRule="exact"/>
        <w:rPr>
          <w:sz w:val="20"/>
          <w:szCs w:val="20"/>
          <w:color w:val="auto"/>
        </w:rPr>
      </w:pPr>
    </w:p>
    <w:p>
      <w:pPr>
        <w:ind w:left="1880"/>
        <w:spacing w:after="0"/>
        <w:rPr>
          <w:sz w:val="20"/>
          <w:szCs w:val="20"/>
          <w:color w:val="auto"/>
        </w:rPr>
      </w:pPr>
      <w:r>
        <w:rPr>
          <w:rFonts w:ascii="Arial" w:cs="Arial" w:eastAsia="Arial" w:hAnsi="Arial"/>
          <w:sz w:val="18"/>
          <w:szCs w:val="18"/>
          <w:color w:val="auto"/>
        </w:rPr>
        <w:t>The components of inventories were as follows:</w:t>
      </w:r>
    </w:p>
    <w:p>
      <w:pPr>
        <w:spacing w:after="0" w:line="230" w:lineRule="exact"/>
        <w:rPr>
          <w:sz w:val="20"/>
          <w:szCs w:val="20"/>
          <w:color w:val="auto"/>
        </w:rPr>
      </w:pPr>
    </w:p>
    <w:tbl>
      <w:tblPr>
        <w:tblLayout w:type="fixed"/>
        <w:tblInd w:w="1240" w:type="dxa"/>
        <w:tblCellMar>
          <w:top w:w="0" w:type="dxa"/>
          <w:left w:w="0" w:type="dxa"/>
          <w:bottom w:w="0" w:type="dxa"/>
          <w:right w:w="0" w:type="dxa"/>
        </w:tblCellMar>
      </w:tblPr>
      <w:tr>
        <w:trPr>
          <w:trHeight w:val="162"/>
        </w:trPr>
        <w:tc>
          <w:tcPr>
            <w:tcW w:w="3200" w:type="dxa"/>
            <w:vAlign w:val="bottom"/>
            <w:gridSpan w:val="2"/>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2420" w:type="dxa"/>
            <w:vAlign w:val="bottom"/>
            <w:gridSpan w:val="4"/>
          </w:tcPr>
          <w:p>
            <w:pPr>
              <w:ind w:left="1420"/>
              <w:spacing w:after="0"/>
              <w:rPr>
                <w:sz w:val="20"/>
                <w:szCs w:val="20"/>
                <w:color w:val="auto"/>
              </w:rPr>
            </w:pPr>
            <w:r>
              <w:rPr>
                <w:rFonts w:ascii="Arial" w:cs="Arial" w:eastAsia="Arial" w:hAnsi="Arial"/>
                <w:sz w:val="14"/>
                <w:szCs w:val="14"/>
                <w:b w:val="1"/>
                <w:bCs w:val="1"/>
                <w:color w:val="auto"/>
              </w:rPr>
              <w:t>December 31,</w:t>
            </w:r>
          </w:p>
        </w:tc>
        <w:tc>
          <w:tcPr>
            <w:tcW w:w="920" w:type="dxa"/>
            <w:vAlign w:val="bottom"/>
            <w:gridSpan w:val="4"/>
          </w:tcPr>
          <w:p>
            <w:pPr>
              <w:spacing w:after="0"/>
              <w:rPr>
                <w:sz w:val="20"/>
                <w:szCs w:val="20"/>
                <w:color w:val="auto"/>
              </w:rPr>
            </w:pPr>
            <w:r>
              <w:rPr>
                <w:rFonts w:ascii="Arial" w:cs="Arial" w:eastAsia="Arial" w:hAnsi="Arial"/>
                <w:sz w:val="14"/>
                <w:szCs w:val="14"/>
                <w:b w:val="1"/>
                <w:bCs w:val="1"/>
                <w:color w:val="auto"/>
                <w:w w:val="98"/>
              </w:rPr>
              <w:t>December 31,</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318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jc w:val="right"/>
              <w:ind w:right="221"/>
              <w:spacing w:after="0"/>
              <w:rPr>
                <w:sz w:val="20"/>
                <w:szCs w:val="20"/>
                <w:color w:val="auto"/>
              </w:rPr>
            </w:pPr>
            <w:r>
              <w:rPr>
                <w:rFonts w:ascii="Arial" w:cs="Arial" w:eastAsia="Arial" w:hAnsi="Arial"/>
                <w:sz w:val="14"/>
                <w:szCs w:val="14"/>
                <w:b w:val="1"/>
                <w:bCs w:val="1"/>
                <w:color w:val="auto"/>
              </w:rPr>
              <w:t>2017</w:t>
            </w: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221"/>
              <w:spacing w:after="0"/>
              <w:rPr>
                <w:sz w:val="20"/>
                <w:szCs w:val="20"/>
                <w:color w:val="auto"/>
              </w:rPr>
            </w:pPr>
            <w:r>
              <w:rPr>
                <w:rFonts w:ascii="Arial" w:cs="Arial" w:eastAsia="Arial" w:hAnsi="Arial"/>
                <w:sz w:val="14"/>
                <w:szCs w:val="14"/>
                <w:b w:val="1"/>
                <w:bCs w:val="1"/>
                <w:color w:val="auto"/>
              </w:rPr>
              <w:t>2016</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20" w:type="dxa"/>
            <w:vAlign w:val="bottom"/>
            <w:vMerge w:val="restart"/>
          </w:tcPr>
          <w:p>
            <w:pPr>
              <w:spacing w:after="0"/>
              <w:rPr>
                <w:sz w:val="17"/>
                <w:szCs w:val="17"/>
                <w:color w:val="auto"/>
              </w:rPr>
            </w:pPr>
          </w:p>
        </w:tc>
        <w:tc>
          <w:tcPr>
            <w:tcW w:w="3180" w:type="dxa"/>
            <w:vAlign w:val="bottom"/>
          </w:tcPr>
          <w:p>
            <w:pPr>
              <w:spacing w:after="0"/>
              <w:rPr>
                <w:sz w:val="17"/>
                <w:szCs w:val="17"/>
                <w:color w:val="auto"/>
              </w:rPr>
            </w:pPr>
          </w:p>
        </w:tc>
        <w:tc>
          <w:tcPr>
            <w:tcW w:w="14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3180" w:type="dxa"/>
            <w:vAlign w:val="bottom"/>
            <w:shd w:val="clear" w:color="auto" w:fill="CCEEFF"/>
          </w:tcPr>
          <w:p>
            <w:pPr>
              <w:spacing w:after="0"/>
              <w:rPr>
                <w:sz w:val="20"/>
                <w:szCs w:val="20"/>
                <w:color w:val="auto"/>
              </w:rPr>
            </w:pPr>
            <w:r>
              <w:rPr>
                <w:rFonts w:ascii="Arial" w:cs="Arial" w:eastAsia="Arial" w:hAnsi="Arial"/>
                <w:sz w:val="16"/>
                <w:szCs w:val="16"/>
                <w:color w:val="auto"/>
              </w:rPr>
              <w:t>Raw materials and supplies</w:t>
            </w:r>
          </w:p>
        </w:tc>
        <w:tc>
          <w:tcPr>
            <w:tcW w:w="1600" w:type="dxa"/>
            <w:vAlign w:val="bottom"/>
            <w:gridSpan w:val="2"/>
            <w:shd w:val="clear" w:color="auto" w:fill="CCEEFF"/>
          </w:tcPr>
          <w:p>
            <w:pPr>
              <w:jc w:val="right"/>
              <w:ind w:right="24"/>
              <w:spacing w:after="0"/>
              <w:rPr>
                <w:sz w:val="20"/>
                <w:szCs w:val="20"/>
                <w:color w:val="auto"/>
              </w:rPr>
            </w:pPr>
            <w:r>
              <w:rPr>
                <w:rFonts w:ascii="Arial" w:cs="Arial" w:eastAsia="Arial" w:hAnsi="Arial"/>
                <w:sz w:val="16"/>
                <w:szCs w:val="16"/>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72,342</w:t>
            </w:r>
          </w:p>
        </w:tc>
        <w:tc>
          <w:tcPr>
            <w:tcW w:w="140" w:type="dxa"/>
            <w:vAlign w:val="bottom"/>
            <w:shd w:val="clear" w:color="auto" w:fill="CCEEFF"/>
          </w:tcPr>
          <w:p>
            <w:pPr>
              <w:spacing w:after="0"/>
              <w:rPr>
                <w:sz w:val="17"/>
                <w:szCs w:val="17"/>
                <w:color w:val="auto"/>
              </w:rPr>
            </w:pPr>
          </w:p>
        </w:tc>
        <w:tc>
          <w:tcPr>
            <w:tcW w:w="180" w:type="dxa"/>
            <w:vAlign w:val="bottom"/>
            <w:gridSpan w:val="2"/>
            <w:shd w:val="clear" w:color="auto" w:fill="CCEEFF"/>
          </w:tcPr>
          <w:p>
            <w:pPr>
              <w:jc w:val="right"/>
              <w:ind w:right="49"/>
              <w:spacing w:after="0"/>
              <w:rPr>
                <w:sz w:val="20"/>
                <w:szCs w:val="20"/>
                <w:color w:val="auto"/>
              </w:rPr>
            </w:pPr>
            <w:r>
              <w:rPr>
                <w:rFonts w:ascii="Arial" w:cs="Arial" w:eastAsia="Arial" w:hAnsi="Arial"/>
                <w:sz w:val="15"/>
                <w:szCs w:val="15"/>
                <w:color w:val="auto"/>
                <w:w w:val="71"/>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55,424</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180" w:type="dxa"/>
            <w:vAlign w:val="bottom"/>
          </w:tcPr>
          <w:p>
            <w:pPr>
              <w:spacing w:after="0"/>
              <w:rPr>
                <w:sz w:val="20"/>
                <w:szCs w:val="20"/>
                <w:color w:val="auto"/>
              </w:rPr>
            </w:pPr>
            <w:r>
              <w:rPr>
                <w:rFonts w:ascii="Arial" w:cs="Arial" w:eastAsia="Arial" w:hAnsi="Arial"/>
                <w:sz w:val="16"/>
                <w:szCs w:val="16"/>
                <w:color w:val="auto"/>
              </w:rPr>
              <w:t>Work-in-process</w:t>
            </w:r>
          </w:p>
        </w:tc>
        <w:tc>
          <w:tcPr>
            <w:tcW w:w="14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23,956</w:t>
            </w: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21,558</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180" w:type="dxa"/>
            <w:vAlign w:val="bottom"/>
            <w:shd w:val="clear" w:color="auto" w:fill="CCEEFF"/>
          </w:tcPr>
          <w:p>
            <w:pPr>
              <w:spacing w:after="0"/>
              <w:rPr>
                <w:sz w:val="20"/>
                <w:szCs w:val="20"/>
                <w:color w:val="auto"/>
              </w:rPr>
            </w:pPr>
            <w:r>
              <w:rPr>
                <w:rFonts w:ascii="Arial" w:cs="Arial" w:eastAsia="Arial" w:hAnsi="Arial"/>
                <w:sz w:val="16"/>
                <w:szCs w:val="16"/>
                <w:color w:val="auto"/>
              </w:rPr>
              <w:t>Finished goods</w:t>
            </w:r>
          </w:p>
        </w:tc>
        <w:tc>
          <w:tcPr>
            <w:tcW w:w="142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267,664</w:t>
            </w:r>
          </w:p>
        </w:tc>
        <w:tc>
          <w:tcPr>
            <w:tcW w:w="1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246,307</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180" w:type="dxa"/>
            <w:vAlign w:val="bottom"/>
          </w:tcPr>
          <w:p>
            <w:pPr>
              <w:ind w:left="520"/>
              <w:spacing w:after="0"/>
              <w:rPr>
                <w:sz w:val="20"/>
                <w:szCs w:val="20"/>
                <w:color w:val="auto"/>
              </w:rPr>
            </w:pPr>
            <w:r>
              <w:rPr>
                <w:rFonts w:ascii="Arial" w:cs="Arial" w:eastAsia="Arial" w:hAnsi="Arial"/>
                <w:sz w:val="16"/>
                <w:szCs w:val="16"/>
                <w:color w:val="auto"/>
              </w:rPr>
              <w:t>Inventories</w:t>
            </w:r>
          </w:p>
        </w:tc>
        <w:tc>
          <w:tcPr>
            <w:tcW w:w="1420" w:type="dxa"/>
            <w:vAlign w:val="bottom"/>
          </w:tcPr>
          <w:p>
            <w:pPr>
              <w:spacing w:after="0"/>
              <w:rPr>
                <w:sz w:val="17"/>
                <w:szCs w:val="17"/>
                <w:color w:val="auto"/>
              </w:rPr>
            </w:pPr>
          </w:p>
        </w:tc>
        <w:tc>
          <w:tcPr>
            <w:tcW w:w="180" w:type="dxa"/>
            <w:vAlign w:val="bottom"/>
            <w:tcBorders>
              <w:bottom w:val="single" w:sz="8" w:color="auto"/>
            </w:tcBorders>
          </w:tcPr>
          <w:p>
            <w:pPr>
              <w:jc w:val="right"/>
              <w:ind w:right="24"/>
              <w:spacing w:after="0"/>
              <w:rPr>
                <w:sz w:val="20"/>
                <w:szCs w:val="20"/>
                <w:color w:val="auto"/>
              </w:rPr>
            </w:pPr>
            <w:r>
              <w:rPr>
                <w:rFonts w:ascii="Arial" w:cs="Arial" w:eastAsia="Arial" w:hAnsi="Arial"/>
                <w:sz w:val="15"/>
                <w:szCs w:val="15"/>
                <w:color w:val="auto"/>
                <w:w w:val="71"/>
              </w:rPr>
              <w:t>$</w:t>
            </w: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363,962</w:t>
            </w:r>
          </w:p>
        </w:tc>
        <w:tc>
          <w:tcPr>
            <w:tcW w:w="140" w:type="dxa"/>
            <w:vAlign w:val="bottom"/>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160" w:type="dxa"/>
            <w:vAlign w:val="bottom"/>
            <w:tcBorders>
              <w:bottom w:val="single" w:sz="8" w:color="auto"/>
            </w:tcBorders>
          </w:tcPr>
          <w:p>
            <w:pPr>
              <w:jc w:val="right"/>
              <w:ind w:right="49"/>
              <w:spacing w:after="0"/>
              <w:rPr>
                <w:sz w:val="20"/>
                <w:szCs w:val="20"/>
                <w:color w:val="auto"/>
              </w:rPr>
            </w:pPr>
            <w:r>
              <w:rPr>
                <w:rFonts w:ascii="Arial" w:cs="Arial" w:eastAsia="Arial" w:hAnsi="Arial"/>
                <w:sz w:val="10"/>
                <w:szCs w:val="10"/>
                <w:color w:val="auto"/>
                <w:w w:val="71"/>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323,289</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F-19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786765</wp:posOffset>
            </wp:positionH>
            <wp:positionV relativeFrom="paragraph">
              <wp:posOffset>83185</wp:posOffset>
            </wp:positionV>
            <wp:extent cx="4159250" cy="2603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43">
                      <a:extLst>
                        <a:ext uri="{28A0092B-C50C-407E-A947-70E740481C1C}"/>
                      </a:extLst>
                    </a:blip>
                    <a:srcRect/>
                    <a:stretch>
                      <a:fillRect/>
                    </a:stretch>
                  </pic:blipFill>
                  <pic:spPr bwMode="auto">
                    <a:xfrm>
                      <a:off x="0" y="0"/>
                      <a:ext cx="415925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113" w:name="page114"/>
    <w:bookmarkEnd w:id="113"/>
    <w:p>
      <w:pPr>
        <w:ind w:left="124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5. Property, Plant and Equipment, Net</w:t>
      </w:r>
    </w:p>
    <w:p>
      <w:pPr>
        <w:spacing w:after="0" w:line="229"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The components of property, plant and equipment, net were as follows:</w:t>
      </w:r>
    </w:p>
    <w:p>
      <w:pPr>
        <w:spacing w:after="0" w:line="218" w:lineRule="exact"/>
        <w:rPr>
          <w:sz w:val="20"/>
          <w:szCs w:val="20"/>
          <w:color w:val="auto"/>
        </w:rPr>
      </w:pPr>
    </w:p>
    <w:tbl>
      <w:tblPr>
        <w:tblLayout w:type="fixed"/>
        <w:tblInd w:w="12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6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40" w:type="dxa"/>
            <w:vAlign w:val="bottom"/>
            <w:vMerge w:val="restart"/>
          </w:tcPr>
          <w:p>
            <w:pPr>
              <w:jc w:val="right"/>
              <w:ind w:right="141"/>
              <w:spacing w:after="0"/>
              <w:rPr>
                <w:sz w:val="20"/>
                <w:szCs w:val="20"/>
                <w:color w:val="auto"/>
              </w:rPr>
            </w:pPr>
            <w:r>
              <w:rPr>
                <w:rFonts w:ascii="Arial" w:cs="Arial" w:eastAsia="Arial" w:hAnsi="Arial"/>
                <w:sz w:val="14"/>
                <w:szCs w:val="14"/>
                <w:b w:val="1"/>
                <w:bCs w:val="1"/>
                <w:color w:val="auto"/>
                <w:w w:val="98"/>
              </w:rPr>
              <w:t>December 31,</w:t>
            </w:r>
          </w:p>
        </w:tc>
        <w:tc>
          <w:tcPr>
            <w:tcW w:w="120" w:type="dxa"/>
            <w:vAlign w:val="bottom"/>
          </w:tcPr>
          <w:p>
            <w:pPr>
              <w:spacing w:after="0"/>
              <w:rPr>
                <w:sz w:val="14"/>
                <w:szCs w:val="14"/>
                <w:color w:val="auto"/>
              </w:rPr>
            </w:pPr>
          </w:p>
        </w:tc>
        <w:tc>
          <w:tcPr>
            <w:tcW w:w="800" w:type="dxa"/>
            <w:vAlign w:val="bottom"/>
            <w:gridSpan w:val="3"/>
          </w:tcPr>
          <w:p>
            <w:pPr>
              <w:ind w:left="60"/>
              <w:spacing w:after="0"/>
              <w:rPr>
                <w:sz w:val="20"/>
                <w:szCs w:val="20"/>
                <w:color w:val="auto"/>
              </w:rPr>
            </w:pPr>
            <w:r>
              <w:rPr>
                <w:rFonts w:ascii="Arial" w:cs="Arial" w:eastAsia="Arial" w:hAnsi="Arial"/>
                <w:sz w:val="14"/>
                <w:szCs w:val="14"/>
                <w:b w:val="1"/>
                <w:bCs w:val="1"/>
                <w:color w:val="auto"/>
              </w:rPr>
              <w:t>December</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36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40" w:type="dxa"/>
            <w:vAlign w:val="bottom"/>
            <w:vMerge w:val="continue"/>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tcPr>
          <w:p>
            <w:pPr>
              <w:jc w:val="right"/>
              <w:ind w:right="221"/>
              <w:spacing w:after="0"/>
              <w:rPr>
                <w:sz w:val="20"/>
                <w:szCs w:val="20"/>
                <w:color w:val="auto"/>
              </w:rPr>
            </w:pPr>
            <w:r>
              <w:rPr>
                <w:rFonts w:ascii="Arial" w:cs="Arial" w:eastAsia="Arial" w:hAnsi="Arial"/>
                <w:sz w:val="14"/>
                <w:szCs w:val="14"/>
                <w:b w:val="1"/>
                <w:bCs w:val="1"/>
                <w:color w:val="auto"/>
              </w:rPr>
              <w:t>31,</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3620" w:type="dxa"/>
            <w:vAlign w:val="bottom"/>
            <w:gridSpan w:val="2"/>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72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140" w:type="dxa"/>
            <w:vAlign w:val="bottom"/>
            <w:tcBorders>
              <w:bottom w:val="single" w:sz="8" w:color="auto"/>
            </w:tcBorders>
          </w:tcPr>
          <w:p>
            <w:pPr>
              <w:jc w:val="right"/>
              <w:ind w:right="421"/>
              <w:spacing w:after="0"/>
              <w:rPr>
                <w:sz w:val="20"/>
                <w:szCs w:val="20"/>
                <w:color w:val="auto"/>
              </w:rPr>
            </w:pPr>
            <w:r>
              <w:rPr>
                <w:rFonts w:ascii="Arial" w:cs="Arial" w:eastAsia="Arial" w:hAnsi="Arial"/>
                <w:sz w:val="14"/>
                <w:szCs w:val="14"/>
                <w:b w:val="1"/>
                <w:bCs w:val="1"/>
                <w:color w:val="auto"/>
              </w:rPr>
              <w:t>2017</w:t>
            </w:r>
          </w:p>
        </w:tc>
        <w:tc>
          <w:tcPr>
            <w:tcW w:w="1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jc w:val="right"/>
              <w:ind w:right="161"/>
              <w:spacing w:after="0"/>
              <w:rPr>
                <w:sz w:val="20"/>
                <w:szCs w:val="20"/>
                <w:color w:val="auto"/>
              </w:rPr>
            </w:pPr>
            <w:r>
              <w:rPr>
                <w:rFonts w:ascii="Arial" w:cs="Arial" w:eastAsia="Arial" w:hAnsi="Arial"/>
                <w:sz w:val="14"/>
                <w:szCs w:val="14"/>
                <w:b w:val="1"/>
                <w:bCs w:val="1"/>
                <w:color w:val="auto"/>
              </w:rPr>
              <w:t>2016</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20" w:type="dxa"/>
            <w:vAlign w:val="bottom"/>
            <w:vMerge w:val="restart"/>
          </w:tcPr>
          <w:p>
            <w:pPr>
              <w:spacing w:after="0"/>
              <w:rPr>
                <w:sz w:val="17"/>
                <w:szCs w:val="17"/>
                <w:color w:val="auto"/>
              </w:rPr>
            </w:pPr>
          </w:p>
        </w:tc>
        <w:tc>
          <w:tcPr>
            <w:tcW w:w="36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3600" w:type="dxa"/>
            <w:vAlign w:val="bottom"/>
            <w:shd w:val="clear" w:color="auto" w:fill="CCEEFF"/>
          </w:tcPr>
          <w:p>
            <w:pPr>
              <w:spacing w:after="0"/>
              <w:rPr>
                <w:sz w:val="20"/>
                <w:szCs w:val="20"/>
                <w:color w:val="auto"/>
              </w:rPr>
            </w:pPr>
            <w:r>
              <w:rPr>
                <w:rFonts w:ascii="Arial" w:cs="Arial" w:eastAsia="Arial" w:hAnsi="Arial"/>
                <w:sz w:val="16"/>
                <w:szCs w:val="16"/>
                <w:color w:val="auto"/>
              </w:rPr>
              <w:t>Land</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14,618</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14,500</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600" w:type="dxa"/>
            <w:vAlign w:val="bottom"/>
          </w:tcPr>
          <w:p>
            <w:pPr>
              <w:spacing w:after="0"/>
              <w:rPr>
                <w:sz w:val="20"/>
                <w:szCs w:val="20"/>
                <w:color w:val="auto"/>
              </w:rPr>
            </w:pPr>
            <w:r>
              <w:rPr>
                <w:rFonts w:ascii="Arial" w:cs="Arial" w:eastAsia="Arial" w:hAnsi="Arial"/>
                <w:sz w:val="16"/>
                <w:szCs w:val="16"/>
                <w:color w:val="auto"/>
              </w:rPr>
              <w:t>Buildings and improvements</w:t>
            </w:r>
          </w:p>
        </w:tc>
        <w:tc>
          <w:tcPr>
            <w:tcW w:w="7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138,570</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6"/>
                <w:szCs w:val="16"/>
                <w:color w:val="auto"/>
              </w:rPr>
              <w:t>133,844</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600" w:type="dxa"/>
            <w:vAlign w:val="bottom"/>
            <w:shd w:val="clear" w:color="auto" w:fill="CCEEFF"/>
          </w:tcPr>
          <w:p>
            <w:pPr>
              <w:spacing w:after="0"/>
              <w:rPr>
                <w:sz w:val="20"/>
                <w:szCs w:val="20"/>
                <w:color w:val="auto"/>
              </w:rPr>
            </w:pPr>
            <w:r>
              <w:rPr>
                <w:rFonts w:ascii="Arial" w:cs="Arial" w:eastAsia="Arial" w:hAnsi="Arial"/>
                <w:sz w:val="16"/>
                <w:szCs w:val="16"/>
                <w:color w:val="auto"/>
              </w:rPr>
              <w:t>Machinery and equipment</w:t>
            </w:r>
          </w:p>
        </w:tc>
        <w:tc>
          <w:tcPr>
            <w:tcW w:w="7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148,999</w:t>
            </w: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143,784</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600" w:type="dxa"/>
            <w:vAlign w:val="bottom"/>
          </w:tcPr>
          <w:p>
            <w:pPr>
              <w:spacing w:after="0"/>
              <w:rPr>
                <w:sz w:val="20"/>
                <w:szCs w:val="20"/>
                <w:color w:val="auto"/>
              </w:rPr>
            </w:pPr>
            <w:r>
              <w:rPr>
                <w:rFonts w:ascii="Arial" w:cs="Arial" w:eastAsia="Arial" w:hAnsi="Arial"/>
                <w:sz w:val="16"/>
                <w:szCs w:val="16"/>
                <w:color w:val="auto"/>
              </w:rPr>
              <w:t>Furniture, computers and equipment</w:t>
            </w:r>
          </w:p>
        </w:tc>
        <w:tc>
          <w:tcPr>
            <w:tcW w:w="7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32,783</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6"/>
                <w:szCs w:val="16"/>
                <w:color w:val="auto"/>
              </w:rPr>
              <w:t>29,326</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600" w:type="dxa"/>
            <w:vAlign w:val="bottom"/>
            <w:shd w:val="clear" w:color="auto" w:fill="CCEEFF"/>
          </w:tcPr>
          <w:p>
            <w:pPr>
              <w:spacing w:after="0"/>
              <w:rPr>
                <w:sz w:val="20"/>
                <w:szCs w:val="20"/>
                <w:color w:val="auto"/>
              </w:rPr>
            </w:pPr>
            <w:r>
              <w:rPr>
                <w:rFonts w:ascii="Arial" w:cs="Arial" w:eastAsia="Arial" w:hAnsi="Arial"/>
                <w:sz w:val="16"/>
                <w:szCs w:val="16"/>
                <w:color w:val="auto"/>
              </w:rPr>
              <w:t>Computer software</w:t>
            </w:r>
          </w:p>
        </w:tc>
        <w:tc>
          <w:tcPr>
            <w:tcW w:w="7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60,736</w:t>
            </w: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58,462</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600" w:type="dxa"/>
            <w:vAlign w:val="bottom"/>
            <w:tcBorders>
              <w:bottom w:val="single" w:sz="8" w:color="CCEEFF"/>
            </w:tcBorders>
          </w:tcPr>
          <w:p>
            <w:pPr>
              <w:spacing w:after="0"/>
              <w:rPr>
                <w:sz w:val="20"/>
                <w:szCs w:val="20"/>
                <w:color w:val="auto"/>
              </w:rPr>
            </w:pPr>
            <w:r>
              <w:rPr>
                <w:rFonts w:ascii="Arial" w:cs="Arial" w:eastAsia="Arial" w:hAnsi="Arial"/>
                <w:sz w:val="16"/>
                <w:szCs w:val="16"/>
                <w:color w:val="auto"/>
              </w:rPr>
              <w:t>Construction in progress</w:t>
            </w:r>
          </w:p>
        </w:tc>
        <w:tc>
          <w:tcPr>
            <w:tcW w:w="72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13,586</w:t>
            </w:r>
          </w:p>
        </w:tc>
        <w:tc>
          <w:tcPr>
            <w:tcW w:w="12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11,196</w:t>
            </w:r>
          </w:p>
        </w:tc>
        <w:tc>
          <w:tcPr>
            <w:tcW w:w="40" w:type="dxa"/>
            <w:vAlign w:val="bottom"/>
            <w:tcBorders>
              <w:bottom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3600" w:type="dxa"/>
            <w:vAlign w:val="bottom"/>
            <w:shd w:val="clear" w:color="auto" w:fill="CCEEFF"/>
          </w:tcPr>
          <w:p>
            <w:pPr>
              <w:ind w:left="520"/>
              <w:spacing w:after="0"/>
              <w:rPr>
                <w:sz w:val="20"/>
                <w:szCs w:val="20"/>
                <w:color w:val="auto"/>
              </w:rPr>
            </w:pPr>
            <w:r>
              <w:rPr>
                <w:rFonts w:ascii="Arial" w:cs="Arial" w:eastAsia="Arial" w:hAnsi="Arial"/>
                <w:sz w:val="16"/>
                <w:szCs w:val="16"/>
                <w:color w:val="auto"/>
              </w:rPr>
              <w:t>Property, plant and equipment, gross</w:t>
            </w:r>
          </w:p>
        </w:tc>
        <w:tc>
          <w:tcPr>
            <w:tcW w:w="7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409,292</w:t>
            </w: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391,112</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600" w:type="dxa"/>
            <w:vAlign w:val="bottom"/>
            <w:tcBorders>
              <w:bottom w:val="single" w:sz="8" w:color="CCEEFF"/>
            </w:tcBorders>
          </w:tcPr>
          <w:p>
            <w:pPr>
              <w:spacing w:after="0"/>
              <w:rPr>
                <w:sz w:val="20"/>
                <w:szCs w:val="20"/>
                <w:color w:val="auto"/>
              </w:rPr>
            </w:pPr>
            <w:r>
              <w:rPr>
                <w:rFonts w:ascii="Arial" w:cs="Arial" w:eastAsia="Arial" w:hAnsi="Arial"/>
                <w:sz w:val="16"/>
                <w:szCs w:val="16"/>
                <w:color w:val="auto"/>
              </w:rPr>
              <w:t>Accumulated depreciation and amortization</w:t>
            </w:r>
          </w:p>
        </w:tc>
        <w:tc>
          <w:tcPr>
            <w:tcW w:w="72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(180,370)</w:t>
            </w:r>
          </w:p>
        </w:tc>
        <w:tc>
          <w:tcPr>
            <w:tcW w:w="12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90"/>
              </w:rPr>
              <w:t>(151,364)</w:t>
            </w:r>
          </w:p>
        </w:tc>
        <w:tc>
          <w:tcPr>
            <w:tcW w:w="40" w:type="dxa"/>
            <w:vAlign w:val="bottom"/>
            <w:tcBorders>
              <w:bottom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600" w:type="dxa"/>
            <w:vAlign w:val="bottom"/>
            <w:tcBorders>
              <w:bottom w:val="single" w:sz="8" w:color="CCEEFF"/>
            </w:tcBorders>
            <w:shd w:val="clear" w:color="auto" w:fill="CCEEFF"/>
          </w:tcPr>
          <w:p>
            <w:pPr>
              <w:ind w:left="520"/>
              <w:spacing w:after="0"/>
              <w:rPr>
                <w:sz w:val="20"/>
                <w:szCs w:val="20"/>
                <w:color w:val="auto"/>
              </w:rPr>
            </w:pPr>
            <w:r>
              <w:rPr>
                <w:rFonts w:ascii="Arial" w:cs="Arial" w:eastAsia="Arial" w:hAnsi="Arial"/>
                <w:sz w:val="16"/>
                <w:szCs w:val="16"/>
                <w:color w:val="auto"/>
              </w:rPr>
              <w:t>Property, plant and equipment, net</w:t>
            </w:r>
          </w:p>
        </w:tc>
        <w:tc>
          <w:tcPr>
            <w:tcW w:w="72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228,922</w:t>
            </w:r>
          </w:p>
        </w:tc>
        <w:tc>
          <w:tcPr>
            <w:tcW w:w="12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239,748</w:t>
            </w:r>
          </w:p>
        </w:tc>
        <w:tc>
          <w:tcPr>
            <w:tcW w:w="40" w:type="dxa"/>
            <w:vAlign w:val="bottom"/>
            <w:tcBorders>
              <w:bottom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1880"/>
        <w:spacing w:after="0"/>
        <w:rPr>
          <w:sz w:val="20"/>
          <w:szCs w:val="20"/>
          <w:color w:val="auto"/>
        </w:rPr>
      </w:pPr>
      <w:r>
        <w:rPr>
          <w:rFonts w:ascii="Arial" w:cs="Arial" w:eastAsia="Arial" w:hAnsi="Arial"/>
          <w:sz w:val="18"/>
          <w:szCs w:val="18"/>
          <w:color w:val="auto"/>
        </w:rPr>
        <w:t>During the years ended December 31, 2017, 2016 and 2015, software</w:t>
      </w:r>
    </w:p>
    <w:p>
      <w:pPr>
        <w:spacing w:after="0" w:line="23" w:lineRule="exact"/>
        <w:rPr>
          <w:sz w:val="20"/>
          <w:szCs w:val="20"/>
          <w:color w:val="auto"/>
        </w:rPr>
      </w:pPr>
    </w:p>
    <w:p>
      <w:pPr>
        <w:ind w:left="1240"/>
        <w:spacing w:after="0"/>
        <w:rPr>
          <w:sz w:val="20"/>
          <w:szCs w:val="20"/>
          <w:color w:val="auto"/>
        </w:rPr>
      </w:pPr>
      <w:r>
        <w:rPr>
          <w:rFonts w:ascii="Arial" w:cs="Arial" w:eastAsia="Arial" w:hAnsi="Arial"/>
          <w:sz w:val="18"/>
          <w:szCs w:val="18"/>
          <w:color w:val="auto"/>
        </w:rPr>
        <w:t>development costs of $3.1 million, $8.2 million and $43.0 million were capitalized,</w:t>
      </w:r>
    </w:p>
    <w:p>
      <w:pPr>
        <w:spacing w:after="0" w:line="9" w:lineRule="exact"/>
        <w:rPr>
          <w:sz w:val="20"/>
          <w:szCs w:val="20"/>
          <w:color w:val="auto"/>
        </w:rPr>
      </w:pPr>
    </w:p>
    <w:p>
      <w:pPr>
        <w:ind w:left="1240"/>
        <w:spacing w:after="0"/>
        <w:rPr>
          <w:sz w:val="20"/>
          <w:szCs w:val="20"/>
          <w:color w:val="auto"/>
        </w:rPr>
      </w:pPr>
      <w:r>
        <w:rPr>
          <w:rFonts w:ascii="Arial" w:cs="Arial" w:eastAsia="Arial" w:hAnsi="Arial"/>
          <w:sz w:val="17"/>
          <w:szCs w:val="17"/>
          <w:color w:val="auto"/>
        </w:rPr>
        <w:t>consisting of software placed into service of $2.4 million, $7.4 million and $40.6 million</w:t>
      </w:r>
    </w:p>
    <w:p>
      <w:pPr>
        <w:spacing w:after="0" w:line="21" w:lineRule="exact"/>
        <w:rPr>
          <w:sz w:val="20"/>
          <w:szCs w:val="20"/>
          <w:color w:val="auto"/>
        </w:rPr>
      </w:pPr>
    </w:p>
    <w:p>
      <w:pPr>
        <w:ind w:left="1240"/>
        <w:spacing w:after="0"/>
        <w:rPr>
          <w:sz w:val="20"/>
          <w:szCs w:val="20"/>
          <w:color w:val="auto"/>
        </w:rPr>
      </w:pPr>
      <w:r>
        <w:rPr>
          <w:rFonts w:ascii="Arial" w:cs="Arial" w:eastAsia="Arial" w:hAnsi="Arial"/>
          <w:sz w:val="18"/>
          <w:szCs w:val="18"/>
          <w:color w:val="auto"/>
        </w:rPr>
        <w:t>and amounts recorded in construction in progress of $0.7 million, $0.8 million and</w:t>
      </w:r>
    </w:p>
    <w:p>
      <w:pPr>
        <w:spacing w:after="0" w:line="9" w:lineRule="exact"/>
        <w:rPr>
          <w:sz w:val="20"/>
          <w:szCs w:val="20"/>
          <w:color w:val="auto"/>
        </w:rPr>
      </w:pPr>
    </w:p>
    <w:p>
      <w:pPr>
        <w:ind w:left="1240"/>
        <w:spacing w:after="0"/>
        <w:rPr>
          <w:sz w:val="20"/>
          <w:szCs w:val="20"/>
          <w:color w:val="auto"/>
        </w:rPr>
      </w:pPr>
      <w:r>
        <w:rPr>
          <w:rFonts w:ascii="Arial" w:cs="Arial" w:eastAsia="Arial" w:hAnsi="Arial"/>
          <w:sz w:val="17"/>
          <w:szCs w:val="17"/>
          <w:color w:val="auto"/>
        </w:rPr>
        <w:t>$2.4 million, respectively. Amortization expense on capitalized software development</w:t>
      </w:r>
    </w:p>
    <w:p>
      <w:pPr>
        <w:spacing w:after="0" w:line="21" w:lineRule="exact"/>
        <w:rPr>
          <w:sz w:val="20"/>
          <w:szCs w:val="20"/>
          <w:color w:val="auto"/>
        </w:rPr>
      </w:pPr>
    </w:p>
    <w:p>
      <w:pPr>
        <w:ind w:left="1240"/>
        <w:spacing w:after="0"/>
        <w:rPr>
          <w:sz w:val="20"/>
          <w:szCs w:val="20"/>
          <w:color w:val="auto"/>
        </w:rPr>
      </w:pPr>
      <w:r>
        <w:rPr>
          <w:rFonts w:ascii="Arial" w:cs="Arial" w:eastAsia="Arial" w:hAnsi="Arial"/>
          <w:sz w:val="17"/>
          <w:szCs w:val="17"/>
          <w:color w:val="auto"/>
        </w:rPr>
        <w:t>costs was $6.4 million, $5.8 million and $5.5 million for the years ended December 31,</w:t>
      </w:r>
    </w:p>
    <w:p>
      <w:pPr>
        <w:spacing w:after="0" w:line="21" w:lineRule="exact"/>
        <w:rPr>
          <w:sz w:val="20"/>
          <w:szCs w:val="20"/>
          <w:color w:val="auto"/>
        </w:rPr>
      </w:pPr>
    </w:p>
    <w:p>
      <w:pPr>
        <w:ind w:left="1240"/>
        <w:spacing w:after="0"/>
        <w:rPr>
          <w:sz w:val="20"/>
          <w:szCs w:val="20"/>
          <w:color w:val="auto"/>
        </w:rPr>
      </w:pPr>
      <w:r>
        <w:rPr>
          <w:rFonts w:ascii="Arial" w:cs="Arial" w:eastAsia="Arial" w:hAnsi="Arial"/>
          <w:sz w:val="18"/>
          <w:szCs w:val="18"/>
          <w:color w:val="auto"/>
        </w:rPr>
        <w:t>2017, 2016 and 2015, respectively.</w:t>
      </w:r>
    </w:p>
    <w:p>
      <w:pPr>
        <w:spacing w:after="0" w:line="211" w:lineRule="exact"/>
        <w:rPr>
          <w:sz w:val="20"/>
          <w:szCs w:val="20"/>
          <w:color w:val="auto"/>
        </w:rPr>
      </w:pPr>
    </w:p>
    <w:p>
      <w:pPr>
        <w:jc w:val="both"/>
        <w:ind w:left="1240" w:right="1839" w:firstLine="648"/>
        <w:spacing w:after="0" w:line="264" w:lineRule="auto"/>
        <w:rPr>
          <w:sz w:val="20"/>
          <w:szCs w:val="20"/>
          <w:color w:val="auto"/>
        </w:rPr>
      </w:pPr>
      <w:r>
        <w:rPr>
          <w:rFonts w:ascii="Arial" w:cs="Arial" w:eastAsia="Arial" w:hAnsi="Arial"/>
          <w:sz w:val="18"/>
          <w:szCs w:val="18"/>
          <w:color w:val="auto"/>
        </w:rPr>
        <w:t>Total depreciation and amortization expense related to property, plant and equipment was $31.6 million, $31.5 million and $32.5 million for the years ended December 31, 2017, 2016 and 2015, respectively.</w:t>
      </w:r>
    </w:p>
    <w:p>
      <w:pPr>
        <w:spacing w:after="0" w:line="177"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6. Goodwill and Identifiable Intangible Assets, Net</w:t>
      </w:r>
    </w:p>
    <w:p>
      <w:pPr>
        <w:spacing w:after="0" w:line="229" w:lineRule="exact"/>
        <w:rPr>
          <w:sz w:val="20"/>
          <w:szCs w:val="20"/>
          <w:color w:val="auto"/>
        </w:rPr>
      </w:pPr>
    </w:p>
    <w:p>
      <w:pPr>
        <w:ind w:left="1240" w:right="1599" w:firstLine="648"/>
        <w:spacing w:after="0" w:line="277" w:lineRule="auto"/>
        <w:rPr>
          <w:sz w:val="20"/>
          <w:szCs w:val="20"/>
          <w:color w:val="auto"/>
        </w:rPr>
      </w:pPr>
      <w:r>
        <w:rPr>
          <w:rFonts w:ascii="Arial" w:cs="Arial" w:eastAsia="Arial" w:hAnsi="Arial"/>
          <w:sz w:val="18"/>
          <w:szCs w:val="18"/>
          <w:color w:val="auto"/>
        </w:rPr>
        <w:t>Goodwill allocated to the Company's reportable segments and changes in the carrying amount of goodwill were as follows:</w:t>
      </w:r>
    </w:p>
    <w:p>
      <w:pPr>
        <w:spacing w:after="0" w:line="177" w:lineRule="exact"/>
        <w:rPr>
          <w:sz w:val="20"/>
          <w:szCs w:val="20"/>
          <w:color w:val="auto"/>
        </w:rPr>
      </w:pPr>
    </w:p>
    <w:tbl>
      <w:tblPr>
        <w:tblLayout w:type="fixed"/>
        <w:tblInd w:w="12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0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60" w:type="dxa"/>
            <w:vAlign w:val="bottom"/>
          </w:tcPr>
          <w:p>
            <w:pPr>
              <w:jc w:val="right"/>
              <w:ind w:right="43"/>
              <w:spacing w:after="0"/>
              <w:rPr>
                <w:sz w:val="20"/>
                <w:szCs w:val="20"/>
                <w:color w:val="auto"/>
              </w:rPr>
            </w:pPr>
            <w:r>
              <w:rPr>
                <w:rFonts w:ascii="Arial" w:cs="Arial" w:eastAsia="Arial" w:hAnsi="Arial"/>
                <w:sz w:val="14"/>
                <w:szCs w:val="14"/>
                <w:b w:val="1"/>
                <w:bCs w:val="1"/>
                <w:color w:val="auto"/>
              </w:rPr>
              <w:t>Titleist</w:t>
            </w:r>
          </w:p>
        </w:tc>
        <w:tc>
          <w:tcPr>
            <w:tcW w:w="160" w:type="dxa"/>
            <w:vAlign w:val="bottom"/>
          </w:tcPr>
          <w:p>
            <w:pPr>
              <w:spacing w:after="0"/>
              <w:rPr>
                <w:sz w:val="14"/>
                <w:szCs w:val="14"/>
                <w:color w:val="auto"/>
              </w:rPr>
            </w:pPr>
          </w:p>
        </w:tc>
        <w:tc>
          <w:tcPr>
            <w:tcW w:w="580" w:type="dxa"/>
            <w:vAlign w:val="bottom"/>
          </w:tcPr>
          <w:p>
            <w:pPr>
              <w:jc w:val="center"/>
              <w:spacing w:after="0"/>
              <w:rPr>
                <w:sz w:val="20"/>
                <w:szCs w:val="20"/>
                <w:color w:val="auto"/>
              </w:rPr>
            </w:pPr>
            <w:r>
              <w:rPr>
                <w:rFonts w:ascii="Arial" w:cs="Arial" w:eastAsia="Arial" w:hAnsi="Arial"/>
                <w:sz w:val="14"/>
                <w:szCs w:val="14"/>
                <w:b w:val="1"/>
                <w:bCs w:val="1"/>
                <w:color w:val="auto"/>
                <w:w w:val="97"/>
              </w:rPr>
              <w:t>Titleist</w:t>
            </w:r>
          </w:p>
        </w:tc>
        <w:tc>
          <w:tcPr>
            <w:tcW w:w="640" w:type="dxa"/>
            <w:vAlign w:val="bottom"/>
            <w:gridSpan w:val="2"/>
          </w:tcPr>
          <w:p>
            <w:pPr>
              <w:jc w:val="center"/>
              <w:ind w:left="61"/>
              <w:spacing w:after="0"/>
              <w:rPr>
                <w:sz w:val="20"/>
                <w:szCs w:val="20"/>
                <w:color w:val="auto"/>
              </w:rPr>
            </w:pPr>
            <w:r>
              <w:rPr>
                <w:rFonts w:ascii="Arial" w:cs="Arial" w:eastAsia="Arial" w:hAnsi="Arial"/>
                <w:sz w:val="14"/>
                <w:szCs w:val="14"/>
                <w:b w:val="1"/>
                <w:bCs w:val="1"/>
                <w:color w:val="auto"/>
                <w:w w:val="91"/>
              </w:rPr>
              <w:t>FootJoy</w:t>
            </w:r>
          </w:p>
        </w:tc>
        <w:tc>
          <w:tcPr>
            <w:tcW w:w="160" w:type="dxa"/>
            <w:vAlign w:val="bottom"/>
          </w:tcPr>
          <w:p>
            <w:pPr>
              <w:spacing w:after="0"/>
              <w:rPr>
                <w:sz w:val="14"/>
                <w:szCs w:val="14"/>
                <w:color w:val="auto"/>
              </w:rPr>
            </w:pPr>
          </w:p>
        </w:tc>
        <w:tc>
          <w:tcPr>
            <w:tcW w:w="580" w:type="dxa"/>
            <w:vAlign w:val="bottom"/>
          </w:tcPr>
          <w:p>
            <w:pPr>
              <w:jc w:val="center"/>
              <w:spacing w:after="0"/>
              <w:rPr>
                <w:sz w:val="20"/>
                <w:szCs w:val="20"/>
                <w:color w:val="auto"/>
              </w:rPr>
            </w:pPr>
            <w:r>
              <w:rPr>
                <w:rFonts w:ascii="Arial" w:cs="Arial" w:eastAsia="Arial" w:hAnsi="Arial"/>
                <w:sz w:val="14"/>
                <w:szCs w:val="14"/>
                <w:b w:val="1"/>
                <w:bCs w:val="1"/>
                <w:color w:val="auto"/>
                <w:w w:val="97"/>
              </w:rPr>
              <w:t>Titleist</w:t>
            </w:r>
          </w:p>
        </w:tc>
        <w:tc>
          <w:tcPr>
            <w:tcW w:w="1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0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60" w:type="dxa"/>
            <w:vAlign w:val="bottom"/>
            <w:vMerge w:val="restart"/>
          </w:tcPr>
          <w:p>
            <w:pPr>
              <w:jc w:val="right"/>
              <w:spacing w:after="0"/>
              <w:rPr>
                <w:sz w:val="20"/>
                <w:szCs w:val="20"/>
                <w:color w:val="auto"/>
              </w:rPr>
            </w:pPr>
            <w:r>
              <w:rPr>
                <w:rFonts w:ascii="Arial" w:cs="Arial" w:eastAsia="Arial" w:hAnsi="Arial"/>
                <w:sz w:val="14"/>
                <w:szCs w:val="14"/>
                <w:b w:val="1"/>
                <w:bCs w:val="1"/>
                <w:color w:val="auto"/>
                <w:w w:val="94"/>
              </w:rPr>
              <w:t>Golf Balls</w:t>
            </w:r>
          </w:p>
        </w:tc>
        <w:tc>
          <w:tcPr>
            <w:tcW w:w="160" w:type="dxa"/>
            <w:vAlign w:val="bottom"/>
          </w:tcPr>
          <w:p>
            <w:pPr>
              <w:spacing w:after="0"/>
              <w:rPr>
                <w:sz w:val="12"/>
                <w:szCs w:val="12"/>
                <w:color w:val="auto"/>
              </w:rPr>
            </w:pPr>
          </w:p>
        </w:tc>
        <w:tc>
          <w:tcPr>
            <w:tcW w:w="5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9"/>
              </w:rPr>
              <w:t>Golf</w:t>
            </w:r>
          </w:p>
        </w:tc>
        <w:tc>
          <w:tcPr>
            <w:tcW w:w="140" w:type="dxa"/>
            <w:vAlign w:val="bottom"/>
          </w:tcPr>
          <w:p>
            <w:pPr>
              <w:spacing w:after="0"/>
              <w:rPr>
                <w:sz w:val="12"/>
                <w:szCs w:val="12"/>
                <w:color w:val="auto"/>
              </w:rPr>
            </w:pPr>
          </w:p>
        </w:tc>
        <w:tc>
          <w:tcPr>
            <w:tcW w:w="5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Golf</w:t>
            </w:r>
          </w:p>
        </w:tc>
        <w:tc>
          <w:tcPr>
            <w:tcW w:w="160" w:type="dxa"/>
            <w:vAlign w:val="bottom"/>
          </w:tcPr>
          <w:p>
            <w:pPr>
              <w:spacing w:after="0"/>
              <w:rPr>
                <w:sz w:val="12"/>
                <w:szCs w:val="12"/>
                <w:color w:val="auto"/>
              </w:rPr>
            </w:pPr>
          </w:p>
        </w:tc>
        <w:tc>
          <w:tcPr>
            <w:tcW w:w="5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9"/>
              </w:rPr>
              <w:t>Golf</w:t>
            </w:r>
          </w:p>
        </w:tc>
        <w:tc>
          <w:tcPr>
            <w:tcW w:w="140" w:type="dxa"/>
            <w:vAlign w:val="bottom"/>
          </w:tcPr>
          <w:p>
            <w:pPr>
              <w:spacing w:after="0"/>
              <w:rPr>
                <w:sz w:val="12"/>
                <w:szCs w:val="12"/>
                <w:color w:val="auto"/>
              </w:rPr>
            </w:pPr>
          </w:p>
        </w:tc>
        <w:tc>
          <w:tcPr>
            <w:tcW w:w="50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Other</w:t>
            </w:r>
          </w:p>
        </w:tc>
        <w:tc>
          <w:tcPr>
            <w:tcW w:w="160" w:type="dxa"/>
            <w:vAlign w:val="bottom"/>
          </w:tcPr>
          <w:p>
            <w:pPr>
              <w:spacing w:after="0"/>
              <w:rPr>
                <w:sz w:val="12"/>
                <w:szCs w:val="12"/>
                <w:color w:val="auto"/>
              </w:rPr>
            </w:pPr>
          </w:p>
        </w:tc>
        <w:tc>
          <w:tcPr>
            <w:tcW w:w="700" w:type="dxa"/>
            <w:vAlign w:val="bottom"/>
            <w:vMerge w:val="restart"/>
          </w:tcPr>
          <w:p>
            <w:pPr>
              <w:jc w:val="right"/>
              <w:ind w:right="143"/>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71"/>
        </w:trPr>
        <w:tc>
          <w:tcPr>
            <w:tcW w:w="2040" w:type="dxa"/>
            <w:vAlign w:val="bottom"/>
            <w:gridSpan w:val="2"/>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22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jc w:val="center"/>
              <w:spacing w:after="0"/>
              <w:rPr>
                <w:sz w:val="20"/>
                <w:szCs w:val="20"/>
                <w:color w:val="auto"/>
              </w:rPr>
            </w:pPr>
            <w:r>
              <w:rPr>
                <w:rFonts w:ascii="Arial" w:cs="Arial" w:eastAsia="Arial" w:hAnsi="Arial"/>
                <w:sz w:val="14"/>
                <w:szCs w:val="14"/>
                <w:b w:val="1"/>
                <w:bCs w:val="1"/>
                <w:color w:val="auto"/>
                <w:w w:val="92"/>
              </w:rPr>
              <w:t>Clubs</w:t>
            </w:r>
          </w:p>
        </w:tc>
        <w:tc>
          <w:tcPr>
            <w:tcW w:w="140" w:type="dxa"/>
            <w:vAlign w:val="bottom"/>
          </w:tcPr>
          <w:p>
            <w:pPr>
              <w:spacing w:after="0"/>
              <w:rPr>
                <w:sz w:val="14"/>
                <w:szCs w:val="14"/>
                <w:color w:val="auto"/>
              </w:rPr>
            </w:pPr>
          </w:p>
        </w:tc>
        <w:tc>
          <w:tcPr>
            <w:tcW w:w="500" w:type="dxa"/>
            <w:vAlign w:val="bottom"/>
          </w:tcPr>
          <w:p>
            <w:pPr>
              <w:jc w:val="center"/>
              <w:spacing w:after="0"/>
              <w:rPr>
                <w:sz w:val="20"/>
                <w:szCs w:val="20"/>
                <w:color w:val="auto"/>
              </w:rPr>
            </w:pPr>
            <w:r>
              <w:rPr>
                <w:rFonts w:ascii="Arial" w:cs="Arial" w:eastAsia="Arial" w:hAnsi="Arial"/>
                <w:sz w:val="14"/>
                <w:szCs w:val="14"/>
                <w:b w:val="1"/>
                <w:bCs w:val="1"/>
                <w:color w:val="auto"/>
                <w:w w:val="99"/>
              </w:rPr>
              <w:t>Wear</w:t>
            </w:r>
          </w:p>
        </w:tc>
        <w:tc>
          <w:tcPr>
            <w:tcW w:w="160" w:type="dxa"/>
            <w:vAlign w:val="bottom"/>
          </w:tcPr>
          <w:p>
            <w:pPr>
              <w:spacing w:after="0"/>
              <w:rPr>
                <w:sz w:val="14"/>
                <w:szCs w:val="14"/>
                <w:color w:val="auto"/>
              </w:rPr>
            </w:pPr>
          </w:p>
        </w:tc>
        <w:tc>
          <w:tcPr>
            <w:tcW w:w="580" w:type="dxa"/>
            <w:vAlign w:val="bottom"/>
          </w:tcPr>
          <w:p>
            <w:pPr>
              <w:jc w:val="center"/>
              <w:spacing w:after="0"/>
              <w:rPr>
                <w:sz w:val="20"/>
                <w:szCs w:val="20"/>
                <w:color w:val="auto"/>
              </w:rPr>
            </w:pPr>
            <w:r>
              <w:rPr>
                <w:rFonts w:ascii="Arial" w:cs="Arial" w:eastAsia="Arial" w:hAnsi="Arial"/>
                <w:sz w:val="14"/>
                <w:szCs w:val="14"/>
                <w:b w:val="1"/>
                <w:bCs w:val="1"/>
                <w:color w:val="auto"/>
              </w:rPr>
              <w:t>Gear</w:t>
            </w:r>
          </w:p>
        </w:tc>
        <w:tc>
          <w:tcPr>
            <w:tcW w:w="140" w:type="dxa"/>
            <w:vAlign w:val="bottom"/>
          </w:tcPr>
          <w:p>
            <w:pPr>
              <w:spacing w:after="0"/>
              <w:rPr>
                <w:sz w:val="14"/>
                <w:szCs w:val="14"/>
                <w:color w:val="auto"/>
              </w:rPr>
            </w:pPr>
          </w:p>
        </w:tc>
        <w:tc>
          <w:tcPr>
            <w:tcW w:w="500" w:type="dxa"/>
            <w:vAlign w:val="bottom"/>
            <w:vMerge w:val="continue"/>
          </w:tcPr>
          <w:p>
            <w:pPr>
              <w:spacing w:after="0"/>
              <w:rPr>
                <w:sz w:val="14"/>
                <w:szCs w:val="14"/>
                <w:color w:val="auto"/>
              </w:rPr>
            </w:pPr>
          </w:p>
        </w:tc>
        <w:tc>
          <w:tcPr>
            <w:tcW w:w="160" w:type="dxa"/>
            <w:vAlign w:val="bottom"/>
          </w:tcPr>
          <w:p>
            <w:pPr>
              <w:spacing w:after="0"/>
              <w:rPr>
                <w:sz w:val="14"/>
                <w:szCs w:val="14"/>
                <w:color w:val="auto"/>
              </w:rPr>
            </w:pPr>
          </w:p>
        </w:tc>
        <w:tc>
          <w:tcPr>
            <w:tcW w:w="70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20" w:type="dxa"/>
            <w:vAlign w:val="bottom"/>
            <w:vMerge w:val="restart"/>
          </w:tcPr>
          <w:p>
            <w:pPr>
              <w:spacing w:after="0"/>
              <w:rPr>
                <w:sz w:val="17"/>
                <w:szCs w:val="17"/>
                <w:color w:val="auto"/>
              </w:rPr>
            </w:pPr>
          </w:p>
        </w:tc>
        <w:tc>
          <w:tcPr>
            <w:tcW w:w="20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60" w:type="dxa"/>
            <w:vAlign w:val="bottom"/>
            <w:tcBorders>
              <w:top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580" w:type="dxa"/>
            <w:vAlign w:val="bottom"/>
            <w:tcBorders>
              <w:top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500" w:type="dxa"/>
            <w:vAlign w:val="bottom"/>
            <w:tcBorders>
              <w:top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580" w:type="dxa"/>
            <w:vAlign w:val="bottom"/>
            <w:tcBorders>
              <w:top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500" w:type="dxa"/>
            <w:vAlign w:val="bottom"/>
            <w:tcBorders>
              <w:top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700" w:type="dxa"/>
            <w:vAlign w:val="bottom"/>
            <w:tcBorders>
              <w:top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89"/>
        </w:trPr>
        <w:tc>
          <w:tcPr>
            <w:tcW w:w="20" w:type="dxa"/>
            <w:vAlign w:val="bottom"/>
            <w:vMerge w:val="continue"/>
          </w:tcPr>
          <w:p>
            <w:pPr>
              <w:spacing w:after="0"/>
              <w:rPr>
                <w:sz w:val="16"/>
                <w:szCs w:val="16"/>
                <w:color w:val="auto"/>
              </w:rPr>
            </w:pPr>
          </w:p>
        </w:tc>
        <w:tc>
          <w:tcPr>
            <w:tcW w:w="202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Balances at</w:t>
            </w:r>
          </w:p>
        </w:tc>
        <w:tc>
          <w:tcPr>
            <w:tcW w:w="220" w:type="dxa"/>
            <w:vAlign w:val="bottom"/>
            <w:shd w:val="clear" w:color="auto" w:fill="CCEEFF"/>
          </w:tcPr>
          <w:p>
            <w:pPr>
              <w:spacing w:after="0"/>
              <w:rPr>
                <w:sz w:val="16"/>
                <w:szCs w:val="16"/>
                <w:color w:val="auto"/>
              </w:rPr>
            </w:pPr>
          </w:p>
        </w:tc>
        <w:tc>
          <w:tcPr>
            <w:tcW w:w="66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5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5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5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5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00" w:type="dxa"/>
            <w:vAlign w:val="bottom"/>
            <w:tcBorders>
              <w:right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02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December 31, 2015</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$106,561</w:t>
            </w: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51,753</w:t>
            </w:r>
          </w:p>
        </w:tc>
        <w:tc>
          <w:tcPr>
            <w:tcW w:w="64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2,303</w:t>
            </w: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12,549</w:t>
            </w:r>
          </w:p>
        </w:tc>
        <w:tc>
          <w:tcPr>
            <w:tcW w:w="64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8,013</w:t>
            </w:r>
          </w:p>
        </w:tc>
        <w:tc>
          <w:tcPr>
            <w:tcW w:w="860" w:type="dxa"/>
            <w:vAlign w:val="bottom"/>
            <w:tcBorders>
              <w:right w:val="single" w:sz="8" w:color="CCEEFF"/>
            </w:tcBorders>
            <w:gridSpan w:val="2"/>
            <w:shd w:val="clear" w:color="auto" w:fill="CCEEFF"/>
          </w:tcPr>
          <w:p>
            <w:pPr>
              <w:jc w:val="right"/>
              <w:ind w:right="23"/>
              <w:spacing w:after="0"/>
              <w:rPr>
                <w:sz w:val="20"/>
                <w:szCs w:val="20"/>
                <w:color w:val="auto"/>
              </w:rPr>
            </w:pPr>
            <w:r>
              <w:rPr>
                <w:rFonts w:ascii="Arial" w:cs="Arial" w:eastAsia="Arial" w:hAnsi="Arial"/>
                <w:sz w:val="16"/>
                <w:szCs w:val="16"/>
                <w:color w:val="auto"/>
              </w:rPr>
              <w:t>181,179</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020" w:type="dxa"/>
            <w:vAlign w:val="bottom"/>
          </w:tcPr>
          <w:p>
            <w:pPr>
              <w:spacing w:after="0"/>
              <w:rPr>
                <w:sz w:val="20"/>
                <w:szCs w:val="20"/>
                <w:color w:val="auto"/>
              </w:rPr>
            </w:pPr>
            <w:r>
              <w:rPr>
                <w:rFonts w:ascii="Arial" w:cs="Arial" w:eastAsia="Arial" w:hAnsi="Arial"/>
                <w:sz w:val="16"/>
                <w:szCs w:val="16"/>
                <w:color w:val="auto"/>
              </w:rPr>
              <w:t>Foreign currency translation</w:t>
            </w:r>
          </w:p>
        </w:tc>
        <w:tc>
          <w:tcPr>
            <w:tcW w:w="880" w:type="dxa"/>
            <w:vAlign w:val="bottom"/>
            <w:gridSpan w:val="2"/>
          </w:tcPr>
          <w:p>
            <w:pPr>
              <w:jc w:val="right"/>
              <w:spacing w:after="0"/>
              <w:rPr>
                <w:sz w:val="20"/>
                <w:szCs w:val="20"/>
                <w:color w:val="auto"/>
              </w:rPr>
            </w:pPr>
            <w:r>
              <w:rPr>
                <w:rFonts w:ascii="Arial" w:cs="Arial" w:eastAsia="Arial" w:hAnsi="Arial"/>
                <w:sz w:val="16"/>
                <w:szCs w:val="16"/>
                <w:color w:val="auto"/>
              </w:rPr>
              <w:t>(1,139)</w:t>
            </w:r>
          </w:p>
        </w:tc>
        <w:tc>
          <w:tcPr>
            <w:tcW w:w="740" w:type="dxa"/>
            <w:vAlign w:val="bottom"/>
            <w:gridSpan w:val="2"/>
          </w:tcPr>
          <w:p>
            <w:pPr>
              <w:jc w:val="right"/>
              <w:spacing w:after="0"/>
              <w:rPr>
                <w:sz w:val="20"/>
                <w:szCs w:val="20"/>
                <w:color w:val="auto"/>
              </w:rPr>
            </w:pPr>
            <w:r>
              <w:rPr>
                <w:rFonts w:ascii="Arial" w:cs="Arial" w:eastAsia="Arial" w:hAnsi="Arial"/>
                <w:sz w:val="16"/>
                <w:szCs w:val="16"/>
                <w:color w:val="auto"/>
              </w:rPr>
              <w:t>(554)</w:t>
            </w:r>
          </w:p>
        </w:tc>
        <w:tc>
          <w:tcPr>
            <w:tcW w:w="640" w:type="dxa"/>
            <w:vAlign w:val="bottom"/>
            <w:gridSpan w:val="2"/>
          </w:tcPr>
          <w:p>
            <w:pPr>
              <w:jc w:val="right"/>
              <w:spacing w:after="0"/>
              <w:rPr>
                <w:sz w:val="20"/>
                <w:szCs w:val="20"/>
                <w:color w:val="auto"/>
              </w:rPr>
            </w:pPr>
            <w:r>
              <w:rPr>
                <w:rFonts w:ascii="Arial" w:cs="Arial" w:eastAsia="Arial" w:hAnsi="Arial"/>
                <w:sz w:val="16"/>
                <w:szCs w:val="16"/>
                <w:color w:val="auto"/>
              </w:rPr>
              <w:t>(25)</w:t>
            </w:r>
          </w:p>
        </w:tc>
        <w:tc>
          <w:tcPr>
            <w:tcW w:w="740" w:type="dxa"/>
            <w:vAlign w:val="bottom"/>
            <w:gridSpan w:val="2"/>
          </w:tcPr>
          <w:p>
            <w:pPr>
              <w:jc w:val="right"/>
              <w:spacing w:after="0"/>
              <w:rPr>
                <w:sz w:val="20"/>
                <w:szCs w:val="20"/>
                <w:color w:val="auto"/>
              </w:rPr>
            </w:pPr>
            <w:r>
              <w:rPr>
                <w:rFonts w:ascii="Arial" w:cs="Arial" w:eastAsia="Arial" w:hAnsi="Arial"/>
                <w:sz w:val="16"/>
                <w:szCs w:val="16"/>
                <w:color w:val="auto"/>
              </w:rPr>
              <w:t>(134)</w:t>
            </w:r>
          </w:p>
        </w:tc>
        <w:tc>
          <w:tcPr>
            <w:tcW w:w="640" w:type="dxa"/>
            <w:vAlign w:val="bottom"/>
            <w:gridSpan w:val="2"/>
          </w:tcPr>
          <w:p>
            <w:pPr>
              <w:jc w:val="right"/>
              <w:spacing w:after="0"/>
              <w:rPr>
                <w:sz w:val="20"/>
                <w:szCs w:val="20"/>
                <w:color w:val="auto"/>
              </w:rPr>
            </w:pPr>
            <w:r>
              <w:rPr>
                <w:rFonts w:ascii="Arial" w:cs="Arial" w:eastAsia="Arial" w:hAnsi="Arial"/>
                <w:sz w:val="16"/>
                <w:szCs w:val="16"/>
                <w:color w:val="auto"/>
              </w:rPr>
              <w:t>(86)</w:t>
            </w:r>
          </w:p>
        </w:tc>
        <w:tc>
          <w:tcPr>
            <w:tcW w:w="860" w:type="dxa"/>
            <w:vAlign w:val="bottom"/>
            <w:gridSpan w:val="2"/>
          </w:tcPr>
          <w:p>
            <w:pPr>
              <w:jc w:val="right"/>
              <w:spacing w:after="0"/>
              <w:rPr>
                <w:sz w:val="20"/>
                <w:szCs w:val="20"/>
                <w:color w:val="auto"/>
              </w:rPr>
            </w:pPr>
            <w:r>
              <w:rPr>
                <w:rFonts w:ascii="Arial" w:cs="Arial" w:eastAsia="Arial" w:hAnsi="Arial"/>
                <w:sz w:val="16"/>
                <w:szCs w:val="16"/>
                <w:color w:val="auto"/>
              </w:rPr>
              <w:t>(1,938)</w:t>
            </w: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020" w:type="dxa"/>
            <w:vAlign w:val="bottom"/>
            <w:tcBorders>
              <w:top w:val="single" w:sz="8" w:color="CCEEFF"/>
            </w:tcBorders>
            <w:shd w:val="clear" w:color="auto" w:fill="CCEEFF"/>
          </w:tcPr>
          <w:p>
            <w:pPr>
              <w:spacing w:after="0" w:line="169" w:lineRule="exact"/>
              <w:rPr>
                <w:sz w:val="20"/>
                <w:szCs w:val="20"/>
                <w:color w:val="auto"/>
              </w:rPr>
            </w:pPr>
            <w:r>
              <w:rPr>
                <w:rFonts w:ascii="Arial" w:cs="Arial" w:eastAsia="Arial" w:hAnsi="Arial"/>
                <w:sz w:val="16"/>
                <w:szCs w:val="16"/>
                <w:b w:val="1"/>
                <w:bCs w:val="1"/>
                <w:color w:val="auto"/>
              </w:rPr>
              <w:t>Balances at</w:t>
            </w:r>
          </w:p>
        </w:tc>
        <w:tc>
          <w:tcPr>
            <w:tcW w:w="220" w:type="dxa"/>
            <w:vAlign w:val="bottom"/>
            <w:tcBorders>
              <w:top w:val="single" w:sz="8" w:color="CCEEFF"/>
            </w:tcBorders>
            <w:shd w:val="clear" w:color="auto" w:fill="CCEEFF"/>
          </w:tcPr>
          <w:p>
            <w:pPr>
              <w:spacing w:after="0"/>
              <w:rPr>
                <w:sz w:val="14"/>
                <w:szCs w:val="14"/>
                <w:color w:val="auto"/>
              </w:rPr>
            </w:pPr>
          </w:p>
        </w:tc>
        <w:tc>
          <w:tcPr>
            <w:tcW w:w="660" w:type="dxa"/>
            <w:vAlign w:val="bottom"/>
            <w:tcBorders>
              <w:top w:val="single" w:sz="8" w:color="auto"/>
            </w:tcBorders>
            <w:shd w:val="clear" w:color="auto" w:fill="CCEEFF"/>
          </w:tcPr>
          <w:p>
            <w:pPr>
              <w:spacing w:after="0"/>
              <w:rPr>
                <w:sz w:val="14"/>
                <w:szCs w:val="14"/>
                <w:color w:val="auto"/>
              </w:rPr>
            </w:pPr>
          </w:p>
        </w:tc>
        <w:tc>
          <w:tcPr>
            <w:tcW w:w="160" w:type="dxa"/>
            <w:vAlign w:val="bottom"/>
            <w:tcBorders>
              <w:top w:val="single" w:sz="8" w:color="CCEEFF"/>
            </w:tcBorders>
            <w:shd w:val="clear" w:color="auto" w:fill="CCEEFF"/>
          </w:tcPr>
          <w:p>
            <w:pPr>
              <w:spacing w:after="0"/>
              <w:rPr>
                <w:sz w:val="14"/>
                <w:szCs w:val="14"/>
                <w:color w:val="auto"/>
              </w:rPr>
            </w:pPr>
          </w:p>
        </w:tc>
        <w:tc>
          <w:tcPr>
            <w:tcW w:w="580" w:type="dxa"/>
            <w:vAlign w:val="bottom"/>
            <w:tcBorders>
              <w:top w:val="single" w:sz="8" w:color="auto"/>
            </w:tcBorders>
            <w:shd w:val="clear" w:color="auto" w:fill="CCEEFF"/>
          </w:tcPr>
          <w:p>
            <w:pPr>
              <w:spacing w:after="0"/>
              <w:rPr>
                <w:sz w:val="14"/>
                <w:szCs w:val="14"/>
                <w:color w:val="auto"/>
              </w:rPr>
            </w:pPr>
          </w:p>
        </w:tc>
        <w:tc>
          <w:tcPr>
            <w:tcW w:w="140" w:type="dxa"/>
            <w:vAlign w:val="bottom"/>
            <w:tcBorders>
              <w:top w:val="single" w:sz="8" w:color="CCEEFF"/>
            </w:tcBorders>
            <w:shd w:val="clear" w:color="auto" w:fill="CCEEFF"/>
          </w:tcPr>
          <w:p>
            <w:pPr>
              <w:spacing w:after="0"/>
              <w:rPr>
                <w:sz w:val="14"/>
                <w:szCs w:val="14"/>
                <w:color w:val="auto"/>
              </w:rPr>
            </w:pPr>
          </w:p>
        </w:tc>
        <w:tc>
          <w:tcPr>
            <w:tcW w:w="500" w:type="dxa"/>
            <w:vAlign w:val="bottom"/>
            <w:tcBorders>
              <w:top w:val="single" w:sz="8" w:color="auto"/>
            </w:tcBorders>
            <w:shd w:val="clear" w:color="auto" w:fill="CCEEFF"/>
          </w:tcPr>
          <w:p>
            <w:pPr>
              <w:spacing w:after="0"/>
              <w:rPr>
                <w:sz w:val="14"/>
                <w:szCs w:val="14"/>
                <w:color w:val="auto"/>
              </w:rPr>
            </w:pPr>
          </w:p>
        </w:tc>
        <w:tc>
          <w:tcPr>
            <w:tcW w:w="160" w:type="dxa"/>
            <w:vAlign w:val="bottom"/>
            <w:tcBorders>
              <w:top w:val="single" w:sz="8" w:color="CCEEFF"/>
            </w:tcBorders>
            <w:shd w:val="clear" w:color="auto" w:fill="CCEEFF"/>
          </w:tcPr>
          <w:p>
            <w:pPr>
              <w:spacing w:after="0"/>
              <w:rPr>
                <w:sz w:val="14"/>
                <w:szCs w:val="14"/>
                <w:color w:val="auto"/>
              </w:rPr>
            </w:pPr>
          </w:p>
        </w:tc>
        <w:tc>
          <w:tcPr>
            <w:tcW w:w="580" w:type="dxa"/>
            <w:vAlign w:val="bottom"/>
            <w:tcBorders>
              <w:top w:val="single" w:sz="8" w:color="auto"/>
            </w:tcBorders>
            <w:shd w:val="clear" w:color="auto" w:fill="CCEEFF"/>
          </w:tcPr>
          <w:p>
            <w:pPr>
              <w:spacing w:after="0"/>
              <w:rPr>
                <w:sz w:val="14"/>
                <w:szCs w:val="14"/>
                <w:color w:val="auto"/>
              </w:rPr>
            </w:pPr>
          </w:p>
        </w:tc>
        <w:tc>
          <w:tcPr>
            <w:tcW w:w="140" w:type="dxa"/>
            <w:vAlign w:val="bottom"/>
            <w:tcBorders>
              <w:top w:val="single" w:sz="8" w:color="CCEEFF"/>
            </w:tcBorders>
            <w:shd w:val="clear" w:color="auto" w:fill="CCEEFF"/>
          </w:tcPr>
          <w:p>
            <w:pPr>
              <w:spacing w:after="0"/>
              <w:rPr>
                <w:sz w:val="14"/>
                <w:szCs w:val="14"/>
                <w:color w:val="auto"/>
              </w:rPr>
            </w:pPr>
          </w:p>
        </w:tc>
        <w:tc>
          <w:tcPr>
            <w:tcW w:w="500" w:type="dxa"/>
            <w:vAlign w:val="bottom"/>
            <w:tcBorders>
              <w:top w:val="single" w:sz="8" w:color="auto"/>
            </w:tcBorders>
            <w:shd w:val="clear" w:color="auto" w:fill="CCEEFF"/>
          </w:tcPr>
          <w:p>
            <w:pPr>
              <w:spacing w:after="0"/>
              <w:rPr>
                <w:sz w:val="14"/>
                <w:szCs w:val="14"/>
                <w:color w:val="auto"/>
              </w:rPr>
            </w:pPr>
          </w:p>
        </w:tc>
        <w:tc>
          <w:tcPr>
            <w:tcW w:w="160" w:type="dxa"/>
            <w:vAlign w:val="bottom"/>
            <w:tcBorders>
              <w:top w:val="single" w:sz="8" w:color="CCEEFF"/>
            </w:tcBorders>
            <w:shd w:val="clear" w:color="auto" w:fill="CCEEFF"/>
          </w:tcPr>
          <w:p>
            <w:pPr>
              <w:spacing w:after="0"/>
              <w:rPr>
                <w:sz w:val="14"/>
                <w:szCs w:val="14"/>
                <w:color w:val="auto"/>
              </w:rPr>
            </w:pPr>
          </w:p>
        </w:tc>
        <w:tc>
          <w:tcPr>
            <w:tcW w:w="700" w:type="dxa"/>
            <w:vAlign w:val="bottom"/>
            <w:tcBorders>
              <w:top w:val="single" w:sz="8" w:color="auto"/>
              <w:right w:val="single" w:sz="8" w:color="CCEEFF"/>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02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December 31, 2016</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105,422</w:t>
            </w: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51,199</w:t>
            </w:r>
          </w:p>
        </w:tc>
        <w:tc>
          <w:tcPr>
            <w:tcW w:w="64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2,278</w:t>
            </w: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12,415</w:t>
            </w:r>
          </w:p>
        </w:tc>
        <w:tc>
          <w:tcPr>
            <w:tcW w:w="64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7,927</w:t>
            </w:r>
          </w:p>
        </w:tc>
        <w:tc>
          <w:tcPr>
            <w:tcW w:w="860" w:type="dxa"/>
            <w:vAlign w:val="bottom"/>
            <w:tcBorders>
              <w:right w:val="single" w:sz="8" w:color="CCEEFF"/>
            </w:tcBorders>
            <w:gridSpan w:val="2"/>
            <w:shd w:val="clear" w:color="auto" w:fill="CCEEFF"/>
          </w:tcPr>
          <w:p>
            <w:pPr>
              <w:jc w:val="right"/>
              <w:ind w:right="23"/>
              <w:spacing w:after="0"/>
              <w:rPr>
                <w:sz w:val="20"/>
                <w:szCs w:val="20"/>
                <w:color w:val="auto"/>
              </w:rPr>
            </w:pPr>
            <w:r>
              <w:rPr>
                <w:rFonts w:ascii="Arial" w:cs="Arial" w:eastAsia="Arial" w:hAnsi="Arial"/>
                <w:sz w:val="16"/>
                <w:szCs w:val="16"/>
                <w:color w:val="auto"/>
              </w:rPr>
              <w:t>179,241</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020" w:type="dxa"/>
            <w:vAlign w:val="bottom"/>
            <w:tcBorders>
              <w:bottom w:val="single" w:sz="8" w:color="CCEEFF"/>
            </w:tcBorders>
          </w:tcPr>
          <w:p>
            <w:pPr>
              <w:spacing w:after="0"/>
              <w:rPr>
                <w:sz w:val="20"/>
                <w:szCs w:val="20"/>
                <w:color w:val="auto"/>
              </w:rPr>
            </w:pPr>
            <w:r>
              <w:rPr>
                <w:rFonts w:ascii="Arial" w:cs="Arial" w:eastAsia="Arial" w:hAnsi="Arial"/>
                <w:sz w:val="16"/>
                <w:szCs w:val="16"/>
                <w:color w:val="auto"/>
              </w:rPr>
              <w:t>Foreign currency translation</w:t>
            </w:r>
          </w:p>
        </w:tc>
        <w:tc>
          <w:tcPr>
            <w:tcW w:w="220" w:type="dxa"/>
            <w:vAlign w:val="bottom"/>
            <w:tcBorders>
              <w:bottom w:val="single" w:sz="8" w:color="CCEEFF"/>
            </w:tcBorders>
          </w:tcPr>
          <w:p>
            <w:pPr>
              <w:spacing w:after="0"/>
              <w:rPr>
                <w:sz w:val="17"/>
                <w:szCs w:val="17"/>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3,941</w:t>
            </w:r>
          </w:p>
        </w:tc>
        <w:tc>
          <w:tcPr>
            <w:tcW w:w="160" w:type="dxa"/>
            <w:vAlign w:val="bottom"/>
            <w:tcBorders>
              <w:bottom w:val="single" w:sz="8" w:color="CCEEFF"/>
            </w:tcBorders>
          </w:tcPr>
          <w:p>
            <w:pPr>
              <w:spacing w:after="0"/>
              <w:rPr>
                <w:sz w:val="17"/>
                <w:szCs w:val="17"/>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1,914</w:t>
            </w:r>
          </w:p>
        </w:tc>
        <w:tc>
          <w:tcPr>
            <w:tcW w:w="140" w:type="dxa"/>
            <w:vAlign w:val="bottom"/>
            <w:tcBorders>
              <w:bottom w:val="single" w:sz="8" w:color="CCEEFF"/>
            </w:tcBorders>
          </w:tcPr>
          <w:p>
            <w:pPr>
              <w:spacing w:after="0"/>
              <w:rPr>
                <w:sz w:val="17"/>
                <w:szCs w:val="17"/>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85</w:t>
            </w:r>
          </w:p>
        </w:tc>
        <w:tc>
          <w:tcPr>
            <w:tcW w:w="160" w:type="dxa"/>
            <w:vAlign w:val="bottom"/>
            <w:tcBorders>
              <w:bottom w:val="single" w:sz="8" w:color="CCEEFF"/>
            </w:tcBorders>
          </w:tcPr>
          <w:p>
            <w:pPr>
              <w:spacing w:after="0"/>
              <w:rPr>
                <w:sz w:val="17"/>
                <w:szCs w:val="17"/>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464</w:t>
            </w:r>
          </w:p>
        </w:tc>
        <w:tc>
          <w:tcPr>
            <w:tcW w:w="140" w:type="dxa"/>
            <w:vAlign w:val="bottom"/>
            <w:tcBorders>
              <w:bottom w:val="single" w:sz="8" w:color="CCEEFF"/>
            </w:tcBorders>
          </w:tcPr>
          <w:p>
            <w:pPr>
              <w:spacing w:after="0"/>
              <w:rPr>
                <w:sz w:val="17"/>
                <w:szCs w:val="17"/>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296</w:t>
            </w:r>
          </w:p>
        </w:tc>
        <w:tc>
          <w:tcPr>
            <w:tcW w:w="160" w:type="dxa"/>
            <w:vAlign w:val="bottom"/>
            <w:tcBorders>
              <w:bottom w:val="single" w:sz="8" w:color="CCEEFF"/>
            </w:tcBorders>
          </w:tcPr>
          <w:p>
            <w:pPr>
              <w:spacing w:after="0"/>
              <w:rPr>
                <w:sz w:val="17"/>
                <w:szCs w:val="17"/>
                <w:color w:val="auto"/>
              </w:rPr>
            </w:pPr>
          </w:p>
        </w:tc>
        <w:tc>
          <w:tcPr>
            <w:tcW w:w="700" w:type="dxa"/>
            <w:vAlign w:val="bottom"/>
            <w:tcBorders>
              <w:bottom w:val="single" w:sz="8" w:color="auto"/>
            </w:tcBorders>
          </w:tcPr>
          <w:p>
            <w:pPr>
              <w:jc w:val="right"/>
              <w:ind w:right="23"/>
              <w:spacing w:after="0"/>
              <w:rPr>
                <w:sz w:val="20"/>
                <w:szCs w:val="20"/>
                <w:color w:val="auto"/>
              </w:rPr>
            </w:pPr>
            <w:r>
              <w:rPr>
                <w:rFonts w:ascii="Arial" w:cs="Arial" w:eastAsia="Arial" w:hAnsi="Arial"/>
                <w:sz w:val="16"/>
                <w:szCs w:val="16"/>
                <w:color w:val="auto"/>
              </w:rPr>
              <w:t>6,700</w:t>
            </w: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020" w:type="dxa"/>
            <w:vAlign w:val="bottom"/>
            <w:shd w:val="clear" w:color="auto" w:fill="CCEEFF"/>
          </w:tcPr>
          <w:p>
            <w:pPr>
              <w:spacing w:after="0" w:line="169" w:lineRule="exact"/>
              <w:rPr>
                <w:sz w:val="20"/>
                <w:szCs w:val="20"/>
                <w:color w:val="auto"/>
              </w:rPr>
            </w:pPr>
            <w:r>
              <w:rPr>
                <w:rFonts w:ascii="Arial" w:cs="Arial" w:eastAsia="Arial" w:hAnsi="Arial"/>
                <w:sz w:val="16"/>
                <w:szCs w:val="16"/>
                <w:b w:val="1"/>
                <w:bCs w:val="1"/>
                <w:color w:val="auto"/>
              </w:rPr>
              <w:t>Balances at</w:t>
            </w:r>
          </w:p>
        </w:tc>
        <w:tc>
          <w:tcPr>
            <w:tcW w:w="220" w:type="dxa"/>
            <w:vAlign w:val="bottom"/>
            <w:vMerge w:val="restart"/>
            <w:shd w:val="clear" w:color="auto" w:fill="CCEEFF"/>
          </w:tcPr>
          <w:p>
            <w:pPr>
              <w:spacing w:after="0"/>
              <w:rPr>
                <w:sz w:val="14"/>
                <w:szCs w:val="14"/>
                <w:color w:val="auto"/>
              </w:rPr>
            </w:pPr>
          </w:p>
        </w:tc>
        <w:tc>
          <w:tcPr>
            <w:tcW w:w="660" w:type="dxa"/>
            <w:vAlign w:val="bottom"/>
            <w:vMerge w:val="restart"/>
            <w:shd w:val="clear" w:color="auto" w:fill="CCEEFF"/>
          </w:tcPr>
          <w:p>
            <w:pPr>
              <w:jc w:val="right"/>
              <w:spacing w:after="0"/>
              <w:rPr>
                <w:sz w:val="20"/>
                <w:szCs w:val="20"/>
                <w:color w:val="auto"/>
              </w:rPr>
            </w:pPr>
            <w:r>
              <w:rPr>
                <w:rFonts w:ascii="Arial" w:cs="Arial" w:eastAsia="Arial" w:hAnsi="Arial"/>
                <w:sz w:val="16"/>
                <w:szCs w:val="16"/>
                <w:u w:val="single" w:color="auto"/>
                <w:color w:val="auto"/>
                <w:w w:val="86"/>
              </w:rPr>
              <w:t>$</w:t>
            </w:r>
            <w:r>
              <w:rPr>
                <w:rFonts w:ascii="Arial" w:cs="Arial" w:eastAsia="Arial" w:hAnsi="Arial"/>
                <w:sz w:val="16"/>
                <w:szCs w:val="16"/>
                <w:color w:val="auto"/>
                <w:w w:val="86"/>
              </w:rPr>
              <w:t>109,363</w:t>
            </w:r>
          </w:p>
        </w:tc>
        <w:tc>
          <w:tcPr>
            <w:tcW w:w="740" w:type="dxa"/>
            <w:vAlign w:val="bottom"/>
            <w:gridSpan w:val="2"/>
            <w:vMerge w:val="restart"/>
            <w:shd w:val="clear" w:color="auto" w:fill="CCEEFF"/>
          </w:tcPr>
          <w:p>
            <w:pPr>
              <w:jc w:val="right"/>
              <w:spacing w:after="0"/>
              <w:rPr>
                <w:sz w:val="20"/>
                <w:szCs w:val="20"/>
                <w:color w:val="auto"/>
              </w:rPr>
            </w:pPr>
            <w:r>
              <w:rPr>
                <w:rFonts w:ascii="Arial" w:cs="Arial" w:eastAsia="Arial" w:hAnsi="Arial"/>
                <w:sz w:val="16"/>
                <w:szCs w:val="16"/>
                <w:u w:val="single" w:color="auto"/>
                <w:color w:val="auto"/>
              </w:rPr>
              <w:t>$</w:t>
            </w:r>
            <w:r>
              <w:rPr>
                <w:rFonts w:ascii="Arial" w:cs="Arial" w:eastAsia="Arial" w:hAnsi="Arial"/>
                <w:sz w:val="16"/>
                <w:szCs w:val="16"/>
                <w:color w:val="auto"/>
              </w:rPr>
              <w:t>53,113</w:t>
            </w:r>
          </w:p>
        </w:tc>
        <w:tc>
          <w:tcPr>
            <w:tcW w:w="640" w:type="dxa"/>
            <w:vAlign w:val="bottom"/>
            <w:gridSpan w:val="2"/>
            <w:vMerge w:val="restart"/>
            <w:shd w:val="clear" w:color="auto" w:fill="CCEEFF"/>
          </w:tcPr>
          <w:p>
            <w:pPr>
              <w:jc w:val="right"/>
              <w:spacing w:after="0"/>
              <w:rPr>
                <w:sz w:val="20"/>
                <w:szCs w:val="20"/>
                <w:color w:val="auto"/>
              </w:rPr>
            </w:pPr>
            <w:r>
              <w:rPr>
                <w:rFonts w:ascii="Arial" w:cs="Arial" w:eastAsia="Arial" w:hAnsi="Arial"/>
                <w:sz w:val="16"/>
                <w:szCs w:val="16"/>
                <w:u w:val="single" w:color="auto"/>
                <w:color w:val="auto"/>
              </w:rPr>
              <w:t>$</w:t>
            </w:r>
            <w:r>
              <w:rPr>
                <w:rFonts w:ascii="Arial" w:cs="Arial" w:eastAsia="Arial" w:hAnsi="Arial"/>
                <w:sz w:val="16"/>
                <w:szCs w:val="16"/>
                <w:color w:val="auto"/>
              </w:rPr>
              <w:t>2,363</w:t>
            </w:r>
          </w:p>
        </w:tc>
        <w:tc>
          <w:tcPr>
            <w:tcW w:w="740" w:type="dxa"/>
            <w:vAlign w:val="bottom"/>
            <w:gridSpan w:val="2"/>
            <w:vMerge w:val="restart"/>
            <w:shd w:val="clear" w:color="auto" w:fill="CCEEFF"/>
          </w:tcPr>
          <w:p>
            <w:pPr>
              <w:jc w:val="right"/>
              <w:spacing w:after="0"/>
              <w:rPr>
                <w:sz w:val="20"/>
                <w:szCs w:val="20"/>
                <w:color w:val="auto"/>
              </w:rPr>
            </w:pPr>
            <w:r>
              <w:rPr>
                <w:rFonts w:ascii="Arial" w:cs="Arial" w:eastAsia="Arial" w:hAnsi="Arial"/>
                <w:sz w:val="16"/>
                <w:szCs w:val="16"/>
                <w:u w:val="single" w:color="auto"/>
                <w:color w:val="auto"/>
              </w:rPr>
              <w:t>$</w:t>
            </w:r>
            <w:r>
              <w:rPr>
                <w:rFonts w:ascii="Arial" w:cs="Arial" w:eastAsia="Arial" w:hAnsi="Arial"/>
                <w:sz w:val="16"/>
                <w:szCs w:val="16"/>
                <w:color w:val="auto"/>
              </w:rPr>
              <w:t>12,879</w:t>
            </w:r>
          </w:p>
        </w:tc>
        <w:tc>
          <w:tcPr>
            <w:tcW w:w="640" w:type="dxa"/>
            <w:vAlign w:val="bottom"/>
            <w:gridSpan w:val="2"/>
            <w:vMerge w:val="restart"/>
            <w:shd w:val="clear" w:color="auto" w:fill="CCEEFF"/>
          </w:tcPr>
          <w:p>
            <w:pPr>
              <w:jc w:val="right"/>
              <w:spacing w:after="0"/>
              <w:rPr>
                <w:sz w:val="20"/>
                <w:szCs w:val="20"/>
                <w:color w:val="auto"/>
              </w:rPr>
            </w:pPr>
            <w:r>
              <w:rPr>
                <w:rFonts w:ascii="Arial" w:cs="Arial" w:eastAsia="Arial" w:hAnsi="Arial"/>
                <w:sz w:val="16"/>
                <w:szCs w:val="16"/>
                <w:u w:val="single" w:color="auto"/>
                <w:color w:val="auto"/>
              </w:rPr>
              <w:t>$</w:t>
            </w:r>
            <w:r>
              <w:rPr>
                <w:rFonts w:ascii="Arial" w:cs="Arial" w:eastAsia="Arial" w:hAnsi="Arial"/>
                <w:sz w:val="16"/>
                <w:szCs w:val="16"/>
                <w:color w:val="auto"/>
              </w:rPr>
              <w:t>8,223</w:t>
            </w:r>
          </w:p>
        </w:tc>
        <w:tc>
          <w:tcPr>
            <w:tcW w:w="860" w:type="dxa"/>
            <w:vAlign w:val="bottom"/>
            <w:tcBorders>
              <w:right w:val="single" w:sz="8" w:color="CCEEFF"/>
            </w:tcBorders>
            <w:gridSpan w:val="2"/>
            <w:vMerge w:val="restart"/>
            <w:shd w:val="clear" w:color="auto" w:fill="CCEEFF"/>
          </w:tcPr>
          <w:p>
            <w:pPr>
              <w:jc w:val="right"/>
              <w:ind w:right="23"/>
              <w:spacing w:after="0"/>
              <w:rPr>
                <w:sz w:val="20"/>
                <w:szCs w:val="20"/>
                <w:color w:val="auto"/>
              </w:rPr>
            </w:pPr>
            <w:r>
              <w:rPr>
                <w:rFonts w:ascii="Arial" w:cs="Arial" w:eastAsia="Arial" w:hAnsi="Arial"/>
                <w:sz w:val="16"/>
                <w:szCs w:val="16"/>
                <w:u w:val="single" w:color="auto"/>
                <w:color w:val="auto"/>
              </w:rPr>
              <w:t>$</w:t>
            </w:r>
            <w:r>
              <w:rPr>
                <w:rFonts w:ascii="Arial" w:cs="Arial" w:eastAsia="Arial" w:hAnsi="Arial"/>
                <w:sz w:val="16"/>
                <w:szCs w:val="16"/>
                <w:color w:val="auto"/>
              </w:rPr>
              <w:t>185,941</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02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December 31, 2017</w:t>
            </w:r>
          </w:p>
        </w:tc>
        <w:tc>
          <w:tcPr>
            <w:tcW w:w="220" w:type="dxa"/>
            <w:vAlign w:val="bottom"/>
            <w:vMerge w:val="continue"/>
            <w:shd w:val="clear" w:color="auto" w:fill="CCEEFF"/>
          </w:tcPr>
          <w:p>
            <w:pPr>
              <w:spacing w:after="0"/>
              <w:rPr>
                <w:sz w:val="17"/>
                <w:szCs w:val="17"/>
                <w:color w:val="auto"/>
              </w:rPr>
            </w:pPr>
          </w:p>
        </w:tc>
        <w:tc>
          <w:tcPr>
            <w:tcW w:w="660" w:type="dxa"/>
            <w:vAlign w:val="bottom"/>
            <w:vMerge w:val="continue"/>
            <w:shd w:val="clear" w:color="auto" w:fill="CCEEFF"/>
          </w:tcPr>
          <w:p>
            <w:pPr>
              <w:spacing w:after="0"/>
              <w:rPr>
                <w:sz w:val="17"/>
                <w:szCs w:val="17"/>
                <w:color w:val="auto"/>
              </w:rPr>
            </w:pPr>
          </w:p>
        </w:tc>
        <w:tc>
          <w:tcPr>
            <w:tcW w:w="740" w:type="dxa"/>
            <w:vAlign w:val="bottom"/>
            <w:gridSpan w:val="2"/>
            <w:vMerge w:val="continue"/>
            <w:shd w:val="clear" w:color="auto" w:fill="CCEEFF"/>
          </w:tcPr>
          <w:p>
            <w:pPr>
              <w:spacing w:after="0"/>
              <w:rPr>
                <w:sz w:val="17"/>
                <w:szCs w:val="17"/>
                <w:color w:val="auto"/>
              </w:rPr>
            </w:pPr>
          </w:p>
        </w:tc>
        <w:tc>
          <w:tcPr>
            <w:tcW w:w="640" w:type="dxa"/>
            <w:vAlign w:val="bottom"/>
            <w:gridSpan w:val="2"/>
            <w:vMerge w:val="continue"/>
            <w:shd w:val="clear" w:color="auto" w:fill="CCEEFF"/>
          </w:tcPr>
          <w:p>
            <w:pPr>
              <w:spacing w:after="0"/>
              <w:rPr>
                <w:sz w:val="17"/>
                <w:szCs w:val="17"/>
                <w:color w:val="auto"/>
              </w:rPr>
            </w:pPr>
          </w:p>
        </w:tc>
        <w:tc>
          <w:tcPr>
            <w:tcW w:w="740" w:type="dxa"/>
            <w:vAlign w:val="bottom"/>
            <w:gridSpan w:val="2"/>
            <w:vMerge w:val="continue"/>
            <w:shd w:val="clear" w:color="auto" w:fill="CCEEFF"/>
          </w:tcPr>
          <w:p>
            <w:pPr>
              <w:spacing w:after="0"/>
              <w:rPr>
                <w:sz w:val="17"/>
                <w:szCs w:val="17"/>
                <w:color w:val="auto"/>
              </w:rPr>
            </w:pPr>
          </w:p>
        </w:tc>
        <w:tc>
          <w:tcPr>
            <w:tcW w:w="640" w:type="dxa"/>
            <w:vAlign w:val="bottom"/>
            <w:gridSpan w:val="2"/>
            <w:vMerge w:val="continue"/>
            <w:shd w:val="clear" w:color="auto" w:fill="CCEEFF"/>
          </w:tcPr>
          <w:p>
            <w:pPr>
              <w:spacing w:after="0"/>
              <w:rPr>
                <w:sz w:val="17"/>
                <w:szCs w:val="17"/>
                <w:color w:val="auto"/>
              </w:rPr>
            </w:pPr>
          </w:p>
        </w:tc>
        <w:tc>
          <w:tcPr>
            <w:tcW w:w="860" w:type="dxa"/>
            <w:vAlign w:val="bottom"/>
            <w:tcBorders>
              <w:right w:val="single" w:sz="8" w:color="CCEEFF"/>
            </w:tcBorders>
            <w:gridSpan w:val="2"/>
            <w:vMerge w:val="continue"/>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202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700" w:type="dxa"/>
            <w:vAlign w:val="bottom"/>
            <w:tcBorders>
              <w:right w:val="single" w:sz="8" w:color="CCEEFF"/>
            </w:tcBorders>
            <w:shd w:val="clear" w:color="auto" w:fill="000000"/>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1880"/>
        <w:spacing w:after="0"/>
        <w:rPr>
          <w:sz w:val="20"/>
          <w:szCs w:val="20"/>
          <w:color w:val="auto"/>
        </w:rPr>
      </w:pPr>
      <w:r>
        <w:rPr>
          <w:rFonts w:ascii="Arial" w:cs="Arial" w:eastAsia="Arial" w:hAnsi="Arial"/>
          <w:sz w:val="17"/>
          <w:szCs w:val="17"/>
          <w:color w:val="auto"/>
        </w:rPr>
        <w:t>The net carrying value by class of identifiable intangible assets was as follows:</w:t>
      </w:r>
    </w:p>
    <w:p>
      <w:pPr>
        <w:spacing w:after="0" w:line="255" w:lineRule="exact"/>
        <w:rPr>
          <w:sz w:val="20"/>
          <w:szCs w:val="20"/>
          <w:color w:val="auto"/>
        </w:rPr>
      </w:pPr>
    </w:p>
    <w:tbl>
      <w:tblPr>
        <w:tblLayout w:type="fixed"/>
        <w:tblInd w:w="124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640" w:type="dxa"/>
            <w:vAlign w:val="bottom"/>
            <w:gridSpan w:val="2"/>
          </w:tcPr>
          <w:p>
            <w:pPr>
              <w:jc w:val="center"/>
              <w:spacing w:after="0"/>
              <w:rPr>
                <w:sz w:val="20"/>
                <w:szCs w:val="20"/>
                <w:color w:val="auto"/>
              </w:rPr>
            </w:pPr>
            <w:r>
              <w:rPr>
                <w:rFonts w:ascii="Arial" w:cs="Arial" w:eastAsia="Arial" w:hAnsi="Arial"/>
                <w:sz w:val="14"/>
                <w:szCs w:val="14"/>
                <w:b w:val="1"/>
                <w:bCs w:val="1"/>
                <w:color w:val="auto"/>
                <w:w w:val="91"/>
              </w:rPr>
              <w:t>Weighted</w:t>
            </w:r>
          </w:p>
        </w:tc>
        <w:tc>
          <w:tcPr>
            <w:tcW w:w="100" w:type="dxa"/>
            <w:vAlign w:val="bottom"/>
          </w:tcPr>
          <w:p>
            <w:pPr>
              <w:spacing w:after="0"/>
              <w:rPr>
                <w:sz w:val="14"/>
                <w:szCs w:val="14"/>
                <w:color w:val="auto"/>
              </w:rPr>
            </w:pPr>
          </w:p>
        </w:tc>
        <w:tc>
          <w:tcPr>
            <w:tcW w:w="1760" w:type="dxa"/>
            <w:vAlign w:val="bottom"/>
            <w:tcBorders>
              <w:bottom w:val="single" w:sz="8" w:color="auto"/>
            </w:tcBorders>
            <w:gridSpan w:val="5"/>
          </w:tcPr>
          <w:p>
            <w:pPr>
              <w:jc w:val="right"/>
              <w:spacing w:after="0"/>
              <w:rPr>
                <w:sz w:val="20"/>
                <w:szCs w:val="20"/>
                <w:color w:val="auto"/>
              </w:rPr>
            </w:pPr>
            <w:r>
              <w:rPr>
                <w:rFonts w:ascii="Arial" w:cs="Arial" w:eastAsia="Arial" w:hAnsi="Arial"/>
                <w:sz w:val="14"/>
                <w:szCs w:val="14"/>
                <w:b w:val="1"/>
                <w:bCs w:val="1"/>
                <w:color w:val="auto"/>
              </w:rPr>
              <w:t>December 31, 2017</w:t>
            </w:r>
          </w:p>
        </w:tc>
        <w:tc>
          <w:tcPr>
            <w:tcW w:w="560" w:type="dxa"/>
            <w:vAlign w:val="bottom"/>
            <w:tcBorders>
              <w:bottom w:val="single" w:sz="8" w:color="auto"/>
            </w:tcBorders>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240" w:type="dxa"/>
            <w:vAlign w:val="bottom"/>
            <w:tcBorders>
              <w:bottom w:val="single" w:sz="8" w:color="auto"/>
            </w:tcBorders>
            <w:gridSpan w:val="5"/>
          </w:tcPr>
          <w:p>
            <w:pPr>
              <w:jc w:val="right"/>
              <w:ind w:right="528"/>
              <w:spacing w:after="0"/>
              <w:rPr>
                <w:sz w:val="20"/>
                <w:szCs w:val="20"/>
                <w:color w:val="auto"/>
              </w:rPr>
            </w:pPr>
            <w:r>
              <w:rPr>
                <w:rFonts w:ascii="Arial" w:cs="Arial" w:eastAsia="Arial" w:hAnsi="Arial"/>
                <w:sz w:val="14"/>
                <w:szCs w:val="14"/>
                <w:b w:val="1"/>
                <w:bCs w:val="1"/>
                <w:color w:val="auto"/>
              </w:rPr>
              <w:t>December 31, 2016</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80" w:type="dxa"/>
            <w:vAlign w:val="bottom"/>
          </w:tcPr>
          <w:p>
            <w:pPr>
              <w:jc w:val="center"/>
              <w:spacing w:after="0" w:line="147" w:lineRule="exact"/>
              <w:rPr>
                <w:sz w:val="20"/>
                <w:szCs w:val="20"/>
                <w:color w:val="auto"/>
              </w:rPr>
            </w:pPr>
            <w:r>
              <w:rPr>
                <w:rFonts w:ascii="Arial" w:cs="Arial" w:eastAsia="Arial" w:hAnsi="Arial"/>
                <w:sz w:val="14"/>
                <w:szCs w:val="14"/>
                <w:b w:val="1"/>
                <w:bCs w:val="1"/>
                <w:color w:val="auto"/>
                <w:w w:val="90"/>
              </w:rPr>
              <w:t>Average</w:t>
            </w:r>
          </w:p>
        </w:tc>
        <w:tc>
          <w:tcPr>
            <w:tcW w:w="1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3"/>
              </w:rPr>
              <w:t>Useful</w:t>
            </w:r>
          </w:p>
        </w:tc>
        <w:tc>
          <w:tcPr>
            <w:tcW w:w="1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020" w:type="dxa"/>
            <w:vAlign w:val="bottom"/>
            <w:gridSpan w:val="3"/>
          </w:tcPr>
          <w:p>
            <w:pPr>
              <w:ind w:left="100"/>
              <w:spacing w:after="0" w:line="149" w:lineRule="exact"/>
              <w:rPr>
                <w:sz w:val="20"/>
                <w:szCs w:val="20"/>
                <w:color w:val="auto"/>
              </w:rPr>
            </w:pPr>
            <w:r>
              <w:rPr>
                <w:rFonts w:ascii="Arial" w:cs="Arial" w:eastAsia="Arial" w:hAnsi="Arial"/>
                <w:sz w:val="14"/>
                <w:szCs w:val="14"/>
                <w:b w:val="1"/>
                <w:bCs w:val="1"/>
                <w:color w:val="auto"/>
              </w:rPr>
              <w:t>Accumulated</w:t>
            </w:r>
          </w:p>
        </w:tc>
        <w:tc>
          <w:tcPr>
            <w:tcW w:w="66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w w:val="94"/>
              </w:rPr>
              <w:t>Net Book</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040" w:type="dxa"/>
            <w:vAlign w:val="bottom"/>
            <w:gridSpan w:val="3"/>
          </w:tcPr>
          <w:p>
            <w:pPr>
              <w:ind w:left="100"/>
              <w:spacing w:after="0" w:line="149" w:lineRule="exact"/>
              <w:rPr>
                <w:sz w:val="20"/>
                <w:szCs w:val="20"/>
                <w:color w:val="auto"/>
              </w:rPr>
            </w:pPr>
            <w:r>
              <w:rPr>
                <w:rFonts w:ascii="Arial" w:cs="Arial" w:eastAsia="Arial" w:hAnsi="Arial"/>
                <w:sz w:val="14"/>
                <w:szCs w:val="14"/>
                <w:b w:val="1"/>
                <w:bCs w:val="1"/>
                <w:color w:val="auto"/>
              </w:rPr>
              <w:t>Accumulated</w:t>
            </w:r>
          </w:p>
        </w:tc>
        <w:tc>
          <w:tcPr>
            <w:tcW w:w="6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w w:val="94"/>
              </w:rPr>
              <w:t>Net Book</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6"/>
              </w:rPr>
              <w:t>Life</w:t>
            </w:r>
          </w:p>
        </w:tc>
        <w:tc>
          <w:tcPr>
            <w:tcW w:w="100" w:type="dxa"/>
            <w:vAlign w:val="bottom"/>
          </w:tcPr>
          <w:p>
            <w:pPr>
              <w:spacing w:after="0"/>
              <w:rPr>
                <w:sz w:val="12"/>
                <w:szCs w:val="12"/>
                <w:color w:val="auto"/>
              </w:rPr>
            </w:pPr>
          </w:p>
        </w:tc>
        <w:tc>
          <w:tcPr>
            <w:tcW w:w="640" w:type="dxa"/>
            <w:vAlign w:val="bottom"/>
            <w:vMerge w:val="restart"/>
          </w:tcPr>
          <w:p>
            <w:pPr>
              <w:jc w:val="right"/>
              <w:ind w:right="68"/>
              <w:spacing w:after="0"/>
              <w:rPr>
                <w:sz w:val="20"/>
                <w:szCs w:val="20"/>
                <w:color w:val="auto"/>
              </w:rPr>
            </w:pPr>
            <w:r>
              <w:rPr>
                <w:rFonts w:ascii="Arial" w:cs="Arial" w:eastAsia="Arial" w:hAnsi="Arial"/>
                <w:sz w:val="14"/>
                <w:szCs w:val="14"/>
                <w:b w:val="1"/>
                <w:bCs w:val="1"/>
                <w:color w:val="auto"/>
              </w:rPr>
              <w:t>Gross</w:t>
            </w:r>
          </w:p>
        </w:tc>
        <w:tc>
          <w:tcPr>
            <w:tcW w:w="1020" w:type="dxa"/>
            <w:vAlign w:val="bottom"/>
            <w:gridSpan w:val="3"/>
            <w:vMerge w:val="restart"/>
          </w:tcPr>
          <w:p>
            <w:pPr>
              <w:ind w:left="100"/>
              <w:spacing w:after="0"/>
              <w:rPr>
                <w:sz w:val="20"/>
                <w:szCs w:val="20"/>
                <w:color w:val="auto"/>
              </w:rPr>
            </w:pPr>
            <w:r>
              <w:rPr>
                <w:rFonts w:ascii="Arial" w:cs="Arial" w:eastAsia="Arial" w:hAnsi="Arial"/>
                <w:sz w:val="14"/>
                <w:szCs w:val="14"/>
                <w:b w:val="1"/>
                <w:bCs w:val="1"/>
                <w:color w:val="auto"/>
              </w:rPr>
              <w:t>Amortization</w:t>
            </w:r>
          </w:p>
        </w:tc>
        <w:tc>
          <w:tcPr>
            <w:tcW w:w="100" w:type="dxa"/>
            <w:vAlign w:val="bottom"/>
          </w:tcPr>
          <w:p>
            <w:pPr>
              <w:spacing w:after="0"/>
              <w:rPr>
                <w:sz w:val="12"/>
                <w:szCs w:val="12"/>
                <w:color w:val="auto"/>
              </w:rPr>
            </w:pPr>
          </w:p>
        </w:tc>
        <w:tc>
          <w:tcPr>
            <w:tcW w:w="560" w:type="dxa"/>
            <w:vAlign w:val="bottom"/>
            <w:vMerge w:val="restart"/>
          </w:tcPr>
          <w:p>
            <w:pPr>
              <w:jc w:val="right"/>
              <w:ind w:right="88"/>
              <w:spacing w:after="0"/>
              <w:rPr>
                <w:sz w:val="20"/>
                <w:szCs w:val="20"/>
                <w:color w:val="auto"/>
              </w:rPr>
            </w:pPr>
            <w:r>
              <w:rPr>
                <w:rFonts w:ascii="Arial" w:cs="Arial" w:eastAsia="Arial" w:hAnsi="Arial"/>
                <w:sz w:val="14"/>
                <w:szCs w:val="14"/>
                <w:b w:val="1"/>
                <w:bCs w:val="1"/>
                <w:color w:val="auto"/>
              </w:rPr>
              <w:t>Value</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vMerge w:val="restart"/>
          </w:tcPr>
          <w:p>
            <w:pPr>
              <w:jc w:val="right"/>
              <w:ind w:right="88"/>
              <w:spacing w:after="0"/>
              <w:rPr>
                <w:sz w:val="20"/>
                <w:szCs w:val="20"/>
                <w:color w:val="auto"/>
              </w:rPr>
            </w:pPr>
            <w:r>
              <w:rPr>
                <w:rFonts w:ascii="Arial" w:cs="Arial" w:eastAsia="Arial" w:hAnsi="Arial"/>
                <w:sz w:val="14"/>
                <w:szCs w:val="14"/>
                <w:b w:val="1"/>
                <w:bCs w:val="1"/>
                <w:color w:val="auto"/>
                <w:w w:val="93"/>
              </w:rPr>
              <w:t>Gross</w:t>
            </w:r>
          </w:p>
        </w:tc>
        <w:tc>
          <w:tcPr>
            <w:tcW w:w="1040" w:type="dxa"/>
            <w:vAlign w:val="bottom"/>
            <w:gridSpan w:val="3"/>
            <w:vMerge w:val="restart"/>
          </w:tcPr>
          <w:p>
            <w:pPr>
              <w:ind w:left="100"/>
              <w:spacing w:after="0"/>
              <w:rPr>
                <w:sz w:val="20"/>
                <w:szCs w:val="20"/>
                <w:color w:val="auto"/>
              </w:rPr>
            </w:pPr>
            <w:r>
              <w:rPr>
                <w:rFonts w:ascii="Arial" w:cs="Arial" w:eastAsia="Arial" w:hAnsi="Arial"/>
                <w:sz w:val="14"/>
                <w:szCs w:val="14"/>
                <w:b w:val="1"/>
                <w:bCs w:val="1"/>
                <w:color w:val="auto"/>
              </w:rPr>
              <w:t>Amortization</w:t>
            </w:r>
          </w:p>
        </w:tc>
        <w:tc>
          <w:tcPr>
            <w:tcW w:w="640" w:type="dxa"/>
            <w:vAlign w:val="bottom"/>
            <w:vMerge w:val="restart"/>
          </w:tcPr>
          <w:p>
            <w:pPr>
              <w:jc w:val="right"/>
              <w:ind w:right="88"/>
              <w:spacing w:after="0"/>
              <w:rPr>
                <w:sz w:val="20"/>
                <w:szCs w:val="20"/>
                <w:color w:val="auto"/>
              </w:rPr>
            </w:pPr>
            <w:r>
              <w:rPr>
                <w:rFonts w:ascii="Arial" w:cs="Arial" w:eastAsia="Arial" w:hAnsi="Arial"/>
                <w:sz w:val="14"/>
                <w:szCs w:val="14"/>
                <w:b w:val="1"/>
                <w:bCs w:val="1"/>
                <w:color w:val="auto"/>
              </w:rPr>
              <w:t>Value</w:t>
            </w:r>
          </w:p>
        </w:tc>
        <w:tc>
          <w:tcPr>
            <w:tcW w:w="0" w:type="dxa"/>
            <w:vAlign w:val="bottom"/>
          </w:tcPr>
          <w:p>
            <w:pPr>
              <w:spacing w:after="0"/>
              <w:rPr>
                <w:sz w:val="1"/>
                <w:szCs w:val="1"/>
                <w:color w:val="auto"/>
              </w:rPr>
            </w:pPr>
          </w:p>
        </w:tc>
      </w:tr>
      <w:tr>
        <w:trPr>
          <w:trHeight w:val="171"/>
        </w:trPr>
        <w:tc>
          <w:tcPr>
            <w:tcW w:w="1020" w:type="dxa"/>
            <w:vAlign w:val="bottom"/>
            <w:gridSpan w:val="2"/>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60" w:type="dxa"/>
            <w:vAlign w:val="bottom"/>
          </w:tcPr>
          <w:p>
            <w:pPr>
              <w:spacing w:after="0"/>
              <w:rPr>
                <w:sz w:val="14"/>
                <w:szCs w:val="14"/>
                <w:color w:val="auto"/>
              </w:rPr>
            </w:pPr>
          </w:p>
        </w:tc>
        <w:tc>
          <w:tcPr>
            <w:tcW w:w="580" w:type="dxa"/>
            <w:vAlign w:val="bottom"/>
          </w:tcPr>
          <w:p>
            <w:pPr>
              <w:jc w:val="center"/>
              <w:spacing w:after="0"/>
              <w:rPr>
                <w:sz w:val="20"/>
                <w:szCs w:val="20"/>
                <w:color w:val="auto"/>
              </w:rPr>
            </w:pPr>
            <w:r>
              <w:rPr>
                <w:rFonts w:ascii="Arial" w:cs="Arial" w:eastAsia="Arial" w:hAnsi="Arial"/>
                <w:sz w:val="14"/>
                <w:szCs w:val="14"/>
                <w:b w:val="1"/>
                <w:bCs w:val="1"/>
                <w:color w:val="auto"/>
                <w:w w:val="92"/>
              </w:rPr>
              <w:t>(Years)</w:t>
            </w:r>
          </w:p>
        </w:tc>
        <w:tc>
          <w:tcPr>
            <w:tcW w:w="100" w:type="dxa"/>
            <w:vAlign w:val="bottom"/>
          </w:tcPr>
          <w:p>
            <w:pPr>
              <w:spacing w:after="0"/>
              <w:rPr>
                <w:sz w:val="14"/>
                <w:szCs w:val="14"/>
                <w:color w:val="auto"/>
              </w:rPr>
            </w:pPr>
          </w:p>
        </w:tc>
        <w:tc>
          <w:tcPr>
            <w:tcW w:w="640" w:type="dxa"/>
            <w:vAlign w:val="bottom"/>
            <w:vMerge w:val="continue"/>
          </w:tcPr>
          <w:p>
            <w:pPr>
              <w:spacing w:after="0"/>
              <w:rPr>
                <w:sz w:val="14"/>
                <w:szCs w:val="14"/>
                <w:color w:val="auto"/>
              </w:rPr>
            </w:pPr>
          </w:p>
        </w:tc>
        <w:tc>
          <w:tcPr>
            <w:tcW w:w="1020" w:type="dxa"/>
            <w:vAlign w:val="bottom"/>
            <w:gridSpan w:val="3"/>
            <w:vMerge w:val="continue"/>
          </w:tcPr>
          <w:p>
            <w:pPr>
              <w:spacing w:after="0"/>
              <w:rPr>
                <w:sz w:val="14"/>
                <w:szCs w:val="14"/>
                <w:color w:val="auto"/>
              </w:rPr>
            </w:pPr>
          </w:p>
        </w:tc>
        <w:tc>
          <w:tcPr>
            <w:tcW w:w="100" w:type="dxa"/>
            <w:vAlign w:val="bottom"/>
          </w:tcPr>
          <w:p>
            <w:pPr>
              <w:spacing w:after="0"/>
              <w:rPr>
                <w:sz w:val="14"/>
                <w:szCs w:val="14"/>
                <w:color w:val="auto"/>
              </w:rPr>
            </w:pPr>
          </w:p>
        </w:tc>
        <w:tc>
          <w:tcPr>
            <w:tcW w:w="56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60" w:type="dxa"/>
            <w:vAlign w:val="bottom"/>
            <w:vMerge w:val="continue"/>
          </w:tcPr>
          <w:p>
            <w:pPr>
              <w:spacing w:after="0"/>
              <w:rPr>
                <w:sz w:val="14"/>
                <w:szCs w:val="14"/>
                <w:color w:val="auto"/>
              </w:rPr>
            </w:pPr>
          </w:p>
        </w:tc>
        <w:tc>
          <w:tcPr>
            <w:tcW w:w="1040" w:type="dxa"/>
            <w:vAlign w:val="bottom"/>
            <w:gridSpan w:val="3"/>
            <w:vMerge w:val="continue"/>
          </w:tcPr>
          <w:p>
            <w:pPr>
              <w:spacing w:after="0"/>
              <w:rPr>
                <w:sz w:val="14"/>
                <w:szCs w:val="14"/>
                <w:color w:val="auto"/>
              </w:rPr>
            </w:pPr>
          </w:p>
        </w:tc>
        <w:tc>
          <w:tcPr>
            <w:tcW w:w="64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20" w:type="dxa"/>
            <w:vAlign w:val="bottom"/>
            <w:vMerge w:val="restart"/>
          </w:tcPr>
          <w:p>
            <w:pPr>
              <w:spacing w:after="0"/>
              <w:rPr>
                <w:sz w:val="13"/>
                <w:szCs w:val="13"/>
                <w:color w:val="auto"/>
              </w:rPr>
            </w:pPr>
          </w:p>
        </w:tc>
        <w:tc>
          <w:tcPr>
            <w:tcW w:w="10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80" w:type="dxa"/>
            <w:vAlign w:val="bottom"/>
            <w:tcBorders>
              <w:top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Borders>
              <w:top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Borders>
              <w:top w:val="single" w:sz="8" w:color="auto"/>
            </w:tcBorders>
          </w:tcPr>
          <w:p>
            <w:pPr>
              <w:spacing w:after="0"/>
              <w:rPr>
                <w:sz w:val="13"/>
                <w:szCs w:val="13"/>
                <w:color w:val="auto"/>
              </w:rPr>
            </w:pPr>
          </w:p>
        </w:tc>
        <w:tc>
          <w:tcPr>
            <w:tcW w:w="740" w:type="dxa"/>
            <w:vAlign w:val="bottom"/>
            <w:tcBorders>
              <w:top w:val="single" w:sz="8" w:color="auto"/>
            </w:tcBorders>
          </w:tcPr>
          <w:p>
            <w:pPr>
              <w:spacing w:after="0"/>
              <w:rPr>
                <w:sz w:val="13"/>
                <w:szCs w:val="13"/>
                <w:color w:val="auto"/>
              </w:rPr>
            </w:pPr>
          </w:p>
        </w:tc>
        <w:tc>
          <w:tcPr>
            <w:tcW w:w="100" w:type="dxa"/>
            <w:vAlign w:val="bottom"/>
            <w:tcBorders>
              <w:top w:val="single" w:sz="8" w:color="auto"/>
            </w:tcBorders>
          </w:tcPr>
          <w:p>
            <w:pPr>
              <w:spacing w:after="0"/>
              <w:rPr>
                <w:sz w:val="13"/>
                <w:szCs w:val="13"/>
                <w:color w:val="auto"/>
              </w:rPr>
            </w:pPr>
          </w:p>
        </w:tc>
        <w:tc>
          <w:tcPr>
            <w:tcW w:w="560" w:type="dxa"/>
            <w:vAlign w:val="bottom"/>
            <w:tcBorders>
              <w:top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Borders>
              <w:top w:val="single" w:sz="8" w:color="auto"/>
            </w:tcBorders>
          </w:tcPr>
          <w:p>
            <w:pPr>
              <w:spacing w:after="0"/>
              <w:rPr>
                <w:sz w:val="13"/>
                <w:szCs w:val="13"/>
                <w:color w:val="auto"/>
              </w:rPr>
            </w:pPr>
          </w:p>
        </w:tc>
        <w:tc>
          <w:tcPr>
            <w:tcW w:w="560" w:type="dxa"/>
            <w:vAlign w:val="bottom"/>
            <w:tcBorders>
              <w:top w:val="single" w:sz="8" w:color="auto"/>
            </w:tcBorders>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Borders>
              <w:top w:val="single" w:sz="8" w:color="auto"/>
            </w:tcBorders>
          </w:tcPr>
          <w:p>
            <w:pPr>
              <w:spacing w:after="0"/>
              <w:rPr>
                <w:sz w:val="13"/>
                <w:szCs w:val="13"/>
                <w:color w:val="auto"/>
              </w:rPr>
            </w:pPr>
          </w:p>
        </w:tc>
        <w:tc>
          <w:tcPr>
            <w:tcW w:w="740" w:type="dxa"/>
            <w:vAlign w:val="bottom"/>
            <w:tcBorders>
              <w:top w:val="single" w:sz="8" w:color="auto"/>
            </w:tcBorders>
          </w:tcPr>
          <w:p>
            <w:pPr>
              <w:spacing w:after="0"/>
              <w:rPr>
                <w:sz w:val="13"/>
                <w:szCs w:val="13"/>
                <w:color w:val="auto"/>
              </w:rPr>
            </w:pPr>
          </w:p>
        </w:tc>
        <w:tc>
          <w:tcPr>
            <w:tcW w:w="640" w:type="dxa"/>
            <w:vAlign w:val="bottom"/>
            <w:tcBorders>
              <w:top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20" w:type="dxa"/>
            <w:vAlign w:val="bottom"/>
            <w:vMerge w:val="continue"/>
          </w:tcPr>
          <w:p>
            <w:pPr>
              <w:spacing w:after="0"/>
              <w:rPr>
                <w:sz w:val="14"/>
                <w:szCs w:val="14"/>
                <w:color w:val="auto"/>
              </w:rPr>
            </w:pPr>
          </w:p>
        </w:tc>
        <w:tc>
          <w:tcPr>
            <w:tcW w:w="1000" w:type="dxa"/>
            <w:vAlign w:val="bottom"/>
            <w:shd w:val="clear" w:color="auto" w:fill="CCEEFF"/>
          </w:tcPr>
          <w:p>
            <w:pPr>
              <w:spacing w:after="0"/>
              <w:rPr>
                <w:sz w:val="20"/>
                <w:szCs w:val="20"/>
                <w:color w:val="auto"/>
              </w:rPr>
            </w:pPr>
            <w:r>
              <w:rPr>
                <w:rFonts w:ascii="Arial" w:cs="Arial" w:eastAsia="Arial" w:hAnsi="Arial"/>
                <w:sz w:val="14"/>
                <w:szCs w:val="14"/>
                <w:color w:val="auto"/>
              </w:rPr>
              <w:t>Indefinite-lived:</w:t>
            </w:r>
          </w:p>
        </w:tc>
        <w:tc>
          <w:tcPr>
            <w:tcW w:w="60" w:type="dxa"/>
            <w:vAlign w:val="bottom"/>
            <w:shd w:val="clear" w:color="auto" w:fill="CCEEFF"/>
          </w:tcPr>
          <w:p>
            <w:pPr>
              <w:spacing w:after="0"/>
              <w:rPr>
                <w:sz w:val="14"/>
                <w:szCs w:val="14"/>
                <w:color w:val="auto"/>
              </w:rPr>
            </w:pPr>
          </w:p>
        </w:tc>
        <w:tc>
          <w:tcPr>
            <w:tcW w:w="5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740" w:type="dxa"/>
            <w:vAlign w:val="bottom"/>
            <w:tcBorders>
              <w:right w:val="single" w:sz="8" w:color="CCEEFF"/>
            </w:tcBorders>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6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740" w:type="dxa"/>
            <w:vAlign w:val="bottom"/>
            <w:tcBorders>
              <w:right w:val="single" w:sz="8" w:color="CCEEFF"/>
            </w:tcBorders>
            <w:shd w:val="clear" w:color="auto" w:fill="CCEEFF"/>
          </w:tcPr>
          <w:p>
            <w:pPr>
              <w:spacing w:after="0"/>
              <w:rPr>
                <w:sz w:val="14"/>
                <w:szCs w:val="14"/>
                <w:color w:val="auto"/>
              </w:rPr>
            </w:pPr>
          </w:p>
        </w:tc>
        <w:tc>
          <w:tcPr>
            <w:tcW w:w="6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1000" w:type="dxa"/>
            <w:vAlign w:val="bottom"/>
          </w:tcPr>
          <w:p>
            <w:pPr>
              <w:ind w:left="80"/>
              <w:spacing w:after="0"/>
              <w:rPr>
                <w:sz w:val="20"/>
                <w:szCs w:val="20"/>
                <w:color w:val="auto"/>
              </w:rPr>
            </w:pPr>
            <w:r>
              <w:rPr>
                <w:rFonts w:ascii="Arial" w:cs="Arial" w:eastAsia="Arial" w:hAnsi="Arial"/>
                <w:sz w:val="14"/>
                <w:szCs w:val="14"/>
                <w:color w:val="auto"/>
              </w:rPr>
              <w:t>Trademarks</w:t>
            </w:r>
          </w:p>
        </w:tc>
        <w:tc>
          <w:tcPr>
            <w:tcW w:w="60" w:type="dxa"/>
            <w:vAlign w:val="bottom"/>
          </w:tcPr>
          <w:p>
            <w:pPr>
              <w:spacing w:after="0"/>
              <w:rPr>
                <w:sz w:val="14"/>
                <w:szCs w:val="14"/>
                <w:color w:val="auto"/>
              </w:rPr>
            </w:pPr>
          </w:p>
        </w:tc>
        <w:tc>
          <w:tcPr>
            <w:tcW w:w="580" w:type="dxa"/>
            <w:vAlign w:val="bottom"/>
          </w:tcPr>
          <w:p>
            <w:pPr>
              <w:ind w:left="200"/>
              <w:spacing w:after="0"/>
              <w:rPr>
                <w:sz w:val="20"/>
                <w:szCs w:val="20"/>
                <w:color w:val="auto"/>
              </w:rPr>
            </w:pPr>
            <w:r>
              <w:rPr>
                <w:rFonts w:ascii="Arial" w:cs="Arial" w:eastAsia="Arial" w:hAnsi="Arial"/>
                <w:sz w:val="14"/>
                <w:szCs w:val="14"/>
                <w:color w:val="auto"/>
              </w:rPr>
              <w:t>N/A</w:t>
            </w:r>
          </w:p>
        </w:tc>
        <w:tc>
          <w:tcPr>
            <w:tcW w:w="740" w:type="dxa"/>
            <w:vAlign w:val="bottom"/>
            <w:gridSpan w:val="2"/>
          </w:tcPr>
          <w:p>
            <w:pPr>
              <w:jc w:val="right"/>
              <w:spacing w:after="0"/>
              <w:rPr>
                <w:sz w:val="20"/>
                <w:szCs w:val="20"/>
                <w:color w:val="auto"/>
              </w:rPr>
            </w:pPr>
            <w:r>
              <w:rPr>
                <w:rFonts w:ascii="Arial" w:cs="Arial" w:eastAsia="Arial" w:hAnsi="Arial"/>
                <w:sz w:val="14"/>
                <w:szCs w:val="14"/>
                <w:color w:val="auto"/>
              </w:rPr>
              <w:t>$ 428,100</w:t>
            </w:r>
          </w:p>
        </w:tc>
        <w:tc>
          <w:tcPr>
            <w:tcW w:w="280" w:type="dxa"/>
            <w:vAlign w:val="bottom"/>
            <w:gridSpan w:val="2"/>
          </w:tcPr>
          <w:p>
            <w:pPr>
              <w:ind w:left="100"/>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10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560" w:type="dxa"/>
            <w:vAlign w:val="bottom"/>
          </w:tcPr>
          <w:p>
            <w:pPr>
              <w:jc w:val="right"/>
              <w:spacing w:after="0"/>
              <w:rPr>
                <w:sz w:val="20"/>
                <w:szCs w:val="20"/>
                <w:color w:val="auto"/>
              </w:rPr>
            </w:pPr>
            <w:r>
              <w:rPr>
                <w:rFonts w:ascii="Arial" w:cs="Arial" w:eastAsia="Arial" w:hAnsi="Arial"/>
                <w:sz w:val="14"/>
                <w:szCs w:val="14"/>
                <w:color w:val="auto"/>
                <w:w w:val="94"/>
              </w:rPr>
              <w:t>428,100</w:t>
            </w:r>
          </w:p>
        </w:tc>
        <w:tc>
          <w:tcPr>
            <w:tcW w:w="24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c>
          <w:tcPr>
            <w:tcW w:w="560" w:type="dxa"/>
            <w:vAlign w:val="bottom"/>
          </w:tcPr>
          <w:p>
            <w:pPr>
              <w:jc w:val="right"/>
              <w:spacing w:after="0"/>
              <w:rPr>
                <w:sz w:val="20"/>
                <w:szCs w:val="20"/>
                <w:color w:val="auto"/>
              </w:rPr>
            </w:pPr>
            <w:r>
              <w:rPr>
                <w:rFonts w:ascii="Arial" w:cs="Arial" w:eastAsia="Arial" w:hAnsi="Arial"/>
                <w:sz w:val="14"/>
                <w:szCs w:val="14"/>
                <w:color w:val="auto"/>
                <w:w w:val="94"/>
              </w:rPr>
              <w:t>428,100</w:t>
            </w:r>
          </w:p>
        </w:tc>
        <w:tc>
          <w:tcPr>
            <w:tcW w:w="300" w:type="dxa"/>
            <w:vAlign w:val="bottom"/>
            <w:gridSpan w:val="2"/>
          </w:tcPr>
          <w:p>
            <w:pPr>
              <w:ind w:left="100"/>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640" w:type="dxa"/>
            <w:vAlign w:val="bottom"/>
          </w:tcPr>
          <w:p>
            <w:pPr>
              <w:jc w:val="right"/>
              <w:spacing w:after="0"/>
              <w:rPr>
                <w:sz w:val="20"/>
                <w:szCs w:val="20"/>
                <w:color w:val="auto"/>
              </w:rPr>
            </w:pPr>
            <w:r>
              <w:rPr>
                <w:rFonts w:ascii="Arial" w:cs="Arial" w:eastAsia="Arial" w:hAnsi="Arial"/>
                <w:sz w:val="14"/>
                <w:szCs w:val="14"/>
                <w:color w:val="auto"/>
                <w:w w:val="89"/>
              </w:rPr>
              <w:t>$ 428,100</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1000" w:type="dxa"/>
            <w:vAlign w:val="bottom"/>
            <w:shd w:val="clear" w:color="auto" w:fill="CCEEFF"/>
          </w:tcPr>
          <w:p>
            <w:pPr>
              <w:spacing w:after="0"/>
              <w:rPr>
                <w:sz w:val="20"/>
                <w:szCs w:val="20"/>
                <w:color w:val="auto"/>
              </w:rPr>
            </w:pPr>
            <w:r>
              <w:rPr>
                <w:rFonts w:ascii="Arial" w:cs="Arial" w:eastAsia="Arial" w:hAnsi="Arial"/>
                <w:sz w:val="14"/>
                <w:szCs w:val="14"/>
                <w:color w:val="auto"/>
              </w:rPr>
              <w:t>Amortizing:</w:t>
            </w:r>
          </w:p>
        </w:tc>
        <w:tc>
          <w:tcPr>
            <w:tcW w:w="60" w:type="dxa"/>
            <w:vAlign w:val="bottom"/>
            <w:shd w:val="clear" w:color="auto" w:fill="CCEEFF"/>
          </w:tcPr>
          <w:p>
            <w:pPr>
              <w:spacing w:after="0"/>
              <w:rPr>
                <w:sz w:val="14"/>
                <w:szCs w:val="14"/>
                <w:color w:val="auto"/>
              </w:rPr>
            </w:pPr>
          </w:p>
        </w:tc>
        <w:tc>
          <w:tcPr>
            <w:tcW w:w="5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740" w:type="dxa"/>
            <w:vAlign w:val="bottom"/>
            <w:tcBorders>
              <w:right w:val="single" w:sz="8" w:color="CCEEFF"/>
            </w:tcBorders>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6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740" w:type="dxa"/>
            <w:vAlign w:val="bottom"/>
            <w:tcBorders>
              <w:right w:val="single" w:sz="8" w:color="CCEEFF"/>
            </w:tcBorders>
            <w:shd w:val="clear" w:color="auto" w:fill="CCEEFF"/>
          </w:tcPr>
          <w:p>
            <w:pPr>
              <w:spacing w:after="0"/>
              <w:rPr>
                <w:sz w:val="14"/>
                <w:szCs w:val="14"/>
                <w:color w:val="auto"/>
              </w:rPr>
            </w:pPr>
          </w:p>
        </w:tc>
        <w:tc>
          <w:tcPr>
            <w:tcW w:w="6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1000" w:type="dxa"/>
            <w:vAlign w:val="bottom"/>
          </w:tcPr>
          <w:p>
            <w:pPr>
              <w:ind w:left="80"/>
              <w:spacing w:after="0" w:line="130" w:lineRule="exact"/>
              <w:rPr>
                <w:sz w:val="20"/>
                <w:szCs w:val="20"/>
                <w:color w:val="auto"/>
              </w:rPr>
            </w:pPr>
            <w:r>
              <w:rPr>
                <w:rFonts w:ascii="Arial" w:cs="Arial" w:eastAsia="Arial" w:hAnsi="Arial"/>
                <w:sz w:val="14"/>
                <w:szCs w:val="14"/>
                <w:color w:val="auto"/>
              </w:rPr>
              <w:t>Completed</w:t>
            </w: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1000" w:type="dxa"/>
            <w:vAlign w:val="bottom"/>
          </w:tcPr>
          <w:p>
            <w:pPr>
              <w:ind w:left="80"/>
              <w:spacing w:after="0"/>
              <w:rPr>
                <w:sz w:val="20"/>
                <w:szCs w:val="20"/>
                <w:color w:val="auto"/>
              </w:rPr>
            </w:pPr>
            <w:r>
              <w:rPr>
                <w:rFonts w:ascii="Arial" w:cs="Arial" w:eastAsia="Arial" w:hAnsi="Arial"/>
                <w:sz w:val="14"/>
                <w:szCs w:val="14"/>
                <w:color w:val="auto"/>
              </w:rPr>
              <w:t>Technology</w:t>
            </w:r>
          </w:p>
        </w:tc>
        <w:tc>
          <w:tcPr>
            <w:tcW w:w="640" w:type="dxa"/>
            <w:vAlign w:val="bottom"/>
            <w:gridSpan w:val="2"/>
          </w:tcPr>
          <w:p>
            <w:pPr>
              <w:jc w:val="center"/>
              <w:ind w:left="68"/>
              <w:spacing w:after="0"/>
              <w:rPr>
                <w:sz w:val="20"/>
                <w:szCs w:val="20"/>
                <w:color w:val="auto"/>
              </w:rPr>
            </w:pPr>
            <w:r>
              <w:rPr>
                <w:rFonts w:ascii="Arial" w:cs="Arial" w:eastAsia="Arial" w:hAnsi="Arial"/>
                <w:sz w:val="14"/>
                <w:szCs w:val="14"/>
                <w:color w:val="auto"/>
                <w:w w:val="89"/>
              </w:rPr>
              <w:t>13</w:t>
            </w:r>
          </w:p>
        </w:tc>
        <w:tc>
          <w:tcPr>
            <w:tcW w:w="740" w:type="dxa"/>
            <w:vAlign w:val="bottom"/>
            <w:gridSpan w:val="2"/>
          </w:tcPr>
          <w:p>
            <w:pPr>
              <w:jc w:val="right"/>
              <w:spacing w:after="0"/>
              <w:rPr>
                <w:sz w:val="20"/>
                <w:szCs w:val="20"/>
                <w:color w:val="auto"/>
              </w:rPr>
            </w:pPr>
            <w:r>
              <w:rPr>
                <w:rFonts w:ascii="Arial" w:cs="Arial" w:eastAsia="Arial" w:hAnsi="Arial"/>
                <w:sz w:val="14"/>
                <w:szCs w:val="14"/>
                <w:color w:val="auto"/>
              </w:rPr>
              <w:t>73,900</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40" w:type="dxa"/>
            <w:vAlign w:val="bottom"/>
          </w:tcPr>
          <w:p>
            <w:pPr>
              <w:jc w:val="right"/>
              <w:ind w:right="48"/>
              <w:spacing w:after="0"/>
              <w:rPr>
                <w:sz w:val="20"/>
                <w:szCs w:val="20"/>
                <w:color w:val="auto"/>
              </w:rPr>
            </w:pPr>
            <w:r>
              <w:rPr>
                <w:rFonts w:ascii="Arial" w:cs="Arial" w:eastAsia="Arial" w:hAnsi="Arial"/>
                <w:sz w:val="14"/>
                <w:szCs w:val="14"/>
                <w:color w:val="auto"/>
              </w:rPr>
              <w:t>(35,486)</w:t>
            </w:r>
          </w:p>
        </w:tc>
        <w:tc>
          <w:tcPr>
            <w:tcW w:w="10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38,414</w:t>
            </w: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73,900</w:t>
            </w: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40" w:type="dxa"/>
            <w:vAlign w:val="bottom"/>
          </w:tcPr>
          <w:p>
            <w:pPr>
              <w:jc w:val="right"/>
              <w:ind w:right="48"/>
              <w:spacing w:after="0"/>
              <w:rPr>
                <w:sz w:val="20"/>
                <w:szCs w:val="20"/>
                <w:color w:val="auto"/>
              </w:rPr>
            </w:pPr>
            <w:r>
              <w:rPr>
                <w:rFonts w:ascii="Arial" w:cs="Arial" w:eastAsia="Arial" w:hAnsi="Arial"/>
                <w:sz w:val="14"/>
                <w:szCs w:val="14"/>
                <w:color w:val="auto"/>
              </w:rPr>
              <w:t>(29,956)</w:t>
            </w:r>
          </w:p>
        </w:tc>
        <w:tc>
          <w:tcPr>
            <w:tcW w:w="640" w:type="dxa"/>
            <w:vAlign w:val="bottom"/>
          </w:tcPr>
          <w:p>
            <w:pPr>
              <w:jc w:val="right"/>
              <w:spacing w:after="0"/>
              <w:rPr>
                <w:sz w:val="20"/>
                <w:szCs w:val="20"/>
                <w:color w:val="auto"/>
              </w:rPr>
            </w:pPr>
            <w:r>
              <w:rPr>
                <w:rFonts w:ascii="Arial" w:cs="Arial" w:eastAsia="Arial" w:hAnsi="Arial"/>
                <w:sz w:val="14"/>
                <w:szCs w:val="14"/>
                <w:color w:val="auto"/>
              </w:rPr>
              <w:t>43,944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1000" w:type="dxa"/>
            <w:vAlign w:val="bottom"/>
            <w:shd w:val="clear" w:color="auto" w:fill="CCEEFF"/>
          </w:tcPr>
          <w:p>
            <w:pPr>
              <w:ind w:left="80"/>
              <w:spacing w:after="0" w:line="130" w:lineRule="exact"/>
              <w:rPr>
                <w:sz w:val="20"/>
                <w:szCs w:val="20"/>
                <w:color w:val="auto"/>
              </w:rPr>
            </w:pPr>
            <w:r>
              <w:rPr>
                <w:rFonts w:ascii="Arial" w:cs="Arial" w:eastAsia="Arial" w:hAnsi="Arial"/>
                <w:sz w:val="14"/>
                <w:szCs w:val="14"/>
                <w:color w:val="auto"/>
              </w:rPr>
              <w:t>Customer</w:t>
            </w:r>
          </w:p>
        </w:tc>
        <w:tc>
          <w:tcPr>
            <w:tcW w:w="6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740" w:type="dxa"/>
            <w:vAlign w:val="bottom"/>
            <w:tcBorders>
              <w:right w:val="single" w:sz="8" w:color="CCEEFF"/>
            </w:tcBorders>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740" w:type="dxa"/>
            <w:vAlign w:val="bottom"/>
            <w:tcBorders>
              <w:right w:val="single" w:sz="8" w:color="CCEEFF"/>
            </w:tcBorders>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1000" w:type="dxa"/>
            <w:vAlign w:val="bottom"/>
            <w:shd w:val="clear" w:color="auto" w:fill="CCEEFF"/>
          </w:tcPr>
          <w:p>
            <w:pPr>
              <w:ind w:left="80"/>
              <w:spacing w:after="0"/>
              <w:rPr>
                <w:sz w:val="20"/>
                <w:szCs w:val="20"/>
                <w:color w:val="auto"/>
              </w:rPr>
            </w:pPr>
            <w:r>
              <w:rPr>
                <w:rFonts w:ascii="Arial" w:cs="Arial" w:eastAsia="Arial" w:hAnsi="Arial"/>
                <w:sz w:val="14"/>
                <w:szCs w:val="14"/>
                <w:color w:val="auto"/>
              </w:rPr>
              <w:t>Relationships</w:t>
            </w:r>
          </w:p>
        </w:tc>
        <w:tc>
          <w:tcPr>
            <w:tcW w:w="640" w:type="dxa"/>
            <w:vAlign w:val="bottom"/>
            <w:gridSpan w:val="2"/>
            <w:shd w:val="clear" w:color="auto" w:fill="CCEEFF"/>
          </w:tcPr>
          <w:p>
            <w:pPr>
              <w:jc w:val="center"/>
              <w:ind w:left="68"/>
              <w:spacing w:after="0"/>
              <w:rPr>
                <w:sz w:val="20"/>
                <w:szCs w:val="20"/>
                <w:color w:val="auto"/>
              </w:rPr>
            </w:pPr>
            <w:r>
              <w:rPr>
                <w:rFonts w:ascii="Arial" w:cs="Arial" w:eastAsia="Arial" w:hAnsi="Arial"/>
                <w:sz w:val="14"/>
                <w:szCs w:val="14"/>
                <w:color w:val="auto"/>
                <w:w w:val="89"/>
              </w:rPr>
              <w:t>20</w:t>
            </w: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19,666</w:t>
            </w: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740" w:type="dxa"/>
            <w:vAlign w:val="bottom"/>
            <w:tcBorders>
              <w:right w:val="single" w:sz="8" w:color="CCEEFF"/>
            </w:tcBorders>
            <w:shd w:val="clear" w:color="auto" w:fill="CCEEFF"/>
          </w:tcPr>
          <w:p>
            <w:pPr>
              <w:jc w:val="right"/>
              <w:ind w:right="48"/>
              <w:spacing w:after="0"/>
              <w:rPr>
                <w:sz w:val="20"/>
                <w:szCs w:val="20"/>
                <w:color w:val="auto"/>
              </w:rPr>
            </w:pPr>
            <w:r>
              <w:rPr>
                <w:rFonts w:ascii="Arial" w:cs="Arial" w:eastAsia="Arial" w:hAnsi="Arial"/>
                <w:sz w:val="14"/>
                <w:szCs w:val="14"/>
                <w:color w:val="auto"/>
              </w:rPr>
              <w:t>(6,309)</w:t>
            </w:r>
          </w:p>
        </w:tc>
        <w:tc>
          <w:tcPr>
            <w:tcW w:w="100" w:type="dxa"/>
            <w:vAlign w:val="bottom"/>
            <w:shd w:val="clear" w:color="auto" w:fill="CCEEFF"/>
          </w:tcPr>
          <w:p>
            <w:pPr>
              <w:spacing w:after="0"/>
              <w:rPr>
                <w:sz w:val="14"/>
                <w:szCs w:val="14"/>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13,357</w:t>
            </w:r>
          </w:p>
        </w:tc>
        <w:tc>
          <w:tcPr>
            <w:tcW w:w="1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18,999</w:t>
            </w:r>
          </w:p>
        </w:tc>
        <w:tc>
          <w:tcPr>
            <w:tcW w:w="12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740" w:type="dxa"/>
            <w:vAlign w:val="bottom"/>
            <w:tcBorders>
              <w:right w:val="single" w:sz="8" w:color="CCEEFF"/>
            </w:tcBorders>
            <w:shd w:val="clear" w:color="auto" w:fill="CCEEFF"/>
          </w:tcPr>
          <w:p>
            <w:pPr>
              <w:jc w:val="right"/>
              <w:ind w:right="48"/>
              <w:spacing w:after="0"/>
              <w:rPr>
                <w:sz w:val="20"/>
                <w:szCs w:val="20"/>
                <w:color w:val="auto"/>
              </w:rPr>
            </w:pPr>
            <w:r>
              <w:rPr>
                <w:rFonts w:ascii="Arial" w:cs="Arial" w:eastAsia="Arial" w:hAnsi="Arial"/>
                <w:sz w:val="14"/>
                <w:szCs w:val="14"/>
                <w:color w:val="auto"/>
              </w:rPr>
              <w:t>(5,146)</w:t>
            </w: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13,853</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1000" w:type="dxa"/>
            <w:vAlign w:val="bottom"/>
          </w:tcPr>
          <w:p>
            <w:pPr>
              <w:ind w:left="80"/>
              <w:spacing w:after="0" w:line="130" w:lineRule="exact"/>
              <w:rPr>
                <w:sz w:val="20"/>
                <w:szCs w:val="20"/>
                <w:color w:val="auto"/>
              </w:rPr>
            </w:pPr>
            <w:r>
              <w:rPr>
                <w:rFonts w:ascii="Arial" w:cs="Arial" w:eastAsia="Arial" w:hAnsi="Arial"/>
                <w:sz w:val="14"/>
                <w:szCs w:val="14"/>
                <w:color w:val="auto"/>
                <w:w w:val="95"/>
              </w:rPr>
              <w:t>Licensing Fees</w:t>
            </w: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1000" w:type="dxa"/>
            <w:vAlign w:val="bottom"/>
            <w:tcBorders>
              <w:bottom w:val="single" w:sz="8" w:color="CCEEFF"/>
            </w:tcBorders>
          </w:tcPr>
          <w:p>
            <w:pPr>
              <w:ind w:left="80"/>
              <w:spacing w:after="0"/>
              <w:rPr>
                <w:sz w:val="20"/>
                <w:szCs w:val="20"/>
                <w:color w:val="auto"/>
              </w:rPr>
            </w:pPr>
            <w:r>
              <w:rPr>
                <w:rFonts w:ascii="Arial" w:cs="Arial" w:eastAsia="Arial" w:hAnsi="Arial"/>
                <w:sz w:val="14"/>
                <w:szCs w:val="14"/>
                <w:color w:val="auto"/>
              </w:rPr>
              <w:t>and Other</w:t>
            </w:r>
          </w:p>
        </w:tc>
        <w:tc>
          <w:tcPr>
            <w:tcW w:w="640" w:type="dxa"/>
            <w:vAlign w:val="bottom"/>
            <w:tcBorders>
              <w:bottom w:val="single" w:sz="8" w:color="CCEEFF"/>
            </w:tcBorders>
            <w:gridSpan w:val="2"/>
          </w:tcPr>
          <w:p>
            <w:pPr>
              <w:jc w:val="center"/>
              <w:ind w:left="68"/>
              <w:spacing w:after="0"/>
              <w:rPr>
                <w:sz w:val="20"/>
                <w:szCs w:val="20"/>
                <w:color w:val="auto"/>
              </w:rPr>
            </w:pPr>
            <w:r>
              <w:rPr>
                <w:rFonts w:ascii="Arial" w:cs="Arial" w:eastAsia="Arial" w:hAnsi="Arial"/>
                <w:sz w:val="14"/>
                <w:szCs w:val="14"/>
                <w:color w:val="auto"/>
                <w:w w:val="76"/>
              </w:rPr>
              <w:t>7</w:t>
            </w:r>
          </w:p>
        </w:tc>
        <w:tc>
          <w:tcPr>
            <w:tcW w:w="100" w:type="dxa"/>
            <w:vAlign w:val="bottom"/>
            <w:tcBorders>
              <w:bottom w:val="single" w:sz="8" w:color="CCEEFF"/>
            </w:tcBorders>
          </w:tcPr>
          <w:p>
            <w:pPr>
              <w:spacing w:after="0"/>
              <w:rPr>
                <w:sz w:val="14"/>
                <w:szCs w:val="14"/>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32,539</w:t>
            </w:r>
          </w:p>
        </w:tc>
        <w:tc>
          <w:tcPr>
            <w:tcW w:w="100" w:type="dxa"/>
            <w:vAlign w:val="bottom"/>
            <w:tcBorders>
              <w:bottom w:val="single" w:sz="8" w:color="CCEEFF"/>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(31,176)</w:t>
            </w:r>
          </w:p>
        </w:tc>
        <w:tc>
          <w:tcPr>
            <w:tcW w:w="10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1,363</w:t>
            </w:r>
          </w:p>
        </w:tc>
        <w:tc>
          <w:tcPr>
            <w:tcW w:w="14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32,423</w:t>
            </w:r>
          </w:p>
        </w:tc>
        <w:tc>
          <w:tcPr>
            <w:tcW w:w="120" w:type="dxa"/>
            <w:vAlign w:val="bottom"/>
            <w:tcBorders>
              <w:bottom w:val="single" w:sz="8" w:color="CCEEFF"/>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(28,332)</w:t>
            </w: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4,091</w:t>
            </w:r>
          </w:p>
        </w:tc>
        <w:tc>
          <w:tcPr>
            <w:tcW w:w="0" w:type="dxa"/>
            <w:vAlign w:val="bottom"/>
          </w:tcPr>
          <w:p>
            <w:pPr>
              <w:spacing w:after="0"/>
              <w:rPr>
                <w:sz w:val="1"/>
                <w:szCs w:val="1"/>
                <w:color w:val="auto"/>
              </w:rPr>
            </w:pPr>
          </w:p>
        </w:tc>
      </w:tr>
      <w:tr>
        <w:trPr>
          <w:trHeight w:val="110"/>
        </w:trPr>
        <w:tc>
          <w:tcPr>
            <w:tcW w:w="20" w:type="dxa"/>
            <w:vAlign w:val="bottom"/>
          </w:tcPr>
          <w:p>
            <w:pPr>
              <w:spacing w:after="0"/>
              <w:rPr>
                <w:sz w:val="9"/>
                <w:szCs w:val="9"/>
                <w:color w:val="auto"/>
              </w:rPr>
            </w:pPr>
          </w:p>
        </w:tc>
        <w:tc>
          <w:tcPr>
            <w:tcW w:w="1000" w:type="dxa"/>
            <w:vAlign w:val="bottom"/>
            <w:shd w:val="clear" w:color="auto" w:fill="CCEEFF"/>
          </w:tcPr>
          <w:p>
            <w:pPr>
              <w:spacing w:after="0" w:line="110" w:lineRule="exact"/>
              <w:rPr>
                <w:sz w:val="20"/>
                <w:szCs w:val="20"/>
                <w:color w:val="auto"/>
              </w:rPr>
            </w:pPr>
            <w:r>
              <w:rPr>
                <w:rFonts w:ascii="Arial" w:cs="Arial" w:eastAsia="Arial" w:hAnsi="Arial"/>
                <w:sz w:val="12"/>
                <w:szCs w:val="12"/>
                <w:color w:val="auto"/>
              </w:rPr>
              <w:t>Total intangible</w:t>
            </w:r>
          </w:p>
        </w:tc>
        <w:tc>
          <w:tcPr>
            <w:tcW w:w="60" w:type="dxa"/>
            <w:vAlign w:val="bottom"/>
            <w:shd w:val="clear" w:color="auto" w:fill="CCEEFF"/>
          </w:tcPr>
          <w:p>
            <w:pPr>
              <w:spacing w:after="0"/>
              <w:rPr>
                <w:sz w:val="9"/>
                <w:szCs w:val="9"/>
                <w:color w:val="auto"/>
              </w:rPr>
            </w:pPr>
          </w:p>
        </w:tc>
        <w:tc>
          <w:tcPr>
            <w:tcW w:w="580" w:type="dxa"/>
            <w:vAlign w:val="bottom"/>
            <w:shd w:val="clear" w:color="auto" w:fill="CCEEFF"/>
          </w:tcPr>
          <w:p>
            <w:pPr>
              <w:spacing w:after="0"/>
              <w:rPr>
                <w:sz w:val="9"/>
                <w:szCs w:val="9"/>
                <w:color w:val="auto"/>
              </w:rPr>
            </w:pPr>
          </w:p>
        </w:tc>
        <w:tc>
          <w:tcPr>
            <w:tcW w:w="740" w:type="dxa"/>
            <w:vAlign w:val="bottom"/>
            <w:gridSpan w:val="2"/>
            <w:vMerge w:val="restart"/>
            <w:shd w:val="clear" w:color="auto" w:fill="CCEEFF"/>
          </w:tcPr>
          <w:p>
            <w:pPr>
              <w:jc w:val="right"/>
              <w:spacing w:after="0"/>
              <w:rPr>
                <w:sz w:val="20"/>
                <w:szCs w:val="20"/>
                <w:color w:val="auto"/>
              </w:rPr>
            </w:pPr>
            <w:r>
              <w:rPr>
                <w:rFonts w:ascii="Arial" w:cs="Arial" w:eastAsia="Arial" w:hAnsi="Arial"/>
                <w:sz w:val="14"/>
                <w:szCs w:val="14"/>
                <w:color w:val="auto"/>
              </w:rPr>
              <w:t>$ 554,205</w:t>
            </w:r>
          </w:p>
        </w:tc>
        <w:tc>
          <w:tcPr>
            <w:tcW w:w="280" w:type="dxa"/>
            <w:vAlign w:val="bottom"/>
            <w:gridSpan w:val="2"/>
            <w:vMerge w:val="restart"/>
            <w:shd w:val="clear" w:color="auto" w:fill="CCEEFF"/>
          </w:tcPr>
          <w:p>
            <w:pPr>
              <w:ind w:left="100"/>
              <w:spacing w:after="0"/>
              <w:rPr>
                <w:sz w:val="20"/>
                <w:szCs w:val="20"/>
                <w:color w:val="auto"/>
              </w:rPr>
            </w:pPr>
            <w:r>
              <w:rPr>
                <w:rFonts w:ascii="Arial" w:cs="Arial" w:eastAsia="Arial" w:hAnsi="Arial"/>
                <w:sz w:val="14"/>
                <w:szCs w:val="14"/>
                <w:color w:val="auto"/>
              </w:rPr>
              <w:t>$</w:t>
            </w:r>
          </w:p>
        </w:tc>
        <w:tc>
          <w:tcPr>
            <w:tcW w:w="740" w:type="dxa"/>
            <w:vAlign w:val="bottom"/>
            <w:tcBorders>
              <w:right w:val="single" w:sz="8" w:color="CCEEFF"/>
            </w:tcBorders>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(72,971)</w:t>
            </w:r>
          </w:p>
        </w:tc>
        <w:tc>
          <w:tcPr>
            <w:tcW w:w="100" w:type="dxa"/>
            <w:vAlign w:val="bottom"/>
            <w:vMerge w:val="restart"/>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5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w w:val="94"/>
              </w:rPr>
              <w:t>481,234</w:t>
            </w:r>
          </w:p>
        </w:tc>
        <w:tc>
          <w:tcPr>
            <w:tcW w:w="240" w:type="dxa"/>
            <w:vAlign w:val="bottom"/>
            <w:gridSpan w:val="2"/>
            <w:vMerge w:val="restart"/>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5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w w:val="94"/>
              </w:rPr>
              <w:t>553,422</w:t>
            </w:r>
          </w:p>
        </w:tc>
        <w:tc>
          <w:tcPr>
            <w:tcW w:w="300" w:type="dxa"/>
            <w:vAlign w:val="bottom"/>
            <w:gridSpan w:val="2"/>
            <w:vMerge w:val="restart"/>
            <w:shd w:val="clear" w:color="auto" w:fill="CCEEFF"/>
          </w:tcPr>
          <w:p>
            <w:pPr>
              <w:ind w:left="100"/>
              <w:spacing w:after="0"/>
              <w:rPr>
                <w:sz w:val="20"/>
                <w:szCs w:val="20"/>
                <w:color w:val="auto"/>
              </w:rPr>
            </w:pPr>
            <w:r>
              <w:rPr>
                <w:rFonts w:ascii="Arial" w:cs="Arial" w:eastAsia="Arial" w:hAnsi="Arial"/>
                <w:sz w:val="14"/>
                <w:szCs w:val="14"/>
                <w:color w:val="auto"/>
              </w:rPr>
              <w:t>$</w:t>
            </w:r>
          </w:p>
        </w:tc>
        <w:tc>
          <w:tcPr>
            <w:tcW w:w="740" w:type="dxa"/>
            <w:vAlign w:val="bottom"/>
            <w:tcBorders>
              <w:right w:val="single" w:sz="8" w:color="CCEEFF"/>
            </w:tcBorders>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(63,434)</w:t>
            </w:r>
          </w:p>
        </w:tc>
        <w:tc>
          <w:tcPr>
            <w:tcW w:w="6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w w:val="89"/>
              </w:rPr>
              <w:t>$ 489,988</w:t>
            </w: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1000" w:type="dxa"/>
            <w:vAlign w:val="bottom"/>
            <w:shd w:val="clear" w:color="auto" w:fill="CCEEFF"/>
          </w:tcPr>
          <w:p>
            <w:pPr>
              <w:spacing w:after="0" w:line="154" w:lineRule="exact"/>
              <w:rPr>
                <w:sz w:val="20"/>
                <w:szCs w:val="20"/>
                <w:color w:val="auto"/>
              </w:rPr>
            </w:pPr>
            <w:r>
              <w:rPr>
                <w:rFonts w:ascii="Arial" w:cs="Arial" w:eastAsia="Arial" w:hAnsi="Arial"/>
                <w:sz w:val="14"/>
                <w:szCs w:val="14"/>
                <w:color w:val="auto"/>
              </w:rPr>
              <w:t>assets</w:t>
            </w:r>
          </w:p>
        </w:tc>
        <w:tc>
          <w:tcPr>
            <w:tcW w:w="60" w:type="dxa"/>
            <w:vAlign w:val="bottom"/>
            <w:shd w:val="clear" w:color="auto" w:fill="CCEEFF"/>
          </w:tcPr>
          <w:p>
            <w:pPr>
              <w:spacing w:after="0"/>
              <w:rPr>
                <w:sz w:val="13"/>
                <w:szCs w:val="13"/>
                <w:color w:val="auto"/>
              </w:rPr>
            </w:pPr>
          </w:p>
        </w:tc>
        <w:tc>
          <w:tcPr>
            <w:tcW w:w="580" w:type="dxa"/>
            <w:vAlign w:val="bottom"/>
            <w:shd w:val="clear" w:color="auto" w:fill="CCEEFF"/>
          </w:tcPr>
          <w:p>
            <w:pPr>
              <w:spacing w:after="0"/>
              <w:rPr>
                <w:sz w:val="13"/>
                <w:szCs w:val="13"/>
                <w:color w:val="auto"/>
              </w:rPr>
            </w:pPr>
          </w:p>
        </w:tc>
        <w:tc>
          <w:tcPr>
            <w:tcW w:w="740" w:type="dxa"/>
            <w:vAlign w:val="bottom"/>
            <w:gridSpan w:val="2"/>
            <w:vMerge w:val="continue"/>
            <w:shd w:val="clear" w:color="auto" w:fill="CCEEFF"/>
          </w:tcPr>
          <w:p>
            <w:pPr>
              <w:spacing w:after="0"/>
              <w:rPr>
                <w:sz w:val="13"/>
                <w:szCs w:val="13"/>
                <w:color w:val="auto"/>
              </w:rPr>
            </w:pPr>
          </w:p>
        </w:tc>
        <w:tc>
          <w:tcPr>
            <w:tcW w:w="280" w:type="dxa"/>
            <w:vAlign w:val="bottom"/>
            <w:gridSpan w:val="2"/>
            <w:vMerge w:val="continue"/>
            <w:shd w:val="clear" w:color="auto" w:fill="CCEEFF"/>
          </w:tcPr>
          <w:p>
            <w:pPr>
              <w:spacing w:after="0"/>
              <w:rPr>
                <w:sz w:val="13"/>
                <w:szCs w:val="13"/>
                <w:color w:val="auto"/>
              </w:rPr>
            </w:pPr>
          </w:p>
        </w:tc>
        <w:tc>
          <w:tcPr>
            <w:tcW w:w="740" w:type="dxa"/>
            <w:vAlign w:val="bottom"/>
            <w:tcBorders>
              <w:right w:val="single" w:sz="8" w:color="CCEEFF"/>
            </w:tcBorders>
            <w:vMerge w:val="continue"/>
            <w:shd w:val="clear" w:color="auto" w:fill="CCEEFF"/>
          </w:tcPr>
          <w:p>
            <w:pPr>
              <w:spacing w:after="0"/>
              <w:rPr>
                <w:sz w:val="13"/>
                <w:szCs w:val="13"/>
                <w:color w:val="auto"/>
              </w:rPr>
            </w:pPr>
          </w:p>
        </w:tc>
        <w:tc>
          <w:tcPr>
            <w:tcW w:w="100" w:type="dxa"/>
            <w:vAlign w:val="bottom"/>
            <w:vMerge w:val="continue"/>
            <w:shd w:val="clear" w:color="auto" w:fill="CCEEFF"/>
          </w:tcPr>
          <w:p>
            <w:pPr>
              <w:spacing w:after="0"/>
              <w:rPr>
                <w:sz w:val="13"/>
                <w:szCs w:val="13"/>
                <w:color w:val="auto"/>
              </w:rPr>
            </w:pPr>
          </w:p>
        </w:tc>
        <w:tc>
          <w:tcPr>
            <w:tcW w:w="560" w:type="dxa"/>
            <w:vAlign w:val="bottom"/>
            <w:vMerge w:val="continue"/>
            <w:shd w:val="clear" w:color="auto" w:fill="CCEEFF"/>
          </w:tcPr>
          <w:p>
            <w:pPr>
              <w:spacing w:after="0"/>
              <w:rPr>
                <w:sz w:val="13"/>
                <w:szCs w:val="13"/>
                <w:color w:val="auto"/>
              </w:rPr>
            </w:pPr>
          </w:p>
        </w:tc>
        <w:tc>
          <w:tcPr>
            <w:tcW w:w="240" w:type="dxa"/>
            <w:vAlign w:val="bottom"/>
            <w:gridSpan w:val="2"/>
            <w:vMerge w:val="continue"/>
            <w:shd w:val="clear" w:color="auto" w:fill="CCEEFF"/>
          </w:tcPr>
          <w:p>
            <w:pPr>
              <w:spacing w:after="0"/>
              <w:rPr>
                <w:sz w:val="13"/>
                <w:szCs w:val="13"/>
                <w:color w:val="auto"/>
              </w:rPr>
            </w:pPr>
          </w:p>
        </w:tc>
        <w:tc>
          <w:tcPr>
            <w:tcW w:w="560" w:type="dxa"/>
            <w:vAlign w:val="bottom"/>
            <w:vMerge w:val="continue"/>
            <w:shd w:val="clear" w:color="auto" w:fill="CCEEFF"/>
          </w:tcPr>
          <w:p>
            <w:pPr>
              <w:spacing w:after="0"/>
              <w:rPr>
                <w:sz w:val="13"/>
                <w:szCs w:val="13"/>
                <w:color w:val="auto"/>
              </w:rPr>
            </w:pPr>
          </w:p>
        </w:tc>
        <w:tc>
          <w:tcPr>
            <w:tcW w:w="300" w:type="dxa"/>
            <w:vAlign w:val="bottom"/>
            <w:gridSpan w:val="2"/>
            <w:vMerge w:val="continue"/>
            <w:shd w:val="clear" w:color="auto" w:fill="CCEEFF"/>
          </w:tcPr>
          <w:p>
            <w:pPr>
              <w:spacing w:after="0"/>
              <w:rPr>
                <w:sz w:val="13"/>
                <w:szCs w:val="13"/>
                <w:color w:val="auto"/>
              </w:rPr>
            </w:pPr>
          </w:p>
        </w:tc>
        <w:tc>
          <w:tcPr>
            <w:tcW w:w="740" w:type="dxa"/>
            <w:vAlign w:val="bottom"/>
            <w:tcBorders>
              <w:right w:val="single" w:sz="8" w:color="CCEEFF"/>
            </w:tcBorders>
            <w:vMerge w:val="continue"/>
            <w:shd w:val="clear" w:color="auto" w:fill="CCEEFF"/>
          </w:tcPr>
          <w:p>
            <w:pPr>
              <w:spacing w:after="0"/>
              <w:rPr>
                <w:sz w:val="13"/>
                <w:szCs w:val="13"/>
                <w:color w:val="auto"/>
              </w:rPr>
            </w:pPr>
          </w:p>
        </w:tc>
        <w:tc>
          <w:tcPr>
            <w:tcW w:w="640" w:type="dxa"/>
            <w:vAlign w:val="bottom"/>
            <w:vMerge w:val="continue"/>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0" w:type="dxa"/>
            <w:vAlign w:val="bottom"/>
            <w:shd w:val="clear" w:color="auto" w:fill="CCEEFF"/>
          </w:tcPr>
          <w:p>
            <w:pPr>
              <w:spacing w:after="0"/>
              <w:rPr>
                <w:sz w:val="2"/>
                <w:szCs w:val="2"/>
                <w:color w:val="auto"/>
              </w:rPr>
            </w:pPr>
          </w:p>
        </w:tc>
        <w:tc>
          <w:tcPr>
            <w:tcW w:w="60" w:type="dxa"/>
            <w:vAlign w:val="bottom"/>
            <w:shd w:val="clear" w:color="auto" w:fill="CCEEFF"/>
          </w:tcPr>
          <w:p>
            <w:pPr>
              <w:spacing w:after="0"/>
              <w:rPr>
                <w:sz w:val="2"/>
                <w:szCs w:val="2"/>
                <w:color w:val="auto"/>
              </w:rPr>
            </w:pPr>
          </w:p>
        </w:tc>
        <w:tc>
          <w:tcPr>
            <w:tcW w:w="58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740" w:type="dxa"/>
            <w:vAlign w:val="bottom"/>
            <w:tcBorders>
              <w:right w:val="single" w:sz="8" w:color="CCEEFF"/>
            </w:tcBorders>
            <w:shd w:val="clear" w:color="auto" w:fill="000000"/>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740" w:type="dxa"/>
            <w:vAlign w:val="bottom"/>
            <w:tcBorders>
              <w:right w:val="single" w:sz="8" w:color="CCEEFF"/>
            </w:tcBorders>
            <w:shd w:val="clear" w:color="auto" w:fill="000000"/>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F-20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786765</wp:posOffset>
            </wp:positionH>
            <wp:positionV relativeFrom="paragraph">
              <wp:posOffset>83185</wp:posOffset>
            </wp:positionV>
            <wp:extent cx="4159250" cy="2603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44">
                      <a:extLst>
                        <a:ext uri="{28A0092B-C50C-407E-A947-70E740481C1C}"/>
                      </a:extLst>
                    </a:blip>
                    <a:srcRect/>
                    <a:stretch>
                      <a:fillRect/>
                    </a:stretch>
                  </pic:blipFill>
                  <pic:spPr bwMode="auto">
                    <a:xfrm>
                      <a:off x="0" y="0"/>
                      <a:ext cx="4159250" cy="26035"/>
                    </a:xfrm>
                    <a:prstGeom prst="rect">
                      <a:avLst/>
                    </a:prstGeom>
                    <a:noFill/>
                  </pic:spPr>
                </pic:pic>
              </a:graphicData>
            </a:graphic>
          </wp:anchor>
        </w:drawing>
      </w:r>
    </w:p>
    <w:p>
      <w:pPr>
        <w:sectPr>
          <w:pgSz w:w="11900" w:h="16838" w:orient="portrait"/>
          <w:cols w:equalWidth="0" w:num="1">
            <w:col w:w="9019"/>
          </w:cols>
          <w:pgMar w:left="1440" w:top="125" w:right="1440" w:bottom="1153" w:gutter="0" w:footer="0" w:header="0"/>
        </w:sectPr>
      </w:pPr>
    </w:p>
    <w:bookmarkStart w:id="114" w:name="page115"/>
    <w:bookmarkEnd w:id="114"/>
    <w:p>
      <w:pPr>
        <w:ind w:left="124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1240" w:right="1699" w:firstLine="648"/>
        <w:spacing w:after="0" w:line="342" w:lineRule="auto"/>
        <w:rPr>
          <w:sz w:val="20"/>
          <w:szCs w:val="20"/>
          <w:color w:val="auto"/>
        </w:rPr>
      </w:pPr>
      <w:r>
        <w:rPr>
          <w:rFonts w:ascii="Arial" w:cs="Arial" w:eastAsia="Arial" w:hAnsi="Arial"/>
          <w:sz w:val="16"/>
          <w:szCs w:val="16"/>
          <w:color w:val="auto"/>
        </w:rPr>
        <w:t>During the years ended December 31, 2017, 2016 and 2015, no impairment charges were recorded to goodwill or indefinite-lived intangible assets.</w:t>
      </w:r>
    </w:p>
    <w:p>
      <w:pPr>
        <w:spacing w:after="0" w:line="124" w:lineRule="exact"/>
        <w:rPr>
          <w:sz w:val="20"/>
          <w:szCs w:val="20"/>
          <w:color w:val="auto"/>
        </w:rPr>
      </w:pPr>
    </w:p>
    <w:p>
      <w:pPr>
        <w:ind w:left="1880"/>
        <w:spacing w:after="0"/>
        <w:rPr>
          <w:sz w:val="20"/>
          <w:szCs w:val="20"/>
          <w:color w:val="auto"/>
        </w:rPr>
      </w:pPr>
      <w:r>
        <w:rPr>
          <w:rFonts w:ascii="Arial" w:cs="Arial" w:eastAsia="Arial" w:hAnsi="Arial"/>
          <w:sz w:val="18"/>
          <w:szCs w:val="18"/>
          <w:color w:val="auto"/>
        </w:rPr>
        <w:t>Amortization expense on identifiable intangible assets was $9.3 million,</w:t>
      </w:r>
    </w:p>
    <w:p>
      <w:pPr>
        <w:spacing w:after="0" w:line="23" w:lineRule="exact"/>
        <w:rPr>
          <w:sz w:val="20"/>
          <w:szCs w:val="20"/>
          <w:color w:val="auto"/>
        </w:rPr>
      </w:pPr>
    </w:p>
    <w:p>
      <w:pPr>
        <w:ind w:left="1240"/>
        <w:spacing w:after="0"/>
        <w:rPr>
          <w:sz w:val="20"/>
          <w:szCs w:val="20"/>
          <w:color w:val="auto"/>
        </w:rPr>
      </w:pPr>
      <w:r>
        <w:rPr>
          <w:rFonts w:ascii="Arial" w:cs="Arial" w:eastAsia="Arial" w:hAnsi="Arial"/>
          <w:sz w:val="17"/>
          <w:szCs w:val="17"/>
          <w:color w:val="auto"/>
        </w:rPr>
        <w:t>$9.3 million and $9.3 million for the years ended December 31, 2017, 2016 and 2015,</w:t>
      </w:r>
    </w:p>
    <w:p>
      <w:pPr>
        <w:spacing w:after="0" w:line="21" w:lineRule="exact"/>
        <w:rPr>
          <w:sz w:val="20"/>
          <w:szCs w:val="20"/>
          <w:color w:val="auto"/>
        </w:rPr>
      </w:pPr>
    </w:p>
    <w:p>
      <w:pPr>
        <w:ind w:left="1240"/>
        <w:spacing w:after="0"/>
        <w:rPr>
          <w:sz w:val="20"/>
          <w:szCs w:val="20"/>
          <w:color w:val="auto"/>
        </w:rPr>
      </w:pPr>
      <w:r>
        <w:rPr>
          <w:rFonts w:ascii="Arial" w:cs="Arial" w:eastAsia="Arial" w:hAnsi="Arial"/>
          <w:sz w:val="16"/>
          <w:szCs w:val="16"/>
          <w:color w:val="auto"/>
        </w:rPr>
        <w:t>respectively, of which $2.7 million associated with certain licensing fees was included in</w:t>
      </w:r>
    </w:p>
    <w:p>
      <w:pPr>
        <w:spacing w:after="0" w:line="32" w:lineRule="exact"/>
        <w:rPr>
          <w:sz w:val="20"/>
          <w:szCs w:val="20"/>
          <w:color w:val="auto"/>
        </w:rPr>
      </w:pPr>
    </w:p>
    <w:p>
      <w:pPr>
        <w:ind w:left="1240"/>
        <w:spacing w:after="0"/>
        <w:rPr>
          <w:sz w:val="20"/>
          <w:szCs w:val="20"/>
          <w:color w:val="auto"/>
        </w:rPr>
      </w:pPr>
      <w:r>
        <w:rPr>
          <w:rFonts w:ascii="Arial" w:cs="Arial" w:eastAsia="Arial" w:hAnsi="Arial"/>
          <w:sz w:val="18"/>
          <w:szCs w:val="18"/>
          <w:color w:val="auto"/>
        </w:rPr>
        <w:t>cost of goods sold in each year.</w:t>
      </w:r>
    </w:p>
    <w:p>
      <w:pPr>
        <w:spacing w:after="0" w:line="211" w:lineRule="exact"/>
        <w:rPr>
          <w:sz w:val="20"/>
          <w:szCs w:val="20"/>
          <w:color w:val="auto"/>
        </w:rPr>
      </w:pPr>
    </w:p>
    <w:p>
      <w:pPr>
        <w:ind w:left="1240" w:right="1499" w:firstLine="648"/>
        <w:spacing w:after="0" w:line="308" w:lineRule="auto"/>
        <w:rPr>
          <w:sz w:val="20"/>
          <w:szCs w:val="20"/>
          <w:color w:val="auto"/>
        </w:rPr>
      </w:pPr>
      <w:r>
        <w:rPr>
          <w:rFonts w:ascii="Arial" w:cs="Arial" w:eastAsia="Arial" w:hAnsi="Arial"/>
          <w:sz w:val="17"/>
          <w:szCs w:val="17"/>
          <w:color w:val="auto"/>
        </w:rPr>
        <w:t>Amortization expense related to intangible assets as of December 31, 2017 for each of the next five fiscal years and beyond is expected to be as follows:</w:t>
      </w:r>
    </w:p>
    <w:p>
      <w:pPr>
        <w:spacing w:after="0" w:line="169" w:lineRule="exact"/>
        <w:rPr>
          <w:sz w:val="20"/>
          <w:szCs w:val="20"/>
          <w:color w:val="auto"/>
        </w:rPr>
      </w:pPr>
    </w:p>
    <w:tbl>
      <w:tblPr>
        <w:tblLayout w:type="fixed"/>
        <w:tblInd w:w="1240" w:type="dxa"/>
        <w:tblCellMar>
          <w:top w:w="0" w:type="dxa"/>
          <w:left w:w="0" w:type="dxa"/>
          <w:bottom w:w="0" w:type="dxa"/>
          <w:right w:w="0" w:type="dxa"/>
        </w:tblCellMar>
      </w:tblPr>
      <w:tr>
        <w:trPr>
          <w:trHeight w:val="182"/>
        </w:trPr>
        <w:tc>
          <w:tcPr>
            <w:tcW w:w="5600" w:type="dxa"/>
            <w:vAlign w:val="bottom"/>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26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60" w:type="dxa"/>
            <w:vAlign w:val="bottom"/>
          </w:tcPr>
          <w:p>
            <w:pPr>
              <w:spacing w:after="0"/>
              <w:rPr>
                <w:sz w:val="15"/>
                <w:szCs w:val="15"/>
                <w:color w:val="auto"/>
              </w:rPr>
            </w:pPr>
          </w:p>
        </w:tc>
      </w:tr>
      <w:tr>
        <w:trPr>
          <w:trHeight w:val="188"/>
        </w:trPr>
        <w:tc>
          <w:tcPr>
            <w:tcW w:w="56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60" w:type="dxa"/>
            <w:vAlign w:val="bottom"/>
          </w:tcPr>
          <w:p>
            <w:pPr>
              <w:spacing w:after="0"/>
              <w:rPr>
                <w:sz w:val="16"/>
                <w:szCs w:val="16"/>
                <w:color w:val="auto"/>
              </w:rPr>
            </w:pPr>
          </w:p>
        </w:tc>
      </w:tr>
      <w:tr>
        <w:trPr>
          <w:trHeight w:val="203"/>
        </w:trPr>
        <w:tc>
          <w:tcPr>
            <w:tcW w:w="5600" w:type="dxa"/>
            <w:vAlign w:val="bottom"/>
            <w:shd w:val="clear" w:color="auto" w:fill="CCEEFF"/>
          </w:tcPr>
          <w:p>
            <w:pPr>
              <w:spacing w:after="0"/>
              <w:rPr>
                <w:sz w:val="20"/>
                <w:szCs w:val="20"/>
                <w:color w:val="auto"/>
              </w:rPr>
            </w:pPr>
            <w:r>
              <w:rPr>
                <w:rFonts w:ascii="Arial" w:cs="Arial" w:eastAsia="Arial" w:hAnsi="Arial"/>
                <w:sz w:val="14"/>
                <w:szCs w:val="14"/>
                <w:b w:val="1"/>
                <w:bCs w:val="1"/>
                <w:color w:val="auto"/>
              </w:rPr>
              <w:t>Year ending December 31,</w:t>
            </w:r>
          </w:p>
        </w:tc>
        <w:tc>
          <w:tcPr>
            <w:tcW w:w="26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r>
      <w:tr>
        <w:trPr>
          <w:trHeight w:val="203"/>
        </w:trPr>
        <w:tc>
          <w:tcPr>
            <w:tcW w:w="5600" w:type="dxa"/>
            <w:vAlign w:val="bottom"/>
          </w:tcPr>
          <w:p>
            <w:pPr>
              <w:spacing w:after="0"/>
              <w:rPr>
                <w:sz w:val="20"/>
                <w:szCs w:val="20"/>
                <w:color w:val="auto"/>
              </w:rPr>
            </w:pPr>
            <w:r>
              <w:rPr>
                <w:rFonts w:ascii="Arial" w:cs="Arial" w:eastAsia="Arial" w:hAnsi="Arial"/>
                <w:sz w:val="14"/>
                <w:szCs w:val="14"/>
                <w:color w:val="auto"/>
              </w:rPr>
              <w:t>2018</w:t>
            </w:r>
          </w:p>
        </w:tc>
        <w:tc>
          <w:tcPr>
            <w:tcW w:w="260" w:type="dxa"/>
            <w:vAlign w:val="bottom"/>
          </w:tcPr>
          <w:p>
            <w:pPr>
              <w:jc w:val="right"/>
              <w:ind w:right="149"/>
              <w:spacing w:after="0"/>
              <w:rPr>
                <w:sz w:val="20"/>
                <w:szCs w:val="20"/>
                <w:color w:val="auto"/>
              </w:rPr>
            </w:pPr>
            <w:r>
              <w:rPr>
                <w:rFonts w:ascii="Arial" w:cs="Arial" w:eastAsia="Arial" w:hAnsi="Arial"/>
                <w:sz w:val="10"/>
                <w:szCs w:val="10"/>
                <w:color w:val="auto"/>
                <w:w w:val="71"/>
              </w:rPr>
              <w:t>$</w:t>
            </w:r>
          </w:p>
        </w:tc>
        <w:tc>
          <w:tcPr>
            <w:tcW w:w="640" w:type="dxa"/>
            <w:vAlign w:val="bottom"/>
          </w:tcPr>
          <w:p>
            <w:pPr>
              <w:jc w:val="right"/>
              <w:spacing w:after="0"/>
              <w:rPr>
                <w:sz w:val="20"/>
                <w:szCs w:val="20"/>
                <w:color w:val="auto"/>
              </w:rPr>
            </w:pPr>
            <w:r>
              <w:rPr>
                <w:rFonts w:ascii="Arial" w:cs="Arial" w:eastAsia="Arial" w:hAnsi="Arial"/>
                <w:sz w:val="14"/>
                <w:szCs w:val="14"/>
                <w:color w:val="auto"/>
              </w:rPr>
              <w:t>7,878</w:t>
            </w:r>
          </w:p>
        </w:tc>
        <w:tc>
          <w:tcPr>
            <w:tcW w:w="60" w:type="dxa"/>
            <w:vAlign w:val="bottom"/>
          </w:tcPr>
          <w:p>
            <w:pPr>
              <w:spacing w:after="0"/>
              <w:rPr>
                <w:sz w:val="17"/>
                <w:szCs w:val="17"/>
                <w:color w:val="auto"/>
              </w:rPr>
            </w:pPr>
          </w:p>
        </w:tc>
      </w:tr>
      <w:tr>
        <w:trPr>
          <w:trHeight w:val="203"/>
        </w:trPr>
        <w:tc>
          <w:tcPr>
            <w:tcW w:w="5600" w:type="dxa"/>
            <w:vAlign w:val="bottom"/>
            <w:shd w:val="clear" w:color="auto" w:fill="CCEEFF"/>
          </w:tcPr>
          <w:p>
            <w:pPr>
              <w:spacing w:after="0"/>
              <w:rPr>
                <w:sz w:val="20"/>
                <w:szCs w:val="20"/>
                <w:color w:val="auto"/>
              </w:rPr>
            </w:pPr>
            <w:r>
              <w:rPr>
                <w:rFonts w:ascii="Arial" w:cs="Arial" w:eastAsia="Arial" w:hAnsi="Arial"/>
                <w:sz w:val="14"/>
                <w:szCs w:val="14"/>
                <w:color w:val="auto"/>
              </w:rPr>
              <w:t>2019</w:t>
            </w:r>
          </w:p>
        </w:tc>
        <w:tc>
          <w:tcPr>
            <w:tcW w:w="260" w:type="dxa"/>
            <w:vAlign w:val="bottom"/>
            <w:shd w:val="clear" w:color="auto" w:fill="CCEEFF"/>
          </w:tcPr>
          <w:p>
            <w:pPr>
              <w:spacing w:after="0"/>
              <w:rPr>
                <w:sz w:val="17"/>
                <w:szCs w:val="17"/>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6,269</w:t>
            </w:r>
          </w:p>
        </w:tc>
        <w:tc>
          <w:tcPr>
            <w:tcW w:w="60" w:type="dxa"/>
            <w:vAlign w:val="bottom"/>
            <w:shd w:val="clear" w:color="auto" w:fill="CCEEFF"/>
          </w:tcPr>
          <w:p>
            <w:pPr>
              <w:spacing w:after="0"/>
              <w:rPr>
                <w:sz w:val="17"/>
                <w:szCs w:val="17"/>
                <w:color w:val="auto"/>
              </w:rPr>
            </w:pPr>
          </w:p>
        </w:tc>
      </w:tr>
      <w:tr>
        <w:trPr>
          <w:trHeight w:val="203"/>
        </w:trPr>
        <w:tc>
          <w:tcPr>
            <w:tcW w:w="5600" w:type="dxa"/>
            <w:vAlign w:val="bottom"/>
          </w:tcPr>
          <w:p>
            <w:pPr>
              <w:spacing w:after="0"/>
              <w:rPr>
                <w:sz w:val="20"/>
                <w:szCs w:val="20"/>
                <w:color w:val="auto"/>
              </w:rPr>
            </w:pPr>
            <w:r>
              <w:rPr>
                <w:rFonts w:ascii="Arial" w:cs="Arial" w:eastAsia="Arial" w:hAnsi="Arial"/>
                <w:sz w:val="14"/>
                <w:szCs w:val="14"/>
                <w:color w:val="auto"/>
              </w:rPr>
              <w:t>2020</w:t>
            </w:r>
          </w:p>
        </w:tc>
        <w:tc>
          <w:tcPr>
            <w:tcW w:w="260" w:type="dxa"/>
            <w:vAlign w:val="bottom"/>
          </w:tcPr>
          <w:p>
            <w:pPr>
              <w:spacing w:after="0"/>
              <w:rPr>
                <w:sz w:val="17"/>
                <w:szCs w:val="17"/>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5,926</w:t>
            </w:r>
          </w:p>
        </w:tc>
        <w:tc>
          <w:tcPr>
            <w:tcW w:w="60" w:type="dxa"/>
            <w:vAlign w:val="bottom"/>
          </w:tcPr>
          <w:p>
            <w:pPr>
              <w:spacing w:after="0"/>
              <w:rPr>
                <w:sz w:val="17"/>
                <w:szCs w:val="17"/>
                <w:color w:val="auto"/>
              </w:rPr>
            </w:pPr>
          </w:p>
        </w:tc>
      </w:tr>
      <w:tr>
        <w:trPr>
          <w:trHeight w:val="203"/>
        </w:trPr>
        <w:tc>
          <w:tcPr>
            <w:tcW w:w="5600" w:type="dxa"/>
            <w:vAlign w:val="bottom"/>
            <w:shd w:val="clear" w:color="auto" w:fill="CCEEFF"/>
          </w:tcPr>
          <w:p>
            <w:pPr>
              <w:spacing w:after="0"/>
              <w:rPr>
                <w:sz w:val="20"/>
                <w:szCs w:val="20"/>
                <w:color w:val="auto"/>
              </w:rPr>
            </w:pPr>
            <w:r>
              <w:rPr>
                <w:rFonts w:ascii="Arial" w:cs="Arial" w:eastAsia="Arial" w:hAnsi="Arial"/>
                <w:sz w:val="14"/>
                <w:szCs w:val="14"/>
                <w:color w:val="auto"/>
              </w:rPr>
              <w:t>2021</w:t>
            </w:r>
          </w:p>
        </w:tc>
        <w:tc>
          <w:tcPr>
            <w:tcW w:w="260" w:type="dxa"/>
            <w:vAlign w:val="bottom"/>
            <w:shd w:val="clear" w:color="auto" w:fill="CCEEFF"/>
          </w:tcPr>
          <w:p>
            <w:pPr>
              <w:spacing w:after="0"/>
              <w:rPr>
                <w:sz w:val="17"/>
                <w:szCs w:val="17"/>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5,926</w:t>
            </w:r>
          </w:p>
        </w:tc>
        <w:tc>
          <w:tcPr>
            <w:tcW w:w="60" w:type="dxa"/>
            <w:vAlign w:val="bottom"/>
            <w:shd w:val="clear" w:color="auto" w:fill="CCEEFF"/>
          </w:tcPr>
          <w:p>
            <w:pPr>
              <w:spacing w:after="0"/>
              <w:rPr>
                <w:sz w:val="17"/>
                <w:szCs w:val="17"/>
                <w:color w:val="auto"/>
              </w:rPr>
            </w:pPr>
          </w:p>
        </w:tc>
      </w:tr>
      <w:tr>
        <w:trPr>
          <w:trHeight w:val="203"/>
        </w:trPr>
        <w:tc>
          <w:tcPr>
            <w:tcW w:w="5600" w:type="dxa"/>
            <w:vAlign w:val="bottom"/>
          </w:tcPr>
          <w:p>
            <w:pPr>
              <w:spacing w:after="0"/>
              <w:rPr>
                <w:sz w:val="20"/>
                <w:szCs w:val="20"/>
                <w:color w:val="auto"/>
              </w:rPr>
            </w:pPr>
            <w:r>
              <w:rPr>
                <w:rFonts w:ascii="Arial" w:cs="Arial" w:eastAsia="Arial" w:hAnsi="Arial"/>
                <w:sz w:val="14"/>
                <w:szCs w:val="14"/>
                <w:color w:val="auto"/>
              </w:rPr>
              <w:t>2022</w:t>
            </w:r>
          </w:p>
        </w:tc>
        <w:tc>
          <w:tcPr>
            <w:tcW w:w="260" w:type="dxa"/>
            <w:vAlign w:val="bottom"/>
          </w:tcPr>
          <w:p>
            <w:pPr>
              <w:spacing w:after="0"/>
              <w:rPr>
                <w:sz w:val="17"/>
                <w:szCs w:val="17"/>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5,926</w:t>
            </w:r>
          </w:p>
        </w:tc>
        <w:tc>
          <w:tcPr>
            <w:tcW w:w="60" w:type="dxa"/>
            <w:vAlign w:val="bottom"/>
          </w:tcPr>
          <w:p>
            <w:pPr>
              <w:spacing w:after="0"/>
              <w:rPr>
                <w:sz w:val="17"/>
                <w:szCs w:val="17"/>
                <w:color w:val="auto"/>
              </w:rPr>
            </w:pPr>
          </w:p>
        </w:tc>
      </w:tr>
      <w:tr>
        <w:trPr>
          <w:trHeight w:val="203"/>
        </w:trPr>
        <w:tc>
          <w:tcPr>
            <w:tcW w:w="5600" w:type="dxa"/>
            <w:vAlign w:val="bottom"/>
            <w:shd w:val="clear" w:color="auto" w:fill="CCEEFF"/>
          </w:tcPr>
          <w:p>
            <w:pPr>
              <w:spacing w:after="0"/>
              <w:rPr>
                <w:sz w:val="20"/>
                <w:szCs w:val="20"/>
                <w:color w:val="auto"/>
              </w:rPr>
            </w:pPr>
            <w:r>
              <w:rPr>
                <w:rFonts w:ascii="Arial" w:cs="Arial" w:eastAsia="Arial" w:hAnsi="Arial"/>
                <w:sz w:val="14"/>
                <w:szCs w:val="14"/>
                <w:color w:val="auto"/>
              </w:rPr>
              <w:t>Thereafter</w:t>
            </w:r>
          </w:p>
        </w:tc>
        <w:tc>
          <w:tcPr>
            <w:tcW w:w="260" w:type="dxa"/>
            <w:vAlign w:val="bottom"/>
            <w:tcBorders>
              <w:bottom w:val="single" w:sz="8" w:color="auto"/>
            </w:tcBorders>
            <w:shd w:val="clear" w:color="auto" w:fill="CCEEFF"/>
          </w:tcPr>
          <w:p>
            <w:pPr>
              <w:spacing w:after="0"/>
              <w:rPr>
                <w:sz w:val="17"/>
                <w:szCs w:val="17"/>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21,209</w:t>
            </w:r>
          </w:p>
        </w:tc>
        <w:tc>
          <w:tcPr>
            <w:tcW w:w="60" w:type="dxa"/>
            <w:vAlign w:val="bottom"/>
            <w:shd w:val="clear" w:color="auto" w:fill="CCEEFF"/>
          </w:tcPr>
          <w:p>
            <w:pPr>
              <w:spacing w:after="0"/>
              <w:rPr>
                <w:sz w:val="17"/>
                <w:szCs w:val="17"/>
                <w:color w:val="auto"/>
              </w:rPr>
            </w:pPr>
          </w:p>
        </w:tc>
      </w:tr>
      <w:tr>
        <w:trPr>
          <w:trHeight w:val="176"/>
        </w:trPr>
        <w:tc>
          <w:tcPr>
            <w:tcW w:w="5600" w:type="dxa"/>
            <w:vAlign w:val="bottom"/>
          </w:tcPr>
          <w:p>
            <w:pPr>
              <w:ind w:left="540"/>
              <w:spacing w:after="0"/>
              <w:rPr>
                <w:sz w:val="20"/>
                <w:szCs w:val="20"/>
                <w:color w:val="auto"/>
              </w:rPr>
            </w:pPr>
            <w:r>
              <w:rPr>
                <w:rFonts w:ascii="Arial" w:cs="Arial" w:eastAsia="Arial" w:hAnsi="Arial"/>
                <w:sz w:val="14"/>
                <w:szCs w:val="14"/>
                <w:color w:val="auto"/>
              </w:rPr>
              <w:t>Total</w:t>
            </w:r>
          </w:p>
        </w:tc>
        <w:tc>
          <w:tcPr>
            <w:tcW w:w="260" w:type="dxa"/>
            <w:vAlign w:val="bottom"/>
            <w:tcBorders>
              <w:bottom w:val="single" w:sz="8" w:color="auto"/>
            </w:tcBorders>
          </w:tcPr>
          <w:p>
            <w:pPr>
              <w:jc w:val="right"/>
              <w:ind w:right="149"/>
              <w:spacing w:after="0"/>
              <w:rPr>
                <w:sz w:val="20"/>
                <w:szCs w:val="20"/>
                <w:color w:val="auto"/>
              </w:rPr>
            </w:pPr>
            <w:r>
              <w:rPr>
                <w:rFonts w:ascii="Arial" w:cs="Arial" w:eastAsia="Arial" w:hAnsi="Arial"/>
                <w:sz w:val="10"/>
                <w:szCs w:val="10"/>
                <w:color w:val="auto"/>
                <w:w w:val="71"/>
              </w:rPr>
              <w:t>$</w:t>
            </w: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53,134</w:t>
            </w:r>
          </w:p>
        </w:tc>
        <w:tc>
          <w:tcPr>
            <w:tcW w:w="60" w:type="dxa"/>
            <w:vAlign w:val="bottom"/>
          </w:tcPr>
          <w:p>
            <w:pPr>
              <w:spacing w:after="0"/>
              <w:rPr>
                <w:sz w:val="15"/>
                <w:szCs w:val="15"/>
                <w:color w:val="auto"/>
              </w:rPr>
            </w:pPr>
          </w:p>
        </w:tc>
      </w:tr>
    </w:tbl>
    <w:p>
      <w:pPr>
        <w:spacing w:after="0" w:line="360"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7. Product Warranty</w:t>
      </w:r>
    </w:p>
    <w:p>
      <w:pPr>
        <w:spacing w:after="0" w:line="148" w:lineRule="exact"/>
        <w:rPr>
          <w:sz w:val="20"/>
          <w:szCs w:val="20"/>
          <w:color w:val="auto"/>
        </w:rPr>
      </w:pPr>
    </w:p>
    <w:p>
      <w:pPr>
        <w:ind w:left="1240" w:right="1419" w:firstLine="648"/>
        <w:spacing w:after="0" w:line="277" w:lineRule="auto"/>
        <w:rPr>
          <w:sz w:val="20"/>
          <w:szCs w:val="20"/>
          <w:color w:val="auto"/>
        </w:rPr>
      </w:pPr>
      <w:r>
        <w:rPr>
          <w:rFonts w:ascii="Arial" w:cs="Arial" w:eastAsia="Arial" w:hAnsi="Arial"/>
          <w:sz w:val="18"/>
          <w:szCs w:val="18"/>
          <w:color w:val="auto"/>
        </w:rPr>
        <w:t>The activity related to the Company’s warranty obligation for accrued warranty expense was as follows:</w:t>
      </w:r>
    </w:p>
    <w:p>
      <w:pPr>
        <w:spacing w:after="0" w:line="230" w:lineRule="exact"/>
        <w:rPr>
          <w:sz w:val="20"/>
          <w:szCs w:val="20"/>
          <w:color w:val="auto"/>
        </w:rPr>
      </w:pPr>
    </w:p>
    <w:tbl>
      <w:tblPr>
        <w:tblLayout w:type="fixed"/>
        <w:tblInd w:w="1240" w:type="dxa"/>
        <w:tblCellMar>
          <w:top w:w="0" w:type="dxa"/>
          <w:left w:w="0" w:type="dxa"/>
          <w:bottom w:w="0" w:type="dxa"/>
          <w:right w:w="0" w:type="dxa"/>
        </w:tblCellMar>
      </w:tblPr>
      <w:tr>
        <w:trPr>
          <w:trHeight w:val="186"/>
        </w:trPr>
        <w:tc>
          <w:tcPr>
            <w:tcW w:w="20" w:type="dxa"/>
            <w:vAlign w:val="bottom"/>
          </w:tcPr>
          <w:p>
            <w:pPr>
              <w:spacing w:after="0"/>
              <w:rPr>
                <w:sz w:val="16"/>
                <w:szCs w:val="16"/>
                <w:color w:val="auto"/>
              </w:rPr>
            </w:pPr>
          </w:p>
        </w:tc>
        <w:tc>
          <w:tcPr>
            <w:tcW w:w="316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880" w:type="dxa"/>
            <w:vAlign w:val="bottom"/>
            <w:gridSpan w:val="4"/>
          </w:tcPr>
          <w:p>
            <w:pPr>
              <w:ind w:left="100"/>
              <w:spacing w:after="0"/>
              <w:rPr>
                <w:sz w:val="20"/>
                <w:szCs w:val="20"/>
                <w:color w:val="auto"/>
              </w:rPr>
            </w:pPr>
            <w:r>
              <w:rPr>
                <w:rFonts w:ascii="Arial" w:cs="Arial" w:eastAsia="Arial" w:hAnsi="Arial"/>
                <w:sz w:val="14"/>
                <w:szCs w:val="14"/>
                <w:b w:val="1"/>
                <w:bCs w:val="1"/>
                <w:color w:val="auto"/>
              </w:rPr>
              <w:t>Year ended</w:t>
            </w:r>
          </w:p>
        </w:tc>
        <w:tc>
          <w:tcPr>
            <w:tcW w:w="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8"/>
        </w:trPr>
        <w:tc>
          <w:tcPr>
            <w:tcW w:w="3180" w:type="dxa"/>
            <w:vAlign w:val="bottom"/>
            <w:gridSpan w:val="2"/>
            <w:vMerge w:val="restart"/>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108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52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gridSpan w:val="4"/>
          </w:tcPr>
          <w:p>
            <w:pPr>
              <w:ind w:left="20"/>
              <w:spacing w:after="0"/>
              <w:rPr>
                <w:sz w:val="20"/>
                <w:szCs w:val="20"/>
                <w:color w:val="auto"/>
              </w:rPr>
            </w:pPr>
            <w:r>
              <w:rPr>
                <w:rFonts w:ascii="Arial" w:cs="Arial" w:eastAsia="Arial" w:hAnsi="Arial"/>
                <w:sz w:val="14"/>
                <w:szCs w:val="14"/>
                <w:b w:val="1"/>
                <w:bCs w:val="1"/>
                <w:color w:val="auto"/>
                <w:w w:val="92"/>
              </w:rPr>
              <w:t>December 31,</w:t>
            </w:r>
          </w:p>
        </w:tc>
        <w:tc>
          <w:tcPr>
            <w:tcW w:w="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56"/>
        </w:trPr>
        <w:tc>
          <w:tcPr>
            <w:tcW w:w="3180" w:type="dxa"/>
            <w:vAlign w:val="bottom"/>
            <w:gridSpan w:val="2"/>
            <w:vMerge w:val="continue"/>
          </w:tcPr>
          <w:p>
            <w:pPr>
              <w:spacing w:after="0"/>
              <w:rPr>
                <w:sz w:val="13"/>
                <w:szCs w:val="13"/>
                <w:color w:val="auto"/>
              </w:rPr>
            </w:pPr>
          </w:p>
        </w:tc>
        <w:tc>
          <w:tcPr>
            <w:tcW w:w="1080" w:type="dxa"/>
            <w:vAlign w:val="bottom"/>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520" w:type="dxa"/>
            <w:vAlign w:val="bottom"/>
            <w:tcBorders>
              <w:bottom w:val="single" w:sz="8" w:color="auto"/>
            </w:tcBorders>
          </w:tcPr>
          <w:p>
            <w:pPr>
              <w:jc w:val="right"/>
              <w:ind w:right="100"/>
              <w:spacing w:after="0" w:line="155" w:lineRule="exact"/>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auto"/>
            </w:tcBorders>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540" w:type="dxa"/>
            <w:vAlign w:val="bottom"/>
            <w:tcBorders>
              <w:bottom w:val="single" w:sz="8" w:color="auto"/>
            </w:tcBorders>
          </w:tcPr>
          <w:p>
            <w:pPr>
              <w:jc w:val="right"/>
              <w:ind w:right="120"/>
              <w:spacing w:after="0" w:line="155" w:lineRule="exact"/>
              <w:rPr>
                <w:sz w:val="20"/>
                <w:szCs w:val="20"/>
                <w:color w:val="auto"/>
              </w:rPr>
            </w:pPr>
            <w:r>
              <w:rPr>
                <w:rFonts w:ascii="Arial" w:cs="Arial" w:eastAsia="Arial" w:hAnsi="Arial"/>
                <w:sz w:val="14"/>
                <w:szCs w:val="14"/>
                <w:b w:val="1"/>
                <w:bCs w:val="1"/>
                <w:color w:val="auto"/>
              </w:rPr>
              <w:t>2016</w:t>
            </w:r>
          </w:p>
        </w:tc>
        <w:tc>
          <w:tcPr>
            <w:tcW w:w="80" w:type="dxa"/>
            <w:vAlign w:val="bottom"/>
            <w:tcBorders>
              <w:bottom w:val="single" w:sz="8" w:color="auto"/>
            </w:tcBorders>
          </w:tcPr>
          <w:p>
            <w:pPr>
              <w:spacing w:after="0"/>
              <w:rPr>
                <w:sz w:val="13"/>
                <w:szCs w:val="13"/>
                <w:color w:val="auto"/>
              </w:rPr>
            </w:pPr>
          </w:p>
        </w:tc>
        <w:tc>
          <w:tcPr>
            <w:tcW w:w="40" w:type="dxa"/>
            <w:vAlign w:val="bottom"/>
            <w:tcBorders>
              <w:bottom w:val="single" w:sz="8" w:color="auto"/>
            </w:tcBorders>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540" w:type="dxa"/>
            <w:vAlign w:val="bottom"/>
            <w:tcBorders>
              <w:bottom w:val="single" w:sz="8" w:color="auto"/>
            </w:tcBorders>
          </w:tcPr>
          <w:p>
            <w:pPr>
              <w:jc w:val="right"/>
              <w:ind w:right="120"/>
              <w:spacing w:after="0" w:line="155" w:lineRule="exact"/>
              <w:rPr>
                <w:sz w:val="20"/>
                <w:szCs w:val="20"/>
                <w:color w:val="auto"/>
              </w:rPr>
            </w:pPr>
            <w:r>
              <w:rPr>
                <w:rFonts w:ascii="Arial" w:cs="Arial" w:eastAsia="Arial" w:hAnsi="Arial"/>
                <w:sz w:val="14"/>
                <w:szCs w:val="14"/>
                <w:b w:val="1"/>
                <w:bCs w:val="1"/>
                <w:color w:val="auto"/>
              </w:rPr>
              <w:t>2015</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96"/>
        </w:trPr>
        <w:tc>
          <w:tcPr>
            <w:tcW w:w="20" w:type="dxa"/>
            <w:vAlign w:val="bottom"/>
            <w:vMerge w:val="restart"/>
          </w:tcPr>
          <w:p>
            <w:pPr>
              <w:spacing w:after="0"/>
              <w:rPr>
                <w:sz w:val="17"/>
                <w:szCs w:val="17"/>
                <w:color w:val="auto"/>
              </w:rPr>
            </w:pPr>
          </w:p>
        </w:tc>
        <w:tc>
          <w:tcPr>
            <w:tcW w:w="316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316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Balance at beginning of period</w:t>
            </w:r>
          </w:p>
        </w:tc>
        <w:tc>
          <w:tcPr>
            <w:tcW w:w="122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3,526</w:t>
            </w:r>
          </w:p>
        </w:tc>
        <w:tc>
          <w:tcPr>
            <w:tcW w:w="260" w:type="dxa"/>
            <w:vAlign w:val="bottom"/>
            <w:gridSpan w:val="2"/>
            <w:shd w:val="clear" w:color="auto" w:fill="CCEEFF"/>
          </w:tcPr>
          <w:p>
            <w:pPr>
              <w:ind w:left="120"/>
              <w:spacing w:after="0"/>
              <w:rPr>
                <w:sz w:val="20"/>
                <w:szCs w:val="20"/>
                <w:color w:val="auto"/>
              </w:rPr>
            </w:pPr>
            <w:r>
              <w:rPr>
                <w:rFonts w:ascii="Arial" w:cs="Arial" w:eastAsia="Arial" w:hAnsi="Arial"/>
                <w:sz w:val="16"/>
                <w:szCs w:val="16"/>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3,345</w:t>
            </w:r>
          </w:p>
        </w:tc>
        <w:tc>
          <w:tcPr>
            <w:tcW w:w="80" w:type="dxa"/>
            <w:vAlign w:val="bottom"/>
            <w:shd w:val="clear" w:color="auto" w:fill="CCEEFF"/>
          </w:tcPr>
          <w:p>
            <w:pPr>
              <w:spacing w:after="0"/>
              <w:rPr>
                <w:sz w:val="17"/>
                <w:szCs w:val="17"/>
                <w:color w:val="auto"/>
              </w:rPr>
            </w:pPr>
          </w:p>
        </w:tc>
        <w:tc>
          <w:tcPr>
            <w:tcW w:w="160" w:type="dxa"/>
            <w:vAlign w:val="bottom"/>
            <w:gridSpan w:val="2"/>
            <w:shd w:val="clear" w:color="auto" w:fill="CCEEFF"/>
          </w:tcPr>
          <w:p>
            <w:pPr>
              <w:jc w:val="right"/>
              <w:ind w:right="9"/>
              <w:spacing w:after="0"/>
              <w:rPr>
                <w:sz w:val="20"/>
                <w:szCs w:val="20"/>
                <w:color w:val="auto"/>
              </w:rPr>
            </w:pPr>
            <w:r>
              <w:rPr>
                <w:rFonts w:ascii="Arial" w:cs="Arial" w:eastAsia="Arial" w:hAnsi="Arial"/>
                <w:sz w:val="16"/>
                <w:szCs w:val="16"/>
                <w:color w:val="auto"/>
                <w:w w:val="89"/>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2,989</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160" w:type="dxa"/>
            <w:vAlign w:val="bottom"/>
          </w:tcPr>
          <w:p>
            <w:pPr>
              <w:spacing w:after="0"/>
              <w:rPr>
                <w:sz w:val="20"/>
                <w:szCs w:val="20"/>
                <w:color w:val="auto"/>
              </w:rPr>
            </w:pPr>
            <w:r>
              <w:rPr>
                <w:rFonts w:ascii="Arial" w:cs="Arial" w:eastAsia="Arial" w:hAnsi="Arial"/>
                <w:sz w:val="16"/>
                <w:szCs w:val="16"/>
                <w:color w:val="auto"/>
              </w:rPr>
              <w:t>Provision</w:t>
            </w:r>
          </w:p>
        </w:tc>
        <w:tc>
          <w:tcPr>
            <w:tcW w:w="10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520" w:type="dxa"/>
            <w:vAlign w:val="bottom"/>
          </w:tcPr>
          <w:p>
            <w:pPr>
              <w:jc w:val="right"/>
              <w:spacing w:after="0"/>
              <w:rPr>
                <w:sz w:val="20"/>
                <w:szCs w:val="20"/>
                <w:color w:val="auto"/>
              </w:rPr>
            </w:pPr>
            <w:r>
              <w:rPr>
                <w:rFonts w:ascii="Arial" w:cs="Arial" w:eastAsia="Arial" w:hAnsi="Arial"/>
                <w:sz w:val="16"/>
                <w:szCs w:val="16"/>
                <w:color w:val="auto"/>
              </w:rPr>
              <w:t>5,801</w:t>
            </w: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540" w:type="dxa"/>
            <w:vAlign w:val="bottom"/>
          </w:tcPr>
          <w:p>
            <w:pPr>
              <w:jc w:val="right"/>
              <w:spacing w:after="0"/>
              <w:rPr>
                <w:sz w:val="20"/>
                <w:szCs w:val="20"/>
                <w:color w:val="auto"/>
              </w:rPr>
            </w:pPr>
            <w:r>
              <w:rPr>
                <w:rFonts w:ascii="Arial" w:cs="Arial" w:eastAsia="Arial" w:hAnsi="Arial"/>
                <w:sz w:val="16"/>
                <w:szCs w:val="16"/>
                <w:color w:val="auto"/>
              </w:rPr>
              <w:t>6,200</w:t>
            </w: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40" w:type="dxa"/>
            <w:vAlign w:val="bottom"/>
          </w:tcPr>
          <w:p>
            <w:pPr>
              <w:jc w:val="right"/>
              <w:spacing w:after="0"/>
              <w:rPr>
                <w:sz w:val="20"/>
                <w:szCs w:val="20"/>
                <w:color w:val="auto"/>
              </w:rPr>
            </w:pPr>
            <w:r>
              <w:rPr>
                <w:rFonts w:ascii="Arial" w:cs="Arial" w:eastAsia="Arial" w:hAnsi="Arial"/>
                <w:sz w:val="16"/>
                <w:szCs w:val="16"/>
                <w:color w:val="auto"/>
              </w:rPr>
              <w:t>5,399</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160" w:type="dxa"/>
            <w:vAlign w:val="bottom"/>
            <w:shd w:val="clear" w:color="auto" w:fill="CCEEFF"/>
          </w:tcPr>
          <w:p>
            <w:pPr>
              <w:spacing w:after="0"/>
              <w:rPr>
                <w:sz w:val="20"/>
                <w:szCs w:val="20"/>
                <w:color w:val="auto"/>
              </w:rPr>
            </w:pPr>
            <w:r>
              <w:rPr>
                <w:rFonts w:ascii="Arial" w:cs="Arial" w:eastAsia="Arial" w:hAnsi="Arial"/>
                <w:sz w:val="16"/>
                <w:szCs w:val="16"/>
                <w:color w:val="auto"/>
              </w:rPr>
              <w:t>Claims paid/costs incurred</w:t>
            </w:r>
          </w:p>
        </w:tc>
        <w:tc>
          <w:tcPr>
            <w:tcW w:w="10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8"/>
              </w:rPr>
              <w:t>(5,653)</w:t>
            </w:r>
          </w:p>
        </w:tc>
        <w:tc>
          <w:tcPr>
            <w:tcW w:w="1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8"/>
              </w:rPr>
              <w:t>(5,940)</w:t>
            </w:r>
          </w:p>
        </w:tc>
        <w:tc>
          <w:tcPr>
            <w:tcW w:w="8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8"/>
              </w:rPr>
              <w:t>(4,929)</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160" w:type="dxa"/>
            <w:vAlign w:val="bottom"/>
            <w:tcBorders>
              <w:bottom w:val="single" w:sz="8" w:color="CCEEFF"/>
            </w:tcBorders>
          </w:tcPr>
          <w:p>
            <w:pPr>
              <w:spacing w:after="0"/>
              <w:rPr>
                <w:sz w:val="20"/>
                <w:szCs w:val="20"/>
                <w:color w:val="auto"/>
              </w:rPr>
            </w:pPr>
            <w:r>
              <w:rPr>
                <w:rFonts w:ascii="Arial" w:cs="Arial" w:eastAsia="Arial" w:hAnsi="Arial"/>
                <w:sz w:val="16"/>
                <w:szCs w:val="16"/>
                <w:color w:val="auto"/>
              </w:rPr>
              <w:t>Foreign currency translation</w:t>
            </w:r>
          </w:p>
        </w:tc>
        <w:tc>
          <w:tcPr>
            <w:tcW w:w="108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149</w:t>
            </w:r>
          </w:p>
        </w:tc>
        <w:tc>
          <w:tcPr>
            <w:tcW w:w="12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(79)</w:t>
            </w:r>
          </w:p>
        </w:tc>
        <w:tc>
          <w:tcPr>
            <w:tcW w:w="80" w:type="dxa"/>
            <w:vAlign w:val="bottom"/>
            <w:tcBorders>
              <w:bottom w:val="single" w:sz="8" w:color="CCEEFF"/>
            </w:tcBorders>
          </w:tcPr>
          <w:p>
            <w:pPr>
              <w:spacing w:after="0"/>
              <w:rPr>
                <w:sz w:val="17"/>
                <w:szCs w:val="17"/>
                <w:color w:val="auto"/>
              </w:rPr>
            </w:pPr>
          </w:p>
        </w:tc>
        <w:tc>
          <w:tcPr>
            <w:tcW w:w="4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(114)</w:t>
            </w:r>
          </w:p>
        </w:tc>
        <w:tc>
          <w:tcPr>
            <w:tcW w:w="40" w:type="dxa"/>
            <w:vAlign w:val="bottom"/>
            <w:tcBorders>
              <w:bottom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1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6"/>
                <w:szCs w:val="16"/>
                <w:b w:val="1"/>
                <w:bCs w:val="1"/>
                <w:color w:val="auto"/>
              </w:rPr>
              <w:t>Balance at end of period</w:t>
            </w:r>
          </w:p>
        </w:tc>
        <w:tc>
          <w:tcPr>
            <w:tcW w:w="108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3,823</w:t>
            </w:r>
          </w:p>
        </w:tc>
        <w:tc>
          <w:tcPr>
            <w:tcW w:w="12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6"/>
                <w:szCs w:val="16"/>
                <w:color w:val="auto"/>
              </w:rPr>
              <w:t>$</w:t>
            </w:r>
          </w:p>
        </w:tc>
        <w:tc>
          <w:tcPr>
            <w:tcW w:w="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3,526</w:t>
            </w:r>
          </w:p>
        </w:tc>
        <w:tc>
          <w:tcPr>
            <w:tcW w:w="80" w:type="dxa"/>
            <w:vAlign w:val="bottom"/>
            <w:tcBorders>
              <w:bottom w:val="single" w:sz="8" w:color="CCEEFF"/>
            </w:tcBorders>
            <w:shd w:val="clear" w:color="auto" w:fill="CCEEFF"/>
          </w:tcPr>
          <w:p>
            <w:pPr>
              <w:spacing w:after="0"/>
              <w:rPr>
                <w:sz w:val="17"/>
                <w:szCs w:val="17"/>
                <w:color w:val="auto"/>
              </w:rPr>
            </w:pPr>
          </w:p>
        </w:tc>
        <w:tc>
          <w:tcPr>
            <w:tcW w:w="4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0"/>
                <w:szCs w:val="10"/>
                <w:color w:val="auto"/>
                <w:w w:val="71"/>
              </w:rPr>
              <w:t>$</w:t>
            </w:r>
          </w:p>
        </w:tc>
        <w:tc>
          <w:tcPr>
            <w:tcW w:w="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3,345</w:t>
            </w:r>
          </w:p>
        </w:tc>
        <w:tc>
          <w:tcPr>
            <w:tcW w:w="40" w:type="dxa"/>
            <w:vAlign w:val="bottom"/>
            <w:tcBorders>
              <w:bottom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bl>
    <w:p>
      <w:pPr>
        <w:spacing w:after="0" w:line="184"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8. Related Party Transactions</w:t>
      </w:r>
    </w:p>
    <w:p>
      <w:pPr>
        <w:spacing w:after="0" w:line="229" w:lineRule="exact"/>
        <w:rPr>
          <w:sz w:val="20"/>
          <w:szCs w:val="20"/>
          <w:color w:val="auto"/>
        </w:rPr>
      </w:pPr>
    </w:p>
    <w:p>
      <w:pPr>
        <w:ind w:left="1240" w:right="1319" w:firstLine="648"/>
        <w:spacing w:after="0" w:line="273" w:lineRule="auto"/>
        <w:rPr>
          <w:sz w:val="20"/>
          <w:szCs w:val="20"/>
          <w:color w:val="auto"/>
        </w:rPr>
      </w:pPr>
      <w:r>
        <w:rPr>
          <w:rFonts w:ascii="Arial" w:cs="Arial" w:eastAsia="Arial" w:hAnsi="Arial"/>
          <w:sz w:val="17"/>
          <w:szCs w:val="17"/>
          <w:color w:val="auto"/>
        </w:rPr>
        <w:t>Other current assets includes receivables from related parties of $0.5 million and $0.9 million as of December 31, 2017 and 2016, respectively. Prior to its initial public offering, the Company incurred interest expense payable to related parties on its outstanding convertible notes (Note 9) and bonds with common stock warrants (Note 10). The related party interest expense totaled $28.1 million and $35.4 million for the years ended December 31, 2016 and 2015, respectively.</w:t>
      </w:r>
    </w:p>
    <w:p>
      <w:pPr>
        <w:spacing w:after="0" w:line="395"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F-21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786765</wp:posOffset>
            </wp:positionH>
            <wp:positionV relativeFrom="paragraph">
              <wp:posOffset>83185</wp:posOffset>
            </wp:positionV>
            <wp:extent cx="4159250" cy="2603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45">
                      <a:extLst>
                        <a:ext uri="{28A0092B-C50C-407E-A947-70E740481C1C}"/>
                      </a:extLst>
                    </a:blip>
                    <a:srcRect/>
                    <a:stretch>
                      <a:fillRect/>
                    </a:stretch>
                  </pic:blipFill>
                  <pic:spPr bwMode="auto">
                    <a:xfrm>
                      <a:off x="0" y="0"/>
                      <a:ext cx="415925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115" w:name="page116"/>
    <w:bookmarkEnd w:id="115"/>
    <w:p>
      <w:pPr>
        <w:ind w:left="124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9. Debt and Financing Arrangements</w:t>
      </w:r>
    </w:p>
    <w:p>
      <w:pPr>
        <w:spacing w:after="0" w:line="229" w:lineRule="exact"/>
        <w:rPr>
          <w:sz w:val="20"/>
          <w:szCs w:val="20"/>
          <w:color w:val="auto"/>
        </w:rPr>
      </w:pPr>
    </w:p>
    <w:p>
      <w:pPr>
        <w:ind w:left="1880"/>
        <w:spacing w:after="0"/>
        <w:rPr>
          <w:sz w:val="20"/>
          <w:szCs w:val="20"/>
          <w:color w:val="auto"/>
        </w:rPr>
      </w:pPr>
      <w:r>
        <w:rPr>
          <w:rFonts w:ascii="Arial" w:cs="Arial" w:eastAsia="Arial" w:hAnsi="Arial"/>
          <w:sz w:val="18"/>
          <w:szCs w:val="18"/>
          <w:color w:val="auto"/>
        </w:rPr>
        <w:t>The Company’s debt and capital lease obligations were as follows:</w:t>
      </w:r>
    </w:p>
    <w:p>
      <w:pPr>
        <w:spacing w:after="0" w:line="244" w:lineRule="exact"/>
        <w:rPr>
          <w:sz w:val="20"/>
          <w:szCs w:val="20"/>
          <w:color w:val="auto"/>
        </w:rPr>
      </w:pPr>
    </w:p>
    <w:tbl>
      <w:tblPr>
        <w:tblLayout w:type="fixed"/>
        <w:tblInd w:w="1240" w:type="dxa"/>
        <w:tblCellMar>
          <w:top w:w="0" w:type="dxa"/>
          <w:left w:w="0" w:type="dxa"/>
          <w:bottom w:w="0" w:type="dxa"/>
          <w:right w:w="0" w:type="dxa"/>
        </w:tblCellMar>
      </w:tblPr>
      <w:tr>
        <w:trPr>
          <w:trHeight w:val="186"/>
        </w:trPr>
        <w:tc>
          <w:tcPr>
            <w:tcW w:w="20" w:type="dxa"/>
            <w:vAlign w:val="bottom"/>
          </w:tcPr>
          <w:p>
            <w:pPr>
              <w:spacing w:after="0"/>
              <w:rPr>
                <w:sz w:val="16"/>
                <w:szCs w:val="16"/>
                <w:color w:val="auto"/>
              </w:rPr>
            </w:pPr>
          </w:p>
        </w:tc>
        <w:tc>
          <w:tcPr>
            <w:tcW w:w="378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20" w:type="dxa"/>
            <w:vAlign w:val="bottom"/>
          </w:tcPr>
          <w:p>
            <w:pPr>
              <w:jc w:val="right"/>
              <w:ind w:right="161"/>
              <w:spacing w:after="0"/>
              <w:rPr>
                <w:sz w:val="20"/>
                <w:szCs w:val="20"/>
                <w:color w:val="auto"/>
              </w:rPr>
            </w:pPr>
            <w:r>
              <w:rPr>
                <w:rFonts w:ascii="Arial" w:cs="Arial" w:eastAsia="Arial" w:hAnsi="Arial"/>
                <w:sz w:val="14"/>
                <w:szCs w:val="14"/>
                <w:b w:val="1"/>
                <w:bCs w:val="1"/>
                <w:color w:val="auto"/>
                <w:w w:val="94"/>
              </w:rPr>
              <w:t>December 31,</w:t>
            </w:r>
          </w:p>
        </w:tc>
        <w:tc>
          <w:tcPr>
            <w:tcW w:w="1060" w:type="dxa"/>
            <w:vAlign w:val="bottom"/>
            <w:gridSpan w:val="3"/>
          </w:tcPr>
          <w:p>
            <w:pPr>
              <w:ind w:left="140"/>
              <w:spacing w:after="0"/>
              <w:rPr>
                <w:sz w:val="20"/>
                <w:szCs w:val="20"/>
                <w:color w:val="auto"/>
              </w:rPr>
            </w:pPr>
            <w:r>
              <w:rPr>
                <w:rFonts w:ascii="Arial" w:cs="Arial" w:eastAsia="Arial" w:hAnsi="Arial"/>
                <w:sz w:val="14"/>
                <w:szCs w:val="14"/>
                <w:b w:val="1"/>
                <w:bCs w:val="1"/>
                <w:color w:val="auto"/>
                <w:w w:val="96"/>
              </w:rPr>
              <w:t>December 31,</w:t>
            </w:r>
          </w:p>
        </w:tc>
        <w:tc>
          <w:tcPr>
            <w:tcW w:w="0" w:type="dxa"/>
            <w:vAlign w:val="bottom"/>
          </w:tcPr>
          <w:p>
            <w:pPr>
              <w:spacing w:after="0"/>
              <w:rPr>
                <w:sz w:val="1"/>
                <w:szCs w:val="1"/>
                <w:color w:val="auto"/>
              </w:rPr>
            </w:pPr>
          </w:p>
        </w:tc>
      </w:tr>
      <w:tr>
        <w:trPr>
          <w:trHeight w:val="188"/>
        </w:trPr>
        <w:tc>
          <w:tcPr>
            <w:tcW w:w="3800" w:type="dxa"/>
            <w:vAlign w:val="bottom"/>
            <w:gridSpan w:val="2"/>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44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421"/>
              <w:spacing w:after="0"/>
              <w:rPr>
                <w:sz w:val="20"/>
                <w:szCs w:val="20"/>
                <w:color w:val="auto"/>
              </w:rPr>
            </w:pPr>
            <w:r>
              <w:rPr>
                <w:rFonts w:ascii="Arial" w:cs="Arial" w:eastAsia="Arial" w:hAnsi="Arial"/>
                <w:sz w:val="14"/>
                <w:szCs w:val="14"/>
                <w:b w:val="1"/>
                <w:bCs w:val="1"/>
                <w:color w:val="auto"/>
              </w:rPr>
              <w:t>2017</w:t>
            </w:r>
          </w:p>
        </w:tc>
        <w:tc>
          <w:tcPr>
            <w:tcW w:w="14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jc w:val="right"/>
              <w:ind w:right="260"/>
              <w:spacing w:after="0"/>
              <w:rPr>
                <w:sz w:val="20"/>
                <w:szCs w:val="20"/>
                <w:color w:val="auto"/>
              </w:rPr>
            </w:pPr>
            <w:r>
              <w:rPr>
                <w:rFonts w:ascii="Arial" w:cs="Arial" w:eastAsia="Arial" w:hAnsi="Arial"/>
                <w:sz w:val="14"/>
                <w:szCs w:val="14"/>
                <w:b w:val="1"/>
                <w:bCs w:val="1"/>
                <w:color w:val="auto"/>
              </w:rPr>
              <w:t>2016</w:t>
            </w:r>
          </w:p>
        </w:tc>
        <w:tc>
          <w:tcPr>
            <w:tcW w:w="0" w:type="dxa"/>
            <w:vAlign w:val="bottom"/>
          </w:tcPr>
          <w:p>
            <w:pPr>
              <w:spacing w:after="0"/>
              <w:rPr>
                <w:sz w:val="1"/>
                <w:szCs w:val="1"/>
                <w:color w:val="auto"/>
              </w:rPr>
            </w:pPr>
          </w:p>
        </w:tc>
      </w:tr>
      <w:tr>
        <w:trPr>
          <w:trHeight w:val="196"/>
        </w:trPr>
        <w:tc>
          <w:tcPr>
            <w:tcW w:w="20" w:type="dxa"/>
            <w:vAlign w:val="bottom"/>
            <w:vMerge w:val="restart"/>
          </w:tcPr>
          <w:p>
            <w:pPr>
              <w:spacing w:after="0"/>
              <w:rPr>
                <w:sz w:val="17"/>
                <w:szCs w:val="17"/>
                <w:color w:val="auto"/>
              </w:rPr>
            </w:pPr>
          </w:p>
        </w:tc>
        <w:tc>
          <w:tcPr>
            <w:tcW w:w="378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3780" w:type="dxa"/>
            <w:vAlign w:val="bottom"/>
            <w:shd w:val="clear" w:color="auto" w:fill="CCEEFF"/>
          </w:tcPr>
          <w:p>
            <w:pPr>
              <w:spacing w:after="0"/>
              <w:rPr>
                <w:sz w:val="20"/>
                <w:szCs w:val="20"/>
                <w:color w:val="auto"/>
              </w:rPr>
            </w:pPr>
            <w:r>
              <w:rPr>
                <w:rFonts w:ascii="Arial" w:cs="Arial" w:eastAsia="Arial" w:hAnsi="Arial"/>
                <w:sz w:val="16"/>
                <w:szCs w:val="16"/>
                <w:color w:val="auto"/>
              </w:rPr>
              <w:t>Term loan</w:t>
            </w:r>
          </w:p>
        </w:tc>
        <w:tc>
          <w:tcPr>
            <w:tcW w:w="58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351,563</w:t>
            </w:r>
          </w:p>
        </w:tc>
        <w:tc>
          <w:tcPr>
            <w:tcW w:w="320" w:type="dxa"/>
            <w:vAlign w:val="bottom"/>
            <w:gridSpan w:val="2"/>
            <w:shd w:val="clear" w:color="auto" w:fill="CCEEFF"/>
          </w:tcPr>
          <w:p>
            <w:pPr>
              <w:ind w:left="140"/>
              <w:spacing w:after="0"/>
              <w:rPr>
                <w:sz w:val="20"/>
                <w:szCs w:val="20"/>
                <w:color w:val="auto"/>
              </w:rPr>
            </w:pPr>
            <w:r>
              <w:rPr>
                <w:rFonts w:ascii="Arial" w:cs="Arial" w:eastAsia="Arial" w:hAnsi="Arial"/>
                <w:sz w:val="16"/>
                <w:szCs w:val="16"/>
                <w:color w:val="auto"/>
              </w:rPr>
              <w:t>$</w:t>
            </w:r>
          </w:p>
        </w:tc>
        <w:tc>
          <w:tcPr>
            <w:tcW w:w="740" w:type="dxa"/>
            <w:vAlign w:val="bottom"/>
            <w:tcBorders>
              <w:right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370,313</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780" w:type="dxa"/>
            <w:vAlign w:val="bottom"/>
          </w:tcPr>
          <w:p>
            <w:pPr>
              <w:spacing w:after="0"/>
              <w:rPr>
                <w:sz w:val="20"/>
                <w:szCs w:val="20"/>
                <w:color w:val="auto"/>
              </w:rPr>
            </w:pPr>
            <w:r>
              <w:rPr>
                <w:rFonts w:ascii="Arial" w:cs="Arial" w:eastAsia="Arial" w:hAnsi="Arial"/>
                <w:sz w:val="16"/>
                <w:szCs w:val="16"/>
                <w:color w:val="auto"/>
              </w:rPr>
              <w:t>Delayed draw term loan A facility</w:t>
            </w:r>
          </w:p>
        </w:tc>
        <w:tc>
          <w:tcPr>
            <w:tcW w:w="4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95,000</w:t>
            </w: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40" w:type="dxa"/>
            <w:vAlign w:val="bottom"/>
          </w:tcPr>
          <w:p>
            <w:pPr>
              <w:jc w:val="right"/>
              <w:ind w:right="4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780" w:type="dxa"/>
            <w:vAlign w:val="bottom"/>
            <w:shd w:val="clear" w:color="auto" w:fill="CCEEFF"/>
          </w:tcPr>
          <w:p>
            <w:pPr>
              <w:spacing w:after="0"/>
              <w:rPr>
                <w:sz w:val="20"/>
                <w:szCs w:val="20"/>
                <w:color w:val="auto"/>
              </w:rPr>
            </w:pPr>
            <w:r>
              <w:rPr>
                <w:rFonts w:ascii="Arial" w:cs="Arial" w:eastAsia="Arial" w:hAnsi="Arial"/>
                <w:sz w:val="16"/>
                <w:szCs w:val="16"/>
                <w:color w:val="auto"/>
              </w:rPr>
              <w:t>Revolving credit facility</w:t>
            </w:r>
          </w:p>
        </w:tc>
        <w:tc>
          <w:tcPr>
            <w:tcW w:w="4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10,066</w:t>
            </w:r>
          </w:p>
        </w:tc>
        <w:tc>
          <w:tcPr>
            <w:tcW w:w="1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40" w:type="dxa"/>
            <w:vAlign w:val="bottom"/>
            <w:tcBorders>
              <w:right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42,495</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780" w:type="dxa"/>
            <w:vAlign w:val="bottom"/>
          </w:tcPr>
          <w:p>
            <w:pPr>
              <w:spacing w:after="0"/>
              <w:rPr>
                <w:sz w:val="20"/>
                <w:szCs w:val="20"/>
                <w:color w:val="auto"/>
              </w:rPr>
            </w:pPr>
            <w:r>
              <w:rPr>
                <w:rFonts w:ascii="Arial" w:cs="Arial" w:eastAsia="Arial" w:hAnsi="Arial"/>
                <w:sz w:val="16"/>
                <w:szCs w:val="16"/>
                <w:color w:val="auto"/>
              </w:rPr>
              <w:t>Other short-term borrowings</w:t>
            </w:r>
          </w:p>
        </w:tc>
        <w:tc>
          <w:tcPr>
            <w:tcW w:w="4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10,298</w:t>
            </w: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40" w:type="dxa"/>
            <w:vAlign w:val="bottom"/>
          </w:tcPr>
          <w:p>
            <w:pPr>
              <w:jc w:val="right"/>
              <w:ind w:right="4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780" w:type="dxa"/>
            <w:vAlign w:val="bottom"/>
            <w:shd w:val="clear" w:color="auto" w:fill="CCEEFF"/>
          </w:tcPr>
          <w:p>
            <w:pPr>
              <w:spacing w:after="0"/>
              <w:rPr>
                <w:sz w:val="20"/>
                <w:szCs w:val="20"/>
                <w:color w:val="auto"/>
              </w:rPr>
            </w:pPr>
            <w:r>
              <w:rPr>
                <w:rFonts w:ascii="Arial" w:cs="Arial" w:eastAsia="Arial" w:hAnsi="Arial"/>
                <w:sz w:val="16"/>
                <w:szCs w:val="16"/>
                <w:color w:val="auto"/>
              </w:rPr>
              <w:t>Capital lease obligations</w:t>
            </w:r>
          </w:p>
        </w:tc>
        <w:tc>
          <w:tcPr>
            <w:tcW w:w="4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22</w:t>
            </w:r>
          </w:p>
        </w:tc>
        <w:tc>
          <w:tcPr>
            <w:tcW w:w="1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40" w:type="dxa"/>
            <w:vAlign w:val="bottom"/>
            <w:tcBorders>
              <w:right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491</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780" w:type="dxa"/>
            <w:vAlign w:val="bottom"/>
            <w:tcBorders>
              <w:bottom w:val="single" w:sz="8" w:color="CCEEFF"/>
            </w:tcBorders>
          </w:tcPr>
          <w:p>
            <w:pPr>
              <w:spacing w:after="0"/>
              <w:rPr>
                <w:sz w:val="20"/>
                <w:szCs w:val="20"/>
                <w:color w:val="auto"/>
              </w:rPr>
            </w:pPr>
            <w:r>
              <w:rPr>
                <w:rFonts w:ascii="Arial" w:cs="Arial" w:eastAsia="Arial" w:hAnsi="Arial"/>
                <w:sz w:val="16"/>
                <w:szCs w:val="16"/>
                <w:color w:val="auto"/>
              </w:rPr>
              <w:t>Debt issuance costs</w:t>
            </w:r>
          </w:p>
        </w:tc>
        <w:tc>
          <w:tcPr>
            <w:tcW w:w="44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(2,896)</w:t>
            </w:r>
          </w:p>
        </w:tc>
        <w:tc>
          <w:tcPr>
            <w:tcW w:w="14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(3,706)</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3780" w:type="dxa"/>
            <w:vAlign w:val="bottom"/>
            <w:shd w:val="clear" w:color="auto" w:fill="CCEEFF"/>
          </w:tcPr>
          <w:p>
            <w:pPr>
              <w:ind w:left="520"/>
              <w:spacing w:after="0"/>
              <w:rPr>
                <w:sz w:val="20"/>
                <w:szCs w:val="20"/>
                <w:color w:val="auto"/>
              </w:rPr>
            </w:pPr>
            <w:r>
              <w:rPr>
                <w:rFonts w:ascii="Arial" w:cs="Arial" w:eastAsia="Arial" w:hAnsi="Arial"/>
                <w:sz w:val="16"/>
                <w:szCs w:val="16"/>
                <w:color w:val="auto"/>
              </w:rPr>
              <w:t>Total</w:t>
            </w:r>
          </w:p>
        </w:tc>
        <w:tc>
          <w:tcPr>
            <w:tcW w:w="4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464,053</w:t>
            </w:r>
          </w:p>
        </w:tc>
        <w:tc>
          <w:tcPr>
            <w:tcW w:w="1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40" w:type="dxa"/>
            <w:vAlign w:val="bottom"/>
            <w:tcBorders>
              <w:right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409,593</w:t>
            </w: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3780" w:type="dxa"/>
            <w:vAlign w:val="bottom"/>
          </w:tcPr>
          <w:p>
            <w:pPr>
              <w:ind w:left="520"/>
              <w:spacing w:after="0"/>
              <w:rPr>
                <w:sz w:val="20"/>
                <w:szCs w:val="20"/>
                <w:color w:val="auto"/>
              </w:rPr>
            </w:pPr>
            <w:r>
              <w:rPr>
                <w:rFonts w:ascii="Arial" w:cs="Arial" w:eastAsia="Arial" w:hAnsi="Arial"/>
                <w:sz w:val="16"/>
                <w:szCs w:val="16"/>
                <w:color w:val="auto"/>
              </w:rPr>
              <w:t>Less: short-term debt and current portion of</w:t>
            </w:r>
          </w:p>
        </w:tc>
        <w:tc>
          <w:tcPr>
            <w:tcW w:w="4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3780" w:type="dxa"/>
            <w:vAlign w:val="bottom"/>
            <w:tcBorders>
              <w:bottom w:val="single" w:sz="8" w:color="CCEEFF"/>
            </w:tcBorders>
          </w:tcPr>
          <w:p>
            <w:pPr>
              <w:ind w:left="520"/>
              <w:spacing w:after="0"/>
              <w:rPr>
                <w:sz w:val="20"/>
                <w:szCs w:val="20"/>
                <w:color w:val="auto"/>
              </w:rPr>
            </w:pPr>
            <w:r>
              <w:rPr>
                <w:rFonts w:ascii="Arial" w:cs="Arial" w:eastAsia="Arial" w:hAnsi="Arial"/>
                <w:sz w:val="16"/>
                <w:szCs w:val="16"/>
                <w:color w:val="auto"/>
              </w:rPr>
              <w:t>long-term debt</w:t>
            </w:r>
          </w:p>
        </w:tc>
        <w:tc>
          <w:tcPr>
            <w:tcW w:w="44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47,083</w:t>
            </w:r>
          </w:p>
        </w:tc>
        <w:tc>
          <w:tcPr>
            <w:tcW w:w="14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ind w:right="40"/>
              <w:spacing w:after="0"/>
              <w:rPr>
                <w:sz w:val="20"/>
                <w:szCs w:val="20"/>
                <w:color w:val="auto"/>
              </w:rPr>
            </w:pPr>
            <w:r>
              <w:rPr>
                <w:rFonts w:ascii="Arial" w:cs="Arial" w:eastAsia="Arial" w:hAnsi="Arial"/>
                <w:sz w:val="16"/>
                <w:szCs w:val="16"/>
                <w:color w:val="auto"/>
              </w:rPr>
              <w:t>61,245</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3780" w:type="dxa"/>
            <w:vAlign w:val="bottom"/>
            <w:shd w:val="clear" w:color="auto" w:fill="CCEEFF"/>
          </w:tcPr>
          <w:p>
            <w:pPr>
              <w:ind w:left="520"/>
              <w:spacing w:after="0" w:line="176" w:lineRule="exact"/>
              <w:rPr>
                <w:sz w:val="20"/>
                <w:szCs w:val="20"/>
                <w:color w:val="auto"/>
              </w:rPr>
            </w:pPr>
            <w:r>
              <w:rPr>
                <w:rFonts w:ascii="Arial" w:cs="Arial" w:eastAsia="Arial" w:hAnsi="Arial"/>
                <w:sz w:val="16"/>
                <w:szCs w:val="16"/>
                <w:color w:val="auto"/>
              </w:rPr>
              <w:t>Total long-term debt and capital lease</w:t>
            </w:r>
          </w:p>
        </w:tc>
        <w:tc>
          <w:tcPr>
            <w:tcW w:w="580" w:type="dxa"/>
            <w:vAlign w:val="bottom"/>
            <w:gridSpan w:val="2"/>
            <w:vMerge w:val="restart"/>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112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416,970</w:t>
            </w:r>
          </w:p>
        </w:tc>
        <w:tc>
          <w:tcPr>
            <w:tcW w:w="320" w:type="dxa"/>
            <w:vAlign w:val="bottom"/>
            <w:gridSpan w:val="2"/>
            <w:vMerge w:val="restart"/>
            <w:shd w:val="clear" w:color="auto" w:fill="CCEEFF"/>
          </w:tcPr>
          <w:p>
            <w:pPr>
              <w:ind w:left="140"/>
              <w:spacing w:after="0"/>
              <w:rPr>
                <w:sz w:val="20"/>
                <w:szCs w:val="20"/>
                <w:color w:val="auto"/>
              </w:rPr>
            </w:pPr>
            <w:r>
              <w:rPr>
                <w:rFonts w:ascii="Arial" w:cs="Arial" w:eastAsia="Arial" w:hAnsi="Arial"/>
                <w:sz w:val="16"/>
                <w:szCs w:val="16"/>
                <w:color w:val="auto"/>
              </w:rPr>
              <w:t>$</w:t>
            </w:r>
          </w:p>
        </w:tc>
        <w:tc>
          <w:tcPr>
            <w:tcW w:w="740" w:type="dxa"/>
            <w:vAlign w:val="bottom"/>
            <w:tcBorders>
              <w:right w:val="single" w:sz="8" w:color="CCEEFF"/>
            </w:tcBorders>
            <w:vMerge w:val="restart"/>
            <w:shd w:val="clear" w:color="auto" w:fill="CCEEFF"/>
          </w:tcPr>
          <w:p>
            <w:pPr>
              <w:jc w:val="right"/>
              <w:ind w:right="40"/>
              <w:spacing w:after="0"/>
              <w:rPr>
                <w:sz w:val="20"/>
                <w:szCs w:val="20"/>
                <w:color w:val="auto"/>
              </w:rPr>
            </w:pPr>
            <w:r>
              <w:rPr>
                <w:rFonts w:ascii="Arial" w:cs="Arial" w:eastAsia="Arial" w:hAnsi="Arial"/>
                <w:sz w:val="16"/>
                <w:szCs w:val="16"/>
                <w:color w:val="auto"/>
              </w:rPr>
              <w:t>348,348</w:t>
            </w:r>
          </w:p>
        </w:tc>
        <w:tc>
          <w:tcPr>
            <w:tcW w:w="0" w:type="dxa"/>
            <w:vAlign w:val="bottom"/>
          </w:tcPr>
          <w:p>
            <w:pPr>
              <w:spacing w:after="0"/>
              <w:rPr>
                <w:sz w:val="1"/>
                <w:szCs w:val="1"/>
                <w:color w:val="auto"/>
              </w:rPr>
            </w:pPr>
          </w:p>
        </w:tc>
      </w:tr>
      <w:tr>
        <w:trPr>
          <w:trHeight w:val="199"/>
        </w:trPr>
        <w:tc>
          <w:tcPr>
            <w:tcW w:w="20" w:type="dxa"/>
            <w:vAlign w:val="bottom"/>
          </w:tcPr>
          <w:p>
            <w:pPr>
              <w:spacing w:after="0"/>
              <w:rPr>
                <w:sz w:val="17"/>
                <w:szCs w:val="17"/>
                <w:color w:val="auto"/>
              </w:rPr>
            </w:pPr>
          </w:p>
        </w:tc>
        <w:tc>
          <w:tcPr>
            <w:tcW w:w="3780" w:type="dxa"/>
            <w:vAlign w:val="bottom"/>
            <w:shd w:val="clear" w:color="auto" w:fill="CCEEFF"/>
          </w:tcPr>
          <w:p>
            <w:pPr>
              <w:ind w:left="520"/>
              <w:spacing w:after="0"/>
              <w:rPr>
                <w:sz w:val="20"/>
                <w:szCs w:val="20"/>
                <w:color w:val="auto"/>
              </w:rPr>
            </w:pPr>
            <w:r>
              <w:rPr>
                <w:rFonts w:ascii="Arial" w:cs="Arial" w:eastAsia="Arial" w:hAnsi="Arial"/>
                <w:sz w:val="16"/>
                <w:szCs w:val="16"/>
                <w:color w:val="auto"/>
              </w:rPr>
              <w:t>obligations</w:t>
            </w:r>
          </w:p>
        </w:tc>
        <w:tc>
          <w:tcPr>
            <w:tcW w:w="580" w:type="dxa"/>
            <w:vAlign w:val="bottom"/>
            <w:gridSpan w:val="2"/>
            <w:vMerge w:val="continue"/>
            <w:shd w:val="clear" w:color="auto" w:fill="CCEEFF"/>
          </w:tcPr>
          <w:p>
            <w:pPr>
              <w:spacing w:after="0"/>
              <w:rPr>
                <w:sz w:val="17"/>
                <w:szCs w:val="17"/>
                <w:color w:val="auto"/>
              </w:rPr>
            </w:pPr>
          </w:p>
        </w:tc>
        <w:tc>
          <w:tcPr>
            <w:tcW w:w="1120" w:type="dxa"/>
            <w:vAlign w:val="bottom"/>
            <w:vMerge w:val="continue"/>
            <w:shd w:val="clear" w:color="auto" w:fill="CCEEFF"/>
          </w:tcPr>
          <w:p>
            <w:pPr>
              <w:spacing w:after="0"/>
              <w:rPr>
                <w:sz w:val="17"/>
                <w:szCs w:val="17"/>
                <w:color w:val="auto"/>
              </w:rPr>
            </w:pPr>
          </w:p>
        </w:tc>
        <w:tc>
          <w:tcPr>
            <w:tcW w:w="320" w:type="dxa"/>
            <w:vAlign w:val="bottom"/>
            <w:gridSpan w:val="2"/>
            <w:vMerge w:val="continue"/>
            <w:shd w:val="clear" w:color="auto" w:fill="CCEEFF"/>
          </w:tcPr>
          <w:p>
            <w:pPr>
              <w:spacing w:after="0"/>
              <w:rPr>
                <w:sz w:val="17"/>
                <w:szCs w:val="17"/>
                <w:color w:val="auto"/>
              </w:rPr>
            </w:pPr>
          </w:p>
        </w:tc>
        <w:tc>
          <w:tcPr>
            <w:tcW w:w="740" w:type="dxa"/>
            <w:vAlign w:val="bottom"/>
            <w:tcBorders>
              <w:right w:val="single" w:sz="8" w:color="CCEEFF"/>
            </w:tcBorders>
            <w:vMerge w:val="continue"/>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3780" w:type="dxa"/>
            <w:vAlign w:val="bottom"/>
            <w:shd w:val="clear" w:color="auto" w:fill="CCEEFF"/>
          </w:tcPr>
          <w:p>
            <w:pPr>
              <w:spacing w:after="0"/>
              <w:rPr>
                <w:sz w:val="2"/>
                <w:szCs w:val="2"/>
                <w:color w:val="auto"/>
              </w:rPr>
            </w:pPr>
          </w:p>
        </w:tc>
        <w:tc>
          <w:tcPr>
            <w:tcW w:w="440" w:type="dxa"/>
            <w:vAlign w:val="bottom"/>
            <w:shd w:val="clear" w:color="auto" w:fill="CCEEFF"/>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1120" w:type="dxa"/>
            <w:vAlign w:val="bottom"/>
            <w:shd w:val="clear" w:color="auto" w:fill="000000"/>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740" w:type="dxa"/>
            <w:vAlign w:val="bottom"/>
            <w:tcBorders>
              <w:right w:val="single" w:sz="8" w:color="CCEEFF"/>
            </w:tcBorders>
            <w:shd w:val="clear" w:color="auto" w:fill="000000"/>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ind w:left="1240" w:right="1239" w:firstLine="648"/>
        <w:spacing w:after="0" w:line="342" w:lineRule="auto"/>
        <w:rPr>
          <w:sz w:val="20"/>
          <w:szCs w:val="20"/>
          <w:color w:val="auto"/>
        </w:rPr>
      </w:pPr>
      <w:r>
        <w:rPr>
          <w:rFonts w:ascii="Arial" w:cs="Arial" w:eastAsia="Arial" w:hAnsi="Arial"/>
          <w:sz w:val="16"/>
          <w:szCs w:val="16"/>
          <w:color w:val="auto"/>
        </w:rPr>
        <w:t>The debt issuance costs of $2.9 million and $3.7 million as of December 31, 2017 and 2016, respectively relate to the term loan and delayed draw term loan A facility.</w:t>
      </w:r>
    </w:p>
    <w:p>
      <w:pPr>
        <w:spacing w:after="0" w:line="120"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Senior Secured Credit Facility</w:t>
      </w:r>
    </w:p>
    <w:p>
      <w:pPr>
        <w:spacing w:after="0" w:line="229" w:lineRule="exact"/>
        <w:rPr>
          <w:sz w:val="20"/>
          <w:szCs w:val="20"/>
          <w:color w:val="auto"/>
        </w:rPr>
      </w:pPr>
    </w:p>
    <w:p>
      <w:pPr>
        <w:ind w:left="1240" w:right="1239" w:firstLine="648"/>
        <w:spacing w:after="0" w:line="217" w:lineRule="exact"/>
        <w:rPr>
          <w:sz w:val="20"/>
          <w:szCs w:val="20"/>
          <w:color w:val="auto"/>
        </w:rPr>
      </w:pPr>
      <w:r>
        <w:rPr>
          <w:rFonts w:ascii="Arial" w:cs="Arial" w:eastAsia="Arial" w:hAnsi="Arial"/>
          <w:sz w:val="16"/>
          <w:szCs w:val="16"/>
          <w:color w:val="auto"/>
        </w:rPr>
        <w:t>On April 27, 2016, the Company entered into a senior secured credit facilities agreement arranged by Wells Fargo Bank, National Association which provides for (i) a $275.0 million multi</w:t>
      </w:r>
      <w:r>
        <w:rPr>
          <w:rFonts w:ascii="MS PGothic" w:cs="MS PGothic" w:eastAsia="MS PGothic" w:hAnsi="MS PGothic"/>
          <w:sz w:val="16"/>
          <w:szCs w:val="16"/>
          <w:color w:val="auto"/>
        </w:rPr>
        <w:t>‑</w:t>
      </w:r>
      <w:r>
        <w:rPr>
          <w:rFonts w:ascii="Arial" w:cs="Arial" w:eastAsia="Arial" w:hAnsi="Arial"/>
          <w:sz w:val="16"/>
          <w:szCs w:val="16"/>
          <w:color w:val="auto"/>
        </w:rPr>
        <w:t>currency revolving credit facility, initially including a $20.0 million letter of credit sublimit, a $25.0 million swing line sublimit, a C$25.0 million sublimit for Acushnet Canada, Inc., a £20.0 million sublimit for Acushnet Europe Limited and an alternative currency sublimit of $100.0 million for borrowings in Canadian dollars, euros, pounds sterling and Japanese yen (“revolving credit facility”), (ii) a $375.0 million term loan A facility and (iii) a $100.0 million delayed draw term loan A facility. The revolving and term loan facilities mature on July 28, 2021. On August 9, 2017, the senior secured credit facilities agreement was amended to increase the letter of credit sublimit to $25.0 million, to increase the sublimit for Acushnet Canada Inc. to C$35.0 million and to increase the sublimit for Acushnet Europe Limited to £30.0 million. The credit agreement allows for the incurrence of additional term loans or increases in the revolving credit facility in an aggregate principal amount not to exceed (i) $200.0 million plus (ii) an unlimited amount so long as the net average secured leverage ratio (as defined in the credit agreement) does not exceed 2.00:1.00 on a pro forma basis. The applicable interest rate for the Canadian borrowings under the senior secured credit facility is based on the Canadian Dollar Offered Rate (“CDOR”) plus a margin ranging from 1.25% to 2.00% depending on the Net Average Total Leverage Ratio as defined in the credit agreement. The applicable interest for the swing line sublimit is the highest of (a) Federal Funds Rate plus 0.50%, (b) the Prime Rate and (c) the one-month London Interbank Offered Rate (“LIBOR”) rate plus 1.00% plus a margin ranging from 0.25% to 1.00% depending on the Net Average Total Leverage Ratio as defined in the credit agreement. The applicable interest rate for all remaining borrowings under the senior secured credit facilities is LIBOR plus a margin ranging from 1.25% to 2.00% depending on the Net Average Total Leverage Ratio as defined in the credit agreement or the highest of (a) the Federal Funds Rate plus 0.50%,</w:t>
      </w:r>
    </w:p>
    <w:p>
      <w:pPr>
        <w:spacing w:after="0" w:line="12" w:lineRule="exact"/>
        <w:rPr>
          <w:sz w:val="20"/>
          <w:szCs w:val="20"/>
          <w:color w:val="auto"/>
        </w:rPr>
      </w:pPr>
    </w:p>
    <w:p>
      <w:pPr>
        <w:ind w:left="1240" w:right="1459" w:hanging="7"/>
        <w:spacing w:after="0" w:line="253" w:lineRule="auto"/>
        <w:tabs>
          <w:tab w:leader="none" w:pos="1495" w:val="left"/>
        </w:tabs>
        <w:numPr>
          <w:ilvl w:val="0"/>
          <w:numId w:val="34"/>
        </w:numPr>
        <w:rPr>
          <w:rFonts w:ascii="Arial" w:cs="Arial" w:eastAsia="Arial" w:hAnsi="Arial"/>
          <w:sz w:val="18"/>
          <w:szCs w:val="18"/>
          <w:color w:val="auto"/>
        </w:rPr>
      </w:pPr>
      <w:r>
        <w:rPr>
          <w:rFonts w:ascii="Arial" w:cs="Arial" w:eastAsia="Arial" w:hAnsi="Arial"/>
          <w:sz w:val="18"/>
          <w:szCs w:val="18"/>
          <w:color w:val="auto"/>
        </w:rPr>
        <w:t>the Prime Rate and (c) the one month LIBOR rate plus 1.00% plus a margin ranging from 0.25% to 1.00% depending on the Net Average Total Leverage Ratio as defined in the credit agreement. The senior secured credit facilities are secured by certain assets, including inventory, accounts receivable, fixed assets and intangible assets of the Company.</w:t>
      </w:r>
    </w:p>
    <w:p>
      <w:pPr>
        <w:spacing w:after="0" w:line="191" w:lineRule="exact"/>
        <w:rPr>
          <w:sz w:val="20"/>
          <w:szCs w:val="20"/>
          <w:color w:val="auto"/>
        </w:rPr>
      </w:pPr>
    </w:p>
    <w:p>
      <w:pPr>
        <w:ind w:left="1240" w:right="1219" w:firstLine="648"/>
        <w:spacing w:after="0" w:line="217" w:lineRule="exact"/>
        <w:rPr>
          <w:sz w:val="20"/>
          <w:szCs w:val="20"/>
          <w:color w:val="auto"/>
        </w:rPr>
      </w:pPr>
      <w:r>
        <w:rPr>
          <w:rFonts w:ascii="Arial" w:cs="Arial" w:eastAsia="Arial" w:hAnsi="Arial"/>
          <w:sz w:val="17"/>
          <w:szCs w:val="17"/>
          <w:color w:val="auto"/>
        </w:rPr>
        <w:t>Interest on borrowings under the credit agreement is payable (1) on the last day of any interest period with respect to Eurodollar borrowings with an applicable interest period of three months or less, (2) every three months with respect to Eurodollar borrowings with an interest period of greater than three months or (3) on the last business day of each March, June, September and December with respect to base rate borrowings and swing line borrowings. In addition, beginning with the date of the initial funding under the credit agreement, the Company is required to pay a commitment fee on any unutilized commitments under the revolving credit facility and the new delayed draw term loan A facility. The initial commitment fee rate is 0.30% per annum and ranges from 0.20% to 0.35% based upon a leverage</w:t>
      </w:r>
      <w:r>
        <w:rPr>
          <w:rFonts w:ascii="MS PGothic" w:cs="MS PGothic" w:eastAsia="MS PGothic" w:hAnsi="MS PGothic"/>
          <w:sz w:val="17"/>
          <w:szCs w:val="17"/>
          <w:color w:val="auto"/>
        </w:rPr>
        <w:t>‑</w:t>
      </w:r>
      <w:r>
        <w:rPr>
          <w:rFonts w:ascii="Arial" w:cs="Arial" w:eastAsia="Arial" w:hAnsi="Arial"/>
          <w:sz w:val="17"/>
          <w:szCs w:val="17"/>
          <w:color w:val="auto"/>
        </w:rPr>
        <w:t>based pricing grid. The Company is also required to pay customary letter of credit fees.</w:t>
      </w:r>
    </w:p>
    <w:p>
      <w:pPr>
        <w:spacing w:after="0" w:line="200" w:lineRule="exact"/>
        <w:rPr>
          <w:sz w:val="20"/>
          <w:szCs w:val="20"/>
          <w:color w:val="auto"/>
        </w:rPr>
      </w:pPr>
    </w:p>
    <w:p>
      <w:pPr>
        <w:spacing w:after="0" w:line="226"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F-22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786765</wp:posOffset>
            </wp:positionH>
            <wp:positionV relativeFrom="paragraph">
              <wp:posOffset>83185</wp:posOffset>
            </wp:positionV>
            <wp:extent cx="4159250" cy="2603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46">
                      <a:extLst>
                        <a:ext uri="{28A0092B-C50C-407E-A947-70E740481C1C}"/>
                      </a:extLst>
                    </a:blip>
                    <a:srcRect/>
                    <a:stretch>
                      <a:fillRect/>
                    </a:stretch>
                  </pic:blipFill>
                  <pic:spPr bwMode="auto">
                    <a:xfrm>
                      <a:off x="0" y="0"/>
                      <a:ext cx="4159250" cy="26035"/>
                    </a:xfrm>
                    <a:prstGeom prst="rect">
                      <a:avLst/>
                    </a:prstGeom>
                    <a:noFill/>
                  </pic:spPr>
                </pic:pic>
              </a:graphicData>
            </a:graphic>
          </wp:anchor>
        </w:drawing>
      </w:r>
    </w:p>
    <w:p>
      <w:pPr>
        <w:sectPr>
          <w:pgSz w:w="11900" w:h="16838" w:orient="portrait"/>
          <w:cols w:equalWidth="0" w:num="1">
            <w:col w:w="9019"/>
          </w:cols>
          <w:pgMar w:left="1440" w:top="125" w:right="1440" w:bottom="451" w:gutter="0" w:footer="0" w:header="0"/>
        </w:sectPr>
      </w:pPr>
    </w:p>
    <w:bookmarkStart w:id="116" w:name="page117"/>
    <w:bookmarkEnd w:id="116"/>
    <w:p>
      <w:pPr>
        <w:ind w:left="124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1240" w:right="1519" w:firstLine="648"/>
        <w:spacing w:after="0" w:line="277" w:lineRule="auto"/>
        <w:rPr>
          <w:sz w:val="20"/>
          <w:szCs w:val="20"/>
          <w:color w:val="auto"/>
        </w:rPr>
      </w:pPr>
      <w:r>
        <w:rPr>
          <w:rFonts w:ascii="Arial" w:cs="Arial" w:eastAsia="Arial" w:hAnsi="Arial"/>
          <w:sz w:val="18"/>
          <w:szCs w:val="18"/>
          <w:color w:val="auto"/>
        </w:rPr>
        <w:t>The credit agreement requires the Company to prepay outstanding term loans, subject to certain exceptions, with:</w:t>
      </w:r>
    </w:p>
    <w:p>
      <w:pPr>
        <w:spacing w:after="0" w:line="170" w:lineRule="exact"/>
        <w:rPr>
          <w:sz w:val="20"/>
          <w:szCs w:val="20"/>
          <w:color w:val="auto"/>
        </w:rPr>
      </w:pPr>
    </w:p>
    <w:p>
      <w:pPr>
        <w:ind w:left="2200" w:right="1299" w:hanging="319"/>
        <w:spacing w:after="0" w:line="220" w:lineRule="exact"/>
        <w:tabs>
          <w:tab w:leader="none" w:pos="2200" w:val="left"/>
        </w:tabs>
        <w:numPr>
          <w:ilvl w:val="0"/>
          <w:numId w:val="35"/>
        </w:numPr>
        <w:rPr>
          <w:rFonts w:ascii="Arial" w:cs="Arial" w:eastAsia="Arial" w:hAnsi="Arial"/>
          <w:sz w:val="16"/>
          <w:szCs w:val="16"/>
          <w:color w:val="auto"/>
        </w:rPr>
      </w:pPr>
      <w:r>
        <w:rPr>
          <w:rFonts w:ascii="Arial" w:cs="Arial" w:eastAsia="Arial" w:hAnsi="Arial"/>
          <w:sz w:val="16"/>
          <w:szCs w:val="16"/>
          <w:color w:val="auto"/>
        </w:rPr>
        <w:t>100% of the net cash proceeds of all non</w:t>
      </w:r>
      <w:r>
        <w:rPr>
          <w:rFonts w:ascii="MS PGothic" w:cs="MS PGothic" w:eastAsia="MS PGothic" w:hAnsi="MS PGothic"/>
          <w:sz w:val="16"/>
          <w:szCs w:val="16"/>
          <w:color w:val="auto"/>
        </w:rPr>
        <w:t>‑</w:t>
      </w:r>
      <w:r>
        <w:rPr>
          <w:rFonts w:ascii="Arial" w:cs="Arial" w:eastAsia="Arial" w:hAnsi="Arial"/>
          <w:sz w:val="16"/>
          <w:szCs w:val="16"/>
          <w:color w:val="auto"/>
        </w:rPr>
        <w:t>ordinary course asset sales or other dispositions of property by the Company and its restricted subsidiaries (including insurance and condemnation proceeds, subject to de minimis thresholds), (1) if the Company does not reinvest those net cash proceeds in</w:t>
      </w:r>
    </w:p>
    <w:p>
      <w:pPr>
        <w:spacing w:after="0" w:line="2" w:lineRule="exact"/>
        <w:rPr>
          <w:sz w:val="20"/>
          <w:szCs w:val="20"/>
          <w:color w:val="auto"/>
        </w:rPr>
      </w:pPr>
    </w:p>
    <w:p>
      <w:pPr>
        <w:ind w:left="2200" w:right="1539"/>
        <w:spacing w:after="0" w:line="281" w:lineRule="auto"/>
        <w:rPr>
          <w:sz w:val="20"/>
          <w:szCs w:val="20"/>
          <w:color w:val="auto"/>
        </w:rPr>
      </w:pPr>
      <w:r>
        <w:rPr>
          <w:rFonts w:ascii="Arial" w:cs="Arial" w:eastAsia="Arial" w:hAnsi="Arial"/>
          <w:sz w:val="16"/>
          <w:szCs w:val="16"/>
          <w:color w:val="auto"/>
        </w:rPr>
        <w:t>assets to be used in its business or to make certain other permitted investments, within 12 months of the receipt of such net cash proceeds or</w:t>
      </w:r>
    </w:p>
    <w:p>
      <w:pPr>
        <w:spacing w:after="0" w:line="1" w:lineRule="exact"/>
        <w:rPr>
          <w:sz w:val="20"/>
          <w:szCs w:val="20"/>
          <w:color w:val="auto"/>
        </w:rPr>
      </w:pPr>
    </w:p>
    <w:p>
      <w:pPr>
        <w:ind w:left="2460" w:hanging="255"/>
        <w:spacing w:after="0"/>
        <w:tabs>
          <w:tab w:leader="none" w:pos="2460" w:val="left"/>
        </w:tabs>
        <w:numPr>
          <w:ilvl w:val="1"/>
          <w:numId w:val="36"/>
        </w:numPr>
        <w:rPr>
          <w:rFonts w:ascii="Arial" w:cs="Arial" w:eastAsia="Arial" w:hAnsi="Arial"/>
          <w:sz w:val="18"/>
          <w:szCs w:val="18"/>
          <w:color w:val="auto"/>
        </w:rPr>
      </w:pPr>
      <w:r>
        <w:rPr>
          <w:rFonts w:ascii="Arial" w:cs="Arial" w:eastAsia="Arial" w:hAnsi="Arial"/>
          <w:sz w:val="18"/>
          <w:szCs w:val="18"/>
          <w:color w:val="auto"/>
        </w:rPr>
        <w:t>if the Company commits to reinvest such net cash proceeds within</w:t>
      </w:r>
    </w:p>
    <w:p>
      <w:pPr>
        <w:spacing w:after="0" w:line="9" w:lineRule="exact"/>
        <w:rPr>
          <w:rFonts w:ascii="Arial" w:cs="Arial" w:eastAsia="Arial" w:hAnsi="Arial"/>
          <w:sz w:val="18"/>
          <w:szCs w:val="18"/>
          <w:color w:val="auto"/>
        </w:rPr>
      </w:pPr>
    </w:p>
    <w:p>
      <w:pPr>
        <w:ind w:left="2200" w:right="1919"/>
        <w:spacing w:after="0" w:line="290" w:lineRule="auto"/>
        <w:rPr>
          <w:rFonts w:ascii="Arial" w:cs="Arial" w:eastAsia="Arial" w:hAnsi="Arial"/>
          <w:sz w:val="18"/>
          <w:szCs w:val="18"/>
          <w:color w:val="auto"/>
        </w:rPr>
      </w:pPr>
      <w:r>
        <w:rPr>
          <w:rFonts w:ascii="Arial" w:cs="Arial" w:eastAsia="Arial" w:hAnsi="Arial"/>
          <w:sz w:val="17"/>
          <w:szCs w:val="17"/>
          <w:color w:val="auto"/>
        </w:rPr>
        <w:t>12 months of the receipt thereof, but does not reinvest such net cash proceeds within 18 months of the receipt thereof; and</w:t>
      </w:r>
    </w:p>
    <w:p>
      <w:pPr>
        <w:spacing w:after="0" w:line="161" w:lineRule="exact"/>
        <w:rPr>
          <w:rFonts w:ascii="Arial" w:cs="Arial" w:eastAsia="Arial" w:hAnsi="Arial"/>
          <w:sz w:val="18"/>
          <w:szCs w:val="18"/>
          <w:color w:val="auto"/>
        </w:rPr>
      </w:pPr>
    </w:p>
    <w:p>
      <w:pPr>
        <w:ind w:left="2200" w:right="1699" w:hanging="319"/>
        <w:spacing w:after="0" w:line="264" w:lineRule="auto"/>
        <w:tabs>
          <w:tab w:leader="none" w:pos="2200" w:val="left"/>
        </w:tabs>
        <w:numPr>
          <w:ilvl w:val="0"/>
          <w:numId w:val="36"/>
        </w:numPr>
        <w:rPr>
          <w:rFonts w:ascii="Arial" w:cs="Arial" w:eastAsia="Arial" w:hAnsi="Arial"/>
          <w:sz w:val="18"/>
          <w:szCs w:val="18"/>
          <w:color w:val="auto"/>
        </w:rPr>
      </w:pPr>
      <w:r>
        <w:rPr>
          <w:rFonts w:ascii="Arial" w:cs="Arial" w:eastAsia="Arial" w:hAnsi="Arial"/>
          <w:sz w:val="18"/>
          <w:szCs w:val="18"/>
          <w:color w:val="auto"/>
        </w:rPr>
        <w:t>100% of the net proceeds of any issuance or incurrence of debt by the Company or any of its restricted subsidiaries, other than debt permitted under the credit agreement.</w:t>
      </w:r>
    </w:p>
    <w:p>
      <w:pPr>
        <w:spacing w:after="0" w:line="181" w:lineRule="exact"/>
        <w:rPr>
          <w:sz w:val="20"/>
          <w:szCs w:val="20"/>
          <w:color w:val="auto"/>
        </w:rPr>
      </w:pPr>
    </w:p>
    <w:p>
      <w:pPr>
        <w:ind w:left="1240" w:right="1219" w:firstLine="648"/>
        <w:spacing w:after="0" w:line="257" w:lineRule="auto"/>
        <w:rPr>
          <w:sz w:val="20"/>
          <w:szCs w:val="20"/>
          <w:color w:val="auto"/>
        </w:rPr>
      </w:pPr>
      <w:r>
        <w:rPr>
          <w:rFonts w:ascii="Arial" w:cs="Arial" w:eastAsia="Arial" w:hAnsi="Arial"/>
          <w:sz w:val="18"/>
          <w:szCs w:val="18"/>
          <w:color w:val="auto"/>
        </w:rPr>
        <w:t>The foregoing mandatory prepayments are used to reduce the installments of principal in such order: first, to prepay outstanding loans under the term loan A facility, the delayed draw term loan A facility and any incremental term loans on a pro rata basis in direct order of maturity and second, to prepay outstanding loans under the revolving credit facility.</w:t>
      </w:r>
    </w:p>
    <w:p>
      <w:pPr>
        <w:spacing w:after="0" w:line="188" w:lineRule="exact"/>
        <w:rPr>
          <w:sz w:val="20"/>
          <w:szCs w:val="20"/>
          <w:color w:val="auto"/>
        </w:rPr>
      </w:pPr>
    </w:p>
    <w:p>
      <w:pPr>
        <w:ind w:left="1240" w:right="1259" w:firstLine="648"/>
        <w:spacing w:after="0" w:line="259" w:lineRule="auto"/>
        <w:rPr>
          <w:sz w:val="20"/>
          <w:szCs w:val="20"/>
          <w:color w:val="auto"/>
        </w:rPr>
      </w:pPr>
      <w:r>
        <w:rPr>
          <w:rFonts w:ascii="Arial" w:cs="Arial" w:eastAsia="Arial" w:hAnsi="Arial"/>
          <w:sz w:val="18"/>
          <w:szCs w:val="18"/>
          <w:color w:val="auto"/>
        </w:rPr>
        <w:t>The Company may voluntarily repay outstanding loans under the credit agreement at any time without premium or penalty, other than customary “breakage” costs with respect to Eurodollar loans. Any optional prepayment of term loans will be applied as directed by the Company.</w:t>
      </w:r>
    </w:p>
    <w:p>
      <w:pPr>
        <w:spacing w:after="0" w:line="187" w:lineRule="exact"/>
        <w:rPr>
          <w:sz w:val="20"/>
          <w:szCs w:val="20"/>
          <w:color w:val="auto"/>
        </w:rPr>
      </w:pPr>
    </w:p>
    <w:p>
      <w:pPr>
        <w:ind w:left="1240" w:right="1259" w:firstLine="648"/>
        <w:spacing w:after="0" w:line="286" w:lineRule="auto"/>
        <w:rPr>
          <w:sz w:val="20"/>
          <w:szCs w:val="20"/>
          <w:color w:val="auto"/>
        </w:rPr>
      </w:pPr>
      <w:r>
        <w:rPr>
          <w:rFonts w:ascii="Arial" w:cs="Arial" w:eastAsia="Arial" w:hAnsi="Arial"/>
          <w:sz w:val="16"/>
          <w:szCs w:val="16"/>
          <w:color w:val="auto"/>
        </w:rPr>
        <w:t>The Company is required to make principal payments on the loans under the term loan facilities in quarterly installments in aggregate annual amounts equal to (i) 5.00% of the original principal amount for the first and second year after July 28, 2016, (ii) 7.50% of the original principal amount for the third and fourth year after July 28, 2016 and</w:t>
      </w:r>
    </w:p>
    <w:p>
      <w:pPr>
        <w:spacing w:after="0" w:line="2" w:lineRule="exact"/>
        <w:rPr>
          <w:sz w:val="20"/>
          <w:szCs w:val="20"/>
          <w:color w:val="auto"/>
        </w:rPr>
      </w:pPr>
    </w:p>
    <w:p>
      <w:pPr>
        <w:ind w:left="1540" w:hanging="307"/>
        <w:spacing w:after="0"/>
        <w:tabs>
          <w:tab w:leader="none" w:pos="1540" w:val="left"/>
        </w:tabs>
        <w:numPr>
          <w:ilvl w:val="0"/>
          <w:numId w:val="37"/>
        </w:numPr>
        <w:rPr>
          <w:rFonts w:ascii="Arial" w:cs="Arial" w:eastAsia="Arial" w:hAnsi="Arial"/>
          <w:sz w:val="18"/>
          <w:szCs w:val="18"/>
          <w:color w:val="auto"/>
        </w:rPr>
      </w:pPr>
      <w:r>
        <w:rPr>
          <w:rFonts w:ascii="Arial" w:cs="Arial" w:eastAsia="Arial" w:hAnsi="Arial"/>
          <w:sz w:val="18"/>
          <w:szCs w:val="18"/>
          <w:color w:val="auto"/>
        </w:rPr>
        <w:t>10.0% of the original principal amount for the fifth year after July 28, 2016. The</w:t>
      </w:r>
    </w:p>
    <w:p>
      <w:pPr>
        <w:spacing w:after="0" w:line="9" w:lineRule="exact"/>
        <w:rPr>
          <w:rFonts w:ascii="Arial" w:cs="Arial" w:eastAsia="Arial" w:hAnsi="Arial"/>
          <w:sz w:val="18"/>
          <w:szCs w:val="18"/>
          <w:color w:val="auto"/>
        </w:rPr>
      </w:pPr>
    </w:p>
    <w:p>
      <w:pPr>
        <w:ind w:left="1240" w:right="1279"/>
        <w:spacing w:after="0" w:line="302" w:lineRule="auto"/>
        <w:rPr>
          <w:rFonts w:ascii="Arial" w:cs="Arial" w:eastAsia="Arial" w:hAnsi="Arial"/>
          <w:sz w:val="18"/>
          <w:szCs w:val="18"/>
          <w:color w:val="auto"/>
        </w:rPr>
      </w:pPr>
      <w:r>
        <w:rPr>
          <w:rFonts w:ascii="Arial" w:cs="Arial" w:eastAsia="Arial" w:hAnsi="Arial"/>
          <w:sz w:val="16"/>
          <w:szCs w:val="16"/>
          <w:color w:val="auto"/>
        </w:rPr>
        <w:t>remaining outstanding amount is payable on July 28, 2021, the maturity date for the term loan facilities. Principal amounts outstanding under the revolving credit facility will be due and payable in full on July 28, 2021, the maturity date for the revolving credit facility.</w:t>
      </w:r>
    </w:p>
    <w:p>
      <w:pPr>
        <w:spacing w:after="0" w:line="155" w:lineRule="exact"/>
        <w:rPr>
          <w:sz w:val="20"/>
          <w:szCs w:val="20"/>
          <w:color w:val="auto"/>
        </w:rPr>
      </w:pPr>
    </w:p>
    <w:p>
      <w:pPr>
        <w:ind w:left="1240" w:right="1359" w:firstLine="648"/>
        <w:spacing w:after="0" w:line="254" w:lineRule="auto"/>
        <w:rPr>
          <w:sz w:val="20"/>
          <w:szCs w:val="20"/>
          <w:color w:val="auto"/>
        </w:rPr>
      </w:pPr>
      <w:r>
        <w:rPr>
          <w:rFonts w:ascii="Arial" w:cs="Arial" w:eastAsia="Arial" w:hAnsi="Arial"/>
          <w:sz w:val="18"/>
          <w:szCs w:val="18"/>
          <w:color w:val="auto"/>
        </w:rPr>
        <w:t>The Company’s credit agreement was signed and became effective on April 27, 2016 and initial funding under the credit agreement occurred on July 28, 2016. The proceeds of the $375.0 million term loan A facility, borrowings of C$4.0 million (equivalent to approximately $3.0 million) under the revolving credit facility and cash on hand of $23.6 million were used to repay all amounts outstanding under the secured floating rate notes and certain former working credit facilities. The secured floating rate notes, certain former working credit facilities and the former senior revolving credit facility were terminated.</w:t>
      </w:r>
    </w:p>
    <w:p>
      <w:pPr>
        <w:spacing w:after="0" w:line="192" w:lineRule="exact"/>
        <w:rPr>
          <w:sz w:val="20"/>
          <w:szCs w:val="20"/>
          <w:color w:val="auto"/>
        </w:rPr>
      </w:pPr>
    </w:p>
    <w:p>
      <w:pPr>
        <w:jc w:val="both"/>
        <w:ind w:left="1240" w:right="1379" w:firstLine="648"/>
        <w:spacing w:after="0" w:line="312" w:lineRule="auto"/>
        <w:rPr>
          <w:sz w:val="20"/>
          <w:szCs w:val="20"/>
          <w:color w:val="auto"/>
        </w:rPr>
      </w:pPr>
      <w:r>
        <w:rPr>
          <w:rFonts w:ascii="Arial" w:cs="Arial" w:eastAsia="Arial" w:hAnsi="Arial"/>
          <w:sz w:val="16"/>
          <w:szCs w:val="16"/>
          <w:color w:val="auto"/>
        </w:rPr>
        <w:t>During the first quarter of 2017, the Company drew down $100.0 million on the delayed draw term loan A facility and $47.8 million under the revolving credit facility to substantially fund the equity appreciation rights plan (“EAR Plan”) payout (Note 17).</w:t>
      </w:r>
    </w:p>
    <w:p>
      <w:pPr>
        <w:spacing w:after="0" w:line="147" w:lineRule="exact"/>
        <w:rPr>
          <w:sz w:val="20"/>
          <w:szCs w:val="20"/>
          <w:color w:val="auto"/>
        </w:rPr>
      </w:pPr>
    </w:p>
    <w:p>
      <w:pPr>
        <w:ind w:left="1240" w:right="1239" w:firstLine="648"/>
        <w:spacing w:after="0" w:line="264" w:lineRule="auto"/>
        <w:rPr>
          <w:sz w:val="20"/>
          <w:szCs w:val="20"/>
          <w:color w:val="auto"/>
        </w:rPr>
      </w:pPr>
      <w:r>
        <w:rPr>
          <w:rFonts w:ascii="Arial" w:cs="Arial" w:eastAsia="Arial" w:hAnsi="Arial"/>
          <w:sz w:val="18"/>
          <w:szCs w:val="18"/>
          <w:color w:val="auto"/>
        </w:rPr>
        <w:t>The interest rate applicable to the term loan and delayed draw term loan A facility as of December 31, 2017 was 3.32% and the interest rate applicable to the term loan as of December 31, 2016 was 2.27 %.</w:t>
      </w:r>
    </w:p>
    <w:p>
      <w:pPr>
        <w:spacing w:after="0" w:line="114" w:lineRule="exact"/>
        <w:rPr>
          <w:sz w:val="20"/>
          <w:szCs w:val="20"/>
          <w:color w:val="auto"/>
        </w:rPr>
      </w:pPr>
    </w:p>
    <w:p>
      <w:pPr>
        <w:ind w:left="1240" w:right="1259" w:firstLine="648"/>
        <w:spacing w:after="0" w:line="259" w:lineRule="auto"/>
        <w:rPr>
          <w:sz w:val="20"/>
          <w:szCs w:val="20"/>
          <w:color w:val="auto"/>
        </w:rPr>
      </w:pPr>
      <w:r>
        <w:rPr>
          <w:rFonts w:ascii="Arial" w:cs="Arial" w:eastAsia="Arial" w:hAnsi="Arial"/>
          <w:sz w:val="18"/>
          <w:szCs w:val="18"/>
          <w:color w:val="auto"/>
        </w:rPr>
        <w:t>There were outstanding borrowings under the revolving credit facility of $10.1 million and $42.5 million as of December 31, 2017 and 2016, respectively. The weighted average interest rate applicable to the outstanding borrowings was 4.44% and 2.48 % as of December 31, 2017 and 2016, respectively.</w:t>
      </w:r>
    </w:p>
    <w:p>
      <w:pPr>
        <w:spacing w:after="0" w:line="106" w:lineRule="exact"/>
        <w:rPr>
          <w:sz w:val="20"/>
          <w:szCs w:val="20"/>
          <w:color w:val="auto"/>
        </w:rPr>
      </w:pPr>
    </w:p>
    <w:p>
      <w:pPr>
        <w:ind w:left="1240" w:right="1239" w:firstLine="648"/>
        <w:spacing w:after="0" w:line="283" w:lineRule="auto"/>
        <w:rPr>
          <w:sz w:val="20"/>
          <w:szCs w:val="20"/>
          <w:color w:val="auto"/>
        </w:rPr>
      </w:pPr>
      <w:r>
        <w:rPr>
          <w:rFonts w:ascii="Arial" w:cs="Arial" w:eastAsia="Arial" w:hAnsi="Arial"/>
          <w:sz w:val="16"/>
          <w:szCs w:val="16"/>
          <w:color w:val="auto"/>
        </w:rPr>
        <w:t>A change of control is an event of default under the credit agreement which could result in the acceleration of all outstanding indebtedness and the termination of all commitments under the credit agreement and would allow the lenders under the credit agreement to enforce their rights with respect to the collateral granted. A change of control occurs if any person (other than certain permitted parties, including Fila Korea) becomes the beneficial owner of 35% or more of the outstanding common stock of the Company. On September 22, 2017, Magnus entered into a loan agreement (the “New Magnus Loan Agreement”) with certain Korean financial institutions (the “New Magnus Lenders”) which provides for (i) three year term loans in an aggregate amount of Korean Won 399.2 billion (equivalent to approximately $373.7 million, using an exchange rate of</w:t>
      </w:r>
    </w:p>
    <w:p>
      <w:pPr>
        <w:spacing w:after="0" w:line="6" w:lineRule="exact"/>
        <w:rPr>
          <w:sz w:val="20"/>
          <w:szCs w:val="20"/>
          <w:color w:val="auto"/>
        </w:rPr>
      </w:pPr>
    </w:p>
    <w:p>
      <w:pPr>
        <w:ind w:left="1240" w:right="1239"/>
        <w:spacing w:after="0" w:line="255" w:lineRule="auto"/>
        <w:rPr>
          <w:sz w:val="20"/>
          <w:szCs w:val="20"/>
          <w:color w:val="auto"/>
        </w:rPr>
      </w:pPr>
      <w:r>
        <w:rPr>
          <w:rFonts w:ascii="Arial" w:cs="Arial" w:eastAsia="Arial" w:hAnsi="Arial"/>
          <w:sz w:val="18"/>
          <w:szCs w:val="18"/>
          <w:color w:val="auto"/>
        </w:rPr>
        <w:t>$1.00 = Korean Won 1,068.27 as of December 31, 2017) (the “New Magnus Term Loans”) and (ii) a revolving credit loan of Korean Won 10.0 billion (equivalent to approximately $9.4 million,</w:t>
      </w:r>
    </w:p>
    <w:p>
      <w:pPr>
        <w:sectPr>
          <w:pgSz w:w="11900" w:h="16838" w:orient="portrait"/>
          <w:cols w:equalWidth="0" w:num="1">
            <w:col w:w="9019"/>
          </w:cols>
          <w:pgMar w:left="1440" w:top="125" w:right="1440" w:bottom="0" w:gutter="0" w:footer="0" w:header="0"/>
        </w:sectPr>
      </w:pPr>
    </w:p>
    <w:bookmarkStart w:id="117" w:name="page118"/>
    <w:bookmarkEnd w:id="117"/>
    <w:p>
      <w:pPr>
        <w:jc w:val="center"/>
        <w:spacing w:after="0"/>
        <w:rPr>
          <w:sz w:val="20"/>
          <w:szCs w:val="20"/>
          <w:color w:val="auto"/>
        </w:rPr>
      </w:pPr>
      <w:r>
        <w:rPr>
          <w:rFonts w:ascii="Arial" w:cs="Arial" w:eastAsia="Arial" w:hAnsi="Arial"/>
          <w:sz w:val="16"/>
          <w:szCs w:val="16"/>
          <w:color w:val="auto"/>
        </w:rPr>
        <w:t>F-23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786765</wp:posOffset>
            </wp:positionH>
            <wp:positionV relativeFrom="paragraph">
              <wp:posOffset>97790</wp:posOffset>
            </wp:positionV>
            <wp:extent cx="4159250" cy="2603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47">
                      <a:extLst>
                        <a:ext uri="{28A0092B-C50C-407E-A947-70E740481C1C}"/>
                      </a:extLst>
                    </a:blip>
                    <a:srcRect/>
                    <a:stretch>
                      <a:fillRect/>
                    </a:stretch>
                  </pic:blipFill>
                  <pic:spPr bwMode="auto">
                    <a:xfrm>
                      <a:off x="0" y="0"/>
                      <a:ext cx="415925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118" w:name="page119"/>
    <w:bookmarkEnd w:id="118"/>
    <w:p>
      <w:pPr>
        <w:ind w:left="124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1240" w:right="1319"/>
        <w:spacing w:after="0" w:line="287" w:lineRule="auto"/>
        <w:rPr>
          <w:sz w:val="20"/>
          <w:szCs w:val="20"/>
          <w:color w:val="auto"/>
        </w:rPr>
      </w:pPr>
      <w:r>
        <w:rPr>
          <w:rFonts w:ascii="Arial" w:cs="Arial" w:eastAsia="Arial" w:hAnsi="Arial"/>
          <w:sz w:val="16"/>
          <w:szCs w:val="16"/>
          <w:color w:val="auto"/>
        </w:rPr>
        <w:t>using an exchange rate of $1.00 = Korean Won 1,068.27 as of December 31, 2017) (the “New Magnus Revolving Loan” and, together with the New Magnus Term Loans, the “New Magnus Loans”). The New Magnus Loans are secured by a pledge on all of our common stock owned by Magnus, which consists of 39,345,151 shares (the “Magnus Shares”), or 52.6% of our outstanding common stock. Under the New Magnus Loan Agreement, Magnus is required to maintain a specified Loan-to-Value ratio (“LTV Ratio”). If the LTV Ratio exceeds 75%, Magnus will be in breach of the New Magnus Loan agreement. If Magnus does not cure the breach in 60 days, the lenders will have a right to accelerate the maturity of the New Magnus Loan. If Magnus fails to pay the amount due on the New Magnus Loan at maturity or upon acceleration, the lenders can foreclose on the pledged shares of the Company’s common stock, which may result in the sale of up to 52.6% of the Company’s common stock.</w:t>
      </w:r>
    </w:p>
    <w:p>
      <w:pPr>
        <w:spacing w:after="0" w:line="169" w:lineRule="exact"/>
        <w:rPr>
          <w:sz w:val="20"/>
          <w:szCs w:val="20"/>
          <w:color w:val="auto"/>
        </w:rPr>
      </w:pPr>
    </w:p>
    <w:p>
      <w:pPr>
        <w:ind w:left="1240" w:right="1239" w:firstLine="648"/>
        <w:spacing w:after="0" w:line="284" w:lineRule="auto"/>
        <w:rPr>
          <w:sz w:val="20"/>
          <w:szCs w:val="20"/>
          <w:color w:val="auto"/>
        </w:rPr>
      </w:pPr>
      <w:r>
        <w:rPr>
          <w:rFonts w:ascii="Arial" w:cs="Arial" w:eastAsia="Arial" w:hAnsi="Arial"/>
          <w:sz w:val="16"/>
          <w:szCs w:val="16"/>
          <w:color w:val="auto"/>
        </w:rPr>
        <w:t>The credit agreement contains a number of covenants that, among other things, restrict the ability of the U.S. Borrower and its restricted subsidiaries to (subject to certain exceptions), incur, assume, or permit to exist additional indebtedness or guarantees; incur liens; make investments and loans; pay dividends, make payments, or redeem or repurchase capital stock or make prepayments, repurchases or redemptions of certain indebtedness; engage in mergers, liquidations, dissolutions, asset sales, and other dispositions (including sale leaseback transactions); amend or otherwise alter terms of certain indebtedness or certain other agreements; enter into agreements limiting subsidiary distributions or containing negative pledge clauses; engage in certain transactions with affiliates; alter the nature of the business that we conduct or change our fiscal year or accounting practices. Certain exceptions to these covenants are determined based on ratios that are calculated in part using the calculation of Adjusted EBITDA. The credit agreement covenants also restrict the ability of Acushnet Holdings Corp. to engage in certain mergers or consolidations or engage in any activities other than permitted activities. The Company’s credit agreement contains certain customary affirmative and restrictive covenants, including, among others, financial covenants based on the Company’s leverage and interest coverage ratios. The credit agreement includes customary events of default, the occurrence of which, following any applicable cure period, would permit the lenders to, among other things, declare the principal, accrued interest and other obligations to be immediately due and payable. As of December 31, 2017, the Company was in compliance with all covenants under the credit agreement.</w:t>
      </w:r>
    </w:p>
    <w:p>
      <w:pPr>
        <w:spacing w:after="0" w:line="182" w:lineRule="exact"/>
        <w:rPr>
          <w:sz w:val="20"/>
          <w:szCs w:val="20"/>
          <w:color w:val="auto"/>
        </w:rPr>
      </w:pPr>
    </w:p>
    <w:p>
      <w:pPr>
        <w:ind w:left="1240" w:right="1699" w:firstLine="648"/>
        <w:spacing w:after="0" w:line="264" w:lineRule="auto"/>
        <w:rPr>
          <w:sz w:val="20"/>
          <w:szCs w:val="20"/>
          <w:color w:val="auto"/>
        </w:rPr>
      </w:pPr>
      <w:r>
        <w:rPr>
          <w:rFonts w:ascii="Arial" w:cs="Arial" w:eastAsia="Arial" w:hAnsi="Arial"/>
          <w:sz w:val="18"/>
          <w:szCs w:val="18"/>
          <w:color w:val="auto"/>
        </w:rPr>
        <w:t>As of December 31, 2017, the Company had available borrowings under its revolving credit facility of $254.8 million after giving effect to $10.2 million of outstanding letters of credit.</w:t>
      </w:r>
    </w:p>
    <w:p>
      <w:pPr>
        <w:spacing w:after="0" w:line="177"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Convertible Notes</w:t>
      </w:r>
    </w:p>
    <w:p>
      <w:pPr>
        <w:spacing w:after="0" w:line="229" w:lineRule="exact"/>
        <w:rPr>
          <w:sz w:val="20"/>
          <w:szCs w:val="20"/>
          <w:color w:val="auto"/>
        </w:rPr>
      </w:pPr>
    </w:p>
    <w:p>
      <w:pPr>
        <w:ind w:left="1240" w:right="1279" w:firstLine="648"/>
        <w:spacing w:after="0" w:line="272" w:lineRule="auto"/>
        <w:rPr>
          <w:sz w:val="20"/>
          <w:szCs w:val="20"/>
          <w:color w:val="auto"/>
        </w:rPr>
      </w:pPr>
      <w:r>
        <w:rPr>
          <w:rFonts w:ascii="Arial" w:cs="Arial" w:eastAsia="Arial" w:hAnsi="Arial"/>
          <w:sz w:val="17"/>
          <w:szCs w:val="17"/>
          <w:color w:val="auto"/>
        </w:rPr>
        <w:t>Prior to the initial public offering, the Company had outstanding convertible notes with an aggregate principal amount of $362.5 million. All outstanding convertible notes were converted into common stock in conjunction with the Company’s initial public offering (Note 2). Upon conversion, all accrued but unpaid interest on the principal of the convertible notes was paid to each holder of the convertible notes. The Company recorded interest expense related to the convertible notes of $22.6 million and $27.2 million during the year ended December 31, 2016 and 2015, respectively.</w:t>
      </w:r>
    </w:p>
    <w:p>
      <w:pPr>
        <w:spacing w:after="0" w:line="174"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Secured Floating Rate Notes</w:t>
      </w:r>
    </w:p>
    <w:p>
      <w:pPr>
        <w:spacing w:after="0" w:line="229" w:lineRule="exact"/>
        <w:rPr>
          <w:sz w:val="20"/>
          <w:szCs w:val="20"/>
          <w:color w:val="auto"/>
        </w:rPr>
      </w:pPr>
    </w:p>
    <w:p>
      <w:pPr>
        <w:ind w:left="1240" w:right="1239" w:firstLine="648"/>
        <w:spacing w:after="0" w:line="264" w:lineRule="auto"/>
        <w:rPr>
          <w:sz w:val="20"/>
          <w:szCs w:val="20"/>
          <w:color w:val="auto"/>
        </w:rPr>
      </w:pPr>
      <w:r>
        <w:rPr>
          <w:rFonts w:ascii="Arial" w:cs="Arial" w:eastAsia="Arial" w:hAnsi="Arial"/>
          <w:sz w:val="18"/>
          <w:szCs w:val="18"/>
          <w:color w:val="auto"/>
        </w:rPr>
        <w:t>On July 28, 2016, outstanding borrowings under the secured floating rate notes of $375.0 million were repaid in full using the proceeds from the senior secured credit facility and the secured floating rate notes were terminated.</w:t>
      </w:r>
    </w:p>
    <w:p>
      <w:pPr>
        <w:spacing w:after="0" w:line="110"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Senior Revolving and Term Loan Facilities</w:t>
      </w:r>
    </w:p>
    <w:p>
      <w:pPr>
        <w:spacing w:after="0" w:line="148" w:lineRule="exact"/>
        <w:rPr>
          <w:sz w:val="20"/>
          <w:szCs w:val="20"/>
          <w:color w:val="auto"/>
        </w:rPr>
      </w:pPr>
    </w:p>
    <w:p>
      <w:pPr>
        <w:ind w:left="1240" w:right="1359" w:firstLine="648"/>
        <w:spacing w:after="0" w:line="308" w:lineRule="auto"/>
        <w:rPr>
          <w:sz w:val="20"/>
          <w:szCs w:val="20"/>
          <w:color w:val="auto"/>
        </w:rPr>
      </w:pPr>
      <w:r>
        <w:rPr>
          <w:rFonts w:ascii="Arial" w:cs="Arial" w:eastAsia="Arial" w:hAnsi="Arial"/>
          <w:sz w:val="17"/>
          <w:szCs w:val="17"/>
          <w:color w:val="auto"/>
        </w:rPr>
        <w:t>As of June 30, 2016, the Company had repaid all amounts outstanding under the senior revolving and term loan facilities and the facilities were terminated.</w:t>
      </w:r>
    </w:p>
    <w:p>
      <w:pPr>
        <w:spacing w:after="0" w:line="75"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Other Short-Term Borrowings</w:t>
      </w:r>
    </w:p>
    <w:p>
      <w:pPr>
        <w:spacing w:after="0" w:line="229" w:lineRule="exact"/>
        <w:rPr>
          <w:sz w:val="20"/>
          <w:szCs w:val="20"/>
          <w:color w:val="auto"/>
        </w:rPr>
      </w:pPr>
    </w:p>
    <w:p>
      <w:pPr>
        <w:ind w:left="1240" w:right="1419" w:firstLine="648"/>
        <w:spacing w:after="0" w:line="257" w:lineRule="auto"/>
        <w:rPr>
          <w:sz w:val="20"/>
          <w:szCs w:val="20"/>
          <w:color w:val="auto"/>
        </w:rPr>
      </w:pPr>
      <w:r>
        <w:rPr>
          <w:rFonts w:ascii="Arial" w:cs="Arial" w:eastAsia="Arial" w:hAnsi="Arial"/>
          <w:sz w:val="18"/>
          <w:szCs w:val="18"/>
          <w:color w:val="auto"/>
        </w:rPr>
        <w:t>The Company has certain unsecured facilities available through its subsidiary locations. As of December 31, 2017, the Company had available borrowings under its unsecured facilities of $53.8 million after giving effect to $10.3 million of outstanding borrowings. The weighted average interest rate applicable to the outstanding borrowings was 0.73%.</w:t>
      </w: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786765</wp:posOffset>
            </wp:positionH>
            <wp:positionV relativeFrom="paragraph">
              <wp:posOffset>83185</wp:posOffset>
            </wp:positionV>
            <wp:extent cx="4159250" cy="26035"/>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48">
                      <a:extLst>
                        <a:ext uri="{28A0092B-C50C-407E-A947-70E740481C1C}"/>
                      </a:extLst>
                    </a:blip>
                    <a:srcRect/>
                    <a:stretch>
                      <a:fillRect/>
                    </a:stretch>
                  </pic:blipFill>
                  <pic:spPr bwMode="auto">
                    <a:xfrm>
                      <a:off x="0" y="0"/>
                      <a:ext cx="4159250" cy="26035"/>
                    </a:xfrm>
                    <a:prstGeom prst="rect">
                      <a:avLst/>
                    </a:prstGeom>
                    <a:noFill/>
                  </pic:spPr>
                </pic:pic>
              </a:graphicData>
            </a:graphic>
          </wp:anchor>
        </w:drawing>
      </w:r>
    </w:p>
    <w:p>
      <w:pPr>
        <w:sectPr>
          <w:pgSz w:w="11900" w:h="16838" w:orient="portrait"/>
          <w:cols w:equalWidth="0" w:num="1">
            <w:col w:w="9019"/>
          </w:cols>
          <w:pgMar w:left="1440" w:top="125" w:right="1440" w:bottom="491" w:gutter="0" w:footer="0" w:header="0"/>
        </w:sectPr>
      </w:pPr>
    </w:p>
    <w:bookmarkStart w:id="119" w:name="page120"/>
    <w:bookmarkEnd w:id="119"/>
    <w:p>
      <w:pPr>
        <w:ind w:left="124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Letters of Credit</w:t>
      </w:r>
    </w:p>
    <w:p>
      <w:pPr>
        <w:spacing w:after="0" w:line="229" w:lineRule="exact"/>
        <w:rPr>
          <w:sz w:val="20"/>
          <w:szCs w:val="20"/>
          <w:color w:val="auto"/>
        </w:rPr>
      </w:pPr>
    </w:p>
    <w:p>
      <w:pPr>
        <w:ind w:left="1240" w:right="1719" w:firstLine="648"/>
        <w:spacing w:after="0" w:line="291" w:lineRule="auto"/>
        <w:rPr>
          <w:sz w:val="20"/>
          <w:szCs w:val="20"/>
          <w:color w:val="auto"/>
        </w:rPr>
      </w:pPr>
      <w:r>
        <w:rPr>
          <w:rFonts w:ascii="Arial" w:cs="Arial" w:eastAsia="Arial" w:hAnsi="Arial"/>
          <w:sz w:val="16"/>
          <w:szCs w:val="16"/>
          <w:color w:val="auto"/>
        </w:rPr>
        <w:t>As of December 31, 2017 and 2016, there were outstanding letters of credit totaling $14.3 million and $11.6 million, respectively, of which $11.2 million and</w:t>
      </w:r>
    </w:p>
    <w:p>
      <w:pPr>
        <w:ind w:left="1240" w:right="1339"/>
        <w:spacing w:after="0" w:line="323" w:lineRule="auto"/>
        <w:rPr>
          <w:sz w:val="20"/>
          <w:szCs w:val="20"/>
          <w:color w:val="auto"/>
        </w:rPr>
      </w:pPr>
      <w:r>
        <w:rPr>
          <w:rFonts w:ascii="Arial" w:cs="Arial" w:eastAsia="Arial" w:hAnsi="Arial"/>
          <w:sz w:val="16"/>
          <w:szCs w:val="16"/>
          <w:color w:val="auto"/>
        </w:rPr>
        <w:t>$8.6 million was secured, respectively, related to agreements which provided a maximum commitment for letters of credit of $29.2 million and $24.0 million, respectively.</w:t>
      </w:r>
    </w:p>
    <w:p>
      <w:pPr>
        <w:spacing w:after="0" w:line="135"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Payments of Debt Obligations due by Period</w:t>
      </w:r>
    </w:p>
    <w:p>
      <w:pPr>
        <w:spacing w:after="0" w:line="229" w:lineRule="exact"/>
        <w:rPr>
          <w:sz w:val="20"/>
          <w:szCs w:val="20"/>
          <w:color w:val="auto"/>
        </w:rPr>
      </w:pPr>
    </w:p>
    <w:p>
      <w:pPr>
        <w:ind w:left="1240" w:right="1299" w:firstLine="648"/>
        <w:spacing w:after="0" w:line="277" w:lineRule="auto"/>
        <w:rPr>
          <w:sz w:val="20"/>
          <w:szCs w:val="20"/>
          <w:color w:val="auto"/>
        </w:rPr>
      </w:pPr>
      <w:r>
        <w:rPr>
          <w:rFonts w:ascii="Arial" w:cs="Arial" w:eastAsia="Arial" w:hAnsi="Arial"/>
          <w:sz w:val="18"/>
          <w:szCs w:val="18"/>
          <w:color w:val="auto"/>
        </w:rPr>
        <w:t>As of December 31, 2017, principal payments due on outstanding long-term debt obligations, excluding capital leases, were as follows:</w:t>
      </w:r>
    </w:p>
    <w:p>
      <w:pPr>
        <w:spacing w:after="0" w:line="193" w:lineRule="exact"/>
        <w:rPr>
          <w:sz w:val="20"/>
          <w:szCs w:val="20"/>
          <w:color w:val="auto"/>
        </w:rPr>
      </w:pPr>
    </w:p>
    <w:tbl>
      <w:tblPr>
        <w:tblLayout w:type="fixed"/>
        <w:tblInd w:w="1240" w:type="dxa"/>
        <w:tblCellMar>
          <w:top w:w="0" w:type="dxa"/>
          <w:left w:w="0" w:type="dxa"/>
          <w:bottom w:w="0" w:type="dxa"/>
          <w:right w:w="0" w:type="dxa"/>
        </w:tblCellMar>
      </w:tblPr>
      <w:tr>
        <w:trPr>
          <w:trHeight w:val="182"/>
        </w:trPr>
        <w:tc>
          <w:tcPr>
            <w:tcW w:w="5620" w:type="dxa"/>
            <w:vAlign w:val="bottom"/>
            <w:gridSpan w:val="2"/>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8"/>
        </w:trPr>
        <w:tc>
          <w:tcPr>
            <w:tcW w:w="20" w:type="dxa"/>
            <w:vAlign w:val="bottom"/>
            <w:vMerge w:val="restart"/>
          </w:tcPr>
          <w:p>
            <w:pPr>
              <w:spacing w:after="0"/>
              <w:rPr>
                <w:sz w:val="16"/>
                <w:szCs w:val="16"/>
                <w:color w:val="auto"/>
              </w:rPr>
            </w:pPr>
          </w:p>
        </w:tc>
        <w:tc>
          <w:tcPr>
            <w:tcW w:w="56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560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Year ending December 31,</w:t>
            </w:r>
          </w:p>
        </w:tc>
        <w:tc>
          <w:tcPr>
            <w:tcW w:w="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600" w:type="dxa"/>
            <w:vAlign w:val="bottom"/>
          </w:tcPr>
          <w:p>
            <w:pPr>
              <w:spacing w:after="0"/>
              <w:rPr>
                <w:sz w:val="20"/>
                <w:szCs w:val="20"/>
                <w:color w:val="auto"/>
              </w:rPr>
            </w:pPr>
            <w:r>
              <w:rPr>
                <w:rFonts w:ascii="Arial" w:cs="Arial" w:eastAsia="Arial" w:hAnsi="Arial"/>
                <w:sz w:val="16"/>
                <w:szCs w:val="16"/>
                <w:color w:val="auto"/>
              </w:rPr>
              <w:t>2018</w:t>
            </w:r>
          </w:p>
        </w:tc>
        <w:tc>
          <w:tcPr>
            <w:tcW w:w="180" w:type="dxa"/>
            <w:vAlign w:val="bottom"/>
            <w:gridSpan w:val="2"/>
          </w:tcPr>
          <w:p>
            <w:pPr>
              <w:jc w:val="right"/>
              <w:ind w:right="49"/>
              <w:spacing w:after="0"/>
              <w:rPr>
                <w:sz w:val="20"/>
                <w:szCs w:val="20"/>
                <w:color w:val="auto"/>
              </w:rPr>
            </w:pPr>
            <w:r>
              <w:rPr>
                <w:rFonts w:ascii="Arial" w:cs="Arial" w:eastAsia="Arial" w:hAnsi="Arial"/>
                <w:sz w:val="15"/>
                <w:szCs w:val="15"/>
                <w:color w:val="auto"/>
                <w:w w:val="71"/>
              </w:rPr>
              <w:t>$</w:t>
            </w:r>
          </w:p>
        </w:tc>
        <w:tc>
          <w:tcPr>
            <w:tcW w:w="700" w:type="dxa"/>
            <w:vAlign w:val="bottom"/>
          </w:tcPr>
          <w:p>
            <w:pPr>
              <w:jc w:val="right"/>
              <w:spacing w:after="0"/>
              <w:rPr>
                <w:sz w:val="20"/>
                <w:szCs w:val="20"/>
                <w:color w:val="auto"/>
              </w:rPr>
            </w:pPr>
            <w:r>
              <w:rPr>
                <w:rFonts w:ascii="Arial" w:cs="Arial" w:eastAsia="Arial" w:hAnsi="Arial"/>
                <w:sz w:val="16"/>
                <w:szCs w:val="16"/>
                <w:color w:val="auto"/>
              </w:rPr>
              <w:t>26,719</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600" w:type="dxa"/>
            <w:vAlign w:val="bottom"/>
            <w:shd w:val="clear" w:color="auto" w:fill="CCEEFF"/>
          </w:tcPr>
          <w:p>
            <w:pPr>
              <w:spacing w:after="0"/>
              <w:rPr>
                <w:sz w:val="20"/>
                <w:szCs w:val="20"/>
                <w:color w:val="auto"/>
              </w:rPr>
            </w:pPr>
            <w:r>
              <w:rPr>
                <w:rFonts w:ascii="Arial" w:cs="Arial" w:eastAsia="Arial" w:hAnsi="Arial"/>
                <w:sz w:val="16"/>
                <w:szCs w:val="16"/>
                <w:color w:val="auto"/>
              </w:rPr>
              <w:t>2019</w:t>
            </w:r>
          </w:p>
        </w:tc>
        <w:tc>
          <w:tcPr>
            <w:tcW w:w="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35,625</w:t>
            </w: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600" w:type="dxa"/>
            <w:vAlign w:val="bottom"/>
          </w:tcPr>
          <w:p>
            <w:pPr>
              <w:spacing w:after="0"/>
              <w:rPr>
                <w:sz w:val="20"/>
                <w:szCs w:val="20"/>
                <w:color w:val="auto"/>
              </w:rPr>
            </w:pPr>
            <w:r>
              <w:rPr>
                <w:rFonts w:ascii="Arial" w:cs="Arial" w:eastAsia="Arial" w:hAnsi="Arial"/>
                <w:sz w:val="16"/>
                <w:szCs w:val="16"/>
                <w:color w:val="auto"/>
              </w:rPr>
              <w:t>2020</w:t>
            </w:r>
          </w:p>
        </w:tc>
        <w:tc>
          <w:tcPr>
            <w:tcW w:w="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38,594</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600" w:type="dxa"/>
            <w:vAlign w:val="bottom"/>
            <w:shd w:val="clear" w:color="auto" w:fill="CCEEFF"/>
          </w:tcPr>
          <w:p>
            <w:pPr>
              <w:spacing w:after="0"/>
              <w:rPr>
                <w:sz w:val="20"/>
                <w:szCs w:val="20"/>
                <w:color w:val="auto"/>
              </w:rPr>
            </w:pPr>
            <w:r>
              <w:rPr>
                <w:rFonts w:ascii="Arial" w:cs="Arial" w:eastAsia="Arial" w:hAnsi="Arial"/>
                <w:sz w:val="16"/>
                <w:szCs w:val="16"/>
                <w:color w:val="auto"/>
              </w:rPr>
              <w:t>2021</w:t>
            </w:r>
          </w:p>
        </w:tc>
        <w:tc>
          <w:tcPr>
            <w:tcW w:w="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345,625</w:t>
            </w: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600" w:type="dxa"/>
            <w:vAlign w:val="bottom"/>
          </w:tcPr>
          <w:p>
            <w:pPr>
              <w:spacing w:after="0"/>
              <w:rPr>
                <w:sz w:val="20"/>
                <w:szCs w:val="20"/>
                <w:color w:val="auto"/>
              </w:rPr>
            </w:pPr>
            <w:r>
              <w:rPr>
                <w:rFonts w:ascii="Arial" w:cs="Arial" w:eastAsia="Arial" w:hAnsi="Arial"/>
                <w:sz w:val="16"/>
                <w:szCs w:val="16"/>
                <w:color w:val="auto"/>
              </w:rPr>
              <w:t>2022</w:t>
            </w:r>
          </w:p>
        </w:tc>
        <w:tc>
          <w:tcPr>
            <w:tcW w:w="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0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600" w:type="dxa"/>
            <w:vAlign w:val="bottom"/>
            <w:shd w:val="clear" w:color="auto" w:fill="CCEEFF"/>
          </w:tcPr>
          <w:p>
            <w:pPr>
              <w:spacing w:after="0"/>
              <w:rPr>
                <w:sz w:val="20"/>
                <w:szCs w:val="20"/>
                <w:color w:val="auto"/>
              </w:rPr>
            </w:pPr>
            <w:r>
              <w:rPr>
                <w:rFonts w:ascii="Arial" w:cs="Arial" w:eastAsia="Arial" w:hAnsi="Arial"/>
                <w:sz w:val="16"/>
                <w:szCs w:val="16"/>
                <w:color w:val="auto"/>
              </w:rPr>
              <w:t>Thereafter</w:t>
            </w:r>
          </w:p>
        </w:tc>
        <w:tc>
          <w:tcPr>
            <w:tcW w:w="2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70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600" w:type="dxa"/>
            <w:vAlign w:val="bottom"/>
          </w:tcPr>
          <w:p>
            <w:pPr>
              <w:ind w:left="520"/>
              <w:spacing w:after="0"/>
              <w:rPr>
                <w:sz w:val="20"/>
                <w:szCs w:val="20"/>
                <w:color w:val="auto"/>
              </w:rPr>
            </w:pPr>
            <w:r>
              <w:rPr>
                <w:rFonts w:ascii="Arial" w:cs="Arial" w:eastAsia="Arial" w:hAnsi="Arial"/>
                <w:sz w:val="16"/>
                <w:szCs w:val="16"/>
                <w:color w:val="auto"/>
              </w:rPr>
              <w:t>Total</w:t>
            </w:r>
          </w:p>
        </w:tc>
        <w:tc>
          <w:tcPr>
            <w:tcW w:w="20" w:type="dxa"/>
            <w:vAlign w:val="bottom"/>
            <w:tcBorders>
              <w:bottom w:val="single" w:sz="8" w:color="auto"/>
            </w:tcBorders>
          </w:tcPr>
          <w:p>
            <w:pPr>
              <w:spacing w:after="0"/>
              <w:rPr>
                <w:sz w:val="17"/>
                <w:szCs w:val="17"/>
                <w:color w:val="auto"/>
              </w:rPr>
            </w:pPr>
          </w:p>
        </w:tc>
        <w:tc>
          <w:tcPr>
            <w:tcW w:w="160" w:type="dxa"/>
            <w:vAlign w:val="bottom"/>
            <w:tcBorders>
              <w:bottom w:val="single" w:sz="8" w:color="auto"/>
            </w:tcBorders>
          </w:tcPr>
          <w:p>
            <w:pPr>
              <w:jc w:val="right"/>
              <w:ind w:right="49"/>
              <w:spacing w:after="0"/>
              <w:rPr>
                <w:sz w:val="20"/>
                <w:szCs w:val="20"/>
                <w:color w:val="auto"/>
              </w:rPr>
            </w:pPr>
            <w:r>
              <w:rPr>
                <w:rFonts w:ascii="Arial" w:cs="Arial" w:eastAsia="Arial" w:hAnsi="Arial"/>
                <w:sz w:val="10"/>
                <w:szCs w:val="10"/>
                <w:color w:val="auto"/>
                <w:w w:val="71"/>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446,563</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198" w:lineRule="exact"/>
        <w:rPr>
          <w:sz w:val="20"/>
          <w:szCs w:val="20"/>
          <w:color w:val="auto"/>
        </w:rPr>
      </w:pPr>
    </w:p>
    <w:p>
      <w:pPr>
        <w:jc w:val="both"/>
        <w:ind w:left="1240" w:right="4899" w:hanging="7"/>
        <w:spacing w:after="0" w:line="566" w:lineRule="auto"/>
        <w:tabs>
          <w:tab w:leader="none" w:pos="1510" w:val="left"/>
        </w:tabs>
        <w:numPr>
          <w:ilvl w:val="0"/>
          <w:numId w:val="38"/>
        </w:numPr>
        <w:rPr>
          <w:rFonts w:ascii="Arial" w:cs="Arial" w:eastAsia="Arial" w:hAnsi="Arial"/>
          <w:sz w:val="16"/>
          <w:szCs w:val="16"/>
          <w:b w:val="1"/>
          <w:bCs w:val="1"/>
          <w:color w:val="auto"/>
        </w:rPr>
      </w:pPr>
      <w:r>
        <w:rPr>
          <w:rFonts w:ascii="Arial" w:cs="Arial" w:eastAsia="Arial" w:hAnsi="Arial"/>
          <w:sz w:val="16"/>
          <w:szCs w:val="16"/>
          <w:b w:val="1"/>
          <w:bCs w:val="1"/>
          <w:color w:val="auto"/>
        </w:rPr>
        <w:t>Derivative Financial Instruments Bonds with Common Stock Warrants</w:t>
      </w:r>
    </w:p>
    <w:p>
      <w:pPr>
        <w:spacing w:after="0" w:line="1" w:lineRule="exact"/>
        <w:rPr>
          <w:sz w:val="20"/>
          <w:szCs w:val="20"/>
          <w:color w:val="auto"/>
        </w:rPr>
      </w:pPr>
    </w:p>
    <w:p>
      <w:pPr>
        <w:ind w:left="1240" w:right="1239" w:firstLine="648"/>
        <w:spacing w:after="0" w:line="218" w:lineRule="exact"/>
        <w:rPr>
          <w:sz w:val="20"/>
          <w:szCs w:val="20"/>
          <w:color w:val="auto"/>
        </w:rPr>
      </w:pPr>
      <w:r>
        <w:rPr>
          <w:rFonts w:ascii="Arial" w:cs="Arial" w:eastAsia="Arial" w:hAnsi="Arial"/>
          <w:sz w:val="17"/>
          <w:szCs w:val="17"/>
          <w:color w:val="auto"/>
        </w:rPr>
        <w:t>Prior to the exercise of the final annual call option by Fila Korea in July 2016, the Company had outstanding bonds with common stock warrants for the purchase of the Company’s common stock at an exercise price of $11.11 per share. The Company classified the warrants to purchase common stock as a liability on its consolidated balance sheet as the warrants were free</w:t>
      </w:r>
      <w:r>
        <w:rPr>
          <w:rFonts w:ascii="MS PGothic" w:cs="MS PGothic" w:eastAsia="MS PGothic" w:hAnsi="MS PGothic"/>
          <w:sz w:val="17"/>
          <w:szCs w:val="17"/>
          <w:color w:val="auto"/>
        </w:rPr>
        <w:t>‑</w:t>
      </w:r>
      <w:r>
        <w:rPr>
          <w:rFonts w:ascii="Arial" w:cs="Arial" w:eastAsia="Arial" w:hAnsi="Arial"/>
          <w:sz w:val="17"/>
          <w:szCs w:val="17"/>
          <w:color w:val="auto"/>
        </w:rPr>
        <w:t>standing financial instruments that could result in the issuance of a variable number of the Company’s common shares. The warrants were initially recorded at fair value on grant date, and were subsequently re</w:t>
      </w:r>
      <w:r>
        <w:rPr>
          <w:rFonts w:ascii="MS PGothic" w:cs="MS PGothic" w:eastAsia="MS PGothic" w:hAnsi="MS PGothic"/>
          <w:sz w:val="17"/>
          <w:szCs w:val="17"/>
          <w:color w:val="auto"/>
        </w:rPr>
        <w:t>‑</w:t>
      </w:r>
      <w:r>
        <w:rPr>
          <w:rFonts w:ascii="Arial" w:cs="Arial" w:eastAsia="Arial" w:hAnsi="Arial"/>
          <w:sz w:val="17"/>
          <w:szCs w:val="17"/>
          <w:color w:val="auto"/>
        </w:rPr>
        <w:t>measured to fair value at each reporting date (Note 11). Changes in the fair value of the common stock warrants were recognized as other (income) expense, net on the consolidated statement of operations (Note 14).</w:t>
      </w:r>
    </w:p>
    <w:p>
      <w:pPr>
        <w:spacing w:after="0" w:line="202" w:lineRule="exact"/>
        <w:rPr>
          <w:sz w:val="20"/>
          <w:szCs w:val="20"/>
          <w:color w:val="auto"/>
        </w:rPr>
      </w:pPr>
    </w:p>
    <w:p>
      <w:pPr>
        <w:ind w:left="1240" w:right="1379" w:firstLine="648"/>
        <w:spacing w:after="0" w:line="276" w:lineRule="auto"/>
        <w:rPr>
          <w:sz w:val="20"/>
          <w:szCs w:val="20"/>
          <w:color w:val="auto"/>
        </w:rPr>
      </w:pPr>
      <w:r>
        <w:rPr>
          <w:rFonts w:ascii="Arial" w:cs="Arial" w:eastAsia="Arial" w:hAnsi="Arial"/>
          <w:sz w:val="17"/>
          <w:szCs w:val="17"/>
          <w:color w:val="auto"/>
        </w:rPr>
        <w:t>In July 2016 and 2015, Fila Korea exercised its annual call option to purchase common stock warrants held by the holders of the bonds and exercised such warrants at the exercise price of $11.11 per share, or $34.5 million in the aggregate in each year. The Company used the proceeds received from Fila Korea’s exercise of the common stock warrants to redeem the outstanding bonds payable.</w:t>
      </w:r>
    </w:p>
    <w:p>
      <w:pPr>
        <w:spacing w:after="0" w:line="169"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Foreign Exchange Derivative Instruments</w:t>
      </w:r>
    </w:p>
    <w:p>
      <w:pPr>
        <w:spacing w:after="0" w:line="229" w:lineRule="exact"/>
        <w:rPr>
          <w:sz w:val="20"/>
          <w:szCs w:val="20"/>
          <w:color w:val="auto"/>
        </w:rPr>
      </w:pPr>
    </w:p>
    <w:p>
      <w:pPr>
        <w:ind w:left="1240" w:right="1299" w:firstLine="648"/>
        <w:spacing w:after="0" w:line="302" w:lineRule="auto"/>
        <w:rPr>
          <w:sz w:val="20"/>
          <w:szCs w:val="20"/>
          <w:color w:val="auto"/>
        </w:rPr>
      </w:pPr>
      <w:r>
        <w:rPr>
          <w:rFonts w:ascii="Arial" w:cs="Arial" w:eastAsia="Arial" w:hAnsi="Arial"/>
          <w:sz w:val="16"/>
          <w:szCs w:val="16"/>
          <w:color w:val="auto"/>
        </w:rPr>
        <w:t>The Company principally uses financial instruments to reduce the impact of changes in foreign currency exchange rates. The principal derivative financial instruments the Company enters into are foreign exchange forward contracts. The Company does not enter into foreign exchange forward contracts for trading or speculative purposes.</w:t>
      </w:r>
    </w:p>
    <w:p>
      <w:pPr>
        <w:spacing w:after="0" w:line="154" w:lineRule="exact"/>
        <w:rPr>
          <w:sz w:val="20"/>
          <w:szCs w:val="20"/>
          <w:color w:val="auto"/>
        </w:rPr>
      </w:pPr>
    </w:p>
    <w:p>
      <w:pPr>
        <w:ind w:left="1240" w:right="1259" w:firstLine="648"/>
        <w:spacing w:after="0" w:line="270" w:lineRule="auto"/>
        <w:rPr>
          <w:sz w:val="20"/>
          <w:szCs w:val="20"/>
          <w:color w:val="auto"/>
        </w:rPr>
      </w:pPr>
      <w:r>
        <w:rPr>
          <w:rFonts w:ascii="Arial" w:cs="Arial" w:eastAsia="Arial" w:hAnsi="Arial"/>
          <w:sz w:val="17"/>
          <w:szCs w:val="17"/>
          <w:color w:val="auto"/>
        </w:rPr>
        <w:t>Foreign exchange forward contracts are primarily used to hedge purchases denominated in select foreign currencies, thereby limiting currency risk that would otherwise result from changes in exchange rates. The periods of the foreign exchange forward contracts correspond to the periods of the forecasted transactions, which do not exceed 24 months subsequent to the latest balance sheet date. The primary foreign exchange forward contracts pertain to the U.S. dollar, the Japanese yen, the British pound sterling, the Canadian dollar, the Korean won and the Euro. The gross U.S. dollar equivalent notional amount outstanding of all foreign exchange forward contracts designated under hedge accounting as of December 31, 2017 and 2016 was $278.9 million and $371.2 million, respectively.</w:t>
      </w:r>
    </w:p>
    <w:p>
      <w:pPr>
        <w:spacing w:after="0" w:line="178" w:lineRule="exact"/>
        <w:rPr>
          <w:sz w:val="20"/>
          <w:szCs w:val="20"/>
          <w:color w:val="auto"/>
        </w:rPr>
      </w:pPr>
    </w:p>
    <w:p>
      <w:pPr>
        <w:ind w:left="1240" w:right="1539" w:firstLine="648"/>
        <w:spacing w:after="0" w:line="264" w:lineRule="auto"/>
        <w:rPr>
          <w:sz w:val="20"/>
          <w:szCs w:val="20"/>
          <w:color w:val="auto"/>
        </w:rPr>
      </w:pPr>
      <w:r>
        <w:rPr>
          <w:rFonts w:ascii="Arial" w:cs="Arial" w:eastAsia="Arial" w:hAnsi="Arial"/>
          <w:sz w:val="18"/>
          <w:szCs w:val="18"/>
          <w:color w:val="auto"/>
        </w:rPr>
        <w:t>The counterparties to derivative contracts are major financial institutions. The credit risk of counterparties does not have a significant impact on the valuation of the Company’s derivative instruments.</w:t>
      </w:r>
    </w:p>
    <w:p>
      <w:pPr>
        <w:spacing w:after="0" w:line="397"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F-25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786765</wp:posOffset>
            </wp:positionH>
            <wp:positionV relativeFrom="paragraph">
              <wp:posOffset>83185</wp:posOffset>
            </wp:positionV>
            <wp:extent cx="4159250" cy="2603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49">
                      <a:extLst>
                        <a:ext uri="{28A0092B-C50C-407E-A947-70E740481C1C}"/>
                      </a:extLst>
                    </a:blip>
                    <a:srcRect/>
                    <a:stretch>
                      <a:fillRect/>
                    </a:stretch>
                  </pic:blipFill>
                  <pic:spPr bwMode="auto">
                    <a:xfrm>
                      <a:off x="0" y="0"/>
                      <a:ext cx="4159250" cy="26035"/>
                    </a:xfrm>
                    <a:prstGeom prst="rect">
                      <a:avLst/>
                    </a:prstGeom>
                    <a:noFill/>
                  </pic:spPr>
                </pic:pic>
              </a:graphicData>
            </a:graphic>
          </wp:anchor>
        </w:drawing>
      </w:r>
    </w:p>
    <w:p>
      <w:pPr>
        <w:sectPr>
          <w:pgSz w:w="11900" w:h="16838" w:orient="portrait"/>
          <w:cols w:equalWidth="0" w:num="1">
            <w:col w:w="9019"/>
          </w:cols>
          <w:pgMar w:left="1440" w:top="125" w:right="1440" w:bottom="829" w:gutter="0" w:footer="0" w:header="0"/>
        </w:sectPr>
      </w:pPr>
    </w:p>
    <w:bookmarkStart w:id="120" w:name="page121"/>
    <w:bookmarkEnd w:id="120"/>
    <w:p>
      <w:pPr>
        <w:ind w:left="124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1240" w:right="1499" w:firstLine="648"/>
        <w:spacing w:after="0" w:line="277" w:lineRule="auto"/>
        <w:rPr>
          <w:sz w:val="20"/>
          <w:szCs w:val="20"/>
          <w:color w:val="auto"/>
        </w:rPr>
      </w:pPr>
      <w:r>
        <w:rPr>
          <w:rFonts w:ascii="Arial" w:cs="Arial" w:eastAsia="Arial" w:hAnsi="Arial"/>
          <w:sz w:val="18"/>
          <w:szCs w:val="18"/>
          <w:color w:val="auto"/>
        </w:rPr>
        <w:t>The fair values of foreign exchange hedges on the consolidated balance sheets were as follows:</w:t>
      </w:r>
    </w:p>
    <w:p>
      <w:pPr>
        <w:spacing w:after="0" w:line="177" w:lineRule="exact"/>
        <w:rPr>
          <w:sz w:val="20"/>
          <w:szCs w:val="20"/>
          <w:color w:val="auto"/>
        </w:rPr>
      </w:pPr>
    </w:p>
    <w:tbl>
      <w:tblPr>
        <w:tblLayout w:type="fixed"/>
        <w:tblInd w:w="12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7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180" w:type="dxa"/>
            <w:vAlign w:val="bottom"/>
          </w:tcPr>
          <w:p>
            <w:pPr>
              <w:jc w:val="center"/>
              <w:spacing w:after="0"/>
              <w:rPr>
                <w:sz w:val="20"/>
                <w:szCs w:val="20"/>
                <w:color w:val="auto"/>
              </w:rPr>
            </w:pPr>
            <w:r>
              <w:rPr>
                <w:rFonts w:ascii="Arial" w:cs="Arial" w:eastAsia="Arial" w:hAnsi="Arial"/>
                <w:sz w:val="14"/>
                <w:szCs w:val="14"/>
                <w:b w:val="1"/>
                <w:bCs w:val="1"/>
                <w:color w:val="auto"/>
                <w:w w:val="89"/>
              </w:rPr>
              <w:t>Balance Sheet</w:t>
            </w:r>
          </w:p>
        </w:tc>
        <w:tc>
          <w:tcPr>
            <w:tcW w:w="1020" w:type="dxa"/>
            <w:vAlign w:val="bottom"/>
            <w:gridSpan w:val="3"/>
          </w:tcPr>
          <w:p>
            <w:pPr>
              <w:ind w:left="140"/>
              <w:spacing w:after="0"/>
              <w:rPr>
                <w:sz w:val="20"/>
                <w:szCs w:val="20"/>
                <w:color w:val="auto"/>
              </w:rPr>
            </w:pPr>
            <w:r>
              <w:rPr>
                <w:rFonts w:ascii="Arial" w:cs="Arial" w:eastAsia="Arial" w:hAnsi="Arial"/>
                <w:sz w:val="14"/>
                <w:szCs w:val="14"/>
                <w:b w:val="1"/>
                <w:bCs w:val="1"/>
                <w:color w:val="auto"/>
                <w:w w:val="94"/>
              </w:rPr>
              <w:t>December 31,</w:t>
            </w:r>
          </w:p>
        </w:tc>
        <w:tc>
          <w:tcPr>
            <w:tcW w:w="1060" w:type="dxa"/>
            <w:vAlign w:val="bottom"/>
            <w:gridSpan w:val="4"/>
          </w:tcPr>
          <w:p>
            <w:pPr>
              <w:ind w:left="140"/>
              <w:spacing w:after="0"/>
              <w:rPr>
                <w:sz w:val="20"/>
                <w:szCs w:val="20"/>
                <w:color w:val="auto"/>
              </w:rPr>
            </w:pPr>
            <w:r>
              <w:rPr>
                <w:rFonts w:ascii="Arial" w:cs="Arial" w:eastAsia="Arial" w:hAnsi="Arial"/>
                <w:sz w:val="14"/>
                <w:szCs w:val="14"/>
                <w:b w:val="1"/>
                <w:bCs w:val="1"/>
                <w:color w:val="auto"/>
                <w:w w:val="98"/>
              </w:rPr>
              <w:t>December 31,</w:t>
            </w:r>
          </w:p>
        </w:tc>
        <w:tc>
          <w:tcPr>
            <w:tcW w:w="0" w:type="dxa"/>
            <w:vAlign w:val="bottom"/>
          </w:tcPr>
          <w:p>
            <w:pPr>
              <w:spacing w:after="0"/>
              <w:rPr>
                <w:sz w:val="1"/>
                <w:szCs w:val="1"/>
                <w:color w:val="auto"/>
              </w:rPr>
            </w:pPr>
          </w:p>
        </w:tc>
      </w:tr>
      <w:tr>
        <w:trPr>
          <w:trHeight w:val="171"/>
        </w:trPr>
        <w:tc>
          <w:tcPr>
            <w:tcW w:w="1800" w:type="dxa"/>
            <w:vAlign w:val="bottom"/>
            <w:gridSpan w:val="2"/>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500" w:type="dxa"/>
            <w:vAlign w:val="bottom"/>
          </w:tcPr>
          <w:p>
            <w:pPr>
              <w:spacing w:after="0"/>
              <w:rPr>
                <w:sz w:val="14"/>
                <w:szCs w:val="14"/>
                <w:color w:val="auto"/>
              </w:rPr>
            </w:pPr>
          </w:p>
        </w:tc>
        <w:tc>
          <w:tcPr>
            <w:tcW w:w="21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Location</w:t>
            </w:r>
          </w:p>
        </w:tc>
        <w:tc>
          <w:tcPr>
            <w:tcW w:w="1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221"/>
              <w:spacing w:after="0"/>
              <w:rPr>
                <w:sz w:val="20"/>
                <w:szCs w:val="20"/>
                <w:color w:val="auto"/>
              </w:rPr>
            </w:pPr>
            <w:r>
              <w:rPr>
                <w:rFonts w:ascii="Arial" w:cs="Arial" w:eastAsia="Arial" w:hAnsi="Arial"/>
                <w:sz w:val="14"/>
                <w:szCs w:val="14"/>
                <w:b w:val="1"/>
                <w:bCs w:val="1"/>
                <w:color w:val="auto"/>
              </w:rPr>
              <w:t>2017</w:t>
            </w:r>
          </w:p>
        </w:tc>
        <w:tc>
          <w:tcPr>
            <w:tcW w:w="14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jc w:val="right"/>
              <w:ind w:right="201"/>
              <w:spacing w:after="0"/>
              <w:rPr>
                <w:sz w:val="20"/>
                <w:szCs w:val="20"/>
                <w:color w:val="auto"/>
              </w:rPr>
            </w:pPr>
            <w:r>
              <w:rPr>
                <w:rFonts w:ascii="Arial" w:cs="Arial" w:eastAsia="Arial" w:hAnsi="Arial"/>
                <w:sz w:val="14"/>
                <w:szCs w:val="14"/>
                <w:b w:val="1"/>
                <w:bCs w:val="1"/>
                <w:color w:val="auto"/>
              </w:rPr>
              <w:t>2016</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20" w:type="dxa"/>
            <w:vAlign w:val="bottom"/>
            <w:vMerge w:val="restart"/>
          </w:tcPr>
          <w:p>
            <w:pPr>
              <w:spacing w:after="0"/>
              <w:rPr>
                <w:sz w:val="17"/>
                <w:szCs w:val="17"/>
                <w:color w:val="auto"/>
              </w:rPr>
            </w:pPr>
          </w:p>
        </w:tc>
        <w:tc>
          <w:tcPr>
            <w:tcW w:w="17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1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1780" w:type="dxa"/>
            <w:vAlign w:val="bottom"/>
            <w:shd w:val="clear" w:color="auto" w:fill="CCEEFF"/>
          </w:tcPr>
          <w:p>
            <w:pPr>
              <w:spacing w:after="0"/>
              <w:rPr>
                <w:sz w:val="20"/>
                <w:szCs w:val="20"/>
                <w:color w:val="auto"/>
              </w:rPr>
            </w:pPr>
            <w:r>
              <w:rPr>
                <w:rFonts w:ascii="Arial" w:cs="Arial" w:eastAsia="Arial" w:hAnsi="Arial"/>
                <w:sz w:val="16"/>
                <w:szCs w:val="16"/>
                <w:color w:val="auto"/>
              </w:rPr>
              <w:t>Asset derivatives</w:t>
            </w:r>
          </w:p>
        </w:tc>
        <w:tc>
          <w:tcPr>
            <w:tcW w:w="2680" w:type="dxa"/>
            <w:vAlign w:val="bottom"/>
            <w:gridSpan w:val="2"/>
            <w:shd w:val="clear" w:color="auto" w:fill="CCEEFF"/>
          </w:tcPr>
          <w:p>
            <w:pPr>
              <w:ind w:left="500"/>
              <w:spacing w:after="0"/>
              <w:rPr>
                <w:sz w:val="20"/>
                <w:szCs w:val="20"/>
                <w:color w:val="auto"/>
              </w:rPr>
            </w:pPr>
            <w:r>
              <w:rPr>
                <w:rFonts w:ascii="Arial" w:cs="Arial" w:eastAsia="Arial" w:hAnsi="Arial"/>
                <w:sz w:val="16"/>
                <w:szCs w:val="16"/>
                <w:color w:val="auto"/>
              </w:rPr>
              <w:t>Other current assets</w:t>
            </w:r>
          </w:p>
        </w:tc>
        <w:tc>
          <w:tcPr>
            <w:tcW w:w="320" w:type="dxa"/>
            <w:vAlign w:val="bottom"/>
            <w:gridSpan w:val="2"/>
            <w:shd w:val="clear" w:color="auto" w:fill="CCEEFF"/>
          </w:tcPr>
          <w:p>
            <w:pPr>
              <w:ind w:left="140"/>
              <w:spacing w:after="0"/>
              <w:rPr>
                <w:sz w:val="20"/>
                <w:szCs w:val="20"/>
                <w:color w:val="auto"/>
              </w:rPr>
            </w:pPr>
            <w:r>
              <w:rPr>
                <w:rFonts w:ascii="Arial" w:cs="Arial" w:eastAsia="Arial" w:hAnsi="Arial"/>
                <w:sz w:val="16"/>
                <w:szCs w:val="16"/>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4,675</w:t>
            </w:r>
          </w:p>
        </w:tc>
        <w:tc>
          <w:tcPr>
            <w:tcW w:w="320" w:type="dxa"/>
            <w:vAlign w:val="bottom"/>
            <w:gridSpan w:val="2"/>
            <w:shd w:val="clear" w:color="auto" w:fill="CCEEFF"/>
          </w:tcPr>
          <w:p>
            <w:pPr>
              <w:ind w:left="140"/>
              <w:spacing w:after="0"/>
              <w:rPr>
                <w:sz w:val="20"/>
                <w:szCs w:val="20"/>
                <w:color w:val="auto"/>
              </w:rPr>
            </w:pPr>
            <w:r>
              <w:rPr>
                <w:rFonts w:ascii="Arial" w:cs="Arial" w:eastAsia="Arial" w:hAnsi="Arial"/>
                <w:sz w:val="16"/>
                <w:szCs w:val="16"/>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11,357</w:t>
            </w: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1780" w:type="dxa"/>
            <w:vAlign w:val="bottom"/>
          </w:tcPr>
          <w:p>
            <w:pPr>
              <w:spacing w:after="0"/>
              <w:rPr>
                <w:sz w:val="17"/>
                <w:szCs w:val="17"/>
                <w:color w:val="auto"/>
              </w:rPr>
            </w:pPr>
          </w:p>
        </w:tc>
        <w:tc>
          <w:tcPr>
            <w:tcW w:w="2680" w:type="dxa"/>
            <w:vAlign w:val="bottom"/>
            <w:gridSpan w:val="2"/>
          </w:tcPr>
          <w:p>
            <w:pPr>
              <w:ind w:left="500"/>
              <w:spacing w:after="0"/>
              <w:rPr>
                <w:sz w:val="20"/>
                <w:szCs w:val="20"/>
                <w:color w:val="auto"/>
              </w:rPr>
            </w:pPr>
            <w:r>
              <w:rPr>
                <w:rFonts w:ascii="Arial" w:cs="Arial" w:eastAsia="Arial" w:hAnsi="Arial"/>
                <w:sz w:val="16"/>
                <w:szCs w:val="16"/>
                <w:color w:val="auto"/>
              </w:rPr>
              <w:t>Other noncurrent assets</w:t>
            </w: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562</w:t>
            </w: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5,286</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1780" w:type="dxa"/>
            <w:vAlign w:val="bottom"/>
            <w:shd w:val="clear" w:color="auto" w:fill="CCEEFF"/>
          </w:tcPr>
          <w:p>
            <w:pPr>
              <w:spacing w:after="0"/>
              <w:rPr>
                <w:sz w:val="20"/>
                <w:szCs w:val="20"/>
                <w:color w:val="auto"/>
              </w:rPr>
            </w:pPr>
            <w:r>
              <w:rPr>
                <w:rFonts w:ascii="Arial" w:cs="Arial" w:eastAsia="Arial" w:hAnsi="Arial"/>
                <w:sz w:val="16"/>
                <w:szCs w:val="16"/>
                <w:color w:val="auto"/>
              </w:rPr>
              <w:t>Liability derivatives</w:t>
            </w:r>
          </w:p>
        </w:tc>
        <w:tc>
          <w:tcPr>
            <w:tcW w:w="2680" w:type="dxa"/>
            <w:vAlign w:val="bottom"/>
            <w:gridSpan w:val="2"/>
            <w:shd w:val="clear" w:color="auto" w:fill="CCEEFF"/>
          </w:tcPr>
          <w:p>
            <w:pPr>
              <w:ind w:left="500"/>
              <w:spacing w:after="0"/>
              <w:rPr>
                <w:sz w:val="20"/>
                <w:szCs w:val="20"/>
                <w:color w:val="auto"/>
              </w:rPr>
            </w:pPr>
            <w:r>
              <w:rPr>
                <w:rFonts w:ascii="Arial" w:cs="Arial" w:eastAsia="Arial" w:hAnsi="Arial"/>
                <w:sz w:val="16"/>
                <w:szCs w:val="16"/>
                <w:color w:val="auto"/>
              </w:rPr>
              <w:t>Other current liabilities</w:t>
            </w:r>
          </w:p>
        </w:tc>
        <w:tc>
          <w:tcPr>
            <w:tcW w:w="1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6,360</w:t>
            </w:r>
          </w:p>
        </w:tc>
        <w:tc>
          <w:tcPr>
            <w:tcW w:w="1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1,106</w:t>
            </w: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1780" w:type="dxa"/>
            <w:vAlign w:val="bottom"/>
          </w:tcPr>
          <w:p>
            <w:pPr>
              <w:spacing w:after="0"/>
              <w:rPr>
                <w:sz w:val="17"/>
                <w:szCs w:val="17"/>
                <w:color w:val="auto"/>
              </w:rPr>
            </w:pPr>
          </w:p>
        </w:tc>
        <w:tc>
          <w:tcPr>
            <w:tcW w:w="2680" w:type="dxa"/>
            <w:vAlign w:val="bottom"/>
            <w:gridSpan w:val="2"/>
          </w:tcPr>
          <w:p>
            <w:pPr>
              <w:ind w:left="500"/>
              <w:spacing w:after="0"/>
              <w:rPr>
                <w:sz w:val="20"/>
                <w:szCs w:val="20"/>
                <w:color w:val="auto"/>
              </w:rPr>
            </w:pPr>
            <w:r>
              <w:rPr>
                <w:rFonts w:ascii="Arial" w:cs="Arial" w:eastAsia="Arial" w:hAnsi="Arial"/>
                <w:sz w:val="16"/>
                <w:szCs w:val="16"/>
                <w:color w:val="auto"/>
              </w:rPr>
              <w:t>Other noncurrent liabilities</w:t>
            </w: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276</w:t>
            </w: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32</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198" w:lineRule="exact"/>
        <w:rPr>
          <w:sz w:val="20"/>
          <w:szCs w:val="20"/>
          <w:color w:val="auto"/>
        </w:rPr>
      </w:pPr>
    </w:p>
    <w:p>
      <w:pPr>
        <w:ind w:left="1240" w:right="1639" w:firstLine="648"/>
        <w:spacing w:after="0" w:line="342" w:lineRule="auto"/>
        <w:rPr>
          <w:sz w:val="20"/>
          <w:szCs w:val="20"/>
          <w:color w:val="auto"/>
        </w:rPr>
      </w:pPr>
      <w:r>
        <w:rPr>
          <w:rFonts w:ascii="Arial" w:cs="Arial" w:eastAsia="Arial" w:hAnsi="Arial"/>
          <w:sz w:val="16"/>
          <w:szCs w:val="16"/>
          <w:color w:val="auto"/>
        </w:rPr>
        <w:t>The effect of foreign exchange hedges on accumulated other comprehensive income (loss) and the consolidated statements of operations was as follows:</w:t>
      </w:r>
    </w:p>
    <w:p>
      <w:pPr>
        <w:spacing w:after="0" w:line="143" w:lineRule="exact"/>
        <w:rPr>
          <w:sz w:val="20"/>
          <w:szCs w:val="20"/>
          <w:color w:val="auto"/>
        </w:rPr>
      </w:pPr>
    </w:p>
    <w:tbl>
      <w:tblPr>
        <w:tblLayout w:type="fixed"/>
        <w:tblInd w:w="1240" w:type="dxa"/>
        <w:tblCellMar>
          <w:top w:w="0" w:type="dxa"/>
          <w:left w:w="0" w:type="dxa"/>
          <w:bottom w:w="0" w:type="dxa"/>
          <w:right w:w="0" w:type="dxa"/>
        </w:tblCellMar>
      </w:tblPr>
      <w:tr>
        <w:trPr>
          <w:trHeight w:val="162"/>
        </w:trPr>
        <w:tc>
          <w:tcPr>
            <w:tcW w:w="4180" w:type="dxa"/>
            <w:vAlign w:val="bottom"/>
          </w:tcPr>
          <w:p>
            <w:pPr>
              <w:spacing w:after="0"/>
              <w:rPr>
                <w:sz w:val="14"/>
                <w:szCs w:val="14"/>
                <w:color w:val="auto"/>
              </w:rPr>
            </w:pPr>
          </w:p>
        </w:tc>
        <w:tc>
          <w:tcPr>
            <w:tcW w:w="2320" w:type="dxa"/>
            <w:vAlign w:val="bottom"/>
            <w:gridSpan w:val="5"/>
          </w:tcPr>
          <w:p>
            <w:pPr>
              <w:jc w:val="center"/>
              <w:spacing w:after="0"/>
              <w:rPr>
                <w:sz w:val="20"/>
                <w:szCs w:val="20"/>
                <w:color w:val="auto"/>
              </w:rPr>
            </w:pPr>
            <w:r>
              <w:rPr>
                <w:rFonts w:ascii="Arial" w:cs="Arial" w:eastAsia="Arial" w:hAnsi="Arial"/>
                <w:sz w:val="14"/>
                <w:szCs w:val="14"/>
                <w:b w:val="1"/>
                <w:bCs w:val="1"/>
                <w:color w:val="auto"/>
                <w:w w:val="92"/>
              </w:rPr>
              <w:t>Gain (Loss) Recognized in</w:t>
            </w:r>
          </w:p>
        </w:tc>
        <w:tc>
          <w:tcPr>
            <w:tcW w:w="0" w:type="dxa"/>
            <w:vAlign w:val="bottom"/>
          </w:tcPr>
          <w:p>
            <w:pPr>
              <w:spacing w:after="0"/>
              <w:rPr>
                <w:sz w:val="1"/>
                <w:szCs w:val="1"/>
                <w:color w:val="auto"/>
              </w:rPr>
            </w:pPr>
          </w:p>
        </w:tc>
      </w:tr>
      <w:tr>
        <w:trPr>
          <w:trHeight w:val="171"/>
        </w:trPr>
        <w:tc>
          <w:tcPr>
            <w:tcW w:w="4180" w:type="dxa"/>
            <w:vAlign w:val="bottom"/>
          </w:tcPr>
          <w:p>
            <w:pPr>
              <w:spacing w:after="0"/>
              <w:rPr>
                <w:sz w:val="14"/>
                <w:szCs w:val="14"/>
                <w:color w:val="auto"/>
              </w:rPr>
            </w:pPr>
          </w:p>
        </w:tc>
        <w:tc>
          <w:tcPr>
            <w:tcW w:w="2320" w:type="dxa"/>
            <w:vAlign w:val="bottom"/>
            <w:tcBorders>
              <w:bottom w:val="single" w:sz="8" w:color="auto"/>
            </w:tcBorders>
            <w:gridSpan w:val="5"/>
          </w:tcPr>
          <w:p>
            <w:pPr>
              <w:jc w:val="center"/>
              <w:spacing w:after="0"/>
              <w:rPr>
                <w:sz w:val="20"/>
                <w:szCs w:val="20"/>
                <w:color w:val="auto"/>
              </w:rPr>
            </w:pPr>
            <w:r>
              <w:rPr>
                <w:rFonts w:ascii="Arial" w:cs="Arial" w:eastAsia="Arial" w:hAnsi="Arial"/>
                <w:sz w:val="14"/>
                <w:szCs w:val="14"/>
                <w:b w:val="1"/>
                <w:bCs w:val="1"/>
                <w:color w:val="auto"/>
                <w:w w:val="92"/>
              </w:rPr>
              <w:t>Other Comprehensive Income (Loss)</w:t>
            </w:r>
          </w:p>
        </w:tc>
        <w:tc>
          <w:tcPr>
            <w:tcW w:w="0" w:type="dxa"/>
            <w:vAlign w:val="bottom"/>
          </w:tcPr>
          <w:p>
            <w:pPr>
              <w:spacing w:after="0"/>
              <w:rPr>
                <w:sz w:val="1"/>
                <w:szCs w:val="1"/>
                <w:color w:val="auto"/>
              </w:rPr>
            </w:pPr>
          </w:p>
        </w:tc>
      </w:tr>
      <w:tr>
        <w:trPr>
          <w:trHeight w:val="133"/>
        </w:trPr>
        <w:tc>
          <w:tcPr>
            <w:tcW w:w="41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980" w:type="dxa"/>
            <w:vAlign w:val="bottom"/>
            <w:gridSpan w:val="3"/>
          </w:tcPr>
          <w:p>
            <w:pPr>
              <w:jc w:val="center"/>
              <w:spacing w:after="0" w:line="133" w:lineRule="exact"/>
              <w:rPr>
                <w:sz w:val="20"/>
                <w:szCs w:val="20"/>
                <w:color w:val="auto"/>
              </w:rPr>
            </w:pPr>
            <w:r>
              <w:rPr>
                <w:rFonts w:ascii="Arial" w:cs="Arial" w:eastAsia="Arial" w:hAnsi="Arial"/>
                <w:sz w:val="14"/>
                <w:szCs w:val="14"/>
                <w:b w:val="1"/>
                <w:bCs w:val="1"/>
                <w:color w:val="auto"/>
                <w:w w:val="92"/>
              </w:rPr>
              <w:t>Year ended</w:t>
            </w:r>
          </w:p>
        </w:tc>
        <w:tc>
          <w:tcPr>
            <w:tcW w:w="6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1"/>
        </w:trPr>
        <w:tc>
          <w:tcPr>
            <w:tcW w:w="4180" w:type="dxa"/>
            <w:vAlign w:val="bottom"/>
            <w:vMerge w:val="restart"/>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66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gridSpan w:val="3"/>
          </w:tcPr>
          <w:p>
            <w:pPr>
              <w:jc w:val="center"/>
              <w:ind w:right="40"/>
              <w:spacing w:after="0"/>
              <w:rPr>
                <w:sz w:val="20"/>
                <w:szCs w:val="20"/>
                <w:color w:val="auto"/>
              </w:rPr>
            </w:pPr>
            <w:r>
              <w:rPr>
                <w:rFonts w:ascii="Arial" w:cs="Arial" w:eastAsia="Arial" w:hAnsi="Arial"/>
                <w:sz w:val="14"/>
                <w:szCs w:val="14"/>
                <w:b w:val="1"/>
                <w:bCs w:val="1"/>
                <w:color w:val="auto"/>
                <w:w w:val="90"/>
              </w:rPr>
              <w:t>December 31,</w:t>
            </w:r>
          </w:p>
        </w:tc>
        <w:tc>
          <w:tcPr>
            <w:tcW w:w="68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4180" w:type="dxa"/>
            <w:vAlign w:val="bottom"/>
            <w:vMerge w:val="continue"/>
          </w:tcPr>
          <w:p>
            <w:pPr>
              <w:spacing w:after="0"/>
              <w:rPr>
                <w:sz w:val="12"/>
                <w:szCs w:val="12"/>
                <w:color w:val="auto"/>
              </w:rPr>
            </w:pPr>
          </w:p>
        </w:tc>
        <w:tc>
          <w:tcPr>
            <w:tcW w:w="660" w:type="dxa"/>
            <w:vAlign w:val="bottom"/>
            <w:tcBorders>
              <w:bottom w:val="single" w:sz="8" w:color="auto"/>
            </w:tcBorders>
          </w:tcPr>
          <w:p>
            <w:pPr>
              <w:jc w:val="right"/>
              <w:ind w:right="128"/>
              <w:spacing w:after="0" w:line="142" w:lineRule="exact"/>
              <w:rPr>
                <w:sz w:val="20"/>
                <w:szCs w:val="20"/>
                <w:color w:val="auto"/>
              </w:rPr>
            </w:pPr>
            <w:r>
              <w:rPr>
                <w:rFonts w:ascii="Arial" w:cs="Arial" w:eastAsia="Arial" w:hAnsi="Arial"/>
                <w:sz w:val="14"/>
                <w:szCs w:val="14"/>
                <w:b w:val="1"/>
                <w:bCs w:val="1"/>
                <w:color w:val="auto"/>
              </w:rPr>
              <w:t>2017</w:t>
            </w:r>
          </w:p>
        </w:tc>
        <w:tc>
          <w:tcPr>
            <w:tcW w:w="160" w:type="dxa"/>
            <w:vAlign w:val="bottom"/>
          </w:tcPr>
          <w:p>
            <w:pPr>
              <w:spacing w:after="0"/>
              <w:rPr>
                <w:sz w:val="12"/>
                <w:szCs w:val="12"/>
                <w:color w:val="auto"/>
              </w:rPr>
            </w:pPr>
          </w:p>
        </w:tc>
        <w:tc>
          <w:tcPr>
            <w:tcW w:w="680" w:type="dxa"/>
            <w:vAlign w:val="bottom"/>
            <w:tcBorders>
              <w:bottom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w w:val="96"/>
              </w:rPr>
              <w:t>2016</w:t>
            </w:r>
          </w:p>
        </w:tc>
        <w:tc>
          <w:tcPr>
            <w:tcW w:w="140" w:type="dxa"/>
            <w:vAlign w:val="bottom"/>
          </w:tcPr>
          <w:p>
            <w:pPr>
              <w:spacing w:after="0"/>
              <w:rPr>
                <w:sz w:val="12"/>
                <w:szCs w:val="12"/>
                <w:color w:val="auto"/>
              </w:rPr>
            </w:pPr>
          </w:p>
        </w:tc>
        <w:tc>
          <w:tcPr>
            <w:tcW w:w="680" w:type="dxa"/>
            <w:vAlign w:val="bottom"/>
            <w:tcBorders>
              <w:bottom w:val="single" w:sz="8" w:color="auto"/>
            </w:tcBorders>
          </w:tcPr>
          <w:p>
            <w:pPr>
              <w:jc w:val="right"/>
              <w:ind w:right="128"/>
              <w:spacing w:after="0" w:line="142" w:lineRule="exact"/>
              <w:rPr>
                <w:sz w:val="20"/>
                <w:szCs w:val="20"/>
                <w:color w:val="auto"/>
              </w:rPr>
            </w:pPr>
            <w:r>
              <w:rPr>
                <w:rFonts w:ascii="Arial" w:cs="Arial" w:eastAsia="Arial" w:hAnsi="Arial"/>
                <w:sz w:val="14"/>
                <w:szCs w:val="14"/>
                <w:b w:val="1"/>
                <w:bCs w:val="1"/>
                <w:color w:val="auto"/>
              </w:rPr>
              <w:t>2015</w:t>
            </w:r>
          </w:p>
        </w:tc>
        <w:tc>
          <w:tcPr>
            <w:tcW w:w="0" w:type="dxa"/>
            <w:vAlign w:val="bottom"/>
          </w:tcPr>
          <w:p>
            <w:pPr>
              <w:spacing w:after="0"/>
              <w:rPr>
                <w:sz w:val="1"/>
                <w:szCs w:val="1"/>
                <w:color w:val="auto"/>
              </w:rPr>
            </w:pPr>
          </w:p>
        </w:tc>
      </w:tr>
    </w:tbl>
    <w:p>
      <w:pPr>
        <w:spacing w:after="0" w:line="203" w:lineRule="exact"/>
        <w:rPr>
          <w:sz w:val="20"/>
          <w:szCs w:val="20"/>
          <w:color w:val="auto"/>
        </w:rPr>
      </w:pPr>
    </w:p>
    <w:tbl>
      <w:tblPr>
        <w:tblLayout w:type="fixed"/>
        <w:tblInd w:w="1240" w:type="dxa"/>
        <w:tblCellMar>
          <w:top w:w="0" w:type="dxa"/>
          <w:left w:w="0" w:type="dxa"/>
          <w:bottom w:w="0" w:type="dxa"/>
          <w:right w:w="0" w:type="dxa"/>
        </w:tblCellMar>
      </w:tblPr>
      <w:tr>
        <w:trPr>
          <w:trHeight w:val="203"/>
        </w:trPr>
        <w:tc>
          <w:tcPr>
            <w:tcW w:w="20" w:type="dxa"/>
            <w:vAlign w:val="bottom"/>
          </w:tcPr>
          <w:p>
            <w:pPr>
              <w:spacing w:after="0"/>
              <w:rPr>
                <w:sz w:val="17"/>
                <w:szCs w:val="17"/>
                <w:color w:val="auto"/>
              </w:rPr>
            </w:pPr>
          </w:p>
        </w:tc>
        <w:tc>
          <w:tcPr>
            <w:tcW w:w="374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Type of hedge</w:t>
            </w:r>
          </w:p>
        </w:tc>
        <w:tc>
          <w:tcPr>
            <w:tcW w:w="42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60" w:type="dxa"/>
            <w:vAlign w:val="bottom"/>
            <w:tcBorders>
              <w:right w:val="single" w:sz="8" w:color="CCEEFF"/>
            </w:tcBorders>
            <w:shd w:val="clear" w:color="auto" w:fill="CCEEFF"/>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740" w:type="dxa"/>
            <w:vAlign w:val="bottom"/>
          </w:tcPr>
          <w:p>
            <w:pPr>
              <w:spacing w:after="0"/>
              <w:rPr>
                <w:sz w:val="20"/>
                <w:szCs w:val="20"/>
                <w:color w:val="auto"/>
              </w:rPr>
            </w:pPr>
            <w:r>
              <w:rPr>
                <w:rFonts w:ascii="Arial" w:cs="Arial" w:eastAsia="Arial" w:hAnsi="Arial"/>
                <w:sz w:val="16"/>
                <w:szCs w:val="16"/>
                <w:color w:val="auto"/>
              </w:rPr>
              <w:t>Cash flow</w:t>
            </w:r>
          </w:p>
        </w:tc>
        <w:tc>
          <w:tcPr>
            <w:tcW w:w="520" w:type="dxa"/>
            <w:vAlign w:val="bottom"/>
            <w:gridSpan w:val="3"/>
          </w:tcPr>
          <w:p>
            <w:pPr>
              <w:jc w:val="right"/>
              <w:spacing w:after="0"/>
              <w:rPr>
                <w:sz w:val="20"/>
                <w:szCs w:val="20"/>
                <w:color w:val="auto"/>
              </w:rPr>
            </w:pPr>
            <w:r>
              <w:rPr>
                <w:rFonts w:ascii="Arial" w:cs="Arial" w:eastAsia="Arial" w:hAnsi="Arial"/>
                <w:sz w:val="16"/>
                <w:szCs w:val="16"/>
                <w:color w:val="auto"/>
              </w:rPr>
              <w:t>$</w:t>
            </w:r>
          </w:p>
        </w:tc>
        <w:tc>
          <w:tcPr>
            <w:tcW w:w="560" w:type="dxa"/>
            <w:vAlign w:val="bottom"/>
          </w:tcPr>
          <w:p>
            <w:pPr>
              <w:jc w:val="right"/>
              <w:spacing w:after="0"/>
              <w:rPr>
                <w:sz w:val="20"/>
                <w:szCs w:val="20"/>
                <w:color w:val="auto"/>
              </w:rPr>
            </w:pPr>
            <w:r>
              <w:rPr>
                <w:rFonts w:ascii="Arial" w:cs="Arial" w:eastAsia="Arial" w:hAnsi="Arial"/>
                <w:sz w:val="16"/>
                <w:szCs w:val="16"/>
                <w:color w:val="auto"/>
                <w:w w:val="90"/>
              </w:rPr>
              <w:t>(15,558)</w:t>
            </w:r>
          </w:p>
        </w:tc>
        <w:tc>
          <w:tcPr>
            <w:tcW w:w="60" w:type="dxa"/>
            <w:vAlign w:val="bottom"/>
          </w:tcPr>
          <w:p>
            <w:pPr>
              <w:spacing w:after="0"/>
              <w:rPr>
                <w:sz w:val="17"/>
                <w:szCs w:val="17"/>
                <w:color w:val="auto"/>
              </w:rPr>
            </w:pPr>
          </w:p>
        </w:tc>
        <w:tc>
          <w:tcPr>
            <w:tcW w:w="280" w:type="dxa"/>
            <w:vAlign w:val="bottom"/>
            <w:gridSpan w:val="3"/>
          </w:tcPr>
          <w:p>
            <w:pPr>
              <w:jc w:val="right"/>
              <w:ind w:right="24"/>
              <w:spacing w:after="0"/>
              <w:rPr>
                <w:sz w:val="20"/>
                <w:szCs w:val="20"/>
                <w:color w:val="auto"/>
              </w:rPr>
            </w:pPr>
            <w:r>
              <w:rPr>
                <w:rFonts w:ascii="Arial" w:cs="Arial" w:eastAsia="Arial" w:hAnsi="Arial"/>
                <w:sz w:val="16"/>
                <w:szCs w:val="16"/>
                <w:color w:val="auto"/>
              </w:rPr>
              <w:t>$</w:t>
            </w:r>
          </w:p>
        </w:tc>
        <w:tc>
          <w:tcPr>
            <w:tcW w:w="500" w:type="dxa"/>
            <w:vAlign w:val="bottom"/>
          </w:tcPr>
          <w:p>
            <w:pPr>
              <w:ind w:left="60"/>
              <w:spacing w:after="0"/>
              <w:rPr>
                <w:sz w:val="20"/>
                <w:szCs w:val="20"/>
                <w:color w:val="auto"/>
              </w:rPr>
            </w:pPr>
            <w:r>
              <w:rPr>
                <w:rFonts w:ascii="Arial" w:cs="Arial" w:eastAsia="Arial" w:hAnsi="Arial"/>
                <w:sz w:val="16"/>
                <w:szCs w:val="16"/>
                <w:color w:val="auto"/>
              </w:rPr>
              <w:t>7,014</w:t>
            </w: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80" w:type="dxa"/>
            <w:vAlign w:val="bottom"/>
            <w:gridSpan w:val="4"/>
          </w:tcPr>
          <w:p>
            <w:pPr>
              <w:jc w:val="right"/>
              <w:ind w:right="29"/>
              <w:spacing w:after="0"/>
              <w:rPr>
                <w:sz w:val="20"/>
                <w:szCs w:val="20"/>
                <w:color w:val="auto"/>
              </w:rPr>
            </w:pPr>
            <w:r>
              <w:rPr>
                <w:rFonts w:ascii="Arial" w:cs="Arial" w:eastAsia="Arial" w:hAnsi="Arial"/>
                <w:sz w:val="16"/>
                <w:szCs w:val="16"/>
                <w:color w:val="auto"/>
                <w:w w:val="89"/>
              </w:rPr>
              <w:t>$</w:t>
            </w:r>
          </w:p>
        </w:tc>
        <w:tc>
          <w:tcPr>
            <w:tcW w:w="560" w:type="dxa"/>
            <w:vAlign w:val="bottom"/>
          </w:tcPr>
          <w:p>
            <w:pPr>
              <w:jc w:val="center"/>
              <w:ind w:right="20"/>
              <w:spacing w:after="0"/>
              <w:rPr>
                <w:sz w:val="20"/>
                <w:szCs w:val="20"/>
                <w:color w:val="auto"/>
              </w:rPr>
            </w:pPr>
            <w:r>
              <w:rPr>
                <w:rFonts w:ascii="Arial" w:cs="Arial" w:eastAsia="Arial" w:hAnsi="Arial"/>
                <w:sz w:val="16"/>
                <w:szCs w:val="16"/>
                <w:color w:val="auto"/>
                <w:w w:val="93"/>
              </w:rPr>
              <w:t>14,964</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740" w:type="dxa"/>
            <w:vAlign w:val="bottom"/>
            <w:tcBorders>
              <w:top w:val="single" w:sz="8" w:color="CCEEFF"/>
              <w:bottom w:val="single" w:sz="8" w:color="CCEEFF"/>
            </w:tcBorders>
            <w:shd w:val="clear" w:color="auto" w:fill="CCEEFF"/>
          </w:tcPr>
          <w:p>
            <w:pPr>
              <w:spacing w:after="0"/>
              <w:rPr>
                <w:sz w:val="17"/>
                <w:szCs w:val="17"/>
                <w:color w:val="auto"/>
              </w:rPr>
            </w:pPr>
          </w:p>
        </w:tc>
        <w:tc>
          <w:tcPr>
            <w:tcW w:w="420" w:type="dxa"/>
            <w:vAlign w:val="bottom"/>
            <w:tcBorders>
              <w:top w:val="single" w:sz="8" w:color="CCEEFF"/>
              <w:bottom w:val="single" w:sz="8" w:color="CCEEFF"/>
            </w:tcBorders>
            <w:shd w:val="clear" w:color="auto" w:fill="CCEEFF"/>
          </w:tcPr>
          <w:p>
            <w:pPr>
              <w:spacing w:after="0"/>
              <w:rPr>
                <w:sz w:val="17"/>
                <w:szCs w:val="17"/>
                <w:color w:val="auto"/>
              </w:rPr>
            </w:pPr>
          </w:p>
        </w:tc>
        <w:tc>
          <w:tcPr>
            <w:tcW w:w="10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5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90"/>
              </w:rPr>
              <w:t>(15,558)</w:t>
            </w:r>
          </w:p>
        </w:tc>
        <w:tc>
          <w:tcPr>
            <w:tcW w:w="60" w:type="dxa"/>
            <w:vAlign w:val="bottom"/>
            <w:tcBorders>
              <w:top w:val="single" w:sz="8" w:color="CCEEFF"/>
              <w:bottom w:val="single" w:sz="8" w:color="CCEEFF"/>
            </w:tcBorders>
            <w:shd w:val="clear" w:color="auto" w:fill="CCEEFF"/>
          </w:tcPr>
          <w:p>
            <w:pPr>
              <w:spacing w:after="0"/>
              <w:rPr>
                <w:sz w:val="17"/>
                <w:szCs w:val="17"/>
                <w:color w:val="auto"/>
              </w:rPr>
            </w:pP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80" w:type="dxa"/>
            <w:vAlign w:val="bottom"/>
            <w:tcBorders>
              <w:top w:val="single" w:sz="8" w:color="auto"/>
              <w:bottom w:val="single" w:sz="8" w:color="auto"/>
            </w:tcBorders>
            <w:gridSpan w:val="2"/>
            <w:shd w:val="clear" w:color="auto" w:fill="CCEEFF"/>
          </w:tcPr>
          <w:p>
            <w:pPr>
              <w:jc w:val="right"/>
              <w:ind w:right="24"/>
              <w:spacing w:after="0"/>
              <w:rPr>
                <w:sz w:val="20"/>
                <w:szCs w:val="20"/>
                <w:color w:val="auto"/>
              </w:rPr>
            </w:pPr>
            <w:r>
              <w:rPr>
                <w:rFonts w:ascii="Arial" w:cs="Arial" w:eastAsia="Arial" w:hAnsi="Arial"/>
                <w:sz w:val="15"/>
                <w:szCs w:val="15"/>
                <w:color w:val="auto"/>
                <w:w w:val="71"/>
              </w:rPr>
              <w:t>$</w:t>
            </w:r>
          </w:p>
        </w:tc>
        <w:tc>
          <w:tcPr>
            <w:tcW w:w="500" w:type="dxa"/>
            <w:vAlign w:val="bottom"/>
            <w:tcBorders>
              <w:top w:val="single" w:sz="8" w:color="auto"/>
              <w:bottom w:val="single" w:sz="8" w:color="auto"/>
            </w:tcBorders>
            <w:shd w:val="clear" w:color="auto" w:fill="CCEEFF"/>
          </w:tcPr>
          <w:p>
            <w:pPr>
              <w:ind w:left="60"/>
              <w:spacing w:after="0"/>
              <w:rPr>
                <w:sz w:val="20"/>
                <w:szCs w:val="20"/>
                <w:color w:val="auto"/>
              </w:rPr>
            </w:pPr>
            <w:r>
              <w:rPr>
                <w:rFonts w:ascii="Arial" w:cs="Arial" w:eastAsia="Arial" w:hAnsi="Arial"/>
                <w:sz w:val="16"/>
                <w:szCs w:val="16"/>
                <w:color w:val="auto"/>
              </w:rPr>
              <w:t>7,014</w:t>
            </w:r>
          </w:p>
        </w:tc>
        <w:tc>
          <w:tcPr>
            <w:tcW w:w="60" w:type="dxa"/>
            <w:vAlign w:val="bottom"/>
            <w:tcBorders>
              <w:top w:val="single" w:sz="8" w:color="CCEEFF"/>
              <w:bottom w:val="single" w:sz="8" w:color="CCEEFF"/>
            </w:tcBorders>
            <w:shd w:val="clear" w:color="auto" w:fill="CCEEFF"/>
          </w:tcPr>
          <w:p>
            <w:pPr>
              <w:spacing w:after="0"/>
              <w:rPr>
                <w:sz w:val="17"/>
                <w:szCs w:val="17"/>
                <w:color w:val="auto"/>
              </w:rPr>
            </w:pPr>
          </w:p>
        </w:tc>
        <w:tc>
          <w:tcPr>
            <w:tcW w:w="60" w:type="dxa"/>
            <w:vAlign w:val="bottom"/>
            <w:tcBorders>
              <w:top w:val="single" w:sz="8" w:color="CCEEFF"/>
              <w:bottom w:val="single" w:sz="8" w:color="CCEEFF"/>
            </w:tcBorders>
            <w:shd w:val="clear" w:color="auto" w:fill="CCEEFF"/>
          </w:tcPr>
          <w:p>
            <w:pPr>
              <w:spacing w:after="0"/>
              <w:rPr>
                <w:sz w:val="17"/>
                <w:szCs w:val="17"/>
                <w:color w:val="auto"/>
              </w:rPr>
            </w:pPr>
          </w:p>
        </w:tc>
        <w:tc>
          <w:tcPr>
            <w:tcW w:w="20" w:type="dxa"/>
            <w:vAlign w:val="bottom"/>
            <w:tcBorders>
              <w:top w:val="single" w:sz="8" w:color="CCEEFF"/>
              <w:bottom w:val="single" w:sz="8" w:color="CCEEFF"/>
            </w:tcBorders>
            <w:shd w:val="clear" w:color="auto" w:fill="CCEEFF"/>
          </w:tcPr>
          <w:p>
            <w:pPr>
              <w:spacing w:after="0"/>
              <w:rPr>
                <w:sz w:val="17"/>
                <w:szCs w:val="17"/>
                <w:color w:val="auto"/>
              </w:rPr>
            </w:pPr>
          </w:p>
        </w:tc>
        <w:tc>
          <w:tcPr>
            <w:tcW w:w="160" w:type="dxa"/>
            <w:vAlign w:val="bottom"/>
            <w:tcBorders>
              <w:top w:val="single" w:sz="8" w:color="auto"/>
              <w:bottom w:val="single" w:sz="8" w:color="auto"/>
            </w:tcBorders>
            <w:gridSpan w:val="3"/>
            <w:shd w:val="clear" w:color="auto" w:fill="CCEEFF"/>
          </w:tcPr>
          <w:p>
            <w:pPr>
              <w:jc w:val="right"/>
              <w:ind w:right="29"/>
              <w:spacing w:after="0"/>
              <w:rPr>
                <w:sz w:val="20"/>
                <w:szCs w:val="20"/>
                <w:color w:val="auto"/>
              </w:rPr>
            </w:pPr>
            <w:r>
              <w:rPr>
                <w:rFonts w:ascii="Arial" w:cs="Arial" w:eastAsia="Arial" w:hAnsi="Arial"/>
                <w:sz w:val="15"/>
                <w:szCs w:val="15"/>
                <w:color w:val="auto"/>
                <w:w w:val="71"/>
              </w:rPr>
              <w:t>$</w:t>
            </w:r>
          </w:p>
        </w:tc>
        <w:tc>
          <w:tcPr>
            <w:tcW w:w="560" w:type="dxa"/>
            <w:vAlign w:val="bottom"/>
            <w:tcBorders>
              <w:top w:val="single" w:sz="8" w:color="auto"/>
              <w:bottom w:val="single" w:sz="8" w:color="auto"/>
              <w:right w:val="single" w:sz="8" w:color="CCEEFF"/>
            </w:tcBorders>
            <w:shd w:val="clear" w:color="auto" w:fill="CCEEFF"/>
          </w:tcPr>
          <w:p>
            <w:pPr>
              <w:jc w:val="center"/>
              <w:ind w:right="20"/>
              <w:spacing w:after="0"/>
              <w:rPr>
                <w:sz w:val="20"/>
                <w:szCs w:val="20"/>
                <w:color w:val="auto"/>
              </w:rPr>
            </w:pPr>
            <w:r>
              <w:rPr>
                <w:rFonts w:ascii="Arial" w:cs="Arial" w:eastAsia="Arial" w:hAnsi="Arial"/>
                <w:sz w:val="16"/>
                <w:szCs w:val="16"/>
                <w:color w:val="auto"/>
                <w:w w:val="93"/>
              </w:rPr>
              <w:t>14,964</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85"/>
        </w:trPr>
        <w:tc>
          <w:tcPr>
            <w:tcW w:w="20" w:type="dxa"/>
            <w:vAlign w:val="bottom"/>
          </w:tcPr>
          <w:p>
            <w:pPr>
              <w:spacing w:after="0"/>
              <w:rPr>
                <w:sz w:val="24"/>
                <w:szCs w:val="24"/>
                <w:color w:val="auto"/>
              </w:rPr>
            </w:pPr>
          </w:p>
        </w:tc>
        <w:tc>
          <w:tcPr>
            <w:tcW w:w="37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260" w:type="dxa"/>
            <w:vAlign w:val="bottom"/>
            <w:gridSpan w:val="13"/>
          </w:tcPr>
          <w:p>
            <w:pPr>
              <w:jc w:val="center"/>
              <w:spacing w:after="0"/>
              <w:rPr>
                <w:sz w:val="20"/>
                <w:szCs w:val="20"/>
                <w:color w:val="auto"/>
              </w:rPr>
            </w:pPr>
            <w:r>
              <w:rPr>
                <w:rFonts w:ascii="Arial" w:cs="Arial" w:eastAsia="Arial" w:hAnsi="Arial"/>
                <w:sz w:val="14"/>
                <w:szCs w:val="14"/>
                <w:b w:val="1"/>
                <w:bCs w:val="1"/>
                <w:color w:val="auto"/>
                <w:w w:val="90"/>
              </w:rPr>
              <w:t>Gain (Loss) Recognized in</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37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2260" w:type="dxa"/>
            <w:vAlign w:val="bottom"/>
            <w:tcBorders>
              <w:bottom w:val="single" w:sz="8" w:color="auto"/>
            </w:tcBorders>
            <w:gridSpan w:val="13"/>
          </w:tcPr>
          <w:p>
            <w:pPr>
              <w:jc w:val="center"/>
              <w:spacing w:after="0"/>
              <w:rPr>
                <w:sz w:val="20"/>
                <w:szCs w:val="20"/>
                <w:color w:val="auto"/>
              </w:rPr>
            </w:pPr>
            <w:r>
              <w:rPr>
                <w:rFonts w:ascii="Arial" w:cs="Arial" w:eastAsia="Arial" w:hAnsi="Arial"/>
                <w:sz w:val="14"/>
                <w:szCs w:val="14"/>
                <w:b w:val="1"/>
                <w:bCs w:val="1"/>
                <w:color w:val="auto"/>
                <w:w w:val="92"/>
              </w:rPr>
              <w:t>Statement of Operations</w:t>
            </w:r>
          </w:p>
        </w:tc>
        <w:tc>
          <w:tcPr>
            <w:tcW w:w="2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3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gridSpan w:val="5"/>
          </w:tcPr>
          <w:p>
            <w:pPr>
              <w:jc w:val="center"/>
              <w:ind w:right="40"/>
              <w:spacing w:after="0" w:line="133" w:lineRule="exact"/>
              <w:rPr>
                <w:sz w:val="20"/>
                <w:szCs w:val="20"/>
                <w:color w:val="auto"/>
              </w:rPr>
            </w:pPr>
            <w:r>
              <w:rPr>
                <w:rFonts w:ascii="Arial" w:cs="Arial" w:eastAsia="Arial" w:hAnsi="Arial"/>
                <w:sz w:val="14"/>
                <w:szCs w:val="14"/>
                <w:b w:val="1"/>
                <w:bCs w:val="1"/>
                <w:color w:val="auto"/>
                <w:w w:val="90"/>
              </w:rPr>
              <w:t>Year ended</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1"/>
        </w:trPr>
        <w:tc>
          <w:tcPr>
            <w:tcW w:w="3760" w:type="dxa"/>
            <w:vAlign w:val="bottom"/>
            <w:gridSpan w:val="2"/>
            <w:vMerge w:val="restart"/>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4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gridSpan w:val="6"/>
          </w:tcPr>
          <w:p>
            <w:pPr>
              <w:jc w:val="center"/>
              <w:spacing w:after="0"/>
              <w:rPr>
                <w:sz w:val="20"/>
                <w:szCs w:val="20"/>
                <w:color w:val="auto"/>
              </w:rPr>
            </w:pPr>
            <w:r>
              <w:rPr>
                <w:rFonts w:ascii="Arial" w:cs="Arial" w:eastAsia="Arial" w:hAnsi="Arial"/>
                <w:sz w:val="14"/>
                <w:szCs w:val="14"/>
                <w:b w:val="1"/>
                <w:bCs w:val="1"/>
                <w:color w:val="auto"/>
                <w:w w:val="92"/>
              </w:rPr>
              <w:t>December 31,</w:t>
            </w:r>
          </w:p>
        </w:tc>
        <w:tc>
          <w:tcPr>
            <w:tcW w:w="2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3760" w:type="dxa"/>
            <w:vAlign w:val="bottom"/>
            <w:gridSpan w:val="2"/>
            <w:vMerge w:val="continue"/>
          </w:tcPr>
          <w:p>
            <w:pPr>
              <w:spacing w:after="0"/>
              <w:rPr>
                <w:sz w:val="12"/>
                <w:szCs w:val="12"/>
                <w:color w:val="auto"/>
              </w:rPr>
            </w:pPr>
          </w:p>
        </w:tc>
        <w:tc>
          <w:tcPr>
            <w:tcW w:w="4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jc w:val="right"/>
              <w:ind w:right="62"/>
              <w:spacing w:after="0" w:line="142" w:lineRule="exact"/>
              <w:rPr>
                <w:sz w:val="20"/>
                <w:szCs w:val="20"/>
                <w:color w:val="auto"/>
              </w:rPr>
            </w:pPr>
            <w:r>
              <w:rPr>
                <w:rFonts w:ascii="Arial" w:cs="Arial" w:eastAsia="Arial" w:hAnsi="Arial"/>
                <w:sz w:val="14"/>
                <w:szCs w:val="14"/>
                <w:b w:val="1"/>
                <w:bCs w:val="1"/>
                <w:color w:val="auto"/>
              </w:rPr>
              <w:t>2017</w:t>
            </w:r>
          </w:p>
        </w:tc>
        <w:tc>
          <w:tcPr>
            <w:tcW w:w="60" w:type="dxa"/>
            <w:vAlign w:val="bottom"/>
            <w:tcBorders>
              <w:bottom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ind w:left="60"/>
              <w:spacing w:after="0" w:line="142" w:lineRule="exact"/>
              <w:rPr>
                <w:sz w:val="20"/>
                <w:szCs w:val="20"/>
                <w:color w:val="auto"/>
              </w:rPr>
            </w:pPr>
            <w:r>
              <w:rPr>
                <w:rFonts w:ascii="Arial" w:cs="Arial" w:eastAsia="Arial" w:hAnsi="Arial"/>
                <w:sz w:val="14"/>
                <w:szCs w:val="14"/>
                <w:b w:val="1"/>
                <w:bCs w:val="1"/>
                <w:color w:val="auto"/>
              </w:rPr>
              <w:t>2016</w:t>
            </w:r>
          </w:p>
        </w:tc>
        <w:tc>
          <w:tcPr>
            <w:tcW w:w="60" w:type="dxa"/>
            <w:vAlign w:val="bottom"/>
            <w:tcBorders>
              <w:bottom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w w:val="89"/>
              </w:rPr>
              <w:t>2015</w:t>
            </w:r>
          </w:p>
        </w:tc>
        <w:tc>
          <w:tcPr>
            <w:tcW w:w="20" w:type="dxa"/>
            <w:vAlign w:val="bottom"/>
            <w:tcBorders>
              <w:bottom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20" w:type="dxa"/>
            <w:vAlign w:val="bottom"/>
            <w:vMerge w:val="restart"/>
          </w:tcPr>
          <w:p>
            <w:pPr>
              <w:spacing w:after="0"/>
              <w:rPr>
                <w:sz w:val="17"/>
                <w:szCs w:val="17"/>
                <w:color w:val="auto"/>
              </w:rPr>
            </w:pPr>
          </w:p>
        </w:tc>
        <w:tc>
          <w:tcPr>
            <w:tcW w:w="374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3740" w:type="dxa"/>
            <w:vAlign w:val="bottom"/>
            <w:shd w:val="clear" w:color="auto" w:fill="CCEEFF"/>
          </w:tcPr>
          <w:p>
            <w:pPr>
              <w:spacing w:after="0"/>
              <w:rPr>
                <w:sz w:val="20"/>
                <w:szCs w:val="20"/>
                <w:color w:val="auto"/>
              </w:rPr>
            </w:pPr>
            <w:r>
              <w:rPr>
                <w:rFonts w:ascii="Arial" w:cs="Arial" w:eastAsia="Arial" w:hAnsi="Arial"/>
                <w:sz w:val="16"/>
                <w:szCs w:val="16"/>
                <w:b w:val="1"/>
                <w:bCs w:val="1"/>
                <w:color w:val="auto"/>
                <w:w w:val="99"/>
              </w:rPr>
              <w:t>Location of gain (loss) in statement of operations</w:t>
            </w:r>
          </w:p>
        </w:tc>
        <w:tc>
          <w:tcPr>
            <w:tcW w:w="42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60" w:type="dxa"/>
            <w:vAlign w:val="bottom"/>
            <w:tcBorders>
              <w:right w:val="single" w:sz="8" w:color="CCEEFF"/>
            </w:tcBorders>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740" w:type="dxa"/>
            <w:vAlign w:val="bottom"/>
          </w:tcPr>
          <w:p>
            <w:pPr>
              <w:spacing w:after="0"/>
              <w:rPr>
                <w:sz w:val="20"/>
                <w:szCs w:val="20"/>
                <w:color w:val="auto"/>
              </w:rPr>
            </w:pPr>
            <w:r>
              <w:rPr>
                <w:rFonts w:ascii="Arial" w:cs="Arial" w:eastAsia="Arial" w:hAnsi="Arial"/>
                <w:sz w:val="16"/>
                <w:szCs w:val="16"/>
                <w:color w:val="auto"/>
              </w:rPr>
              <w:t>Cost of goods sold</w:t>
            </w:r>
          </w:p>
        </w:tc>
        <w:tc>
          <w:tcPr>
            <w:tcW w:w="520" w:type="dxa"/>
            <w:vAlign w:val="bottom"/>
            <w:gridSpan w:val="3"/>
          </w:tcPr>
          <w:p>
            <w:pPr>
              <w:jc w:val="right"/>
              <w:spacing w:after="0"/>
              <w:rPr>
                <w:sz w:val="20"/>
                <w:szCs w:val="20"/>
                <w:color w:val="auto"/>
              </w:rPr>
            </w:pPr>
            <w:r>
              <w:rPr>
                <w:rFonts w:ascii="Arial" w:cs="Arial" w:eastAsia="Arial" w:hAnsi="Arial"/>
                <w:sz w:val="16"/>
                <w:szCs w:val="16"/>
                <w:color w:val="auto"/>
              </w:rPr>
              <w:t>$</w:t>
            </w:r>
          </w:p>
        </w:tc>
        <w:tc>
          <w:tcPr>
            <w:tcW w:w="560" w:type="dxa"/>
            <w:vAlign w:val="bottom"/>
          </w:tcPr>
          <w:p>
            <w:pPr>
              <w:jc w:val="right"/>
              <w:spacing w:after="0"/>
              <w:rPr>
                <w:sz w:val="20"/>
                <w:szCs w:val="20"/>
                <w:color w:val="auto"/>
              </w:rPr>
            </w:pPr>
            <w:r>
              <w:rPr>
                <w:rFonts w:ascii="Arial" w:cs="Arial" w:eastAsia="Arial" w:hAnsi="Arial"/>
                <w:sz w:val="16"/>
                <w:szCs w:val="16"/>
                <w:color w:val="auto"/>
              </w:rPr>
              <w:t>1,329</w:t>
            </w:r>
          </w:p>
        </w:tc>
        <w:tc>
          <w:tcPr>
            <w:tcW w:w="60" w:type="dxa"/>
            <w:vAlign w:val="bottom"/>
          </w:tcPr>
          <w:p>
            <w:pPr>
              <w:spacing w:after="0"/>
              <w:rPr>
                <w:sz w:val="17"/>
                <w:szCs w:val="17"/>
                <w:color w:val="auto"/>
              </w:rPr>
            </w:pPr>
          </w:p>
        </w:tc>
        <w:tc>
          <w:tcPr>
            <w:tcW w:w="280" w:type="dxa"/>
            <w:vAlign w:val="bottom"/>
            <w:gridSpan w:val="3"/>
          </w:tcPr>
          <w:p>
            <w:pPr>
              <w:jc w:val="right"/>
              <w:spacing w:after="0"/>
              <w:rPr>
                <w:sz w:val="20"/>
                <w:szCs w:val="20"/>
                <w:color w:val="auto"/>
              </w:rPr>
            </w:pPr>
            <w:r>
              <w:rPr>
                <w:rFonts w:ascii="Arial" w:cs="Arial" w:eastAsia="Arial" w:hAnsi="Arial"/>
                <w:sz w:val="16"/>
                <w:szCs w:val="16"/>
                <w:color w:val="auto"/>
              </w:rPr>
              <w:t>$</w:t>
            </w:r>
          </w:p>
        </w:tc>
        <w:tc>
          <w:tcPr>
            <w:tcW w:w="560" w:type="dxa"/>
            <w:vAlign w:val="bottom"/>
            <w:gridSpan w:val="2"/>
          </w:tcPr>
          <w:p>
            <w:pPr>
              <w:jc w:val="right"/>
              <w:ind w:right="60"/>
              <w:spacing w:after="0"/>
              <w:rPr>
                <w:sz w:val="20"/>
                <w:szCs w:val="20"/>
                <w:color w:val="auto"/>
              </w:rPr>
            </w:pPr>
            <w:r>
              <w:rPr>
                <w:rFonts w:ascii="Arial" w:cs="Arial" w:eastAsia="Arial" w:hAnsi="Arial"/>
                <w:sz w:val="16"/>
                <w:szCs w:val="16"/>
                <w:color w:val="auto"/>
              </w:rPr>
              <w:t>5,194</w:t>
            </w:r>
          </w:p>
        </w:tc>
        <w:tc>
          <w:tcPr>
            <w:tcW w:w="60" w:type="dxa"/>
            <w:vAlign w:val="bottom"/>
          </w:tcPr>
          <w:p>
            <w:pPr>
              <w:spacing w:after="0"/>
              <w:rPr>
                <w:sz w:val="17"/>
                <w:szCs w:val="17"/>
                <w:color w:val="auto"/>
              </w:rPr>
            </w:pPr>
          </w:p>
        </w:tc>
        <w:tc>
          <w:tcPr>
            <w:tcW w:w="180" w:type="dxa"/>
            <w:vAlign w:val="bottom"/>
            <w:gridSpan w:val="4"/>
          </w:tcPr>
          <w:p>
            <w:pPr>
              <w:jc w:val="right"/>
              <w:spacing w:after="0"/>
              <w:rPr>
                <w:sz w:val="20"/>
                <w:szCs w:val="20"/>
                <w:color w:val="auto"/>
              </w:rPr>
            </w:pPr>
            <w:r>
              <w:rPr>
                <w:rFonts w:ascii="Arial" w:cs="Arial" w:eastAsia="Arial" w:hAnsi="Arial"/>
                <w:sz w:val="16"/>
                <w:szCs w:val="16"/>
                <w:color w:val="auto"/>
              </w:rPr>
              <w:t>$</w:t>
            </w:r>
          </w:p>
        </w:tc>
        <w:tc>
          <w:tcPr>
            <w:tcW w:w="560" w:type="dxa"/>
            <w:vAlign w:val="bottom"/>
          </w:tcPr>
          <w:p>
            <w:pPr>
              <w:jc w:val="right"/>
              <w:spacing w:after="0"/>
              <w:rPr>
                <w:sz w:val="20"/>
                <w:szCs w:val="20"/>
                <w:color w:val="auto"/>
              </w:rPr>
            </w:pPr>
            <w:r>
              <w:rPr>
                <w:rFonts w:ascii="Arial" w:cs="Arial" w:eastAsia="Arial" w:hAnsi="Arial"/>
                <w:sz w:val="16"/>
                <w:szCs w:val="16"/>
                <w:color w:val="auto"/>
              </w:rPr>
              <w:t>26,805</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740" w:type="dxa"/>
            <w:vAlign w:val="bottom"/>
            <w:shd w:val="clear" w:color="auto" w:fill="CCEEFF"/>
          </w:tcPr>
          <w:p>
            <w:pPr>
              <w:spacing w:after="0"/>
              <w:rPr>
                <w:sz w:val="20"/>
                <w:szCs w:val="20"/>
                <w:color w:val="auto"/>
              </w:rPr>
            </w:pPr>
            <w:r>
              <w:rPr>
                <w:rFonts w:ascii="Arial" w:cs="Arial" w:eastAsia="Arial" w:hAnsi="Arial"/>
                <w:sz w:val="16"/>
                <w:szCs w:val="16"/>
                <w:color w:val="auto"/>
              </w:rPr>
              <w:t>Selling, general and administrative expense</w:t>
            </w:r>
          </w:p>
        </w:tc>
        <w:tc>
          <w:tcPr>
            <w:tcW w:w="42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60" w:type="dxa"/>
            <w:vAlign w:val="bottom"/>
            <w:tcBorders>
              <w:bottom w:val="single" w:sz="8" w:color="auto"/>
            </w:tcBorders>
            <w:shd w:val="clear" w:color="auto" w:fill="CCEEFF"/>
          </w:tcPr>
          <w:p>
            <w:pPr>
              <w:spacing w:after="0"/>
              <w:rPr>
                <w:sz w:val="17"/>
                <w:szCs w:val="17"/>
                <w:color w:val="auto"/>
              </w:rPr>
            </w:pPr>
          </w:p>
        </w:tc>
        <w:tc>
          <w:tcPr>
            <w:tcW w:w="62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6"/>
                <w:szCs w:val="16"/>
                <w:color w:val="auto"/>
              </w:rPr>
              <w:t>(2,732)</w:t>
            </w:r>
          </w:p>
        </w:tc>
        <w:tc>
          <w:tcPr>
            <w:tcW w:w="10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56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6"/>
                <w:szCs w:val="16"/>
                <w:color w:val="auto"/>
              </w:rPr>
              <w:t>(917)</w:t>
            </w:r>
          </w:p>
        </w:tc>
        <w:tc>
          <w:tcPr>
            <w:tcW w:w="6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spacing w:after="0"/>
              <w:rPr>
                <w:sz w:val="17"/>
                <w:szCs w:val="17"/>
                <w:color w:val="auto"/>
              </w:rPr>
            </w:pPr>
          </w:p>
        </w:tc>
        <w:tc>
          <w:tcPr>
            <w:tcW w:w="560" w:type="dxa"/>
            <w:vAlign w:val="bottom"/>
            <w:tcBorders>
              <w:bottom w:val="single" w:sz="8" w:color="auto"/>
              <w:right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3,733</w:t>
            </w:r>
          </w:p>
        </w:tc>
        <w:tc>
          <w:tcPr>
            <w:tcW w:w="20" w:type="dxa"/>
            <w:vAlign w:val="bottom"/>
            <w:tcBorders>
              <w:bottom w:val="single" w:sz="8" w:color="auto"/>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740" w:type="dxa"/>
            <w:vAlign w:val="bottom"/>
          </w:tcPr>
          <w:p>
            <w:pPr>
              <w:spacing w:after="0"/>
              <w:rPr>
                <w:sz w:val="17"/>
                <w:szCs w:val="17"/>
                <w:color w:val="auto"/>
              </w:rPr>
            </w:pPr>
          </w:p>
        </w:tc>
        <w:tc>
          <w:tcPr>
            <w:tcW w:w="460" w:type="dxa"/>
            <w:vAlign w:val="bottom"/>
            <w:gridSpan w:val="2"/>
          </w:tcPr>
          <w:p>
            <w:pPr>
              <w:spacing w:after="0"/>
              <w:rPr>
                <w:sz w:val="17"/>
                <w:szCs w:val="17"/>
                <w:color w:val="auto"/>
              </w:rPr>
            </w:pPr>
          </w:p>
        </w:tc>
        <w:tc>
          <w:tcPr>
            <w:tcW w:w="6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620" w:type="dxa"/>
            <w:vAlign w:val="bottom"/>
            <w:tcBorders>
              <w:bottom w:val="single" w:sz="8" w:color="auto"/>
            </w:tcBorders>
            <w:gridSpan w:val="2"/>
          </w:tcPr>
          <w:p>
            <w:pPr>
              <w:jc w:val="right"/>
              <w:spacing w:after="0"/>
              <w:rPr>
                <w:sz w:val="20"/>
                <w:szCs w:val="20"/>
                <w:color w:val="auto"/>
              </w:rPr>
            </w:pPr>
            <w:r>
              <w:rPr>
                <w:rFonts w:ascii="Arial" w:cs="Arial" w:eastAsia="Arial" w:hAnsi="Arial"/>
                <w:sz w:val="16"/>
                <w:szCs w:val="16"/>
                <w:color w:val="auto"/>
              </w:rPr>
              <w:t>(1,403)</w:t>
            </w:r>
          </w:p>
        </w:tc>
        <w:tc>
          <w:tcPr>
            <w:tcW w:w="140" w:type="dxa"/>
            <w:vAlign w:val="bottom"/>
            <w:gridSpan w:val="2"/>
          </w:tcPr>
          <w:p>
            <w:pPr>
              <w:spacing w:after="0"/>
              <w:rPr>
                <w:sz w:val="17"/>
                <w:szCs w:val="17"/>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tcBorders>
              <w:bottom w:val="single" w:sz="8" w:color="auto"/>
            </w:tcBorders>
            <w:gridSpan w:val="2"/>
          </w:tcPr>
          <w:p>
            <w:pPr>
              <w:jc w:val="right"/>
              <w:ind w:right="60"/>
              <w:spacing w:after="0"/>
              <w:rPr>
                <w:sz w:val="20"/>
                <w:szCs w:val="20"/>
                <w:color w:val="auto"/>
              </w:rPr>
            </w:pPr>
            <w:r>
              <w:rPr>
                <w:rFonts w:ascii="Arial" w:cs="Arial" w:eastAsia="Arial" w:hAnsi="Arial"/>
                <w:sz w:val="16"/>
                <w:szCs w:val="16"/>
                <w:color w:val="auto"/>
              </w:rPr>
              <w:t>4,277</w:t>
            </w:r>
          </w:p>
        </w:tc>
        <w:tc>
          <w:tcPr>
            <w:tcW w:w="60" w:type="dxa"/>
            <w:vAlign w:val="bottom"/>
          </w:tcPr>
          <w:p>
            <w:pPr>
              <w:spacing w:after="0"/>
              <w:rPr>
                <w:sz w:val="17"/>
                <w:szCs w:val="17"/>
                <w:color w:val="auto"/>
              </w:rPr>
            </w:pPr>
          </w:p>
        </w:tc>
        <w:tc>
          <w:tcPr>
            <w:tcW w:w="80" w:type="dxa"/>
            <w:vAlign w:val="bottom"/>
            <w:gridSpan w:val="2"/>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30,538</w:t>
            </w:r>
          </w:p>
        </w:tc>
        <w:tc>
          <w:tcPr>
            <w:tcW w:w="2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1240" w:right="1419" w:firstLine="648"/>
        <w:spacing w:after="0" w:line="297" w:lineRule="auto"/>
        <w:rPr>
          <w:sz w:val="20"/>
          <w:szCs w:val="20"/>
          <w:color w:val="auto"/>
        </w:rPr>
      </w:pPr>
      <w:r>
        <w:rPr>
          <w:rFonts w:ascii="Arial" w:cs="Arial" w:eastAsia="Arial" w:hAnsi="Arial"/>
          <w:sz w:val="16"/>
          <w:szCs w:val="16"/>
          <w:color w:val="auto"/>
        </w:rPr>
        <w:t>Gains and losses on derivatives designated as cash flow hedges are reclassified from other comprehensive income (loss) to cost of goods sold at the time that the forecasted transaction impacts the income statement. Based on the current valuation, the Company expects to reclassify a net loss of $2.1 million from accumulated other comprehensive income (loss) into cost of goods sold during the next 12 months.</w:t>
      </w:r>
    </w:p>
    <w:p>
      <w:pPr>
        <w:spacing w:after="0" w:line="154"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11. Fair Value Measurements</w:t>
      </w:r>
    </w:p>
    <w:p>
      <w:pPr>
        <w:spacing w:after="0" w:line="229" w:lineRule="exact"/>
        <w:rPr>
          <w:sz w:val="20"/>
          <w:szCs w:val="20"/>
          <w:color w:val="auto"/>
        </w:rPr>
      </w:pPr>
    </w:p>
    <w:p>
      <w:pPr>
        <w:ind w:left="1880"/>
        <w:spacing w:after="0"/>
        <w:rPr>
          <w:sz w:val="20"/>
          <w:szCs w:val="20"/>
          <w:color w:val="auto"/>
        </w:rPr>
      </w:pPr>
      <w:r>
        <w:rPr>
          <w:rFonts w:ascii="Arial" w:cs="Arial" w:eastAsia="Arial" w:hAnsi="Arial"/>
          <w:sz w:val="16"/>
          <w:szCs w:val="16"/>
          <w:color w:val="auto"/>
        </w:rPr>
        <w:t>Assets and liabilities measured at fair value on a recurring basis were as follows:</w:t>
      </w:r>
    </w:p>
    <w:p>
      <w:pPr>
        <w:spacing w:after="0" w:line="307" w:lineRule="exact"/>
        <w:rPr>
          <w:sz w:val="20"/>
          <w:szCs w:val="20"/>
          <w:color w:val="auto"/>
        </w:rPr>
      </w:pPr>
    </w:p>
    <w:tbl>
      <w:tblPr>
        <w:tblLayout w:type="fixed"/>
        <w:tblInd w:w="1240" w:type="dxa"/>
        <w:tblCellMar>
          <w:top w:w="0" w:type="dxa"/>
          <w:left w:w="0" w:type="dxa"/>
          <w:bottom w:w="0" w:type="dxa"/>
          <w:right w:w="0" w:type="dxa"/>
        </w:tblCellMar>
      </w:tblPr>
      <w:tr>
        <w:trPr>
          <w:trHeight w:val="162"/>
        </w:trPr>
        <w:tc>
          <w:tcPr>
            <w:tcW w:w="20" w:type="dxa"/>
            <w:vAlign w:val="bottom"/>
          </w:tcPr>
          <w:p>
            <w:pPr>
              <w:spacing w:after="0"/>
              <w:rPr>
                <w:sz w:val="14"/>
                <w:szCs w:val="14"/>
                <w:color w:val="auto"/>
              </w:rPr>
            </w:pPr>
          </w:p>
        </w:tc>
        <w:tc>
          <w:tcPr>
            <w:tcW w:w="28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200" w:type="dxa"/>
            <w:vAlign w:val="bottom"/>
            <w:gridSpan w:val="7"/>
          </w:tcPr>
          <w:p>
            <w:pPr>
              <w:jc w:val="right"/>
              <w:ind w:right="119"/>
              <w:spacing w:after="0"/>
              <w:rPr>
                <w:sz w:val="20"/>
                <w:szCs w:val="20"/>
                <w:color w:val="auto"/>
              </w:rPr>
            </w:pPr>
            <w:r>
              <w:rPr>
                <w:rFonts w:ascii="Arial" w:cs="Arial" w:eastAsia="Arial" w:hAnsi="Arial"/>
                <w:sz w:val="14"/>
                <w:szCs w:val="14"/>
                <w:b w:val="1"/>
                <w:bCs w:val="1"/>
                <w:color w:val="auto"/>
                <w:w w:val="96"/>
              </w:rPr>
              <w:t>Fair Value Measurements as of</w:t>
            </w:r>
          </w:p>
        </w:tc>
        <w:tc>
          <w:tcPr>
            <w:tcW w:w="14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8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920" w:type="dxa"/>
            <w:vAlign w:val="bottom"/>
            <w:tcBorders>
              <w:bottom w:val="single" w:sz="8" w:color="auto"/>
            </w:tcBorders>
            <w:gridSpan w:val="6"/>
          </w:tcPr>
          <w:p>
            <w:pPr>
              <w:jc w:val="right"/>
              <w:ind w:right="29"/>
              <w:spacing w:after="0"/>
              <w:rPr>
                <w:sz w:val="20"/>
                <w:szCs w:val="20"/>
                <w:color w:val="auto"/>
              </w:rPr>
            </w:pPr>
            <w:r>
              <w:rPr>
                <w:rFonts w:ascii="Arial" w:cs="Arial" w:eastAsia="Arial" w:hAnsi="Arial"/>
                <w:sz w:val="14"/>
                <w:szCs w:val="14"/>
                <w:b w:val="1"/>
                <w:bCs w:val="1"/>
                <w:color w:val="auto"/>
              </w:rPr>
              <w:t>December 31, 2017 using:</w:t>
            </w:r>
          </w:p>
        </w:tc>
        <w:tc>
          <w:tcPr>
            <w:tcW w:w="280" w:type="dxa"/>
            <w:vAlign w:val="bottom"/>
            <w:tcBorders>
              <w:bottom w:val="single" w:sz="8" w:color="auto"/>
            </w:tcBorders>
          </w:tcPr>
          <w:p>
            <w:pPr>
              <w:spacing w:after="0"/>
              <w:rPr>
                <w:sz w:val="14"/>
                <w:szCs w:val="14"/>
                <w:color w:val="auto"/>
              </w:rPr>
            </w:pPr>
          </w:p>
        </w:tc>
        <w:tc>
          <w:tcPr>
            <w:tcW w:w="140" w:type="dxa"/>
            <w:vAlign w:val="bottom"/>
          </w:tcPr>
          <w:p>
            <w:pPr>
              <w:spacing w:after="0"/>
              <w:rPr>
                <w:sz w:val="14"/>
                <w:szCs w:val="14"/>
                <w:color w:val="auto"/>
              </w:rPr>
            </w:pPr>
          </w:p>
        </w:tc>
        <w:tc>
          <w:tcPr>
            <w:tcW w:w="1200" w:type="dxa"/>
            <w:vAlign w:val="bottom"/>
            <w:vMerge w:val="restart"/>
          </w:tcPr>
          <w:p>
            <w:pPr>
              <w:jc w:val="right"/>
              <w:ind w:right="80"/>
              <w:spacing w:after="0"/>
              <w:rPr>
                <w:sz w:val="20"/>
                <w:szCs w:val="20"/>
                <w:color w:val="auto"/>
              </w:rPr>
            </w:pPr>
            <w:r>
              <w:rPr>
                <w:rFonts w:ascii="Arial" w:cs="Arial" w:eastAsia="Arial" w:hAnsi="Arial"/>
                <w:sz w:val="14"/>
                <w:szCs w:val="14"/>
                <w:b w:val="1"/>
                <w:bCs w:val="1"/>
                <w:color w:val="auto"/>
              </w:rPr>
              <w:t>Balance Sheet</w:t>
            </w: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2820" w:type="dxa"/>
            <w:vAlign w:val="bottom"/>
          </w:tcPr>
          <w:p>
            <w:pPr>
              <w:spacing w:after="0"/>
              <w:rPr>
                <w:sz w:val="9"/>
                <w:szCs w:val="9"/>
                <w:color w:val="auto"/>
              </w:rPr>
            </w:pPr>
          </w:p>
        </w:tc>
        <w:tc>
          <w:tcPr>
            <w:tcW w:w="80" w:type="dxa"/>
            <w:vAlign w:val="bottom"/>
          </w:tcPr>
          <w:p>
            <w:pPr>
              <w:spacing w:after="0"/>
              <w:rPr>
                <w:sz w:val="9"/>
                <w:szCs w:val="9"/>
                <w:color w:val="auto"/>
              </w:rPr>
            </w:pPr>
          </w:p>
        </w:tc>
        <w:tc>
          <w:tcPr>
            <w:tcW w:w="600" w:type="dxa"/>
            <w:vAlign w:val="bottom"/>
            <w:gridSpan w:val="2"/>
            <w:vMerge w:val="restart"/>
          </w:tcPr>
          <w:p>
            <w:pPr>
              <w:jc w:val="right"/>
              <w:ind w:right="1"/>
              <w:spacing w:after="0"/>
              <w:rPr>
                <w:sz w:val="20"/>
                <w:szCs w:val="20"/>
                <w:color w:val="auto"/>
              </w:rPr>
            </w:pPr>
            <w:r>
              <w:rPr>
                <w:rFonts w:ascii="Arial" w:cs="Arial" w:eastAsia="Arial" w:hAnsi="Arial"/>
                <w:sz w:val="14"/>
                <w:szCs w:val="14"/>
                <w:b w:val="1"/>
                <w:bCs w:val="1"/>
                <w:color w:val="auto"/>
              </w:rPr>
              <w:t>Level 1</w:t>
            </w:r>
          </w:p>
        </w:tc>
        <w:tc>
          <w:tcPr>
            <w:tcW w:w="140" w:type="dxa"/>
            <w:vAlign w:val="bottom"/>
          </w:tcPr>
          <w:p>
            <w:pPr>
              <w:spacing w:after="0"/>
              <w:rPr>
                <w:sz w:val="9"/>
                <w:szCs w:val="9"/>
                <w:color w:val="auto"/>
              </w:rPr>
            </w:pPr>
          </w:p>
        </w:tc>
        <w:tc>
          <w:tcPr>
            <w:tcW w:w="500" w:type="dxa"/>
            <w:vAlign w:val="bottom"/>
            <w:gridSpan w:val="2"/>
            <w:vMerge w:val="restart"/>
          </w:tcPr>
          <w:p>
            <w:pPr>
              <w:jc w:val="right"/>
              <w:spacing w:after="0"/>
              <w:rPr>
                <w:sz w:val="20"/>
                <w:szCs w:val="20"/>
                <w:color w:val="auto"/>
              </w:rPr>
            </w:pPr>
            <w:r>
              <w:rPr>
                <w:rFonts w:ascii="Arial" w:cs="Arial" w:eastAsia="Arial" w:hAnsi="Arial"/>
                <w:sz w:val="14"/>
                <w:szCs w:val="14"/>
                <w:b w:val="1"/>
                <w:bCs w:val="1"/>
                <w:color w:val="auto"/>
                <w:w w:val="92"/>
              </w:rPr>
              <w:t>Level 2</w:t>
            </w:r>
          </w:p>
        </w:tc>
        <w:tc>
          <w:tcPr>
            <w:tcW w:w="1040" w:type="dxa"/>
            <w:vAlign w:val="bottom"/>
            <w:gridSpan w:val="3"/>
            <w:vMerge w:val="restart"/>
          </w:tcPr>
          <w:p>
            <w:pPr>
              <w:jc w:val="right"/>
              <w:spacing w:after="0"/>
              <w:rPr>
                <w:sz w:val="20"/>
                <w:szCs w:val="20"/>
                <w:color w:val="auto"/>
              </w:rPr>
            </w:pPr>
            <w:r>
              <w:rPr>
                <w:rFonts w:ascii="Arial" w:cs="Arial" w:eastAsia="Arial" w:hAnsi="Arial"/>
                <w:sz w:val="14"/>
                <w:szCs w:val="14"/>
                <w:b w:val="1"/>
                <w:bCs w:val="1"/>
                <w:color w:val="auto"/>
              </w:rPr>
              <w:t>Level 3</w:t>
            </w:r>
          </w:p>
        </w:tc>
        <w:tc>
          <w:tcPr>
            <w:tcW w:w="140" w:type="dxa"/>
            <w:vAlign w:val="bottom"/>
          </w:tcPr>
          <w:p>
            <w:pPr>
              <w:spacing w:after="0"/>
              <w:rPr>
                <w:sz w:val="9"/>
                <w:szCs w:val="9"/>
                <w:color w:val="auto"/>
              </w:rPr>
            </w:pPr>
          </w:p>
        </w:tc>
        <w:tc>
          <w:tcPr>
            <w:tcW w:w="12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71"/>
        </w:trPr>
        <w:tc>
          <w:tcPr>
            <w:tcW w:w="2840" w:type="dxa"/>
            <w:vAlign w:val="bottom"/>
            <w:gridSpan w:val="2"/>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80" w:type="dxa"/>
            <w:vAlign w:val="bottom"/>
          </w:tcPr>
          <w:p>
            <w:pPr>
              <w:spacing w:after="0"/>
              <w:rPr>
                <w:sz w:val="14"/>
                <w:szCs w:val="14"/>
                <w:color w:val="auto"/>
              </w:rPr>
            </w:pPr>
          </w:p>
        </w:tc>
        <w:tc>
          <w:tcPr>
            <w:tcW w:w="600" w:type="dxa"/>
            <w:vAlign w:val="bottom"/>
            <w:gridSpan w:val="2"/>
            <w:vMerge w:val="continue"/>
          </w:tcPr>
          <w:p>
            <w:pPr>
              <w:spacing w:after="0"/>
              <w:rPr>
                <w:sz w:val="14"/>
                <w:szCs w:val="14"/>
                <w:color w:val="auto"/>
              </w:rPr>
            </w:pPr>
          </w:p>
        </w:tc>
        <w:tc>
          <w:tcPr>
            <w:tcW w:w="140" w:type="dxa"/>
            <w:vAlign w:val="bottom"/>
          </w:tcPr>
          <w:p>
            <w:pPr>
              <w:spacing w:after="0"/>
              <w:rPr>
                <w:sz w:val="14"/>
                <w:szCs w:val="14"/>
                <w:color w:val="auto"/>
              </w:rPr>
            </w:pPr>
          </w:p>
        </w:tc>
        <w:tc>
          <w:tcPr>
            <w:tcW w:w="500" w:type="dxa"/>
            <w:vAlign w:val="bottom"/>
            <w:gridSpan w:val="2"/>
            <w:vMerge w:val="continue"/>
          </w:tcPr>
          <w:p>
            <w:pPr>
              <w:spacing w:after="0"/>
              <w:rPr>
                <w:sz w:val="14"/>
                <w:szCs w:val="14"/>
                <w:color w:val="auto"/>
              </w:rPr>
            </w:pPr>
          </w:p>
        </w:tc>
        <w:tc>
          <w:tcPr>
            <w:tcW w:w="1040" w:type="dxa"/>
            <w:vAlign w:val="bottom"/>
            <w:gridSpan w:val="3"/>
            <w:vMerge w:val="continue"/>
          </w:tcPr>
          <w:p>
            <w:pPr>
              <w:spacing w:after="0"/>
              <w:rPr>
                <w:sz w:val="14"/>
                <w:szCs w:val="14"/>
                <w:color w:val="auto"/>
              </w:rPr>
            </w:pPr>
          </w:p>
        </w:tc>
        <w:tc>
          <w:tcPr>
            <w:tcW w:w="140" w:type="dxa"/>
            <w:vAlign w:val="bottom"/>
          </w:tcPr>
          <w:p>
            <w:pPr>
              <w:spacing w:after="0"/>
              <w:rPr>
                <w:sz w:val="14"/>
                <w:szCs w:val="14"/>
                <w:color w:val="auto"/>
              </w:rPr>
            </w:pPr>
          </w:p>
        </w:tc>
        <w:tc>
          <w:tcPr>
            <w:tcW w:w="1200" w:type="dxa"/>
            <w:vAlign w:val="bottom"/>
          </w:tcPr>
          <w:p>
            <w:pPr>
              <w:jc w:val="right"/>
              <w:ind w:right="240"/>
              <w:spacing w:after="0"/>
              <w:rPr>
                <w:sz w:val="20"/>
                <w:szCs w:val="20"/>
                <w:color w:val="auto"/>
              </w:rPr>
            </w:pPr>
            <w:r>
              <w:rPr>
                <w:rFonts w:ascii="Arial" w:cs="Arial" w:eastAsia="Arial" w:hAnsi="Arial"/>
                <w:sz w:val="14"/>
                <w:szCs w:val="14"/>
                <w:b w:val="1"/>
                <w:bCs w:val="1"/>
                <w:color w:val="auto"/>
              </w:rPr>
              <w:t>Location</w:t>
            </w:r>
          </w:p>
        </w:tc>
        <w:tc>
          <w:tcPr>
            <w:tcW w:w="0" w:type="dxa"/>
            <w:vAlign w:val="bottom"/>
          </w:tcPr>
          <w:p>
            <w:pPr>
              <w:spacing w:after="0"/>
              <w:rPr>
                <w:sz w:val="1"/>
                <w:szCs w:val="1"/>
                <w:color w:val="auto"/>
              </w:rPr>
            </w:pPr>
          </w:p>
        </w:tc>
      </w:tr>
      <w:tr>
        <w:trPr>
          <w:trHeight w:val="196"/>
        </w:trPr>
        <w:tc>
          <w:tcPr>
            <w:tcW w:w="20" w:type="dxa"/>
            <w:vAlign w:val="bottom"/>
            <w:vMerge w:val="restart"/>
          </w:tcPr>
          <w:p>
            <w:pPr>
              <w:spacing w:after="0"/>
              <w:rPr>
                <w:sz w:val="17"/>
                <w:szCs w:val="17"/>
                <w:color w:val="auto"/>
              </w:rPr>
            </w:pPr>
          </w:p>
        </w:tc>
        <w:tc>
          <w:tcPr>
            <w:tcW w:w="28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520" w:type="dxa"/>
            <w:vAlign w:val="bottom"/>
            <w:tcBorders>
              <w:top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420" w:type="dxa"/>
            <w:vAlign w:val="bottom"/>
            <w:tcBorders>
              <w:top w:val="single" w:sz="8" w:color="auto"/>
            </w:tcBorders>
          </w:tcPr>
          <w:p>
            <w:pPr>
              <w:spacing w:after="0"/>
              <w:rPr>
                <w:sz w:val="17"/>
                <w:szCs w:val="17"/>
                <w:color w:val="auto"/>
              </w:rPr>
            </w:pPr>
          </w:p>
        </w:tc>
        <w:tc>
          <w:tcPr>
            <w:tcW w:w="600" w:type="dxa"/>
            <w:vAlign w:val="bottom"/>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280" w:type="dxa"/>
            <w:vAlign w:val="bottom"/>
            <w:tcBorders>
              <w:top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tcBorders>
              <w:top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282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Assets</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2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28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Other current</w:t>
            </w:r>
          </w:p>
        </w:tc>
        <w:tc>
          <w:tcPr>
            <w:tcW w:w="0" w:type="dxa"/>
            <w:vAlign w:val="bottom"/>
          </w:tcPr>
          <w:p>
            <w:pPr>
              <w:spacing w:after="0"/>
              <w:rPr>
                <w:sz w:val="1"/>
                <w:szCs w:val="1"/>
                <w:color w:val="auto"/>
              </w:rPr>
            </w:pPr>
          </w:p>
        </w:tc>
      </w:tr>
      <w:tr>
        <w:trPr>
          <w:trHeight w:val="209"/>
        </w:trPr>
        <w:tc>
          <w:tcPr>
            <w:tcW w:w="2840" w:type="dxa"/>
            <w:vAlign w:val="bottom"/>
            <w:gridSpan w:val="2"/>
          </w:tcPr>
          <w:p>
            <w:pPr>
              <w:spacing w:after="0"/>
              <w:rPr>
                <w:sz w:val="20"/>
                <w:szCs w:val="20"/>
                <w:color w:val="auto"/>
              </w:rPr>
            </w:pPr>
            <w:r>
              <w:rPr>
                <w:rFonts w:ascii="Arial" w:cs="Arial" w:eastAsia="Arial" w:hAnsi="Arial"/>
                <w:sz w:val="16"/>
                <w:szCs w:val="16"/>
                <w:color w:val="auto"/>
              </w:rPr>
              <w:t>Rabbi trust</w:t>
            </w:r>
          </w:p>
        </w:tc>
        <w:tc>
          <w:tcPr>
            <w:tcW w:w="1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520" w:type="dxa"/>
            <w:vAlign w:val="bottom"/>
          </w:tcPr>
          <w:p>
            <w:pPr>
              <w:jc w:val="right"/>
              <w:spacing w:after="0"/>
              <w:rPr>
                <w:sz w:val="20"/>
                <w:szCs w:val="20"/>
                <w:color w:val="auto"/>
              </w:rPr>
            </w:pPr>
            <w:r>
              <w:rPr>
                <w:rFonts w:ascii="Arial" w:cs="Arial" w:eastAsia="Arial" w:hAnsi="Arial"/>
                <w:sz w:val="16"/>
                <w:szCs w:val="16"/>
                <w:color w:val="auto"/>
                <w:w w:val="89"/>
              </w:rPr>
              <w:t>10,637</w:t>
            </w:r>
          </w:p>
        </w:tc>
        <w:tc>
          <w:tcPr>
            <w:tcW w:w="22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42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760" w:type="dxa"/>
            <w:vAlign w:val="bottom"/>
            <w:gridSpan w:val="2"/>
          </w:tcPr>
          <w:p>
            <w:pPr>
              <w:jc w:val="right"/>
              <w:ind w:right="49"/>
              <w:spacing w:after="0"/>
              <w:rPr>
                <w:sz w:val="20"/>
                <w:szCs w:val="20"/>
                <w:color w:val="auto"/>
              </w:rPr>
            </w:pPr>
            <w:r>
              <w:rPr>
                <w:rFonts w:ascii="Arial" w:cs="Arial" w:eastAsia="Arial" w:hAnsi="Arial"/>
                <w:sz w:val="16"/>
                <w:szCs w:val="16"/>
                <w:color w:val="auto"/>
              </w:rPr>
              <w:t>$</w:t>
            </w:r>
          </w:p>
        </w:tc>
        <w:tc>
          <w:tcPr>
            <w:tcW w:w="28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assets</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28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Other current</w:t>
            </w: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2820" w:type="dxa"/>
            <w:vAlign w:val="bottom"/>
            <w:shd w:val="clear" w:color="auto" w:fill="CCEEFF"/>
          </w:tcPr>
          <w:p>
            <w:pPr>
              <w:spacing w:after="0"/>
              <w:rPr>
                <w:sz w:val="20"/>
                <w:szCs w:val="20"/>
                <w:color w:val="auto"/>
              </w:rPr>
            </w:pPr>
            <w:r>
              <w:rPr>
                <w:rFonts w:ascii="Arial" w:cs="Arial" w:eastAsia="Arial" w:hAnsi="Arial"/>
                <w:sz w:val="16"/>
                <w:szCs w:val="16"/>
                <w:color w:val="auto"/>
                <w:w w:val="97"/>
              </w:rPr>
              <w:t>Foreign exchange derivative instruments</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20" w:type="dxa"/>
            <w:vAlign w:val="bottom"/>
            <w:shd w:val="clear" w:color="auto" w:fill="CCEEFF"/>
          </w:tcPr>
          <w:p>
            <w:pPr>
              <w:jc w:val="right"/>
              <w:ind w:right="81"/>
              <w:spacing w:after="0"/>
              <w:rPr>
                <w:sz w:val="20"/>
                <w:szCs w:val="20"/>
                <w:color w:val="auto"/>
              </w:rPr>
            </w:pPr>
            <w:r>
              <w:rPr>
                <w:rFonts w:ascii="Arial" w:cs="Arial" w:eastAsia="Arial" w:hAnsi="Arial"/>
                <w:sz w:val="16"/>
                <w:szCs w:val="16"/>
                <w:color w:val="auto"/>
              </w:rPr>
              <w:t>-</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4"/>
              </w:rPr>
              <w:t>4,675</w:t>
            </w:r>
          </w:p>
        </w:tc>
        <w:tc>
          <w:tcPr>
            <w:tcW w:w="6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80" w:type="dxa"/>
            <w:vAlign w:val="bottom"/>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14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assets</w:t>
            </w: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28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w w:val="92"/>
              </w:rPr>
              <w:t>Other noncurrent</w:t>
            </w:r>
          </w:p>
        </w:tc>
        <w:tc>
          <w:tcPr>
            <w:tcW w:w="0" w:type="dxa"/>
            <w:vAlign w:val="bottom"/>
          </w:tcPr>
          <w:p>
            <w:pPr>
              <w:spacing w:after="0"/>
              <w:rPr>
                <w:sz w:val="1"/>
                <w:szCs w:val="1"/>
                <w:color w:val="auto"/>
              </w:rPr>
            </w:pPr>
          </w:p>
        </w:tc>
      </w:tr>
      <w:tr>
        <w:trPr>
          <w:trHeight w:val="209"/>
        </w:trPr>
        <w:tc>
          <w:tcPr>
            <w:tcW w:w="2840" w:type="dxa"/>
            <w:vAlign w:val="bottom"/>
            <w:gridSpan w:val="2"/>
          </w:tcPr>
          <w:p>
            <w:pPr>
              <w:spacing w:after="0"/>
              <w:rPr>
                <w:sz w:val="20"/>
                <w:szCs w:val="20"/>
                <w:color w:val="auto"/>
              </w:rPr>
            </w:pPr>
            <w:r>
              <w:rPr>
                <w:rFonts w:ascii="Arial" w:cs="Arial" w:eastAsia="Arial" w:hAnsi="Arial"/>
                <w:sz w:val="16"/>
                <w:szCs w:val="16"/>
                <w:color w:val="auto"/>
              </w:rPr>
              <w:t>Deferred compensation program assets</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6"/>
                <w:szCs w:val="16"/>
                <w:color w:val="auto"/>
              </w:rPr>
              <w:t>1,866</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2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8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assets</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28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2"/>
              </w:rPr>
              <w:t>Other noncurrent</w:t>
            </w: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2820" w:type="dxa"/>
            <w:vAlign w:val="bottom"/>
            <w:shd w:val="clear" w:color="auto" w:fill="CCEEFF"/>
          </w:tcPr>
          <w:p>
            <w:pPr>
              <w:spacing w:after="0"/>
              <w:rPr>
                <w:sz w:val="20"/>
                <w:szCs w:val="20"/>
                <w:color w:val="auto"/>
              </w:rPr>
            </w:pPr>
            <w:r>
              <w:rPr>
                <w:rFonts w:ascii="Arial" w:cs="Arial" w:eastAsia="Arial" w:hAnsi="Arial"/>
                <w:sz w:val="16"/>
                <w:szCs w:val="16"/>
                <w:color w:val="auto"/>
                <w:w w:val="97"/>
              </w:rPr>
              <w:t>Foreign exchange derivative instruments</w:t>
            </w:r>
          </w:p>
        </w:tc>
        <w:tc>
          <w:tcPr>
            <w:tcW w:w="8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520" w:type="dxa"/>
            <w:vAlign w:val="bottom"/>
            <w:tcBorders>
              <w:bottom w:val="single" w:sz="8" w:color="auto"/>
            </w:tcBorders>
            <w:shd w:val="clear" w:color="auto" w:fill="CCEEFF"/>
          </w:tcPr>
          <w:p>
            <w:pPr>
              <w:jc w:val="right"/>
              <w:ind w:right="81"/>
              <w:spacing w:after="0"/>
              <w:rPr>
                <w:sz w:val="20"/>
                <w:szCs w:val="20"/>
                <w:color w:val="auto"/>
              </w:rPr>
            </w:pPr>
            <w:r>
              <w:rPr>
                <w:rFonts w:ascii="Arial" w:cs="Arial" w:eastAsia="Arial" w:hAnsi="Arial"/>
                <w:sz w:val="16"/>
                <w:szCs w:val="16"/>
                <w:color w:val="auto"/>
              </w:rPr>
              <w:t>-</w:t>
            </w:r>
          </w:p>
        </w:tc>
        <w:tc>
          <w:tcPr>
            <w:tcW w:w="14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4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562</w:t>
            </w:r>
          </w:p>
        </w:tc>
        <w:tc>
          <w:tcPr>
            <w:tcW w:w="60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14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assets</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820" w:type="dxa"/>
            <w:vAlign w:val="bottom"/>
            <w:tcBorders>
              <w:bottom w:val="single" w:sz="8" w:color="CCEEFF"/>
            </w:tcBorders>
          </w:tcPr>
          <w:p>
            <w:pPr>
              <w:ind w:left="520"/>
              <w:spacing w:after="0"/>
              <w:rPr>
                <w:sz w:val="20"/>
                <w:szCs w:val="20"/>
                <w:color w:val="auto"/>
              </w:rPr>
            </w:pPr>
            <w:r>
              <w:rPr>
                <w:rFonts w:ascii="Arial" w:cs="Arial" w:eastAsia="Arial" w:hAnsi="Arial"/>
                <w:sz w:val="16"/>
                <w:szCs w:val="16"/>
                <w:color w:val="auto"/>
              </w:rPr>
              <w:t>Total assets</w:t>
            </w:r>
          </w:p>
        </w:tc>
        <w:tc>
          <w:tcPr>
            <w:tcW w:w="80" w:type="dxa"/>
            <w:vAlign w:val="bottom"/>
            <w:tcBorders>
              <w:bottom w:val="single" w:sz="8" w:color="CCEEFF"/>
            </w:tcBorders>
          </w:tcPr>
          <w:p>
            <w:pPr>
              <w:spacing w:after="0"/>
              <w:rPr>
                <w:sz w:val="17"/>
                <w:szCs w:val="17"/>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5"/>
                <w:szCs w:val="15"/>
                <w:u w:val="single" w:color="auto"/>
                <w:color w:val="auto"/>
                <w:w w:val="71"/>
              </w:rPr>
              <w:t>$</w:t>
            </w: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12,503</w:t>
            </w:r>
          </w:p>
        </w:tc>
        <w:tc>
          <w:tcPr>
            <w:tcW w:w="140" w:type="dxa"/>
            <w:vAlign w:val="bottom"/>
            <w:tcBorders>
              <w:bottom w:val="single" w:sz="8" w:color="CCEEFF"/>
            </w:tcBorders>
          </w:tcPr>
          <w:p>
            <w:pPr>
              <w:spacing w:after="0"/>
              <w:rPr>
                <w:sz w:val="17"/>
                <w:szCs w:val="17"/>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5"/>
                <w:szCs w:val="15"/>
                <w:u w:val="single" w:color="auto"/>
                <w:color w:val="auto"/>
                <w:w w:val="71"/>
              </w:rPr>
              <w:t>$</w:t>
            </w: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4"/>
              </w:rPr>
              <w:t>5,237</w:t>
            </w:r>
          </w:p>
        </w:tc>
        <w:tc>
          <w:tcPr>
            <w:tcW w:w="60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jc w:val="right"/>
              <w:ind w:right="49"/>
              <w:spacing w:after="0"/>
              <w:rPr>
                <w:sz w:val="20"/>
                <w:szCs w:val="20"/>
                <w:color w:val="auto"/>
              </w:rPr>
            </w:pPr>
            <w:r>
              <w:rPr>
                <w:rFonts w:ascii="Arial" w:cs="Arial" w:eastAsia="Arial" w:hAnsi="Arial"/>
                <w:sz w:val="10"/>
                <w:szCs w:val="10"/>
                <w:color w:val="auto"/>
                <w:w w:val="71"/>
              </w:rPr>
              <w:t>$</w:t>
            </w:r>
          </w:p>
        </w:tc>
        <w:tc>
          <w:tcPr>
            <w:tcW w:w="28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tcPr>
          <w:p>
            <w:pPr>
              <w:spacing w:after="0"/>
              <w:rPr>
                <w:sz w:val="17"/>
                <w:szCs w:val="17"/>
                <w:color w:val="auto"/>
              </w:rPr>
            </w:pPr>
          </w:p>
        </w:tc>
        <w:tc>
          <w:tcPr>
            <w:tcW w:w="1200" w:type="dxa"/>
            <w:vAlign w:val="bottom"/>
            <w:tcBorders>
              <w:bottom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282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Liabilities</w:t>
            </w:r>
          </w:p>
        </w:tc>
        <w:tc>
          <w:tcPr>
            <w:tcW w:w="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420" w:type="dxa"/>
            <w:vAlign w:val="bottom"/>
            <w:shd w:val="clear" w:color="auto" w:fill="CCEEFF"/>
          </w:tcPr>
          <w:p>
            <w:pPr>
              <w:spacing w:after="0"/>
              <w:rPr>
                <w:sz w:val="16"/>
                <w:szCs w:val="16"/>
                <w:color w:val="auto"/>
              </w:rPr>
            </w:pPr>
          </w:p>
        </w:tc>
        <w:tc>
          <w:tcPr>
            <w:tcW w:w="6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2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28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Other current</w:t>
            </w:r>
          </w:p>
        </w:tc>
        <w:tc>
          <w:tcPr>
            <w:tcW w:w="0" w:type="dxa"/>
            <w:vAlign w:val="bottom"/>
          </w:tcPr>
          <w:p>
            <w:pPr>
              <w:spacing w:after="0"/>
              <w:rPr>
                <w:sz w:val="1"/>
                <w:szCs w:val="1"/>
                <w:color w:val="auto"/>
              </w:rPr>
            </w:pPr>
          </w:p>
        </w:tc>
      </w:tr>
      <w:tr>
        <w:trPr>
          <w:trHeight w:val="209"/>
        </w:trPr>
        <w:tc>
          <w:tcPr>
            <w:tcW w:w="2840" w:type="dxa"/>
            <w:vAlign w:val="bottom"/>
            <w:gridSpan w:val="2"/>
          </w:tcPr>
          <w:p>
            <w:pPr>
              <w:spacing w:after="0"/>
              <w:rPr>
                <w:sz w:val="20"/>
                <w:szCs w:val="20"/>
                <w:color w:val="auto"/>
              </w:rPr>
            </w:pPr>
            <w:r>
              <w:rPr>
                <w:rFonts w:ascii="Arial" w:cs="Arial" w:eastAsia="Arial" w:hAnsi="Arial"/>
                <w:sz w:val="16"/>
                <w:szCs w:val="16"/>
                <w:color w:val="auto"/>
                <w:w w:val="97"/>
              </w:rPr>
              <w:t>Foreign exchange derivative instruments</w:t>
            </w:r>
          </w:p>
        </w:tc>
        <w:tc>
          <w:tcPr>
            <w:tcW w:w="1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520" w:type="dxa"/>
            <w:vAlign w:val="bottom"/>
          </w:tcPr>
          <w:p>
            <w:pPr>
              <w:jc w:val="right"/>
              <w:ind w:right="81"/>
              <w:spacing w:after="0"/>
              <w:rPr>
                <w:sz w:val="20"/>
                <w:szCs w:val="20"/>
                <w:color w:val="auto"/>
              </w:rPr>
            </w:pPr>
            <w:r>
              <w:rPr>
                <w:rFonts w:ascii="Arial" w:cs="Arial" w:eastAsia="Arial" w:hAnsi="Arial"/>
                <w:sz w:val="16"/>
                <w:szCs w:val="16"/>
                <w:color w:val="auto"/>
              </w:rPr>
              <w:t>-</w:t>
            </w:r>
          </w:p>
        </w:tc>
        <w:tc>
          <w:tcPr>
            <w:tcW w:w="22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420" w:type="dxa"/>
            <w:vAlign w:val="bottom"/>
          </w:tcPr>
          <w:p>
            <w:pPr>
              <w:jc w:val="right"/>
              <w:spacing w:after="0"/>
              <w:rPr>
                <w:sz w:val="20"/>
                <w:szCs w:val="20"/>
                <w:color w:val="auto"/>
              </w:rPr>
            </w:pPr>
            <w:r>
              <w:rPr>
                <w:rFonts w:ascii="Arial" w:cs="Arial" w:eastAsia="Arial" w:hAnsi="Arial"/>
                <w:sz w:val="16"/>
                <w:szCs w:val="16"/>
                <w:color w:val="auto"/>
                <w:w w:val="84"/>
              </w:rPr>
              <w:t>6,360</w:t>
            </w:r>
          </w:p>
        </w:tc>
        <w:tc>
          <w:tcPr>
            <w:tcW w:w="760" w:type="dxa"/>
            <w:vAlign w:val="bottom"/>
            <w:gridSpan w:val="2"/>
          </w:tcPr>
          <w:p>
            <w:pPr>
              <w:jc w:val="right"/>
              <w:ind w:right="49"/>
              <w:spacing w:after="0"/>
              <w:rPr>
                <w:sz w:val="20"/>
                <w:szCs w:val="20"/>
                <w:color w:val="auto"/>
              </w:rPr>
            </w:pPr>
            <w:r>
              <w:rPr>
                <w:rFonts w:ascii="Arial" w:cs="Arial" w:eastAsia="Arial" w:hAnsi="Arial"/>
                <w:sz w:val="16"/>
                <w:szCs w:val="16"/>
                <w:color w:val="auto"/>
              </w:rPr>
              <w:t>$</w:t>
            </w:r>
          </w:p>
        </w:tc>
        <w:tc>
          <w:tcPr>
            <w:tcW w:w="28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liabilities</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28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2"/>
              </w:rPr>
              <w:t>Other noncurrent</w:t>
            </w: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2820" w:type="dxa"/>
            <w:vAlign w:val="bottom"/>
            <w:shd w:val="clear" w:color="auto" w:fill="CCEEFF"/>
          </w:tcPr>
          <w:p>
            <w:pPr>
              <w:spacing w:after="0"/>
              <w:rPr>
                <w:sz w:val="20"/>
                <w:szCs w:val="20"/>
                <w:color w:val="auto"/>
              </w:rPr>
            </w:pPr>
            <w:r>
              <w:rPr>
                <w:rFonts w:ascii="Arial" w:cs="Arial" w:eastAsia="Arial" w:hAnsi="Arial"/>
                <w:sz w:val="16"/>
                <w:szCs w:val="16"/>
                <w:color w:val="auto"/>
                <w:w w:val="94"/>
              </w:rPr>
              <w:t>Deferred compensation program liabilities</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1,866</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20" w:type="dxa"/>
            <w:vAlign w:val="bottom"/>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6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80" w:type="dxa"/>
            <w:vAlign w:val="bottom"/>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14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liabilities</w:t>
            </w: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28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w w:val="92"/>
              </w:rPr>
              <w:t>Other noncurrent</w:t>
            </w:r>
          </w:p>
        </w:tc>
        <w:tc>
          <w:tcPr>
            <w:tcW w:w="0" w:type="dxa"/>
            <w:vAlign w:val="bottom"/>
          </w:tcPr>
          <w:p>
            <w:pPr>
              <w:spacing w:after="0"/>
              <w:rPr>
                <w:sz w:val="1"/>
                <w:szCs w:val="1"/>
                <w:color w:val="auto"/>
              </w:rPr>
            </w:pPr>
          </w:p>
        </w:tc>
      </w:tr>
      <w:tr>
        <w:trPr>
          <w:trHeight w:val="209"/>
        </w:trPr>
        <w:tc>
          <w:tcPr>
            <w:tcW w:w="2840" w:type="dxa"/>
            <w:vAlign w:val="bottom"/>
            <w:gridSpan w:val="2"/>
          </w:tcPr>
          <w:p>
            <w:pPr>
              <w:spacing w:after="0"/>
              <w:rPr>
                <w:sz w:val="20"/>
                <w:szCs w:val="20"/>
                <w:color w:val="auto"/>
              </w:rPr>
            </w:pPr>
            <w:r>
              <w:rPr>
                <w:rFonts w:ascii="Arial" w:cs="Arial" w:eastAsia="Arial" w:hAnsi="Arial"/>
                <w:sz w:val="16"/>
                <w:szCs w:val="16"/>
                <w:color w:val="auto"/>
                <w:w w:val="97"/>
              </w:rPr>
              <w:t>Foreign exchange derivative instruments</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20" w:type="dxa"/>
            <w:vAlign w:val="bottom"/>
          </w:tcPr>
          <w:p>
            <w:pPr>
              <w:jc w:val="right"/>
              <w:ind w:right="81"/>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6"/>
                <w:szCs w:val="16"/>
                <w:color w:val="auto"/>
              </w:rPr>
              <w:t>276</w:t>
            </w: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8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liabilities</w:t>
            </w: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2820" w:type="dxa"/>
            <w:vAlign w:val="bottom"/>
            <w:tcBorders>
              <w:top w:val="single" w:sz="8" w:color="CCEEFF"/>
              <w:bottom w:val="single" w:sz="8" w:color="CCEEFF"/>
            </w:tcBorders>
            <w:shd w:val="clear" w:color="auto" w:fill="CCEEFF"/>
          </w:tcPr>
          <w:p>
            <w:pPr>
              <w:ind w:left="520"/>
              <w:spacing w:after="0"/>
              <w:rPr>
                <w:sz w:val="20"/>
                <w:szCs w:val="20"/>
                <w:color w:val="auto"/>
              </w:rPr>
            </w:pPr>
            <w:r>
              <w:rPr>
                <w:rFonts w:ascii="Arial" w:cs="Arial" w:eastAsia="Arial" w:hAnsi="Arial"/>
                <w:sz w:val="16"/>
                <w:szCs w:val="16"/>
                <w:color w:val="auto"/>
              </w:rPr>
              <w:t>Total liabilities</w:t>
            </w:r>
          </w:p>
        </w:tc>
        <w:tc>
          <w:tcPr>
            <w:tcW w:w="80" w:type="dxa"/>
            <w:vAlign w:val="bottom"/>
            <w:tcBorders>
              <w:top w:val="single" w:sz="8" w:color="CCEEFF"/>
              <w:bottom w:val="single" w:sz="8" w:color="CCEEFF"/>
            </w:tcBorders>
            <w:shd w:val="clear" w:color="auto" w:fill="CCEEFF"/>
          </w:tcPr>
          <w:p>
            <w:pPr>
              <w:spacing w:after="0"/>
              <w:rPr>
                <w:sz w:val="17"/>
                <w:szCs w:val="17"/>
                <w:color w:val="auto"/>
              </w:rPr>
            </w:pPr>
          </w:p>
        </w:tc>
        <w:tc>
          <w:tcPr>
            <w:tcW w:w="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1,866</w:t>
            </w:r>
          </w:p>
        </w:tc>
        <w:tc>
          <w:tcPr>
            <w:tcW w:w="140" w:type="dxa"/>
            <w:vAlign w:val="bottom"/>
            <w:tcBorders>
              <w:top w:val="single" w:sz="8" w:color="CCEEFF"/>
              <w:bottom w:val="single" w:sz="8" w:color="CCEEFF"/>
            </w:tcBorders>
            <w:shd w:val="clear" w:color="auto" w:fill="CCEEFF"/>
          </w:tcPr>
          <w:p>
            <w:pPr>
              <w:spacing w:after="0"/>
              <w:rPr>
                <w:sz w:val="17"/>
                <w:szCs w:val="17"/>
                <w:color w:val="auto"/>
              </w:rPr>
            </w:pPr>
          </w:p>
        </w:tc>
        <w:tc>
          <w:tcPr>
            <w:tcW w:w="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4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4"/>
              </w:rPr>
              <w:t>6,636</w:t>
            </w:r>
          </w:p>
        </w:tc>
        <w:tc>
          <w:tcPr>
            <w:tcW w:w="600" w:type="dxa"/>
            <w:vAlign w:val="bottom"/>
            <w:tcBorders>
              <w:top w:val="single" w:sz="8" w:color="CCEEFF"/>
              <w:bottom w:val="single" w:sz="8" w:color="CCEEFF"/>
            </w:tcBorders>
            <w:shd w:val="clear" w:color="auto" w:fill="CCEEFF"/>
          </w:tcPr>
          <w:p>
            <w:pPr>
              <w:spacing w:after="0"/>
              <w:rPr>
                <w:sz w:val="17"/>
                <w:szCs w:val="17"/>
                <w:color w:val="auto"/>
              </w:rPr>
            </w:pPr>
          </w:p>
        </w:tc>
        <w:tc>
          <w:tcPr>
            <w:tcW w:w="160" w:type="dxa"/>
            <w:vAlign w:val="bottom"/>
            <w:tcBorders>
              <w:top w:val="single" w:sz="8" w:color="auto"/>
              <w:bottom w:val="single" w:sz="8" w:color="auto"/>
            </w:tcBorders>
            <w:shd w:val="clear" w:color="auto" w:fill="CCEEFF"/>
          </w:tcPr>
          <w:p>
            <w:pPr>
              <w:jc w:val="right"/>
              <w:ind w:right="49"/>
              <w:spacing w:after="0"/>
              <w:rPr>
                <w:sz w:val="20"/>
                <w:szCs w:val="20"/>
                <w:color w:val="auto"/>
              </w:rPr>
            </w:pPr>
            <w:r>
              <w:rPr>
                <w:rFonts w:ascii="Arial" w:cs="Arial" w:eastAsia="Arial" w:hAnsi="Arial"/>
                <w:sz w:val="10"/>
                <w:szCs w:val="10"/>
                <w:color w:val="auto"/>
                <w:w w:val="71"/>
              </w:rPr>
              <w:t>$</w:t>
            </w:r>
          </w:p>
        </w:tc>
        <w:tc>
          <w:tcPr>
            <w:tcW w:w="280" w:type="dxa"/>
            <w:vAlign w:val="bottom"/>
            <w:tcBorders>
              <w:top w:val="single" w:sz="8" w:color="auto"/>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140" w:type="dxa"/>
            <w:vAlign w:val="bottom"/>
            <w:tcBorders>
              <w:top w:val="single" w:sz="8" w:color="CCEEFF"/>
              <w:bottom w:val="single" w:sz="8" w:color="CCEEFF"/>
            </w:tcBorders>
            <w:shd w:val="clear" w:color="auto" w:fill="CCEEFF"/>
          </w:tcPr>
          <w:p>
            <w:pPr>
              <w:spacing w:after="0"/>
              <w:rPr>
                <w:sz w:val="17"/>
                <w:szCs w:val="17"/>
                <w:color w:val="auto"/>
              </w:rPr>
            </w:pPr>
          </w:p>
        </w:tc>
        <w:tc>
          <w:tcPr>
            <w:tcW w:w="1200" w:type="dxa"/>
            <w:vAlign w:val="bottom"/>
            <w:tcBorders>
              <w:top w:val="single" w:sz="8" w:color="CCEEFF"/>
              <w:bottom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F-26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786765</wp:posOffset>
            </wp:positionH>
            <wp:positionV relativeFrom="paragraph">
              <wp:posOffset>83185</wp:posOffset>
            </wp:positionV>
            <wp:extent cx="4159250" cy="2603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50">
                      <a:extLst>
                        <a:ext uri="{28A0092B-C50C-407E-A947-70E740481C1C}"/>
                      </a:extLst>
                    </a:blip>
                    <a:srcRect/>
                    <a:stretch>
                      <a:fillRect/>
                    </a:stretch>
                  </pic:blipFill>
                  <pic:spPr bwMode="auto">
                    <a:xfrm>
                      <a:off x="0" y="0"/>
                      <a:ext cx="4159250" cy="26035"/>
                    </a:xfrm>
                    <a:prstGeom prst="rect">
                      <a:avLst/>
                    </a:prstGeom>
                    <a:noFill/>
                  </pic:spPr>
                </pic:pic>
              </a:graphicData>
            </a:graphic>
          </wp:anchor>
        </w:drawing>
      </w:r>
    </w:p>
    <w:p>
      <w:pPr>
        <w:sectPr>
          <w:pgSz w:w="11900" w:h="16838" w:orient="portrait"/>
          <w:cols w:equalWidth="0" w:num="1">
            <w:col w:w="9019"/>
          </w:cols>
          <w:pgMar w:left="1440" w:top="125" w:right="1440" w:bottom="694" w:gutter="0" w:footer="0" w:header="0"/>
        </w:sectPr>
      </w:pPr>
    </w:p>
    <w:bookmarkStart w:id="121" w:name="page122"/>
    <w:bookmarkEnd w:id="121"/>
    <w:p>
      <w:pPr>
        <w:ind w:left="124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tbl>
      <w:tblPr>
        <w:tblLayout w:type="fixed"/>
        <w:tblInd w:w="1240" w:type="dxa"/>
        <w:tblCellMar>
          <w:top w:w="0" w:type="dxa"/>
          <w:left w:w="0" w:type="dxa"/>
          <w:bottom w:w="0" w:type="dxa"/>
          <w:right w:w="0" w:type="dxa"/>
        </w:tblCellMar>
      </w:tblPr>
      <w:tr>
        <w:trPr>
          <w:trHeight w:val="162"/>
        </w:trPr>
        <w:tc>
          <w:tcPr>
            <w:tcW w:w="20" w:type="dxa"/>
            <w:vAlign w:val="bottom"/>
          </w:tcPr>
          <w:p>
            <w:pPr>
              <w:spacing w:after="0"/>
              <w:rPr>
                <w:sz w:val="14"/>
                <w:szCs w:val="14"/>
                <w:color w:val="auto"/>
              </w:rPr>
            </w:pPr>
          </w:p>
        </w:tc>
        <w:tc>
          <w:tcPr>
            <w:tcW w:w="27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260" w:type="dxa"/>
            <w:vAlign w:val="bottom"/>
            <w:gridSpan w:val="8"/>
          </w:tcPr>
          <w:p>
            <w:pPr>
              <w:jc w:val="right"/>
              <w:ind w:right="160"/>
              <w:spacing w:after="0"/>
              <w:rPr>
                <w:sz w:val="20"/>
                <w:szCs w:val="20"/>
                <w:color w:val="auto"/>
              </w:rPr>
            </w:pPr>
            <w:r>
              <w:rPr>
                <w:rFonts w:ascii="Arial" w:cs="Arial" w:eastAsia="Arial" w:hAnsi="Arial"/>
                <w:sz w:val="14"/>
                <w:szCs w:val="14"/>
                <w:b w:val="1"/>
                <w:bCs w:val="1"/>
                <w:color w:val="auto"/>
                <w:w w:val="97"/>
              </w:rPr>
              <w:t>Fair Value Measurements as of</w:t>
            </w:r>
          </w:p>
        </w:tc>
        <w:tc>
          <w:tcPr>
            <w:tcW w:w="14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7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940" w:type="dxa"/>
            <w:vAlign w:val="bottom"/>
            <w:tcBorders>
              <w:bottom w:val="single" w:sz="8" w:color="auto"/>
            </w:tcBorders>
            <w:gridSpan w:val="7"/>
          </w:tcPr>
          <w:p>
            <w:pPr>
              <w:jc w:val="right"/>
              <w:ind w:right="24"/>
              <w:spacing w:after="0"/>
              <w:rPr>
                <w:sz w:val="20"/>
                <w:szCs w:val="20"/>
                <w:color w:val="auto"/>
              </w:rPr>
            </w:pPr>
            <w:r>
              <w:rPr>
                <w:rFonts w:ascii="Arial" w:cs="Arial" w:eastAsia="Arial" w:hAnsi="Arial"/>
                <w:sz w:val="14"/>
                <w:szCs w:val="14"/>
                <w:b w:val="1"/>
                <w:bCs w:val="1"/>
                <w:color w:val="auto"/>
              </w:rPr>
              <w:t>December 31, 2016 using:</w:t>
            </w:r>
          </w:p>
        </w:tc>
        <w:tc>
          <w:tcPr>
            <w:tcW w:w="320" w:type="dxa"/>
            <w:vAlign w:val="bottom"/>
            <w:tcBorders>
              <w:bottom w:val="single" w:sz="8" w:color="auto"/>
            </w:tcBorders>
          </w:tcPr>
          <w:p>
            <w:pPr>
              <w:spacing w:after="0"/>
              <w:rPr>
                <w:sz w:val="14"/>
                <w:szCs w:val="14"/>
                <w:color w:val="auto"/>
              </w:rPr>
            </w:pPr>
          </w:p>
        </w:tc>
        <w:tc>
          <w:tcPr>
            <w:tcW w:w="140" w:type="dxa"/>
            <w:vAlign w:val="bottom"/>
          </w:tcPr>
          <w:p>
            <w:pPr>
              <w:spacing w:after="0"/>
              <w:rPr>
                <w:sz w:val="14"/>
                <w:szCs w:val="14"/>
                <w:color w:val="auto"/>
              </w:rPr>
            </w:pPr>
          </w:p>
        </w:tc>
        <w:tc>
          <w:tcPr>
            <w:tcW w:w="1180" w:type="dxa"/>
            <w:vAlign w:val="bottom"/>
            <w:vMerge w:val="restart"/>
          </w:tcPr>
          <w:p>
            <w:pPr>
              <w:jc w:val="right"/>
              <w:ind w:right="80"/>
              <w:spacing w:after="0"/>
              <w:rPr>
                <w:sz w:val="20"/>
                <w:szCs w:val="20"/>
                <w:color w:val="auto"/>
              </w:rPr>
            </w:pPr>
            <w:r>
              <w:rPr>
                <w:rFonts w:ascii="Arial" w:cs="Arial" w:eastAsia="Arial" w:hAnsi="Arial"/>
                <w:sz w:val="14"/>
                <w:szCs w:val="14"/>
                <w:b w:val="1"/>
                <w:bCs w:val="1"/>
                <w:color w:val="auto"/>
              </w:rPr>
              <w:t>Balance Sheet</w:t>
            </w: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27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80" w:type="dxa"/>
            <w:vAlign w:val="bottom"/>
            <w:gridSpan w:val="2"/>
            <w:vMerge w:val="restart"/>
          </w:tcPr>
          <w:p>
            <w:pPr>
              <w:jc w:val="right"/>
              <w:spacing w:after="0"/>
              <w:rPr>
                <w:sz w:val="20"/>
                <w:szCs w:val="20"/>
                <w:color w:val="auto"/>
              </w:rPr>
            </w:pPr>
            <w:r>
              <w:rPr>
                <w:rFonts w:ascii="Arial" w:cs="Arial" w:eastAsia="Arial" w:hAnsi="Arial"/>
                <w:sz w:val="14"/>
                <w:szCs w:val="14"/>
                <w:b w:val="1"/>
                <w:bCs w:val="1"/>
                <w:color w:val="auto"/>
              </w:rPr>
              <w:t>Level 1</w:t>
            </w:r>
          </w:p>
        </w:tc>
        <w:tc>
          <w:tcPr>
            <w:tcW w:w="140" w:type="dxa"/>
            <w:vAlign w:val="bottom"/>
          </w:tcPr>
          <w:p>
            <w:pPr>
              <w:spacing w:after="0"/>
              <w:rPr>
                <w:sz w:val="10"/>
                <w:szCs w:val="10"/>
                <w:color w:val="auto"/>
              </w:rPr>
            </w:pPr>
          </w:p>
        </w:tc>
        <w:tc>
          <w:tcPr>
            <w:tcW w:w="1180" w:type="dxa"/>
            <w:vAlign w:val="bottom"/>
            <w:gridSpan w:val="3"/>
            <w:vMerge w:val="restart"/>
          </w:tcPr>
          <w:p>
            <w:pPr>
              <w:ind w:left="60"/>
              <w:spacing w:after="0"/>
              <w:rPr>
                <w:sz w:val="20"/>
                <w:szCs w:val="20"/>
                <w:color w:val="auto"/>
              </w:rPr>
            </w:pPr>
            <w:r>
              <w:rPr>
                <w:rFonts w:ascii="Arial" w:cs="Arial" w:eastAsia="Arial" w:hAnsi="Arial"/>
                <w:sz w:val="14"/>
                <w:szCs w:val="14"/>
                <w:b w:val="1"/>
                <w:bCs w:val="1"/>
                <w:color w:val="auto"/>
              </w:rPr>
              <w:t>Level 2</w:t>
            </w:r>
          </w:p>
        </w:tc>
        <w:tc>
          <w:tcPr>
            <w:tcW w:w="20" w:type="dxa"/>
            <w:vAlign w:val="bottom"/>
          </w:tcPr>
          <w:p>
            <w:pPr>
              <w:spacing w:after="0"/>
              <w:rPr>
                <w:sz w:val="10"/>
                <w:szCs w:val="10"/>
                <w:color w:val="auto"/>
              </w:rPr>
            </w:pPr>
          </w:p>
        </w:tc>
        <w:tc>
          <w:tcPr>
            <w:tcW w:w="420" w:type="dxa"/>
            <w:vAlign w:val="bottom"/>
            <w:gridSpan w:val="2"/>
          </w:tcPr>
          <w:p>
            <w:pPr>
              <w:jc w:val="right"/>
              <w:spacing w:after="0" w:line="119" w:lineRule="exact"/>
              <w:rPr>
                <w:sz w:val="20"/>
                <w:szCs w:val="20"/>
                <w:color w:val="auto"/>
              </w:rPr>
            </w:pPr>
            <w:r>
              <w:rPr>
                <w:rFonts w:ascii="Arial" w:cs="Arial" w:eastAsia="Arial" w:hAnsi="Arial"/>
                <w:sz w:val="13"/>
                <w:szCs w:val="13"/>
                <w:b w:val="1"/>
                <w:bCs w:val="1"/>
                <w:color w:val="auto"/>
              </w:rPr>
              <w:t>Level</w:t>
            </w:r>
          </w:p>
        </w:tc>
        <w:tc>
          <w:tcPr>
            <w:tcW w:w="140" w:type="dxa"/>
            <w:vAlign w:val="bottom"/>
          </w:tcPr>
          <w:p>
            <w:pPr>
              <w:spacing w:after="0"/>
              <w:rPr>
                <w:sz w:val="10"/>
                <w:szCs w:val="10"/>
                <w:color w:val="auto"/>
              </w:rPr>
            </w:pPr>
          </w:p>
        </w:tc>
        <w:tc>
          <w:tcPr>
            <w:tcW w:w="11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2760" w:type="dxa"/>
            <w:vAlign w:val="bottom"/>
            <w:gridSpan w:val="2"/>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120" w:type="dxa"/>
            <w:vAlign w:val="bottom"/>
          </w:tcPr>
          <w:p>
            <w:pPr>
              <w:spacing w:after="0"/>
              <w:rPr>
                <w:sz w:val="14"/>
                <w:szCs w:val="14"/>
                <w:color w:val="auto"/>
              </w:rPr>
            </w:pPr>
          </w:p>
        </w:tc>
        <w:tc>
          <w:tcPr>
            <w:tcW w:w="580" w:type="dxa"/>
            <w:vAlign w:val="bottom"/>
            <w:gridSpan w:val="2"/>
            <w:vMerge w:val="continue"/>
          </w:tcPr>
          <w:p>
            <w:pPr>
              <w:spacing w:after="0"/>
              <w:rPr>
                <w:sz w:val="14"/>
                <w:szCs w:val="14"/>
                <w:color w:val="auto"/>
              </w:rPr>
            </w:pPr>
          </w:p>
        </w:tc>
        <w:tc>
          <w:tcPr>
            <w:tcW w:w="140" w:type="dxa"/>
            <w:vAlign w:val="bottom"/>
          </w:tcPr>
          <w:p>
            <w:pPr>
              <w:spacing w:after="0"/>
              <w:rPr>
                <w:sz w:val="14"/>
                <w:szCs w:val="14"/>
                <w:color w:val="auto"/>
              </w:rPr>
            </w:pPr>
          </w:p>
        </w:tc>
        <w:tc>
          <w:tcPr>
            <w:tcW w:w="1180" w:type="dxa"/>
            <w:vAlign w:val="bottom"/>
            <w:gridSpan w:val="3"/>
            <w:vMerge w:val="continue"/>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20" w:type="dxa"/>
            <w:vAlign w:val="bottom"/>
          </w:tcPr>
          <w:p>
            <w:pPr>
              <w:jc w:val="right"/>
              <w:ind w:right="120"/>
              <w:spacing w:after="0"/>
              <w:rPr>
                <w:sz w:val="20"/>
                <w:szCs w:val="20"/>
                <w:color w:val="auto"/>
              </w:rPr>
            </w:pPr>
            <w:r>
              <w:rPr>
                <w:rFonts w:ascii="Arial" w:cs="Arial" w:eastAsia="Arial" w:hAnsi="Arial"/>
                <w:sz w:val="14"/>
                <w:szCs w:val="14"/>
                <w:b w:val="1"/>
                <w:bCs w:val="1"/>
                <w:color w:val="auto"/>
              </w:rPr>
              <w:t>3</w:t>
            </w:r>
          </w:p>
        </w:tc>
        <w:tc>
          <w:tcPr>
            <w:tcW w:w="140" w:type="dxa"/>
            <w:vAlign w:val="bottom"/>
          </w:tcPr>
          <w:p>
            <w:pPr>
              <w:spacing w:after="0"/>
              <w:rPr>
                <w:sz w:val="14"/>
                <w:szCs w:val="14"/>
                <w:color w:val="auto"/>
              </w:rPr>
            </w:pPr>
          </w:p>
        </w:tc>
        <w:tc>
          <w:tcPr>
            <w:tcW w:w="1180" w:type="dxa"/>
            <w:vAlign w:val="bottom"/>
          </w:tcPr>
          <w:p>
            <w:pPr>
              <w:jc w:val="right"/>
              <w:ind w:right="240"/>
              <w:spacing w:after="0"/>
              <w:rPr>
                <w:sz w:val="20"/>
                <w:szCs w:val="20"/>
                <w:color w:val="auto"/>
              </w:rPr>
            </w:pPr>
            <w:r>
              <w:rPr>
                <w:rFonts w:ascii="Arial" w:cs="Arial" w:eastAsia="Arial" w:hAnsi="Arial"/>
                <w:sz w:val="14"/>
                <w:szCs w:val="14"/>
                <w:b w:val="1"/>
                <w:bCs w:val="1"/>
                <w:color w:val="auto"/>
              </w:rPr>
              <w:t>Location</w:t>
            </w:r>
          </w:p>
        </w:tc>
        <w:tc>
          <w:tcPr>
            <w:tcW w:w="0" w:type="dxa"/>
            <w:vAlign w:val="bottom"/>
          </w:tcPr>
          <w:p>
            <w:pPr>
              <w:spacing w:after="0"/>
              <w:rPr>
                <w:sz w:val="1"/>
                <w:szCs w:val="1"/>
                <w:color w:val="auto"/>
              </w:rPr>
            </w:pPr>
          </w:p>
        </w:tc>
      </w:tr>
      <w:tr>
        <w:trPr>
          <w:trHeight w:val="196"/>
        </w:trPr>
        <w:tc>
          <w:tcPr>
            <w:tcW w:w="20" w:type="dxa"/>
            <w:vAlign w:val="bottom"/>
            <w:vMerge w:val="restart"/>
          </w:tcPr>
          <w:p>
            <w:pPr>
              <w:spacing w:after="0"/>
              <w:rPr>
                <w:sz w:val="17"/>
                <w:szCs w:val="17"/>
                <w:color w:val="auto"/>
              </w:rPr>
            </w:pPr>
          </w:p>
        </w:tc>
        <w:tc>
          <w:tcPr>
            <w:tcW w:w="27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500" w:type="dxa"/>
            <w:vAlign w:val="bottom"/>
            <w:tcBorders>
              <w:top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500" w:type="dxa"/>
            <w:vAlign w:val="bottom"/>
            <w:tcBorders>
              <w:top w:val="single" w:sz="8" w:color="auto"/>
            </w:tcBorders>
          </w:tcPr>
          <w:p>
            <w:pPr>
              <w:spacing w:after="0"/>
              <w:rPr>
                <w:sz w:val="17"/>
                <w:szCs w:val="17"/>
                <w:color w:val="auto"/>
              </w:rPr>
            </w:pPr>
          </w:p>
        </w:tc>
        <w:tc>
          <w:tcPr>
            <w:tcW w:w="6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1180" w:type="dxa"/>
            <w:vAlign w:val="bottom"/>
            <w:tcBorders>
              <w:top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274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Assets</w:t>
            </w: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27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Other current</w:t>
            </w:r>
          </w:p>
        </w:tc>
        <w:tc>
          <w:tcPr>
            <w:tcW w:w="0" w:type="dxa"/>
            <w:vAlign w:val="bottom"/>
          </w:tcPr>
          <w:p>
            <w:pPr>
              <w:spacing w:after="0"/>
              <w:rPr>
                <w:sz w:val="1"/>
                <w:szCs w:val="1"/>
                <w:color w:val="auto"/>
              </w:rPr>
            </w:pPr>
          </w:p>
        </w:tc>
      </w:tr>
      <w:tr>
        <w:trPr>
          <w:trHeight w:val="209"/>
        </w:trPr>
        <w:tc>
          <w:tcPr>
            <w:tcW w:w="2760" w:type="dxa"/>
            <w:vAlign w:val="bottom"/>
            <w:gridSpan w:val="2"/>
          </w:tcPr>
          <w:p>
            <w:pPr>
              <w:spacing w:after="0"/>
              <w:rPr>
                <w:sz w:val="20"/>
                <w:szCs w:val="20"/>
                <w:color w:val="auto"/>
              </w:rPr>
            </w:pPr>
            <w:r>
              <w:rPr>
                <w:rFonts w:ascii="Arial" w:cs="Arial" w:eastAsia="Arial" w:hAnsi="Arial"/>
                <w:sz w:val="16"/>
                <w:szCs w:val="16"/>
                <w:color w:val="auto"/>
              </w:rPr>
              <w:t>Rabbi trust</w:t>
            </w:r>
          </w:p>
        </w:tc>
        <w:tc>
          <w:tcPr>
            <w:tcW w:w="20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500" w:type="dxa"/>
            <w:vAlign w:val="bottom"/>
          </w:tcPr>
          <w:p>
            <w:pPr>
              <w:jc w:val="right"/>
              <w:spacing w:after="0"/>
              <w:rPr>
                <w:sz w:val="20"/>
                <w:szCs w:val="20"/>
                <w:color w:val="auto"/>
              </w:rPr>
            </w:pPr>
            <w:r>
              <w:rPr>
                <w:rFonts w:ascii="Arial" w:cs="Arial" w:eastAsia="Arial" w:hAnsi="Arial"/>
                <w:sz w:val="16"/>
                <w:szCs w:val="16"/>
                <w:color w:val="auto"/>
              </w:rPr>
              <w:t>6,994</w:t>
            </w:r>
          </w:p>
        </w:tc>
        <w:tc>
          <w:tcPr>
            <w:tcW w:w="22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50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600" w:type="dxa"/>
            <w:vAlign w:val="bottom"/>
          </w:tcPr>
          <w:p>
            <w:pPr>
              <w:spacing w:after="0"/>
              <w:rPr>
                <w:sz w:val="18"/>
                <w:szCs w:val="18"/>
                <w:color w:val="auto"/>
              </w:rPr>
            </w:pPr>
          </w:p>
        </w:tc>
        <w:tc>
          <w:tcPr>
            <w:tcW w:w="120" w:type="dxa"/>
            <w:vAlign w:val="bottom"/>
            <w:gridSpan w:val="2"/>
          </w:tcPr>
          <w:p>
            <w:pPr>
              <w:jc w:val="right"/>
              <w:spacing w:after="0"/>
              <w:rPr>
                <w:sz w:val="20"/>
                <w:szCs w:val="20"/>
                <w:color w:val="auto"/>
              </w:rPr>
            </w:pPr>
            <w:r>
              <w:rPr>
                <w:rFonts w:ascii="Arial" w:cs="Arial" w:eastAsia="Arial" w:hAnsi="Arial"/>
                <w:sz w:val="15"/>
                <w:szCs w:val="15"/>
                <w:color w:val="auto"/>
                <w:w w:val="71"/>
              </w:rPr>
              <w:t>$</w:t>
            </w:r>
          </w:p>
        </w:tc>
        <w:tc>
          <w:tcPr>
            <w:tcW w:w="320" w:type="dxa"/>
            <w:vAlign w:val="bottom"/>
          </w:tcPr>
          <w:p>
            <w:pPr>
              <w:jc w:val="right"/>
              <w:ind w:right="6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assets</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27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Other current</w:t>
            </w: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2740" w:type="dxa"/>
            <w:vAlign w:val="bottom"/>
            <w:shd w:val="clear" w:color="auto" w:fill="CCEEFF"/>
          </w:tcPr>
          <w:p>
            <w:pPr>
              <w:spacing w:after="0"/>
              <w:rPr>
                <w:sz w:val="20"/>
                <w:szCs w:val="20"/>
                <w:color w:val="auto"/>
              </w:rPr>
            </w:pPr>
            <w:r>
              <w:rPr>
                <w:rFonts w:ascii="Arial" w:cs="Arial" w:eastAsia="Arial" w:hAnsi="Arial"/>
                <w:sz w:val="16"/>
                <w:szCs w:val="16"/>
                <w:color w:val="auto"/>
                <w:w w:val="94"/>
              </w:rPr>
              <w:t>Foreign exchange derivative instruments</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5"/>
              </w:rPr>
              <w:t>11,357</w:t>
            </w:r>
          </w:p>
        </w:tc>
        <w:tc>
          <w:tcPr>
            <w:tcW w:w="6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14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assets</w:t>
            </w: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27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w w:val="90"/>
              </w:rPr>
              <w:t>Other noncurrent</w:t>
            </w:r>
          </w:p>
        </w:tc>
        <w:tc>
          <w:tcPr>
            <w:tcW w:w="0" w:type="dxa"/>
            <w:vAlign w:val="bottom"/>
          </w:tcPr>
          <w:p>
            <w:pPr>
              <w:spacing w:after="0"/>
              <w:rPr>
                <w:sz w:val="1"/>
                <w:szCs w:val="1"/>
                <w:color w:val="auto"/>
              </w:rPr>
            </w:pPr>
          </w:p>
        </w:tc>
      </w:tr>
      <w:tr>
        <w:trPr>
          <w:trHeight w:val="209"/>
        </w:trPr>
        <w:tc>
          <w:tcPr>
            <w:tcW w:w="2760" w:type="dxa"/>
            <w:vAlign w:val="bottom"/>
            <w:gridSpan w:val="2"/>
          </w:tcPr>
          <w:p>
            <w:pPr>
              <w:spacing w:after="0"/>
              <w:rPr>
                <w:sz w:val="20"/>
                <w:szCs w:val="20"/>
                <w:color w:val="auto"/>
              </w:rPr>
            </w:pPr>
            <w:r>
              <w:rPr>
                <w:rFonts w:ascii="Arial" w:cs="Arial" w:eastAsia="Arial" w:hAnsi="Arial"/>
                <w:sz w:val="16"/>
                <w:szCs w:val="16"/>
                <w:color w:val="auto"/>
              </w:rPr>
              <w:t>Rabbi trust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6"/>
                <w:szCs w:val="16"/>
                <w:color w:val="auto"/>
              </w:rPr>
              <w:t>5,248</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0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6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Pr>
          <w:p>
            <w:pPr>
              <w:jc w:val="right"/>
              <w:ind w:right="6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assets</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27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0"/>
              </w:rPr>
              <w:t>Other noncurrent</w:t>
            </w: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2740" w:type="dxa"/>
            <w:vAlign w:val="bottom"/>
            <w:shd w:val="clear" w:color="auto" w:fill="CCEEFF"/>
          </w:tcPr>
          <w:p>
            <w:pPr>
              <w:spacing w:after="0"/>
              <w:rPr>
                <w:sz w:val="20"/>
                <w:szCs w:val="20"/>
                <w:color w:val="auto"/>
              </w:rPr>
            </w:pPr>
            <w:r>
              <w:rPr>
                <w:rFonts w:ascii="Arial" w:cs="Arial" w:eastAsia="Arial" w:hAnsi="Arial"/>
                <w:sz w:val="16"/>
                <w:szCs w:val="16"/>
                <w:color w:val="auto"/>
                <w:w w:val="96"/>
              </w:rPr>
              <w:t>Deferred compensation program assets</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1,846</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6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14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assets</w:t>
            </w: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27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w w:val="90"/>
              </w:rPr>
              <w:t>Other noncurrent</w:t>
            </w:r>
          </w:p>
        </w:tc>
        <w:tc>
          <w:tcPr>
            <w:tcW w:w="0" w:type="dxa"/>
            <w:vAlign w:val="bottom"/>
          </w:tcPr>
          <w:p>
            <w:pPr>
              <w:spacing w:after="0"/>
              <w:rPr>
                <w:sz w:val="1"/>
                <w:szCs w:val="1"/>
                <w:color w:val="auto"/>
              </w:rPr>
            </w:pPr>
          </w:p>
        </w:tc>
      </w:tr>
      <w:tr>
        <w:trPr>
          <w:trHeight w:val="209"/>
        </w:trPr>
        <w:tc>
          <w:tcPr>
            <w:tcW w:w="2760" w:type="dxa"/>
            <w:vAlign w:val="bottom"/>
            <w:gridSpan w:val="2"/>
          </w:tcPr>
          <w:p>
            <w:pPr>
              <w:spacing w:after="0"/>
              <w:rPr>
                <w:sz w:val="20"/>
                <w:szCs w:val="20"/>
                <w:color w:val="auto"/>
              </w:rPr>
            </w:pPr>
            <w:r>
              <w:rPr>
                <w:rFonts w:ascii="Arial" w:cs="Arial" w:eastAsia="Arial" w:hAnsi="Arial"/>
                <w:sz w:val="16"/>
                <w:szCs w:val="16"/>
                <w:color w:val="auto"/>
                <w:w w:val="95"/>
              </w:rPr>
              <w:t>Foreign exchange derivative instruments</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00" w:type="dxa"/>
            <w:vAlign w:val="bottom"/>
          </w:tcPr>
          <w:p>
            <w:pPr>
              <w:jc w:val="right"/>
              <w:ind w:right="6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6"/>
                <w:szCs w:val="16"/>
                <w:color w:val="auto"/>
              </w:rPr>
              <w:t>5,286</w:t>
            </w:r>
          </w:p>
        </w:tc>
        <w:tc>
          <w:tcPr>
            <w:tcW w:w="6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Pr>
          <w:p>
            <w:pPr>
              <w:jc w:val="right"/>
              <w:ind w:right="6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assets</w:t>
            </w:r>
          </w:p>
        </w:tc>
        <w:tc>
          <w:tcPr>
            <w:tcW w:w="0" w:type="dxa"/>
            <w:vAlign w:val="bottom"/>
          </w:tcPr>
          <w:p>
            <w:pPr>
              <w:spacing w:after="0"/>
              <w:rPr>
                <w:sz w:val="1"/>
                <w:szCs w:val="1"/>
                <w:color w:val="auto"/>
              </w:rPr>
            </w:pPr>
          </w:p>
        </w:tc>
      </w:tr>
      <w:tr>
        <w:trPr>
          <w:trHeight w:val="219"/>
        </w:trPr>
        <w:tc>
          <w:tcPr>
            <w:tcW w:w="20" w:type="dxa"/>
            <w:vAlign w:val="bottom"/>
          </w:tcPr>
          <w:p>
            <w:pPr>
              <w:spacing w:after="0"/>
              <w:rPr>
                <w:sz w:val="19"/>
                <w:szCs w:val="19"/>
                <w:color w:val="auto"/>
              </w:rPr>
            </w:pPr>
          </w:p>
        </w:tc>
        <w:tc>
          <w:tcPr>
            <w:tcW w:w="2740" w:type="dxa"/>
            <w:vAlign w:val="bottom"/>
            <w:tcBorders>
              <w:top w:val="single" w:sz="8" w:color="CCEEFF"/>
              <w:bottom w:val="single" w:sz="8" w:color="CCEEFF"/>
            </w:tcBorders>
            <w:shd w:val="clear" w:color="auto" w:fill="CCEEFF"/>
          </w:tcPr>
          <w:p>
            <w:pPr>
              <w:ind w:left="520"/>
              <w:spacing w:after="0"/>
              <w:rPr>
                <w:sz w:val="20"/>
                <w:szCs w:val="20"/>
                <w:color w:val="auto"/>
              </w:rPr>
            </w:pPr>
            <w:r>
              <w:rPr>
                <w:rFonts w:ascii="Arial" w:cs="Arial" w:eastAsia="Arial" w:hAnsi="Arial"/>
                <w:sz w:val="16"/>
                <w:szCs w:val="16"/>
                <w:color w:val="auto"/>
              </w:rPr>
              <w:t>Total assets</w:t>
            </w:r>
          </w:p>
        </w:tc>
        <w:tc>
          <w:tcPr>
            <w:tcW w:w="120" w:type="dxa"/>
            <w:vAlign w:val="bottom"/>
            <w:tcBorders>
              <w:top w:val="single" w:sz="8" w:color="CCEEFF"/>
              <w:bottom w:val="single" w:sz="8" w:color="CCEEFF"/>
            </w:tcBorders>
            <w:shd w:val="clear" w:color="auto" w:fill="CCEEFF"/>
          </w:tcPr>
          <w:p>
            <w:pPr>
              <w:spacing w:after="0"/>
              <w:rPr>
                <w:sz w:val="19"/>
                <w:szCs w:val="19"/>
                <w:color w:val="auto"/>
              </w:rPr>
            </w:pPr>
          </w:p>
        </w:tc>
        <w:tc>
          <w:tcPr>
            <w:tcW w:w="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5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5"/>
              </w:rPr>
              <w:t>14,088</w:t>
            </w:r>
          </w:p>
        </w:tc>
        <w:tc>
          <w:tcPr>
            <w:tcW w:w="140" w:type="dxa"/>
            <w:vAlign w:val="bottom"/>
            <w:tcBorders>
              <w:top w:val="single" w:sz="8" w:color="CCEEFF"/>
              <w:bottom w:val="single" w:sz="8" w:color="CCEEFF"/>
            </w:tcBorders>
            <w:shd w:val="clear" w:color="auto" w:fill="CCEEFF"/>
          </w:tcPr>
          <w:p>
            <w:pPr>
              <w:spacing w:after="0"/>
              <w:rPr>
                <w:sz w:val="19"/>
                <w:szCs w:val="19"/>
                <w:color w:val="auto"/>
              </w:rPr>
            </w:pPr>
          </w:p>
        </w:tc>
        <w:tc>
          <w:tcPr>
            <w:tcW w:w="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5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5"/>
              </w:rPr>
              <w:t>16,643</w:t>
            </w:r>
          </w:p>
        </w:tc>
        <w:tc>
          <w:tcPr>
            <w:tcW w:w="600" w:type="dxa"/>
            <w:vAlign w:val="bottom"/>
            <w:tcBorders>
              <w:top w:val="single" w:sz="8" w:color="CCEEFF"/>
              <w:bottom w:val="single" w:sz="8" w:color="CCEEFF"/>
            </w:tcBorders>
            <w:shd w:val="clear" w:color="auto" w:fill="CCEEFF"/>
          </w:tcPr>
          <w:p>
            <w:pPr>
              <w:spacing w:after="0"/>
              <w:rPr>
                <w:sz w:val="19"/>
                <w:szCs w:val="19"/>
                <w:color w:val="auto"/>
              </w:rPr>
            </w:pPr>
          </w:p>
        </w:tc>
        <w:tc>
          <w:tcPr>
            <w:tcW w:w="20" w:type="dxa"/>
            <w:vAlign w:val="bottom"/>
            <w:tcBorders>
              <w:top w:val="single" w:sz="8" w:color="CCEEFF"/>
              <w:bottom w:val="single" w:sz="8" w:color="CCEEFF"/>
            </w:tcBorders>
            <w:shd w:val="clear" w:color="auto" w:fill="CCEEFF"/>
          </w:tcPr>
          <w:p>
            <w:pPr>
              <w:spacing w:after="0"/>
              <w:rPr>
                <w:sz w:val="19"/>
                <w:szCs w:val="19"/>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320" w:type="dxa"/>
            <w:vAlign w:val="bottom"/>
            <w:tcBorders>
              <w:top w:val="single" w:sz="8" w:color="auto"/>
              <w:bottom w:val="single" w:sz="8" w:color="auto"/>
            </w:tcBorders>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140" w:type="dxa"/>
            <w:vAlign w:val="bottom"/>
            <w:tcBorders>
              <w:top w:val="single" w:sz="8" w:color="CCEEFF"/>
              <w:bottom w:val="single" w:sz="8" w:color="CCEEFF"/>
            </w:tcBorders>
            <w:shd w:val="clear" w:color="auto" w:fill="CCEEFF"/>
          </w:tcPr>
          <w:p>
            <w:pPr>
              <w:spacing w:after="0"/>
              <w:rPr>
                <w:sz w:val="19"/>
                <w:szCs w:val="19"/>
                <w:color w:val="auto"/>
              </w:rPr>
            </w:pPr>
          </w:p>
        </w:tc>
        <w:tc>
          <w:tcPr>
            <w:tcW w:w="1180" w:type="dxa"/>
            <w:vAlign w:val="bottom"/>
            <w:tcBorders>
              <w:top w:val="single" w:sz="8" w:color="CCEEFF"/>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740" w:type="dxa"/>
            <w:vAlign w:val="bottom"/>
          </w:tcPr>
          <w:p>
            <w:pPr>
              <w:spacing w:after="0" w:line="176" w:lineRule="exact"/>
              <w:rPr>
                <w:sz w:val="20"/>
                <w:szCs w:val="20"/>
                <w:color w:val="auto"/>
              </w:rPr>
            </w:pPr>
            <w:r>
              <w:rPr>
                <w:rFonts w:ascii="Arial" w:cs="Arial" w:eastAsia="Arial" w:hAnsi="Arial"/>
                <w:sz w:val="16"/>
                <w:szCs w:val="16"/>
                <w:b w:val="1"/>
                <w:bCs w:val="1"/>
                <w:color w:val="auto"/>
              </w:rPr>
              <w:t>Liabilities</w:t>
            </w:r>
          </w:p>
        </w:tc>
        <w:tc>
          <w:tcPr>
            <w:tcW w:w="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27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00" w:type="dxa"/>
            <w:vAlign w:val="bottom"/>
            <w:shd w:val="clear" w:color="auto" w:fill="CCEEFF"/>
          </w:tcPr>
          <w:p>
            <w:pPr>
              <w:spacing w:after="0"/>
              <w:rPr>
                <w:sz w:val="16"/>
                <w:szCs w:val="16"/>
                <w:color w:val="auto"/>
              </w:rPr>
            </w:pPr>
          </w:p>
        </w:tc>
        <w:tc>
          <w:tcPr>
            <w:tcW w:w="60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3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Other current</w:t>
            </w: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2740" w:type="dxa"/>
            <w:vAlign w:val="bottom"/>
            <w:shd w:val="clear" w:color="auto" w:fill="CCEEFF"/>
          </w:tcPr>
          <w:p>
            <w:pPr>
              <w:spacing w:after="0"/>
              <w:rPr>
                <w:sz w:val="20"/>
                <w:szCs w:val="20"/>
                <w:color w:val="auto"/>
              </w:rPr>
            </w:pPr>
            <w:r>
              <w:rPr>
                <w:rFonts w:ascii="Arial" w:cs="Arial" w:eastAsia="Arial" w:hAnsi="Arial"/>
                <w:sz w:val="16"/>
                <w:szCs w:val="16"/>
                <w:color w:val="auto"/>
                <w:w w:val="94"/>
              </w:rPr>
              <w:t>Foreign exchange derivative instruments</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500" w:type="dxa"/>
            <w:vAlign w:val="bottom"/>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1,106</w:t>
            </w:r>
          </w:p>
        </w:tc>
        <w:tc>
          <w:tcPr>
            <w:tcW w:w="600" w:type="dxa"/>
            <w:vAlign w:val="bottom"/>
            <w:shd w:val="clear" w:color="auto" w:fill="CCEEFF"/>
          </w:tcPr>
          <w:p>
            <w:pPr>
              <w:spacing w:after="0"/>
              <w:rPr>
                <w:sz w:val="18"/>
                <w:szCs w:val="18"/>
                <w:color w:val="auto"/>
              </w:rPr>
            </w:pP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320" w:type="dxa"/>
            <w:vAlign w:val="bottom"/>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14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liabilities</w:t>
            </w: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2740" w:type="dxa"/>
            <w:vAlign w:val="bottom"/>
          </w:tcPr>
          <w:p>
            <w:pPr>
              <w:spacing w:after="0"/>
              <w:rPr>
                <w:sz w:val="20"/>
                <w:szCs w:val="20"/>
                <w:color w:val="auto"/>
              </w:rPr>
            </w:pPr>
            <w:r>
              <w:rPr>
                <w:rFonts w:ascii="Arial" w:cs="Arial" w:eastAsia="Arial" w:hAnsi="Arial"/>
                <w:sz w:val="16"/>
                <w:szCs w:val="16"/>
                <w:color w:val="auto"/>
              </w:rPr>
              <w:t>Deferred compensation program</w:t>
            </w: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w w:val="90"/>
              </w:rPr>
              <w:t>Other noncurrent</w:t>
            </w:r>
          </w:p>
        </w:tc>
        <w:tc>
          <w:tcPr>
            <w:tcW w:w="0" w:type="dxa"/>
            <w:vAlign w:val="bottom"/>
          </w:tcPr>
          <w:p>
            <w:pPr>
              <w:spacing w:after="0"/>
              <w:rPr>
                <w:sz w:val="1"/>
                <w:szCs w:val="1"/>
                <w:color w:val="auto"/>
              </w:rPr>
            </w:pPr>
          </w:p>
        </w:tc>
      </w:tr>
      <w:tr>
        <w:trPr>
          <w:trHeight w:val="209"/>
        </w:trPr>
        <w:tc>
          <w:tcPr>
            <w:tcW w:w="2760" w:type="dxa"/>
            <w:vAlign w:val="bottom"/>
            <w:gridSpan w:val="2"/>
          </w:tcPr>
          <w:p>
            <w:pPr>
              <w:spacing w:after="0"/>
              <w:rPr>
                <w:sz w:val="20"/>
                <w:szCs w:val="20"/>
                <w:color w:val="auto"/>
              </w:rPr>
            </w:pPr>
            <w:r>
              <w:rPr>
                <w:rFonts w:ascii="Arial" w:cs="Arial" w:eastAsia="Arial" w:hAnsi="Arial"/>
                <w:sz w:val="16"/>
                <w:szCs w:val="16"/>
                <w:color w:val="auto"/>
              </w:rPr>
              <w:t>liabilities</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6"/>
                <w:szCs w:val="16"/>
                <w:color w:val="auto"/>
              </w:rPr>
              <w:t>1,846</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0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6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Pr>
          <w:p>
            <w:pPr>
              <w:jc w:val="right"/>
              <w:ind w:right="6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liabilities</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27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0"/>
              </w:rPr>
              <w:t>Other noncurrent</w:t>
            </w: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2740" w:type="dxa"/>
            <w:vAlign w:val="bottom"/>
            <w:shd w:val="clear" w:color="auto" w:fill="CCEEFF"/>
          </w:tcPr>
          <w:p>
            <w:pPr>
              <w:spacing w:after="0"/>
              <w:rPr>
                <w:sz w:val="20"/>
                <w:szCs w:val="20"/>
                <w:color w:val="auto"/>
              </w:rPr>
            </w:pPr>
            <w:r>
              <w:rPr>
                <w:rFonts w:ascii="Arial" w:cs="Arial" w:eastAsia="Arial" w:hAnsi="Arial"/>
                <w:sz w:val="16"/>
                <w:szCs w:val="16"/>
                <w:color w:val="auto"/>
                <w:w w:val="94"/>
              </w:rPr>
              <w:t>Foreign exchange derivative instruments</w:t>
            </w:r>
          </w:p>
        </w:tc>
        <w:tc>
          <w:tcPr>
            <w:tcW w:w="12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500" w:type="dxa"/>
            <w:vAlign w:val="bottom"/>
            <w:tcBorders>
              <w:bottom w:val="single" w:sz="8" w:color="auto"/>
            </w:tcBorders>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14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32</w:t>
            </w:r>
          </w:p>
        </w:tc>
        <w:tc>
          <w:tcPr>
            <w:tcW w:w="6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320" w:type="dxa"/>
            <w:vAlign w:val="bottom"/>
            <w:tcBorders>
              <w:bottom w:val="single" w:sz="8" w:color="auto"/>
            </w:tcBorders>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14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liabilities</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740" w:type="dxa"/>
            <w:vAlign w:val="bottom"/>
          </w:tcPr>
          <w:p>
            <w:pPr>
              <w:ind w:left="520"/>
              <w:spacing w:after="0"/>
              <w:rPr>
                <w:sz w:val="20"/>
                <w:szCs w:val="20"/>
                <w:color w:val="auto"/>
              </w:rPr>
            </w:pPr>
            <w:r>
              <w:rPr>
                <w:rFonts w:ascii="Arial" w:cs="Arial" w:eastAsia="Arial" w:hAnsi="Arial"/>
                <w:sz w:val="16"/>
                <w:szCs w:val="16"/>
                <w:color w:val="auto"/>
              </w:rPr>
              <w:t>Total liabilities</w:t>
            </w:r>
          </w:p>
        </w:tc>
        <w:tc>
          <w:tcPr>
            <w:tcW w:w="120" w:type="dxa"/>
            <w:vAlign w:val="bottom"/>
          </w:tcPr>
          <w:p>
            <w:pPr>
              <w:spacing w:after="0"/>
              <w:rPr>
                <w:sz w:val="17"/>
                <w:szCs w:val="17"/>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1,846</w:t>
            </w:r>
          </w:p>
        </w:tc>
        <w:tc>
          <w:tcPr>
            <w:tcW w:w="140" w:type="dxa"/>
            <w:vAlign w:val="bottom"/>
          </w:tcPr>
          <w:p>
            <w:pPr>
              <w:spacing w:after="0"/>
              <w:rPr>
                <w:sz w:val="17"/>
                <w:szCs w:val="17"/>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1,138</w:t>
            </w:r>
          </w:p>
        </w:tc>
        <w:tc>
          <w:tcPr>
            <w:tcW w:w="600" w:type="dxa"/>
            <w:vAlign w:val="bottom"/>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320" w:type="dxa"/>
            <w:vAlign w:val="bottom"/>
            <w:tcBorders>
              <w:bottom w:val="single" w:sz="8" w:color="auto"/>
            </w:tcBorders>
          </w:tcPr>
          <w:p>
            <w:pPr>
              <w:jc w:val="right"/>
              <w:ind w:right="6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1240" w:right="1559" w:firstLine="648"/>
        <w:spacing w:after="0" w:line="277" w:lineRule="auto"/>
        <w:rPr>
          <w:sz w:val="20"/>
          <w:szCs w:val="20"/>
          <w:color w:val="auto"/>
        </w:rPr>
      </w:pPr>
      <w:r>
        <w:rPr>
          <w:rFonts w:ascii="Arial" w:cs="Arial" w:eastAsia="Arial" w:hAnsi="Arial"/>
          <w:sz w:val="18"/>
          <w:szCs w:val="18"/>
          <w:color w:val="auto"/>
        </w:rPr>
        <w:t>During the years ended December 31, 2017 and 2016, there were no transfers between Level 1, Level 2 and Level 3.</w:t>
      </w:r>
    </w:p>
    <w:p>
      <w:pPr>
        <w:spacing w:after="0" w:line="170" w:lineRule="exact"/>
        <w:rPr>
          <w:sz w:val="20"/>
          <w:szCs w:val="20"/>
          <w:color w:val="auto"/>
        </w:rPr>
      </w:pPr>
    </w:p>
    <w:p>
      <w:pPr>
        <w:ind w:left="1880"/>
        <w:spacing w:after="0"/>
        <w:rPr>
          <w:sz w:val="20"/>
          <w:szCs w:val="20"/>
          <w:color w:val="auto"/>
        </w:rPr>
      </w:pPr>
      <w:r>
        <w:rPr>
          <w:rFonts w:ascii="Arial" w:cs="Arial" w:eastAsia="Arial" w:hAnsi="Arial"/>
          <w:sz w:val="16"/>
          <w:szCs w:val="16"/>
          <w:color w:val="auto"/>
        </w:rPr>
        <w:t>Rabbi trust assets are used to fund certain retirement obligations of the Company.</w:t>
      </w:r>
    </w:p>
    <w:p>
      <w:pPr>
        <w:spacing w:after="0" w:line="46" w:lineRule="exact"/>
        <w:rPr>
          <w:sz w:val="20"/>
          <w:szCs w:val="20"/>
          <w:color w:val="auto"/>
        </w:rPr>
      </w:pPr>
    </w:p>
    <w:p>
      <w:pPr>
        <w:ind w:left="1240"/>
        <w:spacing w:after="0" w:line="184" w:lineRule="exact"/>
        <w:rPr>
          <w:sz w:val="20"/>
          <w:szCs w:val="20"/>
          <w:color w:val="auto"/>
        </w:rPr>
      </w:pPr>
      <w:r>
        <w:rPr>
          <w:rFonts w:ascii="Arial" w:cs="Arial" w:eastAsia="Arial" w:hAnsi="Arial"/>
          <w:sz w:val="16"/>
          <w:szCs w:val="16"/>
          <w:color w:val="auto"/>
        </w:rPr>
        <w:t>The assets underlying the Rabbi trust are equity and fixed income exchange</w:t>
      </w:r>
      <w:r>
        <w:rPr>
          <w:rFonts w:ascii="MS PGothic" w:cs="MS PGothic" w:eastAsia="MS PGothic" w:hAnsi="MS PGothic"/>
          <w:sz w:val="16"/>
          <w:szCs w:val="16"/>
          <w:color w:val="auto"/>
        </w:rPr>
        <w:t>‑</w:t>
      </w:r>
      <w:r>
        <w:rPr>
          <w:rFonts w:ascii="Arial" w:cs="Arial" w:eastAsia="Arial" w:hAnsi="Arial"/>
          <w:sz w:val="16"/>
          <w:szCs w:val="16"/>
          <w:color w:val="auto"/>
        </w:rPr>
        <w:t>traded funds.</w:t>
      </w:r>
    </w:p>
    <w:p>
      <w:pPr>
        <w:spacing w:after="0" w:line="234" w:lineRule="exact"/>
        <w:rPr>
          <w:sz w:val="20"/>
          <w:szCs w:val="20"/>
          <w:color w:val="auto"/>
        </w:rPr>
      </w:pPr>
    </w:p>
    <w:p>
      <w:pPr>
        <w:ind w:left="1240" w:right="1339" w:firstLine="648"/>
        <w:spacing w:after="0" w:line="273" w:lineRule="auto"/>
        <w:rPr>
          <w:sz w:val="20"/>
          <w:szCs w:val="20"/>
          <w:color w:val="auto"/>
        </w:rPr>
      </w:pPr>
      <w:r>
        <w:rPr>
          <w:rFonts w:ascii="Arial" w:cs="Arial" w:eastAsia="Arial" w:hAnsi="Arial"/>
          <w:sz w:val="17"/>
          <w:szCs w:val="17"/>
          <w:color w:val="auto"/>
        </w:rPr>
        <w:t>Deferred compensation program assets and liabilities represent a program where select employees can defer compensation until termination of employment. Effective July 29, 2011, this program was amended to cease all employee compensation deferrals and provided for the distribution of all previously deferred employee compensation. The program remains in effect with respect to the value attributable to the employer match contributed prior to July 29, 2011.</w:t>
      </w:r>
    </w:p>
    <w:p>
      <w:pPr>
        <w:spacing w:after="0" w:line="178" w:lineRule="exact"/>
        <w:rPr>
          <w:sz w:val="20"/>
          <w:szCs w:val="20"/>
          <w:color w:val="auto"/>
        </w:rPr>
      </w:pPr>
    </w:p>
    <w:p>
      <w:pPr>
        <w:ind w:left="1240" w:right="1259" w:firstLine="648"/>
        <w:spacing w:after="0" w:line="219" w:lineRule="exact"/>
        <w:rPr>
          <w:sz w:val="20"/>
          <w:szCs w:val="20"/>
          <w:color w:val="auto"/>
        </w:rPr>
      </w:pPr>
      <w:r>
        <w:rPr>
          <w:rFonts w:ascii="Arial" w:cs="Arial" w:eastAsia="Arial" w:hAnsi="Arial"/>
          <w:sz w:val="18"/>
          <w:szCs w:val="18"/>
          <w:color w:val="auto"/>
        </w:rPr>
        <w:t>Foreign exchange derivative instruments are forward exchange forward contracts primarily used to hedge currency fluctuations for transactions denominated in a foreign currency (Note 10). The Company uses the mid</w:t>
      </w:r>
      <w:r>
        <w:rPr>
          <w:rFonts w:ascii="MS PGothic" w:cs="MS PGothic" w:eastAsia="MS PGothic" w:hAnsi="MS PGothic"/>
          <w:sz w:val="18"/>
          <w:szCs w:val="18"/>
          <w:color w:val="auto"/>
        </w:rPr>
        <w:t>‑</w:t>
      </w:r>
      <w:r>
        <w:rPr>
          <w:rFonts w:ascii="Arial" w:cs="Arial" w:eastAsia="Arial" w:hAnsi="Arial"/>
          <w:sz w:val="18"/>
          <w:szCs w:val="18"/>
          <w:color w:val="auto"/>
        </w:rPr>
        <w:t>price of foreign exchange forward rates as of the close of business on the valuation date to value each foreign exchange forward contract at each reporting period.</w:t>
      </w:r>
    </w:p>
    <w:p>
      <w:pPr>
        <w:spacing w:after="0" w:line="206" w:lineRule="exact"/>
        <w:rPr>
          <w:sz w:val="20"/>
          <w:szCs w:val="20"/>
          <w:color w:val="auto"/>
        </w:rPr>
      </w:pPr>
    </w:p>
    <w:p>
      <w:pPr>
        <w:ind w:left="1240" w:right="1379" w:firstLine="648"/>
        <w:spacing w:after="0" w:line="276" w:lineRule="auto"/>
        <w:rPr>
          <w:sz w:val="20"/>
          <w:szCs w:val="20"/>
          <w:color w:val="auto"/>
        </w:rPr>
      </w:pPr>
      <w:r>
        <w:rPr>
          <w:rFonts w:ascii="Arial" w:cs="Arial" w:eastAsia="Arial" w:hAnsi="Arial"/>
          <w:sz w:val="17"/>
          <w:szCs w:val="17"/>
          <w:color w:val="auto"/>
        </w:rPr>
        <w:t>Prior to the exercise of the final tranche of common stock warrants in 2016, the Company categorized the related derivative liability as Level 3 as there were significant unobservable inputs used in the underlying valuations. The common stock warrants were valued using the contingent claims methodology. The change in the Level 3 fair value measurements was as follows:</w:t>
      </w:r>
    </w:p>
    <w:p>
      <w:pPr>
        <w:sectPr>
          <w:pgSz w:w="11900" w:h="16838" w:orient="portrait"/>
          <w:cols w:equalWidth="0" w:num="1">
            <w:col w:w="9019"/>
          </w:cols>
          <w:pgMar w:left="1440" w:top="125" w:right="1440" w:bottom="163" w:gutter="0" w:footer="0" w:header="0"/>
        </w:sectPr>
      </w:pPr>
    </w:p>
    <w:p>
      <w:pPr>
        <w:spacing w:after="0" w:line="200" w:lineRule="exact"/>
        <w:rPr>
          <w:sz w:val="20"/>
          <w:szCs w:val="20"/>
          <w:color w:val="auto"/>
        </w:rPr>
      </w:pPr>
    </w:p>
    <w:p>
      <w:pPr>
        <w:spacing w:after="0" w:line="306" w:lineRule="exact"/>
        <w:rPr>
          <w:sz w:val="20"/>
          <w:szCs w:val="20"/>
          <w:color w:val="auto"/>
        </w:rPr>
      </w:pPr>
    </w:p>
    <w:p>
      <w:pPr>
        <w:ind w:left="1240"/>
        <w:spacing w:after="0"/>
        <w:rPr>
          <w:sz w:val="20"/>
          <w:szCs w:val="20"/>
          <w:color w:val="auto"/>
        </w:rPr>
      </w:pPr>
      <w:r>
        <w:rPr>
          <w:rFonts w:ascii="Arial" w:cs="Arial" w:eastAsia="Arial" w:hAnsi="Arial"/>
          <w:sz w:val="14"/>
          <w:szCs w:val="14"/>
          <w:b w:val="1"/>
          <w:bCs w:val="1"/>
          <w:i w:val="1"/>
          <w:iCs w:val="1"/>
          <w:color w:val="auto"/>
        </w:rPr>
        <w:t>(in thousands)</w:t>
      </w:r>
    </w:p>
    <w:p>
      <w:pPr>
        <w:spacing w:after="0" w:line="213" w:lineRule="exact"/>
        <w:rPr>
          <w:sz w:val="20"/>
          <w:szCs w:val="20"/>
          <w:color w:val="auto"/>
        </w:rPr>
      </w:pPr>
    </w:p>
    <w:p>
      <w:pPr>
        <w:ind w:left="1240"/>
        <w:spacing w:after="0"/>
        <w:rPr>
          <w:sz w:val="20"/>
          <w:szCs w:val="20"/>
          <w:color w:val="auto"/>
        </w:rPr>
      </w:pPr>
      <w:r>
        <w:rPr>
          <w:rFonts w:ascii="Arial" w:cs="Arial" w:eastAsia="Arial" w:hAnsi="Arial"/>
          <w:sz w:val="16"/>
          <w:szCs w:val="16"/>
          <w:color w:val="auto"/>
        </w:rPr>
        <w:t>Balance at beginning of year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786765</wp:posOffset>
            </wp:positionH>
            <wp:positionV relativeFrom="paragraph">
              <wp:posOffset>-109855</wp:posOffset>
            </wp:positionV>
            <wp:extent cx="4159250" cy="12890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51">
                      <a:extLst>
                        <a:ext uri="{28A0092B-C50C-407E-A947-70E740481C1C}"/>
                      </a:extLst>
                    </a:blip>
                    <a:srcRect/>
                    <a:stretch>
                      <a:fillRect/>
                    </a:stretch>
                  </pic:blipFill>
                  <pic:spPr bwMode="auto">
                    <a:xfrm>
                      <a:off x="0" y="0"/>
                      <a:ext cx="4159250" cy="128905"/>
                    </a:xfrm>
                    <a:prstGeom prst="rect">
                      <a:avLst/>
                    </a:prstGeom>
                    <a:noFill/>
                  </pic:spPr>
                </pic:pic>
              </a:graphicData>
            </a:graphic>
          </wp:anchor>
        </w:drawing>
      </w:r>
    </w:p>
    <w:p>
      <w:pPr>
        <w:spacing w:after="0" w:line="2" w:lineRule="exact"/>
        <w:rPr>
          <w:sz w:val="20"/>
          <w:szCs w:val="20"/>
          <w:color w:val="auto"/>
        </w:rPr>
      </w:pPr>
    </w:p>
    <w:p>
      <w:pPr>
        <w:ind w:left="1240"/>
        <w:spacing w:after="0"/>
        <w:rPr>
          <w:sz w:val="20"/>
          <w:szCs w:val="20"/>
          <w:color w:val="auto"/>
        </w:rPr>
      </w:pPr>
      <w:r>
        <w:rPr>
          <w:rFonts w:ascii="Arial" w:cs="Arial" w:eastAsia="Arial" w:hAnsi="Arial"/>
          <w:sz w:val="14"/>
          <w:szCs w:val="14"/>
          <w:color w:val="auto"/>
        </w:rPr>
        <w:t>Common stock warrant exercise</w:t>
      </w:r>
    </w:p>
    <w:p>
      <w:pPr>
        <w:spacing w:after="0" w:line="42" w:lineRule="exact"/>
        <w:rPr>
          <w:sz w:val="20"/>
          <w:szCs w:val="20"/>
          <w:color w:val="auto"/>
        </w:rPr>
      </w:pPr>
    </w:p>
    <w:p>
      <w:pPr>
        <w:ind w:left="1240"/>
        <w:spacing w:after="0"/>
        <w:rPr>
          <w:sz w:val="20"/>
          <w:szCs w:val="20"/>
          <w:color w:val="auto"/>
        </w:rPr>
      </w:pPr>
      <w:r>
        <w:rPr>
          <w:rFonts w:ascii="Arial" w:cs="Arial" w:eastAsia="Arial" w:hAnsi="Arial"/>
          <w:sz w:val="14"/>
          <w:szCs w:val="14"/>
          <w:color w:val="auto"/>
        </w:rPr>
        <w:t>Total losses included in earnings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786765</wp:posOffset>
            </wp:positionH>
            <wp:positionV relativeFrom="paragraph">
              <wp:posOffset>-97790</wp:posOffset>
            </wp:positionV>
            <wp:extent cx="4159250" cy="12890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52">
                      <a:extLst>
                        <a:ext uri="{28A0092B-C50C-407E-A947-70E740481C1C}"/>
                      </a:extLst>
                    </a:blip>
                    <a:srcRect/>
                    <a:stretch>
                      <a:fillRect/>
                    </a:stretch>
                  </pic:blipFill>
                  <pic:spPr bwMode="auto">
                    <a:xfrm>
                      <a:off x="0" y="0"/>
                      <a:ext cx="4159250" cy="128905"/>
                    </a:xfrm>
                    <a:prstGeom prst="rect">
                      <a:avLst/>
                    </a:prstGeom>
                    <a:noFill/>
                  </pic:spPr>
                </pic:pic>
              </a:graphicData>
            </a:graphic>
          </wp:anchor>
        </w:drawing>
      </w:r>
    </w:p>
    <w:p>
      <w:pPr>
        <w:spacing w:after="0" w:line="45" w:lineRule="exact"/>
        <w:rPr>
          <w:sz w:val="20"/>
          <w:szCs w:val="20"/>
          <w:color w:val="auto"/>
        </w:rPr>
      </w:pPr>
    </w:p>
    <w:p>
      <w:pPr>
        <w:ind w:left="1240"/>
        <w:spacing w:after="0"/>
        <w:rPr>
          <w:sz w:val="20"/>
          <w:szCs w:val="20"/>
          <w:color w:val="auto"/>
        </w:rPr>
      </w:pPr>
      <w:r>
        <w:rPr>
          <w:rFonts w:ascii="Arial" w:cs="Arial" w:eastAsia="Arial" w:hAnsi="Arial"/>
          <w:sz w:val="16"/>
          <w:szCs w:val="16"/>
          <w:color w:val="auto"/>
        </w:rPr>
        <w:t>Balance at end of year</w:t>
      </w:r>
    </w:p>
    <w:p>
      <w:pPr>
        <w:spacing w:after="0" w:line="20" w:lineRule="exact"/>
        <w:rPr>
          <w:sz w:val="20"/>
          <w:szCs w:val="20"/>
          <w:color w:val="auto"/>
        </w:rPr>
      </w:pPr>
      <w:r>
        <w:rPr>
          <w:sz w:val="20"/>
          <w:szCs w:val="20"/>
          <w:color w:val="auto"/>
        </w:rPr>
        <w:br w:type="column"/>
      </w:r>
    </w:p>
    <w:p>
      <w:pPr>
        <w:spacing w:after="0" w:line="333" w:lineRule="exact"/>
        <w:rPr>
          <w:sz w:val="20"/>
          <w:szCs w:val="20"/>
          <w:color w:val="auto"/>
        </w:rPr>
      </w:pPr>
    </w:p>
    <w:p>
      <w:pPr>
        <w:ind w:left="16"/>
        <w:spacing w:after="0"/>
        <w:rPr>
          <w:sz w:val="20"/>
          <w:szCs w:val="20"/>
          <w:color w:val="auto"/>
        </w:rPr>
      </w:pPr>
      <w:r>
        <w:rPr>
          <w:rFonts w:ascii="Arial" w:cs="Arial" w:eastAsia="Arial" w:hAnsi="Arial"/>
          <w:sz w:val="13"/>
          <w:szCs w:val="13"/>
          <w:b w:val="1"/>
          <w:bCs w:val="1"/>
          <w:color w:val="auto"/>
        </w:rPr>
        <w:t>December 31,</w:t>
      </w:r>
    </w:p>
    <w:p>
      <w:pPr>
        <w:spacing w:after="0" w:line="15" w:lineRule="exact"/>
        <w:rPr>
          <w:sz w:val="20"/>
          <w:szCs w:val="20"/>
          <w:color w:val="auto"/>
        </w:rPr>
      </w:pPr>
    </w:p>
    <w:p>
      <w:pPr>
        <w:ind w:left="316"/>
        <w:spacing w:after="0"/>
        <w:rPr>
          <w:sz w:val="20"/>
          <w:szCs w:val="20"/>
          <w:color w:val="auto"/>
        </w:rPr>
      </w:pPr>
      <w:r>
        <w:rPr>
          <w:rFonts w:ascii="Arial" w:cs="Arial" w:eastAsia="Arial" w:hAnsi="Arial"/>
          <w:sz w:val="14"/>
          <w:szCs w:val="14"/>
          <w:b w:val="1"/>
          <w:bCs w:val="1"/>
          <w:color w:val="auto"/>
        </w:rPr>
        <w:t>2016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-3175</wp:posOffset>
            </wp:positionV>
            <wp:extent cx="574675" cy="889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53">
                      <a:extLst>
                        <a:ext uri="{28A0092B-C50C-407E-A947-70E740481C1C}"/>
                      </a:extLst>
                    </a:blip>
                    <a:srcRect/>
                    <a:stretch>
                      <a:fillRect/>
                    </a:stretch>
                  </pic:blipFill>
                  <pic:spPr bwMode="auto">
                    <a:xfrm>
                      <a:off x="0" y="0"/>
                      <a:ext cx="574675" cy="8890"/>
                    </a:xfrm>
                    <a:prstGeom prst="rect">
                      <a:avLst/>
                    </a:prstGeom>
                    <a:noFill/>
                  </pic:spPr>
                </pic:pic>
              </a:graphicData>
            </a:graphic>
          </wp:anchor>
        </w:drawing>
      </w:r>
    </w:p>
    <w:p>
      <w:pPr>
        <w:spacing w:after="0" w:line="181" w:lineRule="exact"/>
        <w:rPr>
          <w:sz w:val="20"/>
          <w:szCs w:val="20"/>
          <w:color w:val="auto"/>
        </w:rPr>
      </w:pPr>
    </w:p>
    <w:p>
      <w:pPr>
        <w:ind w:left="396" w:hanging="396"/>
        <w:spacing w:after="0"/>
        <w:tabs>
          <w:tab w:leader="none" w:pos="396" w:val="left"/>
        </w:tabs>
        <w:numPr>
          <w:ilvl w:val="0"/>
          <w:numId w:val="39"/>
        </w:numPr>
        <w:rPr>
          <w:rFonts w:ascii="Arial" w:cs="Arial" w:eastAsia="Arial" w:hAnsi="Arial"/>
          <w:sz w:val="16"/>
          <w:szCs w:val="16"/>
          <w:color w:val="auto"/>
        </w:rPr>
      </w:pPr>
      <w:r>
        <w:rPr>
          <w:rFonts w:ascii="Arial" w:cs="Arial" w:eastAsia="Arial" w:hAnsi="Arial"/>
          <w:sz w:val="16"/>
          <w:szCs w:val="16"/>
          <w:color w:val="auto"/>
        </w:rPr>
        <w:t>22,884</w:t>
      </w:r>
    </w:p>
    <w:p>
      <w:pPr>
        <w:spacing w:after="0" w:line="22" w:lineRule="exact"/>
        <w:rPr>
          <w:rFonts w:ascii="Arial" w:cs="Arial" w:eastAsia="Arial" w:hAnsi="Arial"/>
          <w:sz w:val="16"/>
          <w:szCs w:val="16"/>
          <w:color w:val="auto"/>
        </w:rPr>
      </w:pPr>
    </w:p>
    <w:p>
      <w:pPr>
        <w:ind w:left="356"/>
        <w:spacing w:after="0"/>
        <w:rPr>
          <w:rFonts w:ascii="Arial" w:cs="Arial" w:eastAsia="Arial" w:hAnsi="Arial"/>
          <w:sz w:val="16"/>
          <w:szCs w:val="16"/>
          <w:color w:val="auto"/>
        </w:rPr>
      </w:pPr>
      <w:r>
        <w:rPr>
          <w:rFonts w:ascii="Arial" w:cs="Arial" w:eastAsia="Arial" w:hAnsi="Arial"/>
          <w:sz w:val="14"/>
          <w:szCs w:val="14"/>
          <w:color w:val="auto"/>
        </w:rPr>
        <w:t>(28,996)</w:t>
      </w:r>
    </w:p>
    <w:p>
      <w:pPr>
        <w:spacing w:after="0" w:line="41" w:lineRule="exact"/>
        <w:rPr>
          <w:rFonts w:ascii="Arial" w:cs="Arial" w:eastAsia="Arial" w:hAnsi="Arial"/>
          <w:sz w:val="16"/>
          <w:szCs w:val="16"/>
          <w:color w:val="auto"/>
        </w:rPr>
      </w:pPr>
    </w:p>
    <w:p>
      <w:pPr>
        <w:ind w:left="496"/>
        <w:spacing w:after="0"/>
        <w:rPr>
          <w:rFonts w:ascii="Arial" w:cs="Arial" w:eastAsia="Arial" w:hAnsi="Arial"/>
          <w:sz w:val="16"/>
          <w:szCs w:val="16"/>
          <w:color w:val="auto"/>
        </w:rPr>
      </w:pPr>
      <w:r>
        <w:rPr>
          <w:rFonts w:ascii="Arial" w:cs="Arial" w:eastAsia="Arial" w:hAnsi="Arial"/>
          <w:sz w:val="15"/>
          <w:szCs w:val="15"/>
          <w:color w:val="auto"/>
        </w:rPr>
        <w:t>6,112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22860</wp:posOffset>
            </wp:positionV>
            <wp:extent cx="574675" cy="889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54">
                      <a:extLst>
                        <a:ext uri="{28A0092B-C50C-407E-A947-70E740481C1C}"/>
                      </a:extLst>
                    </a:blip>
                    <a:srcRect/>
                    <a:stretch>
                      <a:fillRect/>
                    </a:stretch>
                  </pic:blipFill>
                  <pic:spPr bwMode="auto">
                    <a:xfrm>
                      <a:off x="0" y="0"/>
                      <a:ext cx="574675" cy="8890"/>
                    </a:xfrm>
                    <a:prstGeom prst="rect">
                      <a:avLst/>
                    </a:prstGeom>
                    <a:noFill/>
                  </pic:spPr>
                </pic:pic>
              </a:graphicData>
            </a:graphic>
          </wp:anchor>
        </w:drawing>
      </w:r>
    </w:p>
    <w:p>
      <w:pPr>
        <w:spacing w:after="0" w:line="20" w:lineRule="exact"/>
        <w:rPr>
          <w:sz w:val="20"/>
          <w:szCs w:val="20"/>
          <w:color w:val="auto"/>
        </w:rPr>
      </w:pPr>
    </w:p>
    <w:p>
      <w:pPr>
        <w:ind w:left="716" w:hanging="716"/>
        <w:spacing w:after="0"/>
        <w:tabs>
          <w:tab w:leader="none" w:pos="716" w:val="left"/>
        </w:tabs>
        <w:numPr>
          <w:ilvl w:val="0"/>
          <w:numId w:val="40"/>
        </w:numPr>
        <w:rPr>
          <w:rFonts w:ascii="Arial" w:cs="Arial" w:eastAsia="Arial" w:hAnsi="Arial"/>
          <w:sz w:val="16"/>
          <w:szCs w:val="16"/>
          <w:color w:val="auto"/>
        </w:rPr>
      </w:pPr>
      <w:r>
        <w:rPr>
          <w:rFonts w:ascii="Arial" w:cs="Arial" w:eastAsia="Arial" w:hAnsi="Arial"/>
          <w:sz w:val="16"/>
          <w:szCs w:val="16"/>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17780</wp:posOffset>
            </wp:positionV>
            <wp:extent cx="574675" cy="1714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55">
                      <a:extLst>
                        <a:ext uri="{28A0092B-C50C-407E-A947-70E740481C1C}"/>
                      </a:extLst>
                    </a:blip>
                    <a:srcRect/>
                    <a:stretch>
                      <a:fillRect/>
                    </a:stretch>
                  </pic:blipFill>
                  <pic:spPr bwMode="auto">
                    <a:xfrm>
                      <a:off x="0" y="0"/>
                      <a:ext cx="574675" cy="17145"/>
                    </a:xfrm>
                    <a:prstGeom prst="rect">
                      <a:avLst/>
                    </a:prstGeom>
                    <a:noFill/>
                  </pic:spPr>
                </pic:pic>
              </a:graphicData>
            </a:graphic>
          </wp:anchor>
        </w:drawing>
      </w:r>
    </w:p>
    <w:p>
      <w:pPr>
        <w:spacing w:after="0" w:line="213" w:lineRule="exact"/>
        <w:rPr>
          <w:sz w:val="20"/>
          <w:szCs w:val="20"/>
          <w:color w:val="auto"/>
        </w:rPr>
      </w:pPr>
    </w:p>
    <w:p>
      <w:pPr>
        <w:sectPr>
          <w:pgSz w:w="11900" w:h="16838" w:orient="portrait"/>
          <w:cols w:equalWidth="0" w:num="2">
            <w:col w:w="6104" w:space="720"/>
            <w:col w:w="2195"/>
          </w:cols>
          <w:pgMar w:left="1440" w:top="125" w:right="1440" w:bottom="163" w:gutter="0" w:footer="0" w:header="0"/>
          <w:type w:val="continuous"/>
        </w:sectPr>
      </w:pPr>
    </w:p>
    <w:p>
      <w:pPr>
        <w:spacing w:after="0" w:line="53"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12. Pension and Other Postretirement Benefits</w:t>
      </w:r>
    </w:p>
    <w:p>
      <w:pPr>
        <w:spacing w:after="0" w:line="229" w:lineRule="exact"/>
        <w:rPr>
          <w:sz w:val="20"/>
          <w:szCs w:val="20"/>
          <w:color w:val="auto"/>
        </w:rPr>
      </w:pPr>
    </w:p>
    <w:p>
      <w:pPr>
        <w:ind w:left="1240" w:right="1279" w:firstLine="648"/>
        <w:spacing w:after="0" w:line="254" w:lineRule="auto"/>
        <w:rPr>
          <w:sz w:val="20"/>
          <w:szCs w:val="20"/>
          <w:color w:val="auto"/>
        </w:rPr>
      </w:pPr>
      <w:r>
        <w:rPr>
          <w:rFonts w:ascii="Arial" w:cs="Arial" w:eastAsia="Arial" w:hAnsi="Arial"/>
          <w:sz w:val="18"/>
          <w:szCs w:val="18"/>
          <w:color w:val="auto"/>
        </w:rPr>
        <w:t>The Company has various pension and post-employment plans which provide for payment of retirement benefits, mainly commencing between the ages of 50 and 65, and for payment of certain disability benefits. After meeting certain qualifications, an employee acquires a vested right to future benefits. The benefits payable under the plans are generally determined on the basis of an employee's length of service and/or earnings. Employer contributions to the plans are made, as necessary, to ensure legal funding requirements are satisfied. The Company may make contributions in excess of the legal funding requirements.</w:t>
      </w:r>
    </w:p>
    <w:p>
      <w:pPr>
        <w:sectPr>
          <w:pgSz w:w="11900" w:h="16838" w:orient="portrait"/>
          <w:cols w:equalWidth="0" w:num="1">
            <w:col w:w="9019"/>
          </w:cols>
          <w:pgMar w:left="1440" w:top="125" w:right="1440" w:bottom="163" w:gutter="0" w:footer="0" w:header="0"/>
          <w:type w:val="continuous"/>
        </w:sectPr>
      </w:pP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F-27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786765</wp:posOffset>
            </wp:positionH>
            <wp:positionV relativeFrom="paragraph">
              <wp:posOffset>97790</wp:posOffset>
            </wp:positionV>
            <wp:extent cx="4159250" cy="2603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56">
                      <a:extLst>
                        <a:ext uri="{28A0092B-C50C-407E-A947-70E740481C1C}"/>
                      </a:extLst>
                    </a:blip>
                    <a:srcRect/>
                    <a:stretch>
                      <a:fillRect/>
                    </a:stretch>
                  </pic:blipFill>
                  <pic:spPr bwMode="auto">
                    <a:xfrm>
                      <a:off x="0" y="0"/>
                      <a:ext cx="4159250" cy="26035"/>
                    </a:xfrm>
                    <a:prstGeom prst="rect">
                      <a:avLst/>
                    </a:prstGeom>
                    <a:noFill/>
                  </pic:spPr>
                </pic:pic>
              </a:graphicData>
            </a:graphic>
          </wp:anchor>
        </w:drawing>
      </w:r>
    </w:p>
    <w:p>
      <w:pPr>
        <w:sectPr>
          <w:pgSz w:w="11900" w:h="16838" w:orient="portrait"/>
          <w:cols w:equalWidth="0" w:num="1">
            <w:col w:w="9019"/>
          </w:cols>
          <w:pgMar w:left="1440" w:top="125" w:right="1440" w:bottom="163" w:gutter="0" w:footer="0" w:header="0"/>
          <w:type w:val="continuous"/>
        </w:sectPr>
      </w:pPr>
    </w:p>
    <w:bookmarkStart w:id="122" w:name="page123"/>
    <w:bookmarkEnd w:id="122"/>
    <w:p>
      <w:pPr>
        <w:spacing w:after="0" w:line="20" w:lineRule="exact"/>
        <w:rPr>
          <w:sz w:val="20"/>
          <w:szCs w:val="20"/>
          <w:color w:val="auto"/>
        </w:rPr>
      </w:pPr>
    </w:p>
    <w:p>
      <w:pPr>
        <w:sectPr>
          <w:pgSz w:w="11900" w:h="16838" w:orient="portrait"/>
          <w:cols w:equalWidth="1" w:num="1" w:space="0"/>
          <w:pgMar w:left="1440" w:top="1440" w:right="1440" w:bottom="875" w:gutter="0" w:footer="0" w:header="0"/>
        </w:sectPr>
      </w:pPr>
    </w:p>
    <w:bookmarkStart w:id="123" w:name="page124"/>
    <w:bookmarkEnd w:id="123"/>
    <w:p>
      <w:pPr>
        <w:ind w:left="124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1240" w:right="1239" w:firstLine="648"/>
        <w:spacing w:after="0" w:line="270" w:lineRule="auto"/>
        <w:rPr>
          <w:sz w:val="20"/>
          <w:szCs w:val="20"/>
          <w:color w:val="auto"/>
        </w:rPr>
      </w:pPr>
      <w:r>
        <w:rPr>
          <w:rFonts w:ascii="Arial" w:cs="Arial" w:eastAsia="Arial" w:hAnsi="Arial"/>
          <w:sz w:val="17"/>
          <w:szCs w:val="17"/>
          <w:color w:val="auto"/>
        </w:rPr>
        <w:t>On November 13, 2015, the Company amended the US pension plan and supplemental executive retirement plan (“SERP”) by closing the plans to newly-hired full-time employees who had not yet satisfied the one year service requirement as of January 1, 2016, freezing the accrual of additional benefits on participants who have not attained age 50 with at least 10 years of vesting service, or whose age plus vesting service is less than 70, and shifting benefits for participants who have continued to accrue benefits from the pension plan to the SERP once a cap of $150,000 has been reached. The plans were re-measured in accordance with ASC 715 resulting in a curtailment gain of $2.4 million during the year ended December 31, 2015.</w:t>
      </w:r>
    </w:p>
    <w:p>
      <w:pPr>
        <w:spacing w:after="0" w:line="182" w:lineRule="exact"/>
        <w:rPr>
          <w:sz w:val="20"/>
          <w:szCs w:val="20"/>
          <w:color w:val="auto"/>
        </w:rPr>
      </w:pPr>
    </w:p>
    <w:p>
      <w:pPr>
        <w:jc w:val="both"/>
        <w:ind w:left="1240" w:right="1619" w:firstLine="648"/>
        <w:spacing w:after="0" w:line="264" w:lineRule="auto"/>
        <w:rPr>
          <w:sz w:val="20"/>
          <w:szCs w:val="20"/>
          <w:color w:val="auto"/>
        </w:rPr>
      </w:pPr>
      <w:r>
        <w:rPr>
          <w:rFonts w:ascii="Arial" w:cs="Arial" w:eastAsia="Arial" w:hAnsi="Arial"/>
          <w:sz w:val="18"/>
          <w:szCs w:val="18"/>
          <w:color w:val="auto"/>
        </w:rPr>
        <w:t>The Company provides postretirement healthcare benefits to certain retirees. Many employees and retirees outside of the United States are covered by government sponsored healthcare programs.</w:t>
      </w:r>
    </w:p>
    <w:p>
      <w:pPr>
        <w:spacing w:after="0" w:line="181" w:lineRule="exact"/>
        <w:rPr>
          <w:sz w:val="20"/>
          <w:szCs w:val="20"/>
          <w:color w:val="auto"/>
        </w:rPr>
      </w:pPr>
    </w:p>
    <w:p>
      <w:pPr>
        <w:jc w:val="both"/>
        <w:ind w:left="1240" w:right="1579" w:firstLine="648"/>
        <w:spacing w:after="0" w:line="286" w:lineRule="auto"/>
        <w:rPr>
          <w:sz w:val="20"/>
          <w:szCs w:val="20"/>
          <w:color w:val="auto"/>
        </w:rPr>
      </w:pPr>
      <w:r>
        <w:rPr>
          <w:rFonts w:ascii="Arial" w:cs="Arial" w:eastAsia="Arial" w:hAnsi="Arial"/>
          <w:sz w:val="17"/>
          <w:szCs w:val="17"/>
          <w:color w:val="auto"/>
        </w:rPr>
        <w:t>The following tables present the change in benefit obligation, change in plan assets, and funded status for the Company's defined benefit and postretirement benefit plans for the years ended December 31, 2017 and 2016:</w:t>
      </w:r>
    </w:p>
    <w:p>
      <w:pPr>
        <w:spacing w:after="0" w:line="184" w:lineRule="exact"/>
        <w:rPr>
          <w:sz w:val="20"/>
          <w:szCs w:val="20"/>
          <w:color w:val="auto"/>
        </w:rPr>
      </w:pPr>
    </w:p>
    <w:tbl>
      <w:tblPr>
        <w:tblLayout w:type="fixed"/>
        <w:tblInd w:w="1240" w:type="dxa"/>
        <w:tblCellMar>
          <w:top w:w="0" w:type="dxa"/>
          <w:left w:w="0" w:type="dxa"/>
          <w:bottom w:w="0" w:type="dxa"/>
          <w:right w:w="0" w:type="dxa"/>
        </w:tblCellMar>
      </w:tblPr>
      <w:tr>
        <w:trPr>
          <w:trHeight w:val="162"/>
        </w:trPr>
        <w:tc>
          <w:tcPr>
            <w:tcW w:w="20" w:type="dxa"/>
            <w:vAlign w:val="bottom"/>
          </w:tcPr>
          <w:p>
            <w:pPr>
              <w:spacing w:after="0"/>
              <w:rPr>
                <w:sz w:val="14"/>
                <w:szCs w:val="14"/>
                <w:color w:val="auto"/>
              </w:rPr>
            </w:pPr>
          </w:p>
        </w:tc>
        <w:tc>
          <w:tcPr>
            <w:tcW w:w="28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20" w:type="dxa"/>
            <w:vAlign w:val="bottom"/>
          </w:tcPr>
          <w:p>
            <w:pPr>
              <w:jc w:val="center"/>
              <w:ind w:right="40"/>
              <w:spacing w:after="0"/>
              <w:rPr>
                <w:sz w:val="20"/>
                <w:szCs w:val="20"/>
                <w:color w:val="auto"/>
              </w:rPr>
            </w:pPr>
            <w:r>
              <w:rPr>
                <w:rFonts w:ascii="Arial" w:cs="Arial" w:eastAsia="Arial" w:hAnsi="Arial"/>
                <w:sz w:val="14"/>
                <w:szCs w:val="14"/>
                <w:b w:val="1"/>
                <w:bCs w:val="1"/>
                <w:color w:val="auto"/>
                <w:w w:val="88"/>
              </w:rPr>
              <w:t>Pension</w:t>
            </w:r>
          </w:p>
        </w:tc>
        <w:tc>
          <w:tcPr>
            <w:tcW w:w="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20" w:type="dxa"/>
            <w:vAlign w:val="bottom"/>
          </w:tcPr>
          <w:p>
            <w:pPr>
              <w:jc w:val="right"/>
              <w:ind w:right="100"/>
              <w:spacing w:after="0"/>
              <w:rPr>
                <w:sz w:val="20"/>
                <w:szCs w:val="20"/>
                <w:color w:val="auto"/>
              </w:rPr>
            </w:pPr>
            <w:r>
              <w:rPr>
                <w:rFonts w:ascii="Arial" w:cs="Arial" w:eastAsia="Arial" w:hAnsi="Arial"/>
                <w:sz w:val="14"/>
                <w:szCs w:val="14"/>
                <w:b w:val="1"/>
                <w:bCs w:val="1"/>
                <w:color w:val="auto"/>
                <w:w w:val="95"/>
              </w:rPr>
              <w:t>Pension</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8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tcPr>
          <w:p>
            <w:pPr>
              <w:jc w:val="center"/>
              <w:ind w:right="60"/>
              <w:spacing w:after="0" w:line="149" w:lineRule="exact"/>
              <w:rPr>
                <w:sz w:val="20"/>
                <w:szCs w:val="20"/>
                <w:color w:val="auto"/>
              </w:rPr>
            </w:pPr>
            <w:r>
              <w:rPr>
                <w:rFonts w:ascii="Arial" w:cs="Arial" w:eastAsia="Arial" w:hAnsi="Arial"/>
                <w:sz w:val="14"/>
                <w:szCs w:val="14"/>
                <w:b w:val="1"/>
                <w:bCs w:val="1"/>
                <w:color w:val="auto"/>
                <w:w w:val="90"/>
              </w:rPr>
              <w:t>Benefits</w:t>
            </w: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20" w:type="dxa"/>
            <w:vAlign w:val="bottom"/>
          </w:tcPr>
          <w:p>
            <w:pPr>
              <w:jc w:val="right"/>
              <w:ind w:right="100"/>
              <w:spacing w:after="0" w:line="149" w:lineRule="exact"/>
              <w:rPr>
                <w:sz w:val="20"/>
                <w:szCs w:val="20"/>
                <w:color w:val="auto"/>
              </w:rPr>
            </w:pPr>
            <w:r>
              <w:rPr>
                <w:rFonts w:ascii="Arial" w:cs="Arial" w:eastAsia="Arial" w:hAnsi="Arial"/>
                <w:sz w:val="14"/>
                <w:szCs w:val="14"/>
                <w:b w:val="1"/>
                <w:bCs w:val="1"/>
                <w:color w:val="auto"/>
                <w:w w:val="94"/>
              </w:rPr>
              <w:t>Benefits</w:t>
            </w:r>
          </w:p>
        </w:tc>
        <w:tc>
          <w:tcPr>
            <w:tcW w:w="1100" w:type="dxa"/>
            <w:vAlign w:val="bottom"/>
            <w:gridSpan w:val="3"/>
          </w:tcPr>
          <w:p>
            <w:pPr>
              <w:ind w:left="140"/>
              <w:spacing w:after="0" w:line="149" w:lineRule="exact"/>
              <w:rPr>
                <w:sz w:val="20"/>
                <w:szCs w:val="20"/>
                <w:color w:val="auto"/>
              </w:rPr>
            </w:pPr>
            <w:r>
              <w:rPr>
                <w:rFonts w:ascii="Arial" w:cs="Arial" w:eastAsia="Arial" w:hAnsi="Arial"/>
                <w:sz w:val="14"/>
                <w:szCs w:val="14"/>
                <w:b w:val="1"/>
                <w:bCs w:val="1"/>
                <w:color w:val="auto"/>
                <w:w w:val="93"/>
              </w:rPr>
              <w:t>Postretirement</w:t>
            </w:r>
          </w:p>
        </w:tc>
        <w:tc>
          <w:tcPr>
            <w:tcW w:w="0" w:type="dxa"/>
            <w:vAlign w:val="bottom"/>
          </w:tcPr>
          <w:p>
            <w:pPr>
              <w:spacing w:after="0"/>
              <w:rPr>
                <w:sz w:val="1"/>
                <w:szCs w:val="1"/>
                <w:color w:val="auto"/>
              </w:rPr>
            </w:pPr>
          </w:p>
        </w:tc>
      </w:tr>
      <w:tr>
        <w:trPr>
          <w:trHeight w:val="171"/>
        </w:trPr>
        <w:tc>
          <w:tcPr>
            <w:tcW w:w="2880" w:type="dxa"/>
            <w:vAlign w:val="bottom"/>
            <w:gridSpan w:val="2"/>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3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20" w:type="dxa"/>
            <w:vAlign w:val="bottom"/>
          </w:tcPr>
          <w:p>
            <w:pPr>
              <w:jc w:val="center"/>
              <w:ind w:right="40"/>
              <w:spacing w:after="0"/>
              <w:rPr>
                <w:sz w:val="20"/>
                <w:szCs w:val="20"/>
                <w:color w:val="auto"/>
              </w:rPr>
            </w:pPr>
            <w:r>
              <w:rPr>
                <w:rFonts w:ascii="Arial" w:cs="Arial" w:eastAsia="Arial" w:hAnsi="Arial"/>
                <w:sz w:val="14"/>
                <w:szCs w:val="14"/>
                <w:b w:val="1"/>
                <w:bCs w:val="1"/>
                <w:color w:val="auto"/>
                <w:w w:val="95"/>
              </w:rPr>
              <w:t>(Underfunded)</w:t>
            </w:r>
          </w:p>
        </w:tc>
        <w:tc>
          <w:tcPr>
            <w:tcW w:w="980" w:type="dxa"/>
            <w:vAlign w:val="bottom"/>
            <w:gridSpan w:val="3"/>
          </w:tcPr>
          <w:p>
            <w:pPr>
              <w:ind w:left="140"/>
              <w:spacing w:after="0"/>
              <w:rPr>
                <w:sz w:val="20"/>
                <w:szCs w:val="20"/>
                <w:color w:val="auto"/>
              </w:rPr>
            </w:pPr>
            <w:r>
              <w:rPr>
                <w:rFonts w:ascii="Arial" w:cs="Arial" w:eastAsia="Arial" w:hAnsi="Arial"/>
                <w:sz w:val="14"/>
                <w:szCs w:val="14"/>
                <w:b w:val="1"/>
                <w:bCs w:val="1"/>
                <w:color w:val="auto"/>
                <w:w w:val="93"/>
              </w:rPr>
              <w:t>(Overfunded)</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20" w:type="dxa"/>
            <w:vAlign w:val="bottom"/>
          </w:tcPr>
          <w:p>
            <w:pPr>
              <w:jc w:val="right"/>
              <w:ind w:right="179"/>
              <w:spacing w:after="0"/>
              <w:rPr>
                <w:sz w:val="20"/>
                <w:szCs w:val="20"/>
                <w:color w:val="auto"/>
              </w:rPr>
            </w:pPr>
            <w:r>
              <w:rPr>
                <w:rFonts w:ascii="Arial" w:cs="Arial" w:eastAsia="Arial" w:hAnsi="Arial"/>
                <w:sz w:val="14"/>
                <w:szCs w:val="14"/>
                <w:b w:val="1"/>
                <w:bCs w:val="1"/>
                <w:color w:val="auto"/>
                <w:w w:val="97"/>
              </w:rPr>
              <w:t>Benefits</w:t>
            </w:r>
          </w:p>
        </w:tc>
        <w:tc>
          <w:tcPr>
            <w:tcW w:w="0" w:type="dxa"/>
            <w:vAlign w:val="bottom"/>
          </w:tcPr>
          <w:p>
            <w:pPr>
              <w:spacing w:after="0"/>
              <w:rPr>
                <w:sz w:val="1"/>
                <w:szCs w:val="1"/>
                <w:color w:val="auto"/>
              </w:rPr>
            </w:pPr>
          </w:p>
        </w:tc>
      </w:tr>
      <w:tr>
        <w:trPr>
          <w:trHeight w:val="196"/>
        </w:trPr>
        <w:tc>
          <w:tcPr>
            <w:tcW w:w="20" w:type="dxa"/>
            <w:vAlign w:val="bottom"/>
            <w:vMerge w:val="restart"/>
          </w:tcPr>
          <w:p>
            <w:pPr>
              <w:spacing w:after="0"/>
              <w:rPr>
                <w:sz w:val="17"/>
                <w:szCs w:val="17"/>
                <w:color w:val="auto"/>
              </w:rPr>
            </w:pPr>
          </w:p>
        </w:tc>
        <w:tc>
          <w:tcPr>
            <w:tcW w:w="28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1120" w:type="dxa"/>
            <w:vAlign w:val="bottom"/>
            <w:tcBorders>
              <w:top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720" w:type="dxa"/>
            <w:vAlign w:val="bottom"/>
            <w:tcBorders>
              <w:top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820" w:type="dxa"/>
            <w:vAlign w:val="bottom"/>
            <w:tcBorders>
              <w:top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89"/>
        </w:trPr>
        <w:tc>
          <w:tcPr>
            <w:tcW w:w="20" w:type="dxa"/>
            <w:vAlign w:val="bottom"/>
            <w:vMerge w:val="continue"/>
          </w:tcPr>
          <w:p>
            <w:pPr>
              <w:spacing w:after="0"/>
              <w:rPr>
                <w:sz w:val="16"/>
                <w:szCs w:val="16"/>
                <w:color w:val="auto"/>
              </w:rPr>
            </w:pPr>
          </w:p>
        </w:tc>
        <w:tc>
          <w:tcPr>
            <w:tcW w:w="286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Change in projected benefit</w:t>
            </w:r>
          </w:p>
        </w:tc>
        <w:tc>
          <w:tcPr>
            <w:tcW w:w="3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20" w:type="dxa"/>
            <w:vAlign w:val="bottom"/>
            <w:tcBorders>
              <w:right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86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obligation ("PBO")</w:t>
            </w: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tcBorders>
              <w:right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2860" w:type="dxa"/>
            <w:vAlign w:val="bottom"/>
          </w:tcPr>
          <w:p>
            <w:pPr>
              <w:spacing w:after="0"/>
              <w:rPr>
                <w:sz w:val="20"/>
                <w:szCs w:val="20"/>
                <w:color w:val="auto"/>
              </w:rPr>
            </w:pPr>
            <w:r>
              <w:rPr>
                <w:rFonts w:ascii="Arial" w:cs="Arial" w:eastAsia="Arial" w:hAnsi="Arial"/>
                <w:sz w:val="16"/>
                <w:szCs w:val="16"/>
                <w:color w:val="auto"/>
              </w:rPr>
              <w:t>Benefit obligation at</w:t>
            </w:r>
          </w:p>
        </w:tc>
        <w:tc>
          <w:tcPr>
            <w:tcW w:w="3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6"/>
        </w:trPr>
        <w:tc>
          <w:tcPr>
            <w:tcW w:w="2880" w:type="dxa"/>
            <w:vAlign w:val="bottom"/>
            <w:gridSpan w:val="2"/>
          </w:tcPr>
          <w:p>
            <w:pPr>
              <w:spacing w:after="0"/>
              <w:rPr>
                <w:sz w:val="20"/>
                <w:szCs w:val="20"/>
                <w:color w:val="auto"/>
              </w:rPr>
            </w:pPr>
            <w:r>
              <w:rPr>
                <w:rFonts w:ascii="Arial" w:cs="Arial" w:eastAsia="Arial" w:hAnsi="Arial"/>
                <w:sz w:val="16"/>
                <w:szCs w:val="16"/>
                <w:color w:val="auto"/>
              </w:rPr>
              <w:t>December 31, 2016</w:t>
            </w:r>
          </w:p>
        </w:tc>
        <w:tc>
          <w:tcPr>
            <w:tcW w:w="4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1120" w:type="dxa"/>
            <w:vAlign w:val="bottom"/>
          </w:tcPr>
          <w:p>
            <w:pPr>
              <w:jc w:val="right"/>
              <w:spacing w:after="0"/>
              <w:rPr>
                <w:sz w:val="20"/>
                <w:szCs w:val="20"/>
                <w:color w:val="auto"/>
              </w:rPr>
            </w:pPr>
            <w:r>
              <w:rPr>
                <w:rFonts w:ascii="Arial" w:cs="Arial" w:eastAsia="Arial" w:hAnsi="Arial"/>
                <w:sz w:val="16"/>
                <w:szCs w:val="16"/>
                <w:color w:val="auto"/>
              </w:rPr>
              <w:t>284,104</w:t>
            </w:r>
          </w:p>
        </w:tc>
        <w:tc>
          <w:tcPr>
            <w:tcW w:w="260" w:type="dxa"/>
            <w:vAlign w:val="bottom"/>
            <w:gridSpan w:val="2"/>
          </w:tcPr>
          <w:p>
            <w:pPr>
              <w:ind w:left="140"/>
              <w:spacing w:after="0"/>
              <w:rPr>
                <w:sz w:val="20"/>
                <w:szCs w:val="20"/>
                <w:color w:val="auto"/>
              </w:rPr>
            </w:pPr>
            <w:r>
              <w:rPr>
                <w:rFonts w:ascii="Arial" w:cs="Arial" w:eastAsia="Arial" w:hAnsi="Arial"/>
                <w:sz w:val="16"/>
                <w:szCs w:val="16"/>
                <w:color w:val="auto"/>
              </w:rPr>
              <w:t>$</w:t>
            </w:r>
          </w:p>
        </w:tc>
        <w:tc>
          <w:tcPr>
            <w:tcW w:w="720" w:type="dxa"/>
            <w:vAlign w:val="bottom"/>
          </w:tcPr>
          <w:p>
            <w:pPr>
              <w:jc w:val="right"/>
              <w:spacing w:after="0"/>
              <w:rPr>
                <w:sz w:val="20"/>
                <w:szCs w:val="20"/>
                <w:color w:val="auto"/>
              </w:rPr>
            </w:pPr>
            <w:r>
              <w:rPr>
                <w:rFonts w:ascii="Arial" w:cs="Arial" w:eastAsia="Arial" w:hAnsi="Arial"/>
                <w:sz w:val="16"/>
                <w:szCs w:val="16"/>
                <w:color w:val="auto"/>
              </w:rPr>
              <w:t>39,735</w:t>
            </w:r>
          </w:p>
        </w:tc>
        <w:tc>
          <w:tcPr>
            <w:tcW w:w="280" w:type="dxa"/>
            <w:vAlign w:val="bottom"/>
            <w:gridSpan w:val="2"/>
          </w:tcPr>
          <w:p>
            <w:pPr>
              <w:ind w:left="140"/>
              <w:spacing w:after="0"/>
              <w:rPr>
                <w:sz w:val="20"/>
                <w:szCs w:val="20"/>
                <w:color w:val="auto"/>
              </w:rPr>
            </w:pPr>
            <w:r>
              <w:rPr>
                <w:rFonts w:ascii="Arial" w:cs="Arial" w:eastAsia="Arial" w:hAnsi="Arial"/>
                <w:sz w:val="16"/>
                <w:szCs w:val="16"/>
                <w:color w:val="auto"/>
              </w:rPr>
              <w:t>$</w:t>
            </w:r>
          </w:p>
        </w:tc>
        <w:tc>
          <w:tcPr>
            <w:tcW w:w="820" w:type="dxa"/>
            <w:vAlign w:val="bottom"/>
          </w:tcPr>
          <w:p>
            <w:pPr>
              <w:jc w:val="right"/>
              <w:ind w:right="19"/>
              <w:spacing w:after="0"/>
              <w:rPr>
                <w:sz w:val="20"/>
                <w:szCs w:val="20"/>
                <w:color w:val="auto"/>
              </w:rPr>
            </w:pPr>
            <w:r>
              <w:rPr>
                <w:rFonts w:ascii="Arial" w:cs="Arial" w:eastAsia="Arial" w:hAnsi="Arial"/>
                <w:sz w:val="16"/>
                <w:szCs w:val="16"/>
                <w:color w:val="auto"/>
              </w:rPr>
              <w:t>20,264</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2860" w:type="dxa"/>
            <w:vAlign w:val="bottom"/>
            <w:shd w:val="clear" w:color="auto" w:fill="CCEEFF"/>
          </w:tcPr>
          <w:p>
            <w:pPr>
              <w:spacing w:after="0"/>
              <w:rPr>
                <w:sz w:val="20"/>
                <w:szCs w:val="20"/>
                <w:color w:val="auto"/>
              </w:rPr>
            </w:pPr>
            <w:r>
              <w:rPr>
                <w:rFonts w:ascii="Arial" w:cs="Arial" w:eastAsia="Arial" w:hAnsi="Arial"/>
                <w:sz w:val="16"/>
                <w:szCs w:val="16"/>
                <w:color w:val="auto"/>
              </w:rPr>
              <w:t>Service cost</w:t>
            </w: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9,217</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tcBorders>
              <w:right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955</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860" w:type="dxa"/>
            <w:vAlign w:val="bottom"/>
          </w:tcPr>
          <w:p>
            <w:pPr>
              <w:spacing w:after="0"/>
              <w:rPr>
                <w:sz w:val="20"/>
                <w:szCs w:val="20"/>
                <w:color w:val="auto"/>
              </w:rPr>
            </w:pPr>
            <w:r>
              <w:rPr>
                <w:rFonts w:ascii="Arial" w:cs="Arial" w:eastAsia="Arial" w:hAnsi="Arial"/>
                <w:sz w:val="16"/>
                <w:szCs w:val="16"/>
                <w:color w:val="auto"/>
              </w:rPr>
              <w:t>Interest cost</w:t>
            </w:r>
          </w:p>
        </w:tc>
        <w:tc>
          <w:tcPr>
            <w:tcW w:w="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10,783</w:t>
            </w: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1,049</w:t>
            </w: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20" w:type="dxa"/>
            <w:vAlign w:val="bottom"/>
          </w:tcPr>
          <w:p>
            <w:pPr>
              <w:jc w:val="right"/>
              <w:ind w:right="19"/>
              <w:spacing w:after="0"/>
              <w:rPr>
                <w:sz w:val="20"/>
                <w:szCs w:val="20"/>
                <w:color w:val="auto"/>
              </w:rPr>
            </w:pPr>
            <w:r>
              <w:rPr>
                <w:rFonts w:ascii="Arial" w:cs="Arial" w:eastAsia="Arial" w:hAnsi="Arial"/>
                <w:sz w:val="16"/>
                <w:szCs w:val="16"/>
                <w:color w:val="auto"/>
              </w:rPr>
              <w:t>713</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860" w:type="dxa"/>
            <w:vAlign w:val="bottom"/>
            <w:shd w:val="clear" w:color="auto" w:fill="CCEEFF"/>
          </w:tcPr>
          <w:p>
            <w:pPr>
              <w:spacing w:after="0"/>
              <w:rPr>
                <w:sz w:val="20"/>
                <w:szCs w:val="20"/>
                <w:color w:val="auto"/>
              </w:rPr>
            </w:pPr>
            <w:r>
              <w:rPr>
                <w:rFonts w:ascii="Arial" w:cs="Arial" w:eastAsia="Arial" w:hAnsi="Arial"/>
                <w:sz w:val="16"/>
                <w:szCs w:val="16"/>
                <w:color w:val="auto"/>
              </w:rPr>
              <w:t>Actuarial (gain) loss</w:t>
            </w:r>
          </w:p>
        </w:tc>
        <w:tc>
          <w:tcPr>
            <w:tcW w:w="3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34,557</w:t>
            </w:r>
          </w:p>
        </w:tc>
        <w:tc>
          <w:tcPr>
            <w:tcW w:w="1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(2,000)</w:t>
            </w: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2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(5,075)</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860" w:type="dxa"/>
            <w:vAlign w:val="bottom"/>
          </w:tcPr>
          <w:p>
            <w:pPr>
              <w:spacing w:after="0"/>
              <w:rPr>
                <w:sz w:val="20"/>
                <w:szCs w:val="20"/>
                <w:color w:val="auto"/>
              </w:rPr>
            </w:pPr>
            <w:r>
              <w:rPr>
                <w:rFonts w:ascii="Arial" w:cs="Arial" w:eastAsia="Arial" w:hAnsi="Arial"/>
                <w:sz w:val="16"/>
                <w:szCs w:val="16"/>
                <w:color w:val="auto"/>
              </w:rPr>
              <w:t>Settlements</w:t>
            </w:r>
          </w:p>
        </w:tc>
        <w:tc>
          <w:tcPr>
            <w:tcW w:w="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(20,663)</w:t>
            </w: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(5,172)</w:t>
            </w: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860" w:type="dxa"/>
            <w:vAlign w:val="bottom"/>
            <w:shd w:val="clear" w:color="auto" w:fill="CCEEFF"/>
          </w:tcPr>
          <w:p>
            <w:pPr>
              <w:spacing w:after="0"/>
              <w:rPr>
                <w:sz w:val="20"/>
                <w:szCs w:val="20"/>
                <w:color w:val="auto"/>
              </w:rPr>
            </w:pPr>
            <w:r>
              <w:rPr>
                <w:rFonts w:ascii="Arial" w:cs="Arial" w:eastAsia="Arial" w:hAnsi="Arial"/>
                <w:sz w:val="16"/>
                <w:szCs w:val="16"/>
                <w:color w:val="auto"/>
              </w:rPr>
              <w:t>Participants’ contributions</w:t>
            </w:r>
          </w:p>
        </w:tc>
        <w:tc>
          <w:tcPr>
            <w:tcW w:w="3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20" w:type="dxa"/>
            <w:vAlign w:val="bottom"/>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1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20" w:type="dxa"/>
            <w:vAlign w:val="bottom"/>
            <w:tcBorders>
              <w:right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355</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860" w:type="dxa"/>
            <w:vAlign w:val="bottom"/>
          </w:tcPr>
          <w:p>
            <w:pPr>
              <w:spacing w:after="0"/>
              <w:rPr>
                <w:sz w:val="20"/>
                <w:szCs w:val="20"/>
                <w:color w:val="auto"/>
              </w:rPr>
            </w:pPr>
            <w:r>
              <w:rPr>
                <w:rFonts w:ascii="Arial" w:cs="Arial" w:eastAsia="Arial" w:hAnsi="Arial"/>
                <w:sz w:val="16"/>
                <w:szCs w:val="16"/>
                <w:color w:val="auto"/>
              </w:rPr>
              <w:t>Benefit payments</w:t>
            </w:r>
          </w:p>
        </w:tc>
        <w:tc>
          <w:tcPr>
            <w:tcW w:w="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(2,719)</w:t>
            </w: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(635)</w:t>
            </w: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(1,160)</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860" w:type="dxa"/>
            <w:vAlign w:val="bottom"/>
            <w:shd w:val="clear" w:color="auto" w:fill="CCEEFF"/>
          </w:tcPr>
          <w:p>
            <w:pPr>
              <w:spacing w:after="0"/>
              <w:rPr>
                <w:sz w:val="20"/>
                <w:szCs w:val="20"/>
                <w:color w:val="auto"/>
              </w:rPr>
            </w:pPr>
            <w:r>
              <w:rPr>
                <w:rFonts w:ascii="Arial" w:cs="Arial" w:eastAsia="Arial" w:hAnsi="Arial"/>
                <w:sz w:val="16"/>
                <w:szCs w:val="16"/>
                <w:color w:val="auto"/>
              </w:rPr>
              <w:t>Foreign currency translation</w:t>
            </w:r>
          </w:p>
        </w:tc>
        <w:tc>
          <w:tcPr>
            <w:tcW w:w="3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1,435</w:t>
            </w:r>
          </w:p>
        </w:tc>
        <w:tc>
          <w:tcPr>
            <w:tcW w:w="1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2,659</w:t>
            </w: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20" w:type="dxa"/>
            <w:vAlign w:val="bottom"/>
            <w:tcBorders>
              <w:right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2860" w:type="dxa"/>
            <w:vAlign w:val="bottom"/>
          </w:tcPr>
          <w:p>
            <w:pPr>
              <w:spacing w:after="0"/>
              <w:rPr>
                <w:sz w:val="20"/>
                <w:szCs w:val="20"/>
                <w:color w:val="auto"/>
              </w:rPr>
            </w:pPr>
            <w:r>
              <w:rPr>
                <w:rFonts w:ascii="Arial" w:cs="Arial" w:eastAsia="Arial" w:hAnsi="Arial"/>
                <w:sz w:val="16"/>
                <w:szCs w:val="16"/>
                <w:color w:val="auto"/>
              </w:rPr>
              <w:t>Adjustment for movement from</w:t>
            </w:r>
          </w:p>
        </w:tc>
        <w:tc>
          <w:tcPr>
            <w:tcW w:w="3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2880" w:type="dxa"/>
            <w:vAlign w:val="bottom"/>
            <w:gridSpan w:val="2"/>
          </w:tcPr>
          <w:p>
            <w:pPr>
              <w:spacing w:after="0"/>
              <w:rPr>
                <w:sz w:val="20"/>
                <w:szCs w:val="20"/>
                <w:color w:val="auto"/>
              </w:rPr>
            </w:pPr>
            <w:r>
              <w:rPr>
                <w:rFonts w:ascii="Arial" w:cs="Arial" w:eastAsia="Arial" w:hAnsi="Arial"/>
                <w:sz w:val="16"/>
                <w:szCs w:val="16"/>
                <w:color w:val="auto"/>
              </w:rPr>
              <w:t>underfunded to overfunded</w:t>
            </w: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168</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(168)</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860" w:type="dxa"/>
            <w:vAlign w:val="bottom"/>
            <w:tcBorders>
              <w:top w:val="single" w:sz="8" w:color="CCEEFF"/>
            </w:tcBorders>
            <w:shd w:val="clear" w:color="auto" w:fill="CCEEFF"/>
          </w:tcPr>
          <w:p>
            <w:pPr>
              <w:ind w:left="300"/>
              <w:spacing w:after="0" w:line="176" w:lineRule="exact"/>
              <w:rPr>
                <w:sz w:val="20"/>
                <w:szCs w:val="20"/>
                <w:color w:val="auto"/>
              </w:rPr>
            </w:pPr>
            <w:r>
              <w:rPr>
                <w:rFonts w:ascii="Arial" w:cs="Arial" w:eastAsia="Arial" w:hAnsi="Arial"/>
                <w:sz w:val="16"/>
                <w:szCs w:val="16"/>
                <w:color w:val="auto"/>
              </w:rPr>
              <w:t>Projected benefit obligation at</w:t>
            </w:r>
          </w:p>
        </w:tc>
        <w:tc>
          <w:tcPr>
            <w:tcW w:w="340" w:type="dxa"/>
            <w:vAlign w:val="bottom"/>
            <w:tcBorders>
              <w:top w:val="single" w:sz="8" w:color="CCEEFF"/>
            </w:tcBorders>
            <w:shd w:val="clear" w:color="auto" w:fill="CCEEFF"/>
          </w:tcPr>
          <w:p>
            <w:pPr>
              <w:spacing w:after="0"/>
              <w:rPr>
                <w:sz w:val="15"/>
                <w:szCs w:val="15"/>
                <w:color w:val="auto"/>
              </w:rPr>
            </w:pPr>
          </w:p>
        </w:tc>
        <w:tc>
          <w:tcPr>
            <w:tcW w:w="120" w:type="dxa"/>
            <w:vAlign w:val="bottom"/>
            <w:tcBorders>
              <w:top w:val="single" w:sz="8" w:color="auto"/>
            </w:tcBorders>
            <w:shd w:val="clear" w:color="auto" w:fill="CCEEFF"/>
          </w:tcPr>
          <w:p>
            <w:pPr>
              <w:spacing w:after="0"/>
              <w:rPr>
                <w:sz w:val="15"/>
                <w:szCs w:val="15"/>
                <w:color w:val="auto"/>
              </w:rPr>
            </w:pPr>
          </w:p>
        </w:tc>
        <w:tc>
          <w:tcPr>
            <w:tcW w:w="1120" w:type="dxa"/>
            <w:vAlign w:val="bottom"/>
            <w:tcBorders>
              <w:top w:val="single" w:sz="8" w:color="auto"/>
            </w:tcBorders>
            <w:shd w:val="clear" w:color="auto" w:fill="CCEEFF"/>
          </w:tcPr>
          <w:p>
            <w:pPr>
              <w:spacing w:after="0"/>
              <w:rPr>
                <w:sz w:val="15"/>
                <w:szCs w:val="15"/>
                <w:color w:val="auto"/>
              </w:rPr>
            </w:pPr>
          </w:p>
        </w:tc>
        <w:tc>
          <w:tcPr>
            <w:tcW w:w="140" w:type="dxa"/>
            <w:vAlign w:val="bottom"/>
            <w:tcBorders>
              <w:top w:val="single" w:sz="8" w:color="CCEEFF"/>
            </w:tcBorders>
            <w:shd w:val="clear" w:color="auto" w:fill="CCEEFF"/>
          </w:tcPr>
          <w:p>
            <w:pPr>
              <w:spacing w:after="0"/>
              <w:rPr>
                <w:sz w:val="15"/>
                <w:szCs w:val="15"/>
                <w:color w:val="auto"/>
              </w:rPr>
            </w:pPr>
          </w:p>
        </w:tc>
        <w:tc>
          <w:tcPr>
            <w:tcW w:w="120" w:type="dxa"/>
            <w:vAlign w:val="bottom"/>
            <w:tcBorders>
              <w:top w:val="single" w:sz="8" w:color="auto"/>
            </w:tcBorders>
            <w:shd w:val="clear" w:color="auto" w:fill="CCEEFF"/>
          </w:tcPr>
          <w:p>
            <w:pPr>
              <w:spacing w:after="0"/>
              <w:rPr>
                <w:sz w:val="15"/>
                <w:szCs w:val="15"/>
                <w:color w:val="auto"/>
              </w:rPr>
            </w:pPr>
          </w:p>
        </w:tc>
        <w:tc>
          <w:tcPr>
            <w:tcW w:w="720" w:type="dxa"/>
            <w:vAlign w:val="bottom"/>
            <w:tcBorders>
              <w:top w:val="single" w:sz="8" w:color="auto"/>
            </w:tcBorders>
            <w:shd w:val="clear" w:color="auto" w:fill="CCEEFF"/>
          </w:tcPr>
          <w:p>
            <w:pPr>
              <w:spacing w:after="0"/>
              <w:rPr>
                <w:sz w:val="15"/>
                <w:szCs w:val="15"/>
                <w:color w:val="auto"/>
              </w:rPr>
            </w:pPr>
          </w:p>
        </w:tc>
        <w:tc>
          <w:tcPr>
            <w:tcW w:w="160" w:type="dxa"/>
            <w:vAlign w:val="bottom"/>
            <w:tcBorders>
              <w:top w:val="single" w:sz="8" w:color="CCEEFF"/>
            </w:tcBorders>
            <w:shd w:val="clear" w:color="auto" w:fill="CCEEFF"/>
          </w:tcPr>
          <w:p>
            <w:pPr>
              <w:spacing w:after="0"/>
              <w:rPr>
                <w:sz w:val="15"/>
                <w:szCs w:val="15"/>
                <w:color w:val="auto"/>
              </w:rPr>
            </w:pPr>
          </w:p>
        </w:tc>
        <w:tc>
          <w:tcPr>
            <w:tcW w:w="120" w:type="dxa"/>
            <w:vAlign w:val="bottom"/>
            <w:tcBorders>
              <w:top w:val="single" w:sz="8" w:color="auto"/>
            </w:tcBorders>
            <w:shd w:val="clear" w:color="auto" w:fill="CCEEFF"/>
          </w:tcPr>
          <w:p>
            <w:pPr>
              <w:spacing w:after="0"/>
              <w:rPr>
                <w:sz w:val="15"/>
                <w:szCs w:val="15"/>
                <w:color w:val="auto"/>
              </w:rPr>
            </w:pPr>
          </w:p>
        </w:tc>
        <w:tc>
          <w:tcPr>
            <w:tcW w:w="820" w:type="dxa"/>
            <w:vAlign w:val="bottom"/>
            <w:tcBorders>
              <w:top w:val="single" w:sz="8" w:color="auto"/>
              <w:right w:val="single" w:sz="8" w:color="CCEEFF"/>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2860" w:type="dxa"/>
            <w:vAlign w:val="bottom"/>
            <w:shd w:val="clear" w:color="auto" w:fill="CCEEFF"/>
          </w:tcPr>
          <w:p>
            <w:pPr>
              <w:ind w:left="300"/>
              <w:spacing w:after="0"/>
              <w:rPr>
                <w:sz w:val="20"/>
                <w:szCs w:val="20"/>
                <w:color w:val="auto"/>
              </w:rPr>
            </w:pPr>
            <w:r>
              <w:rPr>
                <w:rFonts w:ascii="Arial" w:cs="Arial" w:eastAsia="Arial" w:hAnsi="Arial"/>
                <w:sz w:val="16"/>
                <w:szCs w:val="16"/>
                <w:color w:val="auto"/>
              </w:rPr>
              <w:t>December 31, 2017</w:t>
            </w:r>
          </w:p>
        </w:tc>
        <w:tc>
          <w:tcPr>
            <w:tcW w:w="34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316,882</w:t>
            </w:r>
          </w:p>
        </w:tc>
        <w:tc>
          <w:tcPr>
            <w:tcW w:w="14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35,468</w:t>
            </w:r>
          </w:p>
        </w:tc>
        <w:tc>
          <w:tcPr>
            <w:tcW w:w="1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right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16,052</w:t>
            </w: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860" w:type="dxa"/>
            <w:vAlign w:val="bottom"/>
          </w:tcPr>
          <w:p>
            <w:pPr>
              <w:spacing w:after="0" w:line="173" w:lineRule="exact"/>
              <w:rPr>
                <w:sz w:val="20"/>
                <w:szCs w:val="20"/>
                <w:color w:val="auto"/>
              </w:rPr>
            </w:pPr>
            <w:r>
              <w:rPr>
                <w:rFonts w:ascii="Arial" w:cs="Arial" w:eastAsia="Arial" w:hAnsi="Arial"/>
                <w:sz w:val="16"/>
                <w:szCs w:val="16"/>
                <w:color w:val="auto"/>
              </w:rPr>
              <w:t>Accumulated benefit obligation at</w:t>
            </w:r>
          </w:p>
        </w:tc>
        <w:tc>
          <w:tcPr>
            <w:tcW w:w="3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6"/>
        </w:trPr>
        <w:tc>
          <w:tcPr>
            <w:tcW w:w="2880" w:type="dxa"/>
            <w:vAlign w:val="bottom"/>
            <w:gridSpan w:val="2"/>
          </w:tcPr>
          <w:p>
            <w:pPr>
              <w:spacing w:after="0"/>
              <w:rPr>
                <w:sz w:val="20"/>
                <w:szCs w:val="20"/>
                <w:color w:val="auto"/>
              </w:rPr>
            </w:pPr>
            <w:r>
              <w:rPr>
                <w:rFonts w:ascii="Arial" w:cs="Arial" w:eastAsia="Arial" w:hAnsi="Arial"/>
                <w:sz w:val="16"/>
                <w:szCs w:val="16"/>
                <w:color w:val="auto"/>
              </w:rPr>
              <w:t>December 31, 2017</w:t>
            </w:r>
          </w:p>
        </w:tc>
        <w:tc>
          <w:tcPr>
            <w:tcW w:w="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277,067</w:t>
            </w: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34,190</w:t>
            </w: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20" w:type="dxa"/>
            <w:vAlign w:val="bottom"/>
          </w:tcPr>
          <w:p>
            <w:pPr>
              <w:jc w:val="right"/>
              <w:ind w:right="19"/>
              <w:spacing w:after="0"/>
              <w:rPr>
                <w:sz w:val="20"/>
                <w:szCs w:val="20"/>
                <w:color w:val="auto"/>
              </w:rPr>
            </w:pPr>
            <w:r>
              <w:rPr>
                <w:rFonts w:ascii="Arial" w:cs="Arial" w:eastAsia="Arial" w:hAnsi="Arial"/>
                <w:sz w:val="16"/>
                <w:szCs w:val="16"/>
                <w:color w:val="auto"/>
              </w:rPr>
              <w:t>16,052</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286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6"/>
                <w:szCs w:val="16"/>
                <w:b w:val="1"/>
                <w:bCs w:val="1"/>
                <w:color w:val="auto"/>
              </w:rPr>
              <w:t>Change in plan assets</w:t>
            </w:r>
          </w:p>
        </w:tc>
        <w:tc>
          <w:tcPr>
            <w:tcW w:w="34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spacing w:after="0"/>
              <w:rPr>
                <w:sz w:val="16"/>
                <w:szCs w:val="16"/>
                <w:color w:val="auto"/>
              </w:rPr>
            </w:pPr>
          </w:p>
        </w:tc>
        <w:tc>
          <w:tcPr>
            <w:tcW w:w="1120" w:type="dxa"/>
            <w:vAlign w:val="bottom"/>
            <w:tcBorders>
              <w:top w:val="single" w:sz="8" w:color="auto"/>
            </w:tcBorders>
            <w:shd w:val="clear" w:color="auto" w:fill="CCEEFF"/>
          </w:tcPr>
          <w:p>
            <w:pPr>
              <w:spacing w:after="0"/>
              <w:rPr>
                <w:sz w:val="16"/>
                <w:szCs w:val="16"/>
                <w:color w:val="auto"/>
              </w:rPr>
            </w:pPr>
          </w:p>
        </w:tc>
        <w:tc>
          <w:tcPr>
            <w:tcW w:w="14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spacing w:after="0"/>
              <w:rPr>
                <w:sz w:val="16"/>
                <w:szCs w:val="16"/>
                <w:color w:val="auto"/>
              </w:rPr>
            </w:pPr>
          </w:p>
        </w:tc>
        <w:tc>
          <w:tcPr>
            <w:tcW w:w="720" w:type="dxa"/>
            <w:vAlign w:val="bottom"/>
            <w:tcBorders>
              <w:top w:val="single" w:sz="8" w:color="auto"/>
            </w:tcBorders>
            <w:shd w:val="clear" w:color="auto" w:fill="CCEEFF"/>
          </w:tcPr>
          <w:p>
            <w:pPr>
              <w:spacing w:after="0"/>
              <w:rPr>
                <w:sz w:val="16"/>
                <w:szCs w:val="16"/>
                <w:color w:val="auto"/>
              </w:rPr>
            </w:pPr>
          </w:p>
        </w:tc>
        <w:tc>
          <w:tcPr>
            <w:tcW w:w="16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spacing w:after="0"/>
              <w:rPr>
                <w:sz w:val="16"/>
                <w:szCs w:val="16"/>
                <w:color w:val="auto"/>
              </w:rPr>
            </w:pPr>
          </w:p>
        </w:tc>
        <w:tc>
          <w:tcPr>
            <w:tcW w:w="820" w:type="dxa"/>
            <w:vAlign w:val="bottom"/>
            <w:tcBorders>
              <w:top w:val="single" w:sz="8" w:color="auto"/>
              <w:right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2860" w:type="dxa"/>
            <w:vAlign w:val="bottom"/>
          </w:tcPr>
          <w:p>
            <w:pPr>
              <w:spacing w:after="0"/>
              <w:rPr>
                <w:sz w:val="20"/>
                <w:szCs w:val="20"/>
                <w:color w:val="auto"/>
              </w:rPr>
            </w:pPr>
            <w:r>
              <w:rPr>
                <w:rFonts w:ascii="Arial" w:cs="Arial" w:eastAsia="Arial" w:hAnsi="Arial"/>
                <w:sz w:val="16"/>
                <w:szCs w:val="16"/>
                <w:color w:val="auto"/>
              </w:rPr>
              <w:t>Fair value of plan assets at</w:t>
            </w:r>
          </w:p>
        </w:tc>
        <w:tc>
          <w:tcPr>
            <w:tcW w:w="3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6"/>
        </w:trPr>
        <w:tc>
          <w:tcPr>
            <w:tcW w:w="2880" w:type="dxa"/>
            <w:vAlign w:val="bottom"/>
            <w:gridSpan w:val="2"/>
          </w:tcPr>
          <w:p>
            <w:pPr>
              <w:spacing w:after="0"/>
              <w:rPr>
                <w:sz w:val="20"/>
                <w:szCs w:val="20"/>
                <w:color w:val="auto"/>
              </w:rPr>
            </w:pPr>
            <w:r>
              <w:rPr>
                <w:rFonts w:ascii="Arial" w:cs="Arial" w:eastAsia="Arial" w:hAnsi="Arial"/>
                <w:sz w:val="16"/>
                <w:szCs w:val="16"/>
                <w:color w:val="auto"/>
              </w:rPr>
              <w:t>December 31, 2016</w:t>
            </w:r>
          </w:p>
        </w:tc>
        <w:tc>
          <w:tcPr>
            <w:tcW w:w="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161,088</w:t>
            </w: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45,342</w:t>
            </w: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2860" w:type="dxa"/>
            <w:vAlign w:val="bottom"/>
            <w:shd w:val="clear" w:color="auto" w:fill="CCEEFF"/>
          </w:tcPr>
          <w:p>
            <w:pPr>
              <w:spacing w:after="0"/>
              <w:rPr>
                <w:sz w:val="20"/>
                <w:szCs w:val="20"/>
                <w:color w:val="auto"/>
              </w:rPr>
            </w:pPr>
            <w:r>
              <w:rPr>
                <w:rFonts w:ascii="Arial" w:cs="Arial" w:eastAsia="Arial" w:hAnsi="Arial"/>
                <w:sz w:val="16"/>
                <w:szCs w:val="16"/>
                <w:color w:val="auto"/>
              </w:rPr>
              <w:t>Return on plan assets</w:t>
            </w: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23,757</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6,254</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tcBorders>
              <w:right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860" w:type="dxa"/>
            <w:vAlign w:val="bottom"/>
          </w:tcPr>
          <w:p>
            <w:pPr>
              <w:spacing w:after="0"/>
              <w:rPr>
                <w:sz w:val="20"/>
                <w:szCs w:val="20"/>
                <w:color w:val="auto"/>
              </w:rPr>
            </w:pPr>
            <w:r>
              <w:rPr>
                <w:rFonts w:ascii="Arial" w:cs="Arial" w:eastAsia="Arial" w:hAnsi="Arial"/>
                <w:sz w:val="16"/>
                <w:szCs w:val="16"/>
                <w:color w:val="auto"/>
              </w:rPr>
              <w:t>Employer contributions</w:t>
            </w:r>
          </w:p>
        </w:tc>
        <w:tc>
          <w:tcPr>
            <w:tcW w:w="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21,280</w:t>
            </w: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1,697</w:t>
            </w: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20" w:type="dxa"/>
            <w:vAlign w:val="bottom"/>
          </w:tcPr>
          <w:p>
            <w:pPr>
              <w:jc w:val="right"/>
              <w:ind w:right="19"/>
              <w:spacing w:after="0"/>
              <w:rPr>
                <w:sz w:val="20"/>
                <w:szCs w:val="20"/>
                <w:color w:val="auto"/>
              </w:rPr>
            </w:pPr>
            <w:r>
              <w:rPr>
                <w:rFonts w:ascii="Arial" w:cs="Arial" w:eastAsia="Arial" w:hAnsi="Arial"/>
                <w:sz w:val="16"/>
                <w:szCs w:val="16"/>
                <w:color w:val="auto"/>
              </w:rPr>
              <w:t>805</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860" w:type="dxa"/>
            <w:vAlign w:val="bottom"/>
            <w:shd w:val="clear" w:color="auto" w:fill="CCEEFF"/>
          </w:tcPr>
          <w:p>
            <w:pPr>
              <w:spacing w:after="0"/>
              <w:rPr>
                <w:sz w:val="20"/>
                <w:szCs w:val="20"/>
                <w:color w:val="auto"/>
              </w:rPr>
            </w:pPr>
            <w:r>
              <w:rPr>
                <w:rFonts w:ascii="Arial" w:cs="Arial" w:eastAsia="Arial" w:hAnsi="Arial"/>
                <w:sz w:val="16"/>
                <w:szCs w:val="16"/>
                <w:color w:val="auto"/>
              </w:rPr>
              <w:t>Participants’ contributions</w:t>
            </w:r>
          </w:p>
        </w:tc>
        <w:tc>
          <w:tcPr>
            <w:tcW w:w="3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20" w:type="dxa"/>
            <w:vAlign w:val="bottom"/>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1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20" w:type="dxa"/>
            <w:vAlign w:val="bottom"/>
            <w:tcBorders>
              <w:right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355</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860" w:type="dxa"/>
            <w:vAlign w:val="bottom"/>
          </w:tcPr>
          <w:p>
            <w:pPr>
              <w:spacing w:after="0"/>
              <w:rPr>
                <w:sz w:val="20"/>
                <w:szCs w:val="20"/>
                <w:color w:val="auto"/>
              </w:rPr>
            </w:pPr>
            <w:r>
              <w:rPr>
                <w:rFonts w:ascii="Arial" w:cs="Arial" w:eastAsia="Arial" w:hAnsi="Arial"/>
                <w:sz w:val="16"/>
                <w:szCs w:val="16"/>
                <w:color w:val="auto"/>
              </w:rPr>
              <w:t>Settlements</w:t>
            </w:r>
          </w:p>
        </w:tc>
        <w:tc>
          <w:tcPr>
            <w:tcW w:w="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(20,663)</w:t>
            </w: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(5,172)</w:t>
            </w: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860" w:type="dxa"/>
            <w:vAlign w:val="bottom"/>
            <w:shd w:val="clear" w:color="auto" w:fill="CCEEFF"/>
          </w:tcPr>
          <w:p>
            <w:pPr>
              <w:spacing w:after="0"/>
              <w:rPr>
                <w:sz w:val="20"/>
                <w:szCs w:val="20"/>
                <w:color w:val="auto"/>
              </w:rPr>
            </w:pPr>
            <w:r>
              <w:rPr>
                <w:rFonts w:ascii="Arial" w:cs="Arial" w:eastAsia="Arial" w:hAnsi="Arial"/>
                <w:sz w:val="16"/>
                <w:szCs w:val="16"/>
                <w:color w:val="auto"/>
              </w:rPr>
              <w:t>Benefit payments</w:t>
            </w:r>
          </w:p>
        </w:tc>
        <w:tc>
          <w:tcPr>
            <w:tcW w:w="3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(2,719)</w:t>
            </w:r>
          </w:p>
        </w:tc>
        <w:tc>
          <w:tcPr>
            <w:tcW w:w="1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(635)</w:t>
            </w: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2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(1,160)</w:t>
            </w: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2860" w:type="dxa"/>
            <w:vAlign w:val="bottom"/>
          </w:tcPr>
          <w:p>
            <w:pPr>
              <w:spacing w:after="0"/>
              <w:rPr>
                <w:sz w:val="20"/>
                <w:szCs w:val="20"/>
                <w:color w:val="auto"/>
              </w:rPr>
            </w:pPr>
            <w:r>
              <w:rPr>
                <w:rFonts w:ascii="Arial" w:cs="Arial" w:eastAsia="Arial" w:hAnsi="Arial"/>
                <w:sz w:val="16"/>
                <w:szCs w:val="16"/>
                <w:color w:val="auto"/>
              </w:rPr>
              <w:t>Adjustment for movement from</w:t>
            </w:r>
          </w:p>
        </w:tc>
        <w:tc>
          <w:tcPr>
            <w:tcW w:w="3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6"/>
        </w:trPr>
        <w:tc>
          <w:tcPr>
            <w:tcW w:w="2880" w:type="dxa"/>
            <w:vAlign w:val="bottom"/>
            <w:gridSpan w:val="2"/>
          </w:tcPr>
          <w:p>
            <w:pPr>
              <w:spacing w:after="0"/>
              <w:rPr>
                <w:sz w:val="20"/>
                <w:szCs w:val="20"/>
                <w:color w:val="auto"/>
              </w:rPr>
            </w:pPr>
            <w:r>
              <w:rPr>
                <w:rFonts w:ascii="Arial" w:cs="Arial" w:eastAsia="Arial" w:hAnsi="Arial"/>
                <w:sz w:val="16"/>
                <w:szCs w:val="16"/>
                <w:color w:val="auto"/>
              </w:rPr>
              <w:t>underfunded to overfunded</w:t>
            </w:r>
          </w:p>
        </w:tc>
        <w:tc>
          <w:tcPr>
            <w:tcW w:w="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194</w:t>
            </w: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(194)</w:t>
            </w: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2860" w:type="dxa"/>
            <w:vAlign w:val="bottom"/>
            <w:shd w:val="clear" w:color="auto" w:fill="CCEEFF"/>
          </w:tcPr>
          <w:p>
            <w:pPr>
              <w:spacing w:after="0"/>
              <w:rPr>
                <w:sz w:val="20"/>
                <w:szCs w:val="20"/>
                <w:color w:val="auto"/>
              </w:rPr>
            </w:pPr>
            <w:r>
              <w:rPr>
                <w:rFonts w:ascii="Arial" w:cs="Arial" w:eastAsia="Arial" w:hAnsi="Arial"/>
                <w:sz w:val="16"/>
                <w:szCs w:val="16"/>
                <w:color w:val="auto"/>
              </w:rPr>
              <w:t>Foreign currency translation</w:t>
            </w:r>
          </w:p>
        </w:tc>
        <w:tc>
          <w:tcPr>
            <w:tcW w:w="34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156</w:t>
            </w:r>
          </w:p>
        </w:tc>
        <w:tc>
          <w:tcPr>
            <w:tcW w:w="14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3,475</w:t>
            </w:r>
          </w:p>
        </w:tc>
        <w:tc>
          <w:tcPr>
            <w:tcW w:w="1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right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860" w:type="dxa"/>
            <w:vAlign w:val="bottom"/>
          </w:tcPr>
          <w:p>
            <w:pPr>
              <w:ind w:left="400"/>
              <w:spacing w:after="0" w:line="173" w:lineRule="exact"/>
              <w:rPr>
                <w:sz w:val="20"/>
                <w:szCs w:val="20"/>
                <w:color w:val="auto"/>
              </w:rPr>
            </w:pPr>
            <w:r>
              <w:rPr>
                <w:rFonts w:ascii="Arial" w:cs="Arial" w:eastAsia="Arial" w:hAnsi="Arial"/>
                <w:sz w:val="16"/>
                <w:szCs w:val="16"/>
                <w:color w:val="auto"/>
              </w:rPr>
              <w:t>Fair value of plan assets at</w:t>
            </w:r>
          </w:p>
        </w:tc>
        <w:tc>
          <w:tcPr>
            <w:tcW w:w="3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2860" w:type="dxa"/>
            <w:vAlign w:val="bottom"/>
            <w:tcBorders>
              <w:bottom w:val="single" w:sz="8" w:color="CCEEFF"/>
            </w:tcBorders>
          </w:tcPr>
          <w:p>
            <w:pPr>
              <w:ind w:left="400"/>
              <w:spacing w:after="0"/>
              <w:rPr>
                <w:sz w:val="20"/>
                <w:szCs w:val="20"/>
                <w:color w:val="auto"/>
              </w:rPr>
            </w:pPr>
            <w:r>
              <w:rPr>
                <w:rFonts w:ascii="Arial" w:cs="Arial" w:eastAsia="Arial" w:hAnsi="Arial"/>
                <w:sz w:val="16"/>
                <w:szCs w:val="16"/>
                <w:color w:val="auto"/>
              </w:rPr>
              <w:t>December 31, 2017</w:t>
            </w:r>
          </w:p>
        </w:tc>
        <w:tc>
          <w:tcPr>
            <w:tcW w:w="34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183,093</w:t>
            </w:r>
          </w:p>
        </w:tc>
        <w:tc>
          <w:tcPr>
            <w:tcW w:w="14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50,767</w:t>
            </w:r>
          </w:p>
        </w:tc>
        <w:tc>
          <w:tcPr>
            <w:tcW w:w="16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860" w:type="dxa"/>
            <w:vAlign w:val="bottom"/>
            <w:shd w:val="clear" w:color="auto" w:fill="CCEEFF"/>
          </w:tcPr>
          <w:p>
            <w:pPr>
              <w:ind w:left="400"/>
              <w:spacing w:after="0" w:line="176" w:lineRule="exact"/>
              <w:rPr>
                <w:sz w:val="20"/>
                <w:szCs w:val="20"/>
                <w:color w:val="auto"/>
              </w:rPr>
            </w:pPr>
            <w:r>
              <w:rPr>
                <w:rFonts w:ascii="Arial" w:cs="Arial" w:eastAsia="Arial" w:hAnsi="Arial"/>
                <w:sz w:val="16"/>
                <w:szCs w:val="16"/>
                <w:color w:val="auto"/>
              </w:rPr>
              <w:t>Funded status (fair value of plan</w:t>
            </w:r>
          </w:p>
        </w:tc>
        <w:tc>
          <w:tcPr>
            <w:tcW w:w="340" w:type="dxa"/>
            <w:vAlign w:val="bottom"/>
            <w:vMerge w:val="restart"/>
            <w:shd w:val="clear" w:color="auto" w:fill="CCEEFF"/>
          </w:tcPr>
          <w:p>
            <w:pPr>
              <w:spacing w:after="0"/>
              <w:rPr>
                <w:sz w:val="15"/>
                <w:szCs w:val="15"/>
                <w:color w:val="auto"/>
              </w:rPr>
            </w:pP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(133,789)</w:t>
            </w:r>
          </w:p>
        </w:tc>
        <w:tc>
          <w:tcPr>
            <w:tcW w:w="260" w:type="dxa"/>
            <w:vAlign w:val="bottom"/>
            <w:gridSpan w:val="2"/>
            <w:vMerge w:val="restart"/>
            <w:shd w:val="clear" w:color="auto" w:fill="CCEEFF"/>
          </w:tcPr>
          <w:p>
            <w:pPr>
              <w:ind w:left="140"/>
              <w:spacing w:after="0"/>
              <w:rPr>
                <w:sz w:val="20"/>
                <w:szCs w:val="20"/>
                <w:color w:val="auto"/>
              </w:rPr>
            </w:pPr>
            <w:r>
              <w:rPr>
                <w:rFonts w:ascii="Arial" w:cs="Arial" w:eastAsia="Arial" w:hAnsi="Arial"/>
                <w:sz w:val="16"/>
                <w:szCs w:val="16"/>
                <w:color w:val="auto"/>
              </w:rPr>
              <w:t>$</w:t>
            </w:r>
          </w:p>
        </w:tc>
        <w:tc>
          <w:tcPr>
            <w:tcW w:w="72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15,299</w:t>
            </w:r>
          </w:p>
        </w:tc>
        <w:tc>
          <w:tcPr>
            <w:tcW w:w="280" w:type="dxa"/>
            <w:vAlign w:val="bottom"/>
            <w:gridSpan w:val="2"/>
            <w:vMerge w:val="restart"/>
            <w:shd w:val="clear" w:color="auto" w:fill="CCEEFF"/>
          </w:tcPr>
          <w:p>
            <w:pPr>
              <w:ind w:left="140"/>
              <w:spacing w:after="0"/>
              <w:rPr>
                <w:sz w:val="20"/>
                <w:szCs w:val="20"/>
                <w:color w:val="auto"/>
              </w:rPr>
            </w:pPr>
            <w:r>
              <w:rPr>
                <w:rFonts w:ascii="Arial" w:cs="Arial" w:eastAsia="Arial" w:hAnsi="Arial"/>
                <w:sz w:val="16"/>
                <w:szCs w:val="16"/>
                <w:color w:val="auto"/>
              </w:rPr>
              <w:t>$</w:t>
            </w:r>
          </w:p>
        </w:tc>
        <w:tc>
          <w:tcPr>
            <w:tcW w:w="820" w:type="dxa"/>
            <w:vAlign w:val="bottom"/>
            <w:tcBorders>
              <w:right w:val="single" w:sz="8" w:color="CCEEFF"/>
            </w:tcBorders>
            <w:vMerge w:val="restart"/>
            <w:shd w:val="clear" w:color="auto" w:fill="CCEEFF"/>
          </w:tcPr>
          <w:p>
            <w:pPr>
              <w:jc w:val="right"/>
              <w:spacing w:after="0"/>
              <w:rPr>
                <w:sz w:val="20"/>
                <w:szCs w:val="20"/>
                <w:color w:val="auto"/>
              </w:rPr>
            </w:pPr>
            <w:r>
              <w:rPr>
                <w:rFonts w:ascii="Arial" w:cs="Arial" w:eastAsia="Arial" w:hAnsi="Arial"/>
                <w:sz w:val="16"/>
                <w:szCs w:val="16"/>
                <w:color w:val="auto"/>
              </w:rPr>
              <w:t>(16,052)</w:t>
            </w:r>
          </w:p>
        </w:tc>
        <w:tc>
          <w:tcPr>
            <w:tcW w:w="0" w:type="dxa"/>
            <w:vAlign w:val="bottom"/>
          </w:tcPr>
          <w:p>
            <w:pPr>
              <w:spacing w:after="0"/>
              <w:rPr>
                <w:sz w:val="1"/>
                <w:szCs w:val="1"/>
                <w:color w:val="auto"/>
              </w:rPr>
            </w:pPr>
          </w:p>
        </w:tc>
      </w:tr>
      <w:tr>
        <w:trPr>
          <w:trHeight w:val="199"/>
        </w:trPr>
        <w:tc>
          <w:tcPr>
            <w:tcW w:w="20" w:type="dxa"/>
            <w:vAlign w:val="bottom"/>
          </w:tcPr>
          <w:p>
            <w:pPr>
              <w:spacing w:after="0"/>
              <w:rPr>
                <w:sz w:val="17"/>
                <w:szCs w:val="17"/>
                <w:color w:val="auto"/>
              </w:rPr>
            </w:pPr>
          </w:p>
        </w:tc>
        <w:tc>
          <w:tcPr>
            <w:tcW w:w="2860" w:type="dxa"/>
            <w:vAlign w:val="bottom"/>
            <w:shd w:val="clear" w:color="auto" w:fill="CCEEFF"/>
          </w:tcPr>
          <w:p>
            <w:pPr>
              <w:ind w:left="400"/>
              <w:spacing w:after="0"/>
              <w:rPr>
                <w:sz w:val="20"/>
                <w:szCs w:val="20"/>
                <w:color w:val="auto"/>
              </w:rPr>
            </w:pPr>
            <w:r>
              <w:rPr>
                <w:rFonts w:ascii="Arial" w:cs="Arial" w:eastAsia="Arial" w:hAnsi="Arial"/>
                <w:sz w:val="16"/>
                <w:szCs w:val="16"/>
                <w:color w:val="auto"/>
              </w:rPr>
              <w:t>assets less PBO)</w:t>
            </w:r>
          </w:p>
        </w:tc>
        <w:tc>
          <w:tcPr>
            <w:tcW w:w="340" w:type="dxa"/>
            <w:vAlign w:val="bottom"/>
            <w:vMerge w:val="continue"/>
            <w:shd w:val="clear" w:color="auto" w:fill="CCEEFF"/>
          </w:tcPr>
          <w:p>
            <w:pPr>
              <w:spacing w:after="0"/>
              <w:rPr>
                <w:sz w:val="17"/>
                <w:szCs w:val="17"/>
                <w:color w:val="auto"/>
              </w:rPr>
            </w:pPr>
          </w:p>
        </w:tc>
        <w:tc>
          <w:tcPr>
            <w:tcW w:w="120" w:type="dxa"/>
            <w:vAlign w:val="bottom"/>
            <w:vMerge w:val="continue"/>
            <w:shd w:val="clear" w:color="auto" w:fill="CCEEFF"/>
          </w:tcPr>
          <w:p>
            <w:pPr>
              <w:spacing w:after="0"/>
              <w:rPr>
                <w:sz w:val="17"/>
                <w:szCs w:val="17"/>
                <w:color w:val="auto"/>
              </w:rPr>
            </w:pPr>
          </w:p>
        </w:tc>
        <w:tc>
          <w:tcPr>
            <w:tcW w:w="1120" w:type="dxa"/>
            <w:vAlign w:val="bottom"/>
            <w:vMerge w:val="continue"/>
            <w:shd w:val="clear" w:color="auto" w:fill="CCEEFF"/>
          </w:tcPr>
          <w:p>
            <w:pPr>
              <w:spacing w:after="0"/>
              <w:rPr>
                <w:sz w:val="17"/>
                <w:szCs w:val="17"/>
                <w:color w:val="auto"/>
              </w:rPr>
            </w:pPr>
          </w:p>
        </w:tc>
        <w:tc>
          <w:tcPr>
            <w:tcW w:w="260" w:type="dxa"/>
            <w:vAlign w:val="bottom"/>
            <w:gridSpan w:val="2"/>
            <w:vMerge w:val="continue"/>
            <w:shd w:val="clear" w:color="auto" w:fill="CCEEFF"/>
          </w:tcPr>
          <w:p>
            <w:pPr>
              <w:spacing w:after="0"/>
              <w:rPr>
                <w:sz w:val="17"/>
                <w:szCs w:val="17"/>
                <w:color w:val="auto"/>
              </w:rPr>
            </w:pPr>
          </w:p>
        </w:tc>
        <w:tc>
          <w:tcPr>
            <w:tcW w:w="720" w:type="dxa"/>
            <w:vAlign w:val="bottom"/>
            <w:vMerge w:val="continue"/>
            <w:shd w:val="clear" w:color="auto" w:fill="CCEEFF"/>
          </w:tcPr>
          <w:p>
            <w:pPr>
              <w:spacing w:after="0"/>
              <w:rPr>
                <w:sz w:val="17"/>
                <w:szCs w:val="17"/>
                <w:color w:val="auto"/>
              </w:rPr>
            </w:pPr>
          </w:p>
        </w:tc>
        <w:tc>
          <w:tcPr>
            <w:tcW w:w="280" w:type="dxa"/>
            <w:vAlign w:val="bottom"/>
            <w:gridSpan w:val="2"/>
            <w:vMerge w:val="continue"/>
            <w:shd w:val="clear" w:color="auto" w:fill="CCEEFF"/>
          </w:tcPr>
          <w:p>
            <w:pPr>
              <w:spacing w:after="0"/>
              <w:rPr>
                <w:sz w:val="17"/>
                <w:szCs w:val="17"/>
                <w:color w:val="auto"/>
              </w:rPr>
            </w:pPr>
          </w:p>
        </w:tc>
        <w:tc>
          <w:tcPr>
            <w:tcW w:w="820" w:type="dxa"/>
            <w:vAlign w:val="bottom"/>
            <w:tcBorders>
              <w:right w:val="single" w:sz="8" w:color="CCEEFF"/>
            </w:tcBorders>
            <w:vMerge w:val="continue"/>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2860" w:type="dxa"/>
            <w:vAlign w:val="bottom"/>
            <w:shd w:val="clear" w:color="auto" w:fill="CCEEFF"/>
          </w:tcPr>
          <w:p>
            <w:pPr>
              <w:spacing w:after="0"/>
              <w:rPr>
                <w:sz w:val="2"/>
                <w:szCs w:val="2"/>
                <w:color w:val="auto"/>
              </w:rPr>
            </w:pPr>
          </w:p>
        </w:tc>
        <w:tc>
          <w:tcPr>
            <w:tcW w:w="340" w:type="dxa"/>
            <w:vAlign w:val="bottom"/>
            <w:shd w:val="clear" w:color="auto" w:fill="CCEEFF"/>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120" w:type="dxa"/>
            <w:vAlign w:val="bottom"/>
            <w:shd w:val="clear" w:color="auto" w:fill="000000"/>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820" w:type="dxa"/>
            <w:vAlign w:val="bottom"/>
            <w:tcBorders>
              <w:right w:val="single" w:sz="8" w:color="CCEEFF"/>
            </w:tcBorders>
            <w:shd w:val="clear" w:color="auto" w:fill="000000"/>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786765</wp:posOffset>
            </wp:positionH>
            <wp:positionV relativeFrom="paragraph">
              <wp:posOffset>83185</wp:posOffset>
            </wp:positionV>
            <wp:extent cx="4159250" cy="2603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57">
                      <a:extLst>
                        <a:ext uri="{28A0092B-C50C-407E-A947-70E740481C1C}"/>
                      </a:extLst>
                    </a:blip>
                    <a:srcRect/>
                    <a:stretch>
                      <a:fillRect/>
                    </a:stretch>
                  </pic:blipFill>
                  <pic:spPr bwMode="auto">
                    <a:xfrm>
                      <a:off x="0" y="0"/>
                      <a:ext cx="415925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124" w:name="page125"/>
    <w:bookmarkEnd w:id="124"/>
    <w:p>
      <w:pPr>
        <w:ind w:left="124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95" w:lineRule="exact"/>
        <w:rPr>
          <w:sz w:val="20"/>
          <w:szCs w:val="20"/>
          <w:color w:val="auto"/>
        </w:rPr>
      </w:pPr>
    </w:p>
    <w:tbl>
      <w:tblPr>
        <w:tblLayout w:type="fixed"/>
        <w:tblInd w:w="1240" w:type="dxa"/>
        <w:tblCellMar>
          <w:top w:w="0" w:type="dxa"/>
          <w:left w:w="0" w:type="dxa"/>
          <w:bottom w:w="0" w:type="dxa"/>
          <w:right w:w="0" w:type="dxa"/>
        </w:tblCellMar>
      </w:tblPr>
      <w:tr>
        <w:trPr>
          <w:trHeight w:val="162"/>
        </w:trPr>
        <w:tc>
          <w:tcPr>
            <w:tcW w:w="20" w:type="dxa"/>
            <w:vAlign w:val="bottom"/>
          </w:tcPr>
          <w:p>
            <w:pPr>
              <w:spacing w:after="0"/>
              <w:rPr>
                <w:sz w:val="14"/>
                <w:szCs w:val="14"/>
                <w:color w:val="auto"/>
              </w:rPr>
            </w:pPr>
          </w:p>
        </w:tc>
        <w:tc>
          <w:tcPr>
            <w:tcW w:w="28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20" w:type="dxa"/>
            <w:vAlign w:val="bottom"/>
          </w:tcPr>
          <w:p>
            <w:pPr>
              <w:jc w:val="center"/>
              <w:ind w:right="40"/>
              <w:spacing w:after="0"/>
              <w:rPr>
                <w:sz w:val="20"/>
                <w:szCs w:val="20"/>
                <w:color w:val="auto"/>
              </w:rPr>
            </w:pPr>
            <w:r>
              <w:rPr>
                <w:rFonts w:ascii="Arial" w:cs="Arial" w:eastAsia="Arial" w:hAnsi="Arial"/>
                <w:sz w:val="14"/>
                <w:szCs w:val="14"/>
                <w:b w:val="1"/>
                <w:bCs w:val="1"/>
                <w:color w:val="auto"/>
                <w:w w:val="88"/>
              </w:rPr>
              <w:t>Pension</w:t>
            </w:r>
          </w:p>
        </w:tc>
        <w:tc>
          <w:tcPr>
            <w:tcW w:w="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20" w:type="dxa"/>
            <w:vAlign w:val="bottom"/>
          </w:tcPr>
          <w:p>
            <w:pPr>
              <w:jc w:val="right"/>
              <w:ind w:right="100"/>
              <w:spacing w:after="0"/>
              <w:rPr>
                <w:sz w:val="20"/>
                <w:szCs w:val="20"/>
                <w:color w:val="auto"/>
              </w:rPr>
            </w:pPr>
            <w:r>
              <w:rPr>
                <w:rFonts w:ascii="Arial" w:cs="Arial" w:eastAsia="Arial" w:hAnsi="Arial"/>
                <w:sz w:val="14"/>
                <w:szCs w:val="14"/>
                <w:b w:val="1"/>
                <w:bCs w:val="1"/>
                <w:color w:val="auto"/>
                <w:w w:val="95"/>
              </w:rPr>
              <w:t>Pension</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84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tcPr>
          <w:p>
            <w:pPr>
              <w:jc w:val="center"/>
              <w:ind w:right="60"/>
              <w:spacing w:after="0" w:line="149" w:lineRule="exact"/>
              <w:rPr>
                <w:sz w:val="20"/>
                <w:szCs w:val="20"/>
                <w:color w:val="auto"/>
              </w:rPr>
            </w:pPr>
            <w:r>
              <w:rPr>
                <w:rFonts w:ascii="Arial" w:cs="Arial" w:eastAsia="Arial" w:hAnsi="Arial"/>
                <w:sz w:val="14"/>
                <w:szCs w:val="14"/>
                <w:b w:val="1"/>
                <w:bCs w:val="1"/>
                <w:color w:val="auto"/>
                <w:w w:val="90"/>
              </w:rPr>
              <w:t>Benefits</w:t>
            </w: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20" w:type="dxa"/>
            <w:vAlign w:val="bottom"/>
          </w:tcPr>
          <w:p>
            <w:pPr>
              <w:jc w:val="right"/>
              <w:ind w:right="100"/>
              <w:spacing w:after="0" w:line="149" w:lineRule="exact"/>
              <w:rPr>
                <w:sz w:val="20"/>
                <w:szCs w:val="20"/>
                <w:color w:val="auto"/>
              </w:rPr>
            </w:pPr>
            <w:r>
              <w:rPr>
                <w:rFonts w:ascii="Arial" w:cs="Arial" w:eastAsia="Arial" w:hAnsi="Arial"/>
                <w:sz w:val="14"/>
                <w:szCs w:val="14"/>
                <w:b w:val="1"/>
                <w:bCs w:val="1"/>
                <w:color w:val="auto"/>
                <w:w w:val="94"/>
              </w:rPr>
              <w:t>Benefits</w:t>
            </w:r>
          </w:p>
        </w:tc>
        <w:tc>
          <w:tcPr>
            <w:tcW w:w="1100" w:type="dxa"/>
            <w:vAlign w:val="bottom"/>
            <w:gridSpan w:val="3"/>
          </w:tcPr>
          <w:p>
            <w:pPr>
              <w:ind w:left="140"/>
              <w:spacing w:after="0" w:line="149" w:lineRule="exact"/>
              <w:rPr>
                <w:sz w:val="20"/>
                <w:szCs w:val="20"/>
                <w:color w:val="auto"/>
              </w:rPr>
            </w:pPr>
            <w:r>
              <w:rPr>
                <w:rFonts w:ascii="Arial" w:cs="Arial" w:eastAsia="Arial" w:hAnsi="Arial"/>
                <w:sz w:val="14"/>
                <w:szCs w:val="14"/>
                <w:b w:val="1"/>
                <w:bCs w:val="1"/>
                <w:color w:val="auto"/>
                <w:w w:val="93"/>
              </w:rPr>
              <w:t>Postretirement</w:t>
            </w:r>
          </w:p>
        </w:tc>
        <w:tc>
          <w:tcPr>
            <w:tcW w:w="0" w:type="dxa"/>
            <w:vAlign w:val="bottom"/>
          </w:tcPr>
          <w:p>
            <w:pPr>
              <w:spacing w:after="0"/>
              <w:rPr>
                <w:sz w:val="1"/>
                <w:szCs w:val="1"/>
                <w:color w:val="auto"/>
              </w:rPr>
            </w:pPr>
          </w:p>
        </w:tc>
      </w:tr>
      <w:tr>
        <w:trPr>
          <w:trHeight w:val="171"/>
        </w:trPr>
        <w:tc>
          <w:tcPr>
            <w:tcW w:w="2860" w:type="dxa"/>
            <w:vAlign w:val="bottom"/>
            <w:gridSpan w:val="2"/>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3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20" w:type="dxa"/>
            <w:vAlign w:val="bottom"/>
          </w:tcPr>
          <w:p>
            <w:pPr>
              <w:jc w:val="center"/>
              <w:ind w:right="40"/>
              <w:spacing w:after="0"/>
              <w:rPr>
                <w:sz w:val="20"/>
                <w:szCs w:val="20"/>
                <w:color w:val="auto"/>
              </w:rPr>
            </w:pPr>
            <w:r>
              <w:rPr>
                <w:rFonts w:ascii="Arial" w:cs="Arial" w:eastAsia="Arial" w:hAnsi="Arial"/>
                <w:sz w:val="14"/>
                <w:szCs w:val="14"/>
                <w:b w:val="1"/>
                <w:bCs w:val="1"/>
                <w:color w:val="auto"/>
                <w:w w:val="95"/>
              </w:rPr>
              <w:t>(Underfunded)</w:t>
            </w:r>
          </w:p>
        </w:tc>
        <w:tc>
          <w:tcPr>
            <w:tcW w:w="980" w:type="dxa"/>
            <w:vAlign w:val="bottom"/>
            <w:gridSpan w:val="3"/>
          </w:tcPr>
          <w:p>
            <w:pPr>
              <w:ind w:left="140"/>
              <w:spacing w:after="0"/>
              <w:rPr>
                <w:sz w:val="20"/>
                <w:szCs w:val="20"/>
                <w:color w:val="auto"/>
              </w:rPr>
            </w:pPr>
            <w:r>
              <w:rPr>
                <w:rFonts w:ascii="Arial" w:cs="Arial" w:eastAsia="Arial" w:hAnsi="Arial"/>
                <w:sz w:val="14"/>
                <w:szCs w:val="14"/>
                <w:b w:val="1"/>
                <w:bCs w:val="1"/>
                <w:color w:val="auto"/>
                <w:w w:val="93"/>
              </w:rPr>
              <w:t>(Overfunded)</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20" w:type="dxa"/>
            <w:vAlign w:val="bottom"/>
          </w:tcPr>
          <w:p>
            <w:pPr>
              <w:jc w:val="right"/>
              <w:ind w:right="179"/>
              <w:spacing w:after="0"/>
              <w:rPr>
                <w:sz w:val="20"/>
                <w:szCs w:val="20"/>
                <w:color w:val="auto"/>
              </w:rPr>
            </w:pPr>
            <w:r>
              <w:rPr>
                <w:rFonts w:ascii="Arial" w:cs="Arial" w:eastAsia="Arial" w:hAnsi="Arial"/>
                <w:sz w:val="14"/>
                <w:szCs w:val="14"/>
                <w:b w:val="1"/>
                <w:bCs w:val="1"/>
                <w:color w:val="auto"/>
                <w:w w:val="97"/>
              </w:rPr>
              <w:t>Benefits</w:t>
            </w:r>
          </w:p>
        </w:tc>
        <w:tc>
          <w:tcPr>
            <w:tcW w:w="0" w:type="dxa"/>
            <w:vAlign w:val="bottom"/>
          </w:tcPr>
          <w:p>
            <w:pPr>
              <w:spacing w:after="0"/>
              <w:rPr>
                <w:sz w:val="1"/>
                <w:szCs w:val="1"/>
                <w:color w:val="auto"/>
              </w:rPr>
            </w:pPr>
          </w:p>
        </w:tc>
      </w:tr>
      <w:tr>
        <w:trPr>
          <w:trHeight w:val="196"/>
        </w:trPr>
        <w:tc>
          <w:tcPr>
            <w:tcW w:w="20" w:type="dxa"/>
            <w:vAlign w:val="bottom"/>
            <w:vMerge w:val="restart"/>
          </w:tcPr>
          <w:p>
            <w:pPr>
              <w:spacing w:after="0"/>
              <w:rPr>
                <w:sz w:val="17"/>
                <w:szCs w:val="17"/>
                <w:color w:val="auto"/>
              </w:rPr>
            </w:pPr>
          </w:p>
        </w:tc>
        <w:tc>
          <w:tcPr>
            <w:tcW w:w="28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1120" w:type="dxa"/>
            <w:vAlign w:val="bottom"/>
            <w:tcBorders>
              <w:top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720" w:type="dxa"/>
            <w:vAlign w:val="bottom"/>
            <w:tcBorders>
              <w:top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820" w:type="dxa"/>
            <w:vAlign w:val="bottom"/>
            <w:tcBorders>
              <w:top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89"/>
        </w:trPr>
        <w:tc>
          <w:tcPr>
            <w:tcW w:w="20" w:type="dxa"/>
            <w:vAlign w:val="bottom"/>
            <w:vMerge w:val="continue"/>
          </w:tcPr>
          <w:p>
            <w:pPr>
              <w:spacing w:after="0"/>
              <w:rPr>
                <w:sz w:val="16"/>
                <w:szCs w:val="16"/>
                <w:color w:val="auto"/>
              </w:rPr>
            </w:pPr>
          </w:p>
        </w:tc>
        <w:tc>
          <w:tcPr>
            <w:tcW w:w="284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Change in projected benefit</w:t>
            </w:r>
          </w:p>
        </w:tc>
        <w:tc>
          <w:tcPr>
            <w:tcW w:w="3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20" w:type="dxa"/>
            <w:vAlign w:val="bottom"/>
            <w:tcBorders>
              <w:right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84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obligation</w:t>
            </w:r>
          </w:p>
        </w:tc>
        <w:tc>
          <w:tcPr>
            <w:tcW w:w="3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tcBorders>
              <w:right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2840" w:type="dxa"/>
            <w:vAlign w:val="bottom"/>
          </w:tcPr>
          <w:p>
            <w:pPr>
              <w:spacing w:after="0"/>
              <w:rPr>
                <w:sz w:val="20"/>
                <w:szCs w:val="20"/>
                <w:color w:val="auto"/>
              </w:rPr>
            </w:pPr>
            <w:r>
              <w:rPr>
                <w:rFonts w:ascii="Arial" w:cs="Arial" w:eastAsia="Arial" w:hAnsi="Arial"/>
                <w:sz w:val="16"/>
                <w:szCs w:val="16"/>
                <w:color w:val="auto"/>
              </w:rPr>
              <w:t>Benefit obligation at</w:t>
            </w:r>
          </w:p>
        </w:tc>
        <w:tc>
          <w:tcPr>
            <w:tcW w:w="3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6"/>
        </w:trPr>
        <w:tc>
          <w:tcPr>
            <w:tcW w:w="2860" w:type="dxa"/>
            <w:vAlign w:val="bottom"/>
            <w:gridSpan w:val="2"/>
          </w:tcPr>
          <w:p>
            <w:pPr>
              <w:spacing w:after="0"/>
              <w:rPr>
                <w:sz w:val="20"/>
                <w:szCs w:val="20"/>
                <w:color w:val="auto"/>
              </w:rPr>
            </w:pPr>
            <w:r>
              <w:rPr>
                <w:rFonts w:ascii="Arial" w:cs="Arial" w:eastAsia="Arial" w:hAnsi="Arial"/>
                <w:sz w:val="16"/>
                <w:szCs w:val="16"/>
                <w:color w:val="auto"/>
              </w:rPr>
              <w:t>December 31, 2015</w:t>
            </w:r>
          </w:p>
        </w:tc>
        <w:tc>
          <w:tcPr>
            <w:tcW w:w="48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1120" w:type="dxa"/>
            <w:vAlign w:val="bottom"/>
          </w:tcPr>
          <w:p>
            <w:pPr>
              <w:jc w:val="right"/>
              <w:spacing w:after="0"/>
              <w:rPr>
                <w:sz w:val="20"/>
                <w:szCs w:val="20"/>
                <w:color w:val="auto"/>
              </w:rPr>
            </w:pPr>
            <w:r>
              <w:rPr>
                <w:rFonts w:ascii="Arial" w:cs="Arial" w:eastAsia="Arial" w:hAnsi="Arial"/>
                <w:sz w:val="16"/>
                <w:szCs w:val="16"/>
                <w:color w:val="auto"/>
              </w:rPr>
              <w:t>271,462</w:t>
            </w:r>
          </w:p>
        </w:tc>
        <w:tc>
          <w:tcPr>
            <w:tcW w:w="260" w:type="dxa"/>
            <w:vAlign w:val="bottom"/>
            <w:gridSpan w:val="2"/>
          </w:tcPr>
          <w:p>
            <w:pPr>
              <w:ind w:left="140"/>
              <w:spacing w:after="0"/>
              <w:rPr>
                <w:sz w:val="20"/>
                <w:szCs w:val="20"/>
                <w:color w:val="auto"/>
              </w:rPr>
            </w:pPr>
            <w:r>
              <w:rPr>
                <w:rFonts w:ascii="Arial" w:cs="Arial" w:eastAsia="Arial" w:hAnsi="Arial"/>
                <w:sz w:val="16"/>
                <w:szCs w:val="16"/>
                <w:color w:val="auto"/>
              </w:rPr>
              <w:t>$</w:t>
            </w:r>
          </w:p>
        </w:tc>
        <w:tc>
          <w:tcPr>
            <w:tcW w:w="720" w:type="dxa"/>
            <w:vAlign w:val="bottom"/>
          </w:tcPr>
          <w:p>
            <w:pPr>
              <w:jc w:val="right"/>
              <w:spacing w:after="0"/>
              <w:rPr>
                <w:sz w:val="20"/>
                <w:szCs w:val="20"/>
                <w:color w:val="auto"/>
              </w:rPr>
            </w:pPr>
            <w:r>
              <w:rPr>
                <w:rFonts w:ascii="Arial" w:cs="Arial" w:eastAsia="Arial" w:hAnsi="Arial"/>
                <w:sz w:val="16"/>
                <w:szCs w:val="16"/>
                <w:color w:val="auto"/>
              </w:rPr>
              <w:t>38,287</w:t>
            </w:r>
          </w:p>
        </w:tc>
        <w:tc>
          <w:tcPr>
            <w:tcW w:w="280" w:type="dxa"/>
            <w:vAlign w:val="bottom"/>
            <w:gridSpan w:val="2"/>
          </w:tcPr>
          <w:p>
            <w:pPr>
              <w:ind w:left="140"/>
              <w:spacing w:after="0"/>
              <w:rPr>
                <w:sz w:val="20"/>
                <w:szCs w:val="20"/>
                <w:color w:val="auto"/>
              </w:rPr>
            </w:pPr>
            <w:r>
              <w:rPr>
                <w:rFonts w:ascii="Arial" w:cs="Arial" w:eastAsia="Arial" w:hAnsi="Arial"/>
                <w:sz w:val="16"/>
                <w:szCs w:val="16"/>
                <w:color w:val="auto"/>
              </w:rPr>
              <w:t>$</w:t>
            </w:r>
          </w:p>
        </w:tc>
        <w:tc>
          <w:tcPr>
            <w:tcW w:w="820" w:type="dxa"/>
            <w:vAlign w:val="bottom"/>
          </w:tcPr>
          <w:p>
            <w:pPr>
              <w:jc w:val="right"/>
              <w:ind w:right="19"/>
              <w:spacing w:after="0"/>
              <w:rPr>
                <w:sz w:val="20"/>
                <w:szCs w:val="20"/>
                <w:color w:val="auto"/>
              </w:rPr>
            </w:pPr>
            <w:r>
              <w:rPr>
                <w:rFonts w:ascii="Arial" w:cs="Arial" w:eastAsia="Arial" w:hAnsi="Arial"/>
                <w:sz w:val="16"/>
                <w:szCs w:val="16"/>
                <w:color w:val="auto"/>
              </w:rPr>
              <w:t>20,079</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2840" w:type="dxa"/>
            <w:vAlign w:val="bottom"/>
            <w:shd w:val="clear" w:color="auto" w:fill="CCEEFF"/>
          </w:tcPr>
          <w:p>
            <w:pPr>
              <w:spacing w:after="0"/>
              <w:rPr>
                <w:sz w:val="20"/>
                <w:szCs w:val="20"/>
                <w:color w:val="auto"/>
              </w:rPr>
            </w:pPr>
            <w:r>
              <w:rPr>
                <w:rFonts w:ascii="Arial" w:cs="Arial" w:eastAsia="Arial" w:hAnsi="Arial"/>
                <w:sz w:val="16"/>
                <w:szCs w:val="16"/>
                <w:color w:val="auto"/>
              </w:rPr>
              <w:t>Service cost</w:t>
            </w:r>
          </w:p>
        </w:tc>
        <w:tc>
          <w:tcPr>
            <w:tcW w:w="3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9,787</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(24)</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tcBorders>
              <w:right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888</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840" w:type="dxa"/>
            <w:vAlign w:val="bottom"/>
          </w:tcPr>
          <w:p>
            <w:pPr>
              <w:spacing w:after="0"/>
              <w:rPr>
                <w:sz w:val="20"/>
                <w:szCs w:val="20"/>
                <w:color w:val="auto"/>
              </w:rPr>
            </w:pPr>
            <w:r>
              <w:rPr>
                <w:rFonts w:ascii="Arial" w:cs="Arial" w:eastAsia="Arial" w:hAnsi="Arial"/>
                <w:sz w:val="16"/>
                <w:szCs w:val="16"/>
                <w:color w:val="auto"/>
              </w:rPr>
              <w:t>Interest cost</w:t>
            </w:r>
          </w:p>
        </w:tc>
        <w:tc>
          <w:tcPr>
            <w:tcW w:w="3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11,077</w:t>
            </w: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1,279</w:t>
            </w: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20" w:type="dxa"/>
            <w:vAlign w:val="bottom"/>
          </w:tcPr>
          <w:p>
            <w:pPr>
              <w:jc w:val="right"/>
              <w:ind w:right="19"/>
              <w:spacing w:after="0"/>
              <w:rPr>
                <w:sz w:val="20"/>
                <w:szCs w:val="20"/>
                <w:color w:val="auto"/>
              </w:rPr>
            </w:pPr>
            <w:r>
              <w:rPr>
                <w:rFonts w:ascii="Arial" w:cs="Arial" w:eastAsia="Arial" w:hAnsi="Arial"/>
                <w:sz w:val="16"/>
                <w:szCs w:val="16"/>
                <w:color w:val="auto"/>
              </w:rPr>
              <w:t>779</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840" w:type="dxa"/>
            <w:vAlign w:val="bottom"/>
            <w:shd w:val="clear" w:color="auto" w:fill="CCEEFF"/>
          </w:tcPr>
          <w:p>
            <w:pPr>
              <w:spacing w:after="0"/>
              <w:rPr>
                <w:sz w:val="20"/>
                <w:szCs w:val="20"/>
                <w:color w:val="auto"/>
              </w:rPr>
            </w:pPr>
            <w:r>
              <w:rPr>
                <w:rFonts w:ascii="Arial" w:cs="Arial" w:eastAsia="Arial" w:hAnsi="Arial"/>
                <w:sz w:val="16"/>
                <w:szCs w:val="16"/>
                <w:color w:val="auto"/>
              </w:rPr>
              <w:t>Actuarial (gain) loss</w:t>
            </w:r>
          </w:p>
        </w:tc>
        <w:tc>
          <w:tcPr>
            <w:tcW w:w="3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14,095</w:t>
            </w:r>
          </w:p>
        </w:tc>
        <w:tc>
          <w:tcPr>
            <w:tcW w:w="1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7,711</w:t>
            </w: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2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(572)</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840" w:type="dxa"/>
            <w:vAlign w:val="bottom"/>
          </w:tcPr>
          <w:p>
            <w:pPr>
              <w:spacing w:after="0"/>
              <w:rPr>
                <w:sz w:val="20"/>
                <w:szCs w:val="20"/>
                <w:color w:val="auto"/>
              </w:rPr>
            </w:pPr>
            <w:r>
              <w:rPr>
                <w:rFonts w:ascii="Arial" w:cs="Arial" w:eastAsia="Arial" w:hAnsi="Arial"/>
                <w:sz w:val="16"/>
                <w:szCs w:val="16"/>
                <w:color w:val="auto"/>
              </w:rPr>
              <w:t>Settlements</w:t>
            </w:r>
          </w:p>
        </w:tc>
        <w:tc>
          <w:tcPr>
            <w:tcW w:w="3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(6,714)</w:t>
            </w: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20" w:type="dxa"/>
            <w:vAlign w:val="bottom"/>
          </w:tcPr>
          <w:p>
            <w:pPr>
              <w:jc w:val="right"/>
              <w:ind w:right="6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2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840" w:type="dxa"/>
            <w:vAlign w:val="bottom"/>
            <w:shd w:val="clear" w:color="auto" w:fill="CCEEFF"/>
          </w:tcPr>
          <w:p>
            <w:pPr>
              <w:spacing w:after="0"/>
              <w:rPr>
                <w:sz w:val="20"/>
                <w:szCs w:val="20"/>
                <w:color w:val="auto"/>
              </w:rPr>
            </w:pPr>
            <w:r>
              <w:rPr>
                <w:rFonts w:ascii="Arial" w:cs="Arial" w:eastAsia="Arial" w:hAnsi="Arial"/>
                <w:sz w:val="16"/>
                <w:szCs w:val="16"/>
                <w:color w:val="auto"/>
              </w:rPr>
              <w:t>Plan amendments</w:t>
            </w:r>
          </w:p>
        </w:tc>
        <w:tc>
          <w:tcPr>
            <w:tcW w:w="3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20" w:type="dxa"/>
            <w:vAlign w:val="bottom"/>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1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20" w:type="dxa"/>
            <w:vAlign w:val="bottom"/>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20" w:type="dxa"/>
            <w:vAlign w:val="bottom"/>
            <w:tcBorders>
              <w:right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283</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840" w:type="dxa"/>
            <w:vAlign w:val="bottom"/>
          </w:tcPr>
          <w:p>
            <w:pPr>
              <w:spacing w:after="0"/>
              <w:rPr>
                <w:sz w:val="20"/>
                <w:szCs w:val="20"/>
                <w:color w:val="auto"/>
              </w:rPr>
            </w:pPr>
            <w:r>
              <w:rPr>
                <w:rFonts w:ascii="Arial" w:cs="Arial" w:eastAsia="Arial" w:hAnsi="Arial"/>
                <w:sz w:val="16"/>
                <w:szCs w:val="16"/>
                <w:color w:val="auto"/>
              </w:rPr>
              <w:t>Participants’ contributions</w:t>
            </w:r>
          </w:p>
        </w:tc>
        <w:tc>
          <w:tcPr>
            <w:tcW w:w="3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jc w:val="right"/>
              <w:ind w:right="6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20" w:type="dxa"/>
            <w:vAlign w:val="bottom"/>
          </w:tcPr>
          <w:p>
            <w:pPr>
              <w:jc w:val="right"/>
              <w:ind w:right="6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20" w:type="dxa"/>
            <w:vAlign w:val="bottom"/>
          </w:tcPr>
          <w:p>
            <w:pPr>
              <w:jc w:val="right"/>
              <w:ind w:right="19"/>
              <w:spacing w:after="0"/>
              <w:rPr>
                <w:sz w:val="20"/>
                <w:szCs w:val="20"/>
                <w:color w:val="auto"/>
              </w:rPr>
            </w:pPr>
            <w:r>
              <w:rPr>
                <w:rFonts w:ascii="Arial" w:cs="Arial" w:eastAsia="Arial" w:hAnsi="Arial"/>
                <w:sz w:val="16"/>
                <w:szCs w:val="16"/>
                <w:color w:val="auto"/>
              </w:rPr>
              <w:t>921</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840" w:type="dxa"/>
            <w:vAlign w:val="bottom"/>
            <w:shd w:val="clear" w:color="auto" w:fill="CCEEFF"/>
          </w:tcPr>
          <w:p>
            <w:pPr>
              <w:spacing w:after="0"/>
              <w:rPr>
                <w:sz w:val="20"/>
                <w:szCs w:val="20"/>
                <w:color w:val="auto"/>
              </w:rPr>
            </w:pPr>
            <w:r>
              <w:rPr>
                <w:rFonts w:ascii="Arial" w:cs="Arial" w:eastAsia="Arial" w:hAnsi="Arial"/>
                <w:sz w:val="16"/>
                <w:szCs w:val="16"/>
                <w:color w:val="auto"/>
              </w:rPr>
              <w:t>Benefit payments</w:t>
            </w:r>
          </w:p>
        </w:tc>
        <w:tc>
          <w:tcPr>
            <w:tcW w:w="3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(15,515)</w:t>
            </w:r>
          </w:p>
        </w:tc>
        <w:tc>
          <w:tcPr>
            <w:tcW w:w="1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(796)</w:t>
            </w: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2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(2,114)</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840" w:type="dxa"/>
            <w:vAlign w:val="bottom"/>
          </w:tcPr>
          <w:p>
            <w:pPr>
              <w:spacing w:after="0"/>
              <w:rPr>
                <w:sz w:val="20"/>
                <w:szCs w:val="20"/>
                <w:color w:val="auto"/>
              </w:rPr>
            </w:pPr>
            <w:r>
              <w:rPr>
                <w:rFonts w:ascii="Arial" w:cs="Arial" w:eastAsia="Arial" w:hAnsi="Arial"/>
                <w:sz w:val="16"/>
                <w:szCs w:val="16"/>
                <w:color w:val="auto"/>
              </w:rPr>
              <w:t>Foreign currency translation</w:t>
            </w:r>
          </w:p>
        </w:tc>
        <w:tc>
          <w:tcPr>
            <w:tcW w:w="3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122</w:t>
            </w: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(6,932)</w:t>
            </w: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2840" w:type="dxa"/>
            <w:vAlign w:val="bottom"/>
            <w:shd w:val="clear" w:color="auto" w:fill="CCEEFF"/>
          </w:tcPr>
          <w:p>
            <w:pPr>
              <w:spacing w:after="0"/>
              <w:rPr>
                <w:sz w:val="20"/>
                <w:szCs w:val="20"/>
                <w:color w:val="auto"/>
              </w:rPr>
            </w:pPr>
            <w:r>
              <w:rPr>
                <w:rFonts w:ascii="Arial" w:cs="Arial" w:eastAsia="Arial" w:hAnsi="Arial"/>
                <w:sz w:val="16"/>
                <w:szCs w:val="16"/>
                <w:color w:val="auto"/>
              </w:rPr>
              <w:t>Adjustment for movement from</w:t>
            </w:r>
          </w:p>
        </w:tc>
        <w:tc>
          <w:tcPr>
            <w:tcW w:w="3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20" w:type="dxa"/>
            <w:vAlign w:val="bottom"/>
            <w:tcBorders>
              <w:right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2840" w:type="dxa"/>
            <w:vAlign w:val="bottom"/>
            <w:shd w:val="clear" w:color="auto" w:fill="CCEEFF"/>
          </w:tcPr>
          <w:p>
            <w:pPr>
              <w:spacing w:after="0"/>
              <w:rPr>
                <w:sz w:val="20"/>
                <w:szCs w:val="20"/>
                <w:color w:val="auto"/>
              </w:rPr>
            </w:pPr>
            <w:r>
              <w:rPr>
                <w:rFonts w:ascii="Arial" w:cs="Arial" w:eastAsia="Arial" w:hAnsi="Arial"/>
                <w:sz w:val="16"/>
                <w:szCs w:val="16"/>
                <w:color w:val="auto"/>
              </w:rPr>
              <w:t>underfunded to overfunded</w:t>
            </w:r>
          </w:p>
        </w:tc>
        <w:tc>
          <w:tcPr>
            <w:tcW w:w="3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(210)</w:t>
            </w:r>
          </w:p>
        </w:tc>
        <w:tc>
          <w:tcPr>
            <w:tcW w:w="14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210</w:t>
            </w:r>
          </w:p>
        </w:tc>
        <w:tc>
          <w:tcPr>
            <w:tcW w:w="1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right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840" w:type="dxa"/>
            <w:vAlign w:val="bottom"/>
          </w:tcPr>
          <w:p>
            <w:pPr>
              <w:ind w:left="520"/>
              <w:spacing w:after="0" w:line="173" w:lineRule="exact"/>
              <w:rPr>
                <w:sz w:val="20"/>
                <w:szCs w:val="20"/>
                <w:color w:val="auto"/>
              </w:rPr>
            </w:pPr>
            <w:r>
              <w:rPr>
                <w:rFonts w:ascii="Arial" w:cs="Arial" w:eastAsia="Arial" w:hAnsi="Arial"/>
                <w:sz w:val="16"/>
                <w:szCs w:val="16"/>
                <w:color w:val="auto"/>
              </w:rPr>
              <w:t>Projected benefit obligation at</w:t>
            </w:r>
          </w:p>
        </w:tc>
        <w:tc>
          <w:tcPr>
            <w:tcW w:w="3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2840" w:type="dxa"/>
            <w:vAlign w:val="bottom"/>
            <w:tcBorders>
              <w:bottom w:val="single" w:sz="8" w:color="CCEEFF"/>
            </w:tcBorders>
          </w:tcPr>
          <w:p>
            <w:pPr>
              <w:ind w:left="520"/>
              <w:spacing w:after="0"/>
              <w:rPr>
                <w:sz w:val="20"/>
                <w:szCs w:val="20"/>
                <w:color w:val="auto"/>
              </w:rPr>
            </w:pPr>
            <w:r>
              <w:rPr>
                <w:rFonts w:ascii="Arial" w:cs="Arial" w:eastAsia="Arial" w:hAnsi="Arial"/>
                <w:sz w:val="16"/>
                <w:szCs w:val="16"/>
                <w:color w:val="auto"/>
              </w:rPr>
              <w:t>December 31, 2016</w:t>
            </w:r>
          </w:p>
        </w:tc>
        <w:tc>
          <w:tcPr>
            <w:tcW w:w="36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284,104</w:t>
            </w:r>
          </w:p>
        </w:tc>
        <w:tc>
          <w:tcPr>
            <w:tcW w:w="14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39,735</w:t>
            </w:r>
          </w:p>
        </w:tc>
        <w:tc>
          <w:tcPr>
            <w:tcW w:w="16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20,264</w:t>
            </w:r>
          </w:p>
        </w:tc>
        <w:tc>
          <w:tcPr>
            <w:tcW w:w="0" w:type="dxa"/>
            <w:vAlign w:val="bottom"/>
          </w:tcPr>
          <w:p>
            <w:pPr>
              <w:spacing w:after="0"/>
              <w:rPr>
                <w:sz w:val="1"/>
                <w:szCs w:val="1"/>
                <w:color w:val="auto"/>
              </w:rPr>
            </w:pPr>
          </w:p>
        </w:tc>
      </w:tr>
      <w:tr>
        <w:trPr>
          <w:trHeight w:val="179"/>
        </w:trPr>
        <w:tc>
          <w:tcPr>
            <w:tcW w:w="20" w:type="dxa"/>
            <w:vAlign w:val="bottom"/>
          </w:tcPr>
          <w:p>
            <w:pPr>
              <w:spacing w:after="0"/>
              <w:rPr>
                <w:sz w:val="15"/>
                <w:szCs w:val="15"/>
                <w:color w:val="auto"/>
              </w:rPr>
            </w:pPr>
          </w:p>
        </w:tc>
        <w:tc>
          <w:tcPr>
            <w:tcW w:w="2840" w:type="dxa"/>
            <w:vAlign w:val="bottom"/>
            <w:shd w:val="clear" w:color="auto" w:fill="CCEEFF"/>
          </w:tcPr>
          <w:p>
            <w:pPr>
              <w:spacing w:after="0" w:line="179" w:lineRule="exact"/>
              <w:rPr>
                <w:sz w:val="20"/>
                <w:szCs w:val="20"/>
                <w:color w:val="auto"/>
              </w:rPr>
            </w:pPr>
            <w:r>
              <w:rPr>
                <w:rFonts w:ascii="Arial" w:cs="Arial" w:eastAsia="Arial" w:hAnsi="Arial"/>
                <w:sz w:val="16"/>
                <w:szCs w:val="16"/>
                <w:color w:val="auto"/>
              </w:rPr>
              <w:t>Accumulated benefit obligation at</w:t>
            </w:r>
          </w:p>
        </w:tc>
        <w:tc>
          <w:tcPr>
            <w:tcW w:w="36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12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72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20" w:type="dxa"/>
            <w:vAlign w:val="bottom"/>
            <w:tcBorders>
              <w:right w:val="single" w:sz="8" w:color="CCEEFF"/>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2840" w:type="dxa"/>
            <w:vAlign w:val="bottom"/>
            <w:shd w:val="clear" w:color="auto" w:fill="CCEEFF"/>
          </w:tcPr>
          <w:p>
            <w:pPr>
              <w:spacing w:after="0"/>
              <w:rPr>
                <w:sz w:val="20"/>
                <w:szCs w:val="20"/>
                <w:color w:val="auto"/>
              </w:rPr>
            </w:pPr>
            <w:r>
              <w:rPr>
                <w:rFonts w:ascii="Arial" w:cs="Arial" w:eastAsia="Arial" w:hAnsi="Arial"/>
                <w:sz w:val="16"/>
                <w:szCs w:val="16"/>
                <w:color w:val="auto"/>
              </w:rPr>
              <w:t>December 31, 2016</w:t>
            </w:r>
          </w:p>
        </w:tc>
        <w:tc>
          <w:tcPr>
            <w:tcW w:w="3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247,009</w:t>
            </w:r>
          </w:p>
        </w:tc>
        <w:tc>
          <w:tcPr>
            <w:tcW w:w="14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37,289</w:t>
            </w:r>
          </w:p>
        </w:tc>
        <w:tc>
          <w:tcPr>
            <w:tcW w:w="1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right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20,264</w:t>
            </w:r>
          </w:p>
        </w:tc>
        <w:tc>
          <w:tcPr>
            <w:tcW w:w="0" w:type="dxa"/>
            <w:vAlign w:val="bottom"/>
          </w:tcPr>
          <w:p>
            <w:pPr>
              <w:spacing w:after="0"/>
              <w:rPr>
                <w:sz w:val="1"/>
                <w:szCs w:val="1"/>
                <w:color w:val="auto"/>
              </w:rPr>
            </w:pPr>
          </w:p>
        </w:tc>
      </w:tr>
      <w:tr>
        <w:trPr>
          <w:trHeight w:val="183"/>
        </w:trPr>
        <w:tc>
          <w:tcPr>
            <w:tcW w:w="20" w:type="dxa"/>
            <w:vAlign w:val="bottom"/>
          </w:tcPr>
          <w:p>
            <w:pPr>
              <w:spacing w:after="0"/>
              <w:rPr>
                <w:sz w:val="15"/>
                <w:szCs w:val="15"/>
                <w:color w:val="auto"/>
              </w:rPr>
            </w:pPr>
          </w:p>
        </w:tc>
        <w:tc>
          <w:tcPr>
            <w:tcW w:w="2840" w:type="dxa"/>
            <w:vAlign w:val="bottom"/>
          </w:tcPr>
          <w:p>
            <w:pPr>
              <w:spacing w:after="0" w:line="183" w:lineRule="exact"/>
              <w:rPr>
                <w:sz w:val="20"/>
                <w:szCs w:val="20"/>
                <w:color w:val="auto"/>
              </w:rPr>
            </w:pPr>
            <w:r>
              <w:rPr>
                <w:rFonts w:ascii="Arial" w:cs="Arial" w:eastAsia="Arial" w:hAnsi="Arial"/>
                <w:sz w:val="16"/>
                <w:szCs w:val="16"/>
                <w:b w:val="1"/>
                <w:bCs w:val="1"/>
                <w:color w:val="auto"/>
              </w:rPr>
              <w:t>Change in plan assets</w:t>
            </w:r>
          </w:p>
        </w:tc>
        <w:tc>
          <w:tcPr>
            <w:tcW w:w="3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2840" w:type="dxa"/>
            <w:vAlign w:val="bottom"/>
            <w:shd w:val="clear" w:color="auto" w:fill="CCEEFF"/>
          </w:tcPr>
          <w:p>
            <w:pPr>
              <w:spacing w:after="0"/>
              <w:rPr>
                <w:sz w:val="20"/>
                <w:szCs w:val="20"/>
                <w:color w:val="auto"/>
              </w:rPr>
            </w:pPr>
            <w:r>
              <w:rPr>
                <w:rFonts w:ascii="Arial" w:cs="Arial" w:eastAsia="Arial" w:hAnsi="Arial"/>
                <w:sz w:val="16"/>
                <w:szCs w:val="16"/>
                <w:color w:val="auto"/>
              </w:rPr>
              <w:t>Fair value of plan assets at</w:t>
            </w:r>
          </w:p>
        </w:tc>
        <w:tc>
          <w:tcPr>
            <w:tcW w:w="3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20" w:type="dxa"/>
            <w:vAlign w:val="bottom"/>
            <w:tcBorders>
              <w:right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2840" w:type="dxa"/>
            <w:vAlign w:val="bottom"/>
            <w:shd w:val="clear" w:color="auto" w:fill="CCEEFF"/>
          </w:tcPr>
          <w:p>
            <w:pPr>
              <w:spacing w:after="0"/>
              <w:rPr>
                <w:sz w:val="20"/>
                <w:szCs w:val="20"/>
                <w:color w:val="auto"/>
              </w:rPr>
            </w:pPr>
            <w:r>
              <w:rPr>
                <w:rFonts w:ascii="Arial" w:cs="Arial" w:eastAsia="Arial" w:hAnsi="Arial"/>
                <w:sz w:val="16"/>
                <w:szCs w:val="16"/>
                <w:color w:val="auto"/>
              </w:rPr>
              <w:t>December 31, 2015</w:t>
            </w:r>
          </w:p>
        </w:tc>
        <w:tc>
          <w:tcPr>
            <w:tcW w:w="3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157,729</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43,768</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tcBorders>
              <w:right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840" w:type="dxa"/>
            <w:vAlign w:val="bottom"/>
          </w:tcPr>
          <w:p>
            <w:pPr>
              <w:spacing w:after="0"/>
              <w:rPr>
                <w:sz w:val="20"/>
                <w:szCs w:val="20"/>
                <w:color w:val="auto"/>
              </w:rPr>
            </w:pPr>
            <w:r>
              <w:rPr>
                <w:rFonts w:ascii="Arial" w:cs="Arial" w:eastAsia="Arial" w:hAnsi="Arial"/>
                <w:sz w:val="16"/>
                <w:szCs w:val="16"/>
                <w:color w:val="auto"/>
              </w:rPr>
              <w:t>Return on plan assets</w:t>
            </w:r>
          </w:p>
        </w:tc>
        <w:tc>
          <w:tcPr>
            <w:tcW w:w="3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7,203</w:t>
            </w: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8,280</w:t>
            </w: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2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840" w:type="dxa"/>
            <w:vAlign w:val="bottom"/>
            <w:shd w:val="clear" w:color="auto" w:fill="CCEEFF"/>
          </w:tcPr>
          <w:p>
            <w:pPr>
              <w:spacing w:after="0"/>
              <w:rPr>
                <w:sz w:val="20"/>
                <w:szCs w:val="20"/>
                <w:color w:val="auto"/>
              </w:rPr>
            </w:pPr>
            <w:r>
              <w:rPr>
                <w:rFonts w:ascii="Arial" w:cs="Arial" w:eastAsia="Arial" w:hAnsi="Arial"/>
                <w:sz w:val="16"/>
                <w:szCs w:val="16"/>
                <w:color w:val="auto"/>
              </w:rPr>
              <w:t>Employer contributions</w:t>
            </w:r>
          </w:p>
        </w:tc>
        <w:tc>
          <w:tcPr>
            <w:tcW w:w="3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18,335</w:t>
            </w:r>
          </w:p>
        </w:tc>
        <w:tc>
          <w:tcPr>
            <w:tcW w:w="1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2,012</w:t>
            </w: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20" w:type="dxa"/>
            <w:vAlign w:val="bottom"/>
            <w:tcBorders>
              <w:right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1,193</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840" w:type="dxa"/>
            <w:vAlign w:val="bottom"/>
          </w:tcPr>
          <w:p>
            <w:pPr>
              <w:spacing w:after="0"/>
              <w:rPr>
                <w:sz w:val="20"/>
                <w:szCs w:val="20"/>
                <w:color w:val="auto"/>
              </w:rPr>
            </w:pPr>
            <w:r>
              <w:rPr>
                <w:rFonts w:ascii="Arial" w:cs="Arial" w:eastAsia="Arial" w:hAnsi="Arial"/>
                <w:sz w:val="16"/>
                <w:szCs w:val="16"/>
                <w:color w:val="auto"/>
              </w:rPr>
              <w:t>Participants’ contributions</w:t>
            </w:r>
          </w:p>
        </w:tc>
        <w:tc>
          <w:tcPr>
            <w:tcW w:w="3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jc w:val="right"/>
              <w:ind w:right="6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20" w:type="dxa"/>
            <w:vAlign w:val="bottom"/>
          </w:tcPr>
          <w:p>
            <w:pPr>
              <w:jc w:val="right"/>
              <w:ind w:right="6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20" w:type="dxa"/>
            <w:vAlign w:val="bottom"/>
          </w:tcPr>
          <w:p>
            <w:pPr>
              <w:jc w:val="right"/>
              <w:ind w:right="19"/>
              <w:spacing w:after="0"/>
              <w:rPr>
                <w:sz w:val="20"/>
                <w:szCs w:val="20"/>
                <w:color w:val="auto"/>
              </w:rPr>
            </w:pPr>
            <w:r>
              <w:rPr>
                <w:rFonts w:ascii="Arial" w:cs="Arial" w:eastAsia="Arial" w:hAnsi="Arial"/>
                <w:sz w:val="16"/>
                <w:szCs w:val="16"/>
                <w:color w:val="auto"/>
              </w:rPr>
              <w:t>921</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840" w:type="dxa"/>
            <w:vAlign w:val="bottom"/>
            <w:shd w:val="clear" w:color="auto" w:fill="CCEEFF"/>
          </w:tcPr>
          <w:p>
            <w:pPr>
              <w:spacing w:after="0"/>
              <w:rPr>
                <w:sz w:val="20"/>
                <w:szCs w:val="20"/>
                <w:color w:val="auto"/>
              </w:rPr>
            </w:pPr>
            <w:r>
              <w:rPr>
                <w:rFonts w:ascii="Arial" w:cs="Arial" w:eastAsia="Arial" w:hAnsi="Arial"/>
                <w:sz w:val="16"/>
                <w:szCs w:val="16"/>
                <w:color w:val="auto"/>
              </w:rPr>
              <w:t>Settlements</w:t>
            </w:r>
          </w:p>
        </w:tc>
        <w:tc>
          <w:tcPr>
            <w:tcW w:w="3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(6,714)</w:t>
            </w:r>
          </w:p>
        </w:tc>
        <w:tc>
          <w:tcPr>
            <w:tcW w:w="1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20" w:type="dxa"/>
            <w:vAlign w:val="bottom"/>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20" w:type="dxa"/>
            <w:vAlign w:val="bottom"/>
            <w:tcBorders>
              <w:right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840" w:type="dxa"/>
            <w:vAlign w:val="bottom"/>
          </w:tcPr>
          <w:p>
            <w:pPr>
              <w:spacing w:after="0"/>
              <w:rPr>
                <w:sz w:val="20"/>
                <w:szCs w:val="20"/>
                <w:color w:val="auto"/>
              </w:rPr>
            </w:pPr>
            <w:r>
              <w:rPr>
                <w:rFonts w:ascii="Arial" w:cs="Arial" w:eastAsia="Arial" w:hAnsi="Arial"/>
                <w:sz w:val="16"/>
                <w:szCs w:val="16"/>
                <w:color w:val="auto"/>
              </w:rPr>
              <w:t>Benefit payments</w:t>
            </w:r>
          </w:p>
        </w:tc>
        <w:tc>
          <w:tcPr>
            <w:tcW w:w="3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(15,515)</w:t>
            </w: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(796)</w:t>
            </w: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(2,114)</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840" w:type="dxa"/>
            <w:vAlign w:val="bottom"/>
            <w:shd w:val="clear" w:color="auto" w:fill="CCEEFF"/>
          </w:tcPr>
          <w:p>
            <w:pPr>
              <w:spacing w:after="0"/>
              <w:rPr>
                <w:sz w:val="20"/>
                <w:szCs w:val="20"/>
                <w:color w:val="auto"/>
              </w:rPr>
            </w:pPr>
            <w:r>
              <w:rPr>
                <w:rFonts w:ascii="Arial" w:cs="Arial" w:eastAsia="Arial" w:hAnsi="Arial"/>
                <w:sz w:val="16"/>
                <w:szCs w:val="16"/>
                <w:color w:val="auto"/>
              </w:rPr>
              <w:t>Foreign currency translation</w:t>
            </w:r>
          </w:p>
        </w:tc>
        <w:tc>
          <w:tcPr>
            <w:tcW w:w="36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50</w:t>
            </w:r>
          </w:p>
        </w:tc>
        <w:tc>
          <w:tcPr>
            <w:tcW w:w="14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(7,922)</w:t>
            </w:r>
          </w:p>
        </w:tc>
        <w:tc>
          <w:tcPr>
            <w:tcW w:w="16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820" w:type="dxa"/>
            <w:vAlign w:val="bottom"/>
            <w:tcBorders>
              <w:bottom w:val="single" w:sz="8" w:color="auto"/>
              <w:right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840" w:type="dxa"/>
            <w:vAlign w:val="bottom"/>
          </w:tcPr>
          <w:p>
            <w:pPr>
              <w:ind w:left="520"/>
              <w:spacing w:after="0" w:line="173" w:lineRule="exact"/>
              <w:rPr>
                <w:sz w:val="20"/>
                <w:szCs w:val="20"/>
                <w:color w:val="auto"/>
              </w:rPr>
            </w:pPr>
            <w:r>
              <w:rPr>
                <w:rFonts w:ascii="Arial" w:cs="Arial" w:eastAsia="Arial" w:hAnsi="Arial"/>
                <w:sz w:val="16"/>
                <w:szCs w:val="16"/>
                <w:color w:val="auto"/>
              </w:rPr>
              <w:t>Fair value of plan assets at</w:t>
            </w:r>
          </w:p>
        </w:tc>
        <w:tc>
          <w:tcPr>
            <w:tcW w:w="3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2840" w:type="dxa"/>
            <w:vAlign w:val="bottom"/>
            <w:tcBorders>
              <w:bottom w:val="single" w:sz="8" w:color="CCEEFF"/>
            </w:tcBorders>
          </w:tcPr>
          <w:p>
            <w:pPr>
              <w:ind w:left="520"/>
              <w:spacing w:after="0"/>
              <w:rPr>
                <w:sz w:val="20"/>
                <w:szCs w:val="20"/>
                <w:color w:val="auto"/>
              </w:rPr>
            </w:pPr>
            <w:r>
              <w:rPr>
                <w:rFonts w:ascii="Arial" w:cs="Arial" w:eastAsia="Arial" w:hAnsi="Arial"/>
                <w:sz w:val="16"/>
                <w:szCs w:val="16"/>
                <w:color w:val="auto"/>
              </w:rPr>
              <w:t>December 31, 2016</w:t>
            </w:r>
          </w:p>
        </w:tc>
        <w:tc>
          <w:tcPr>
            <w:tcW w:w="36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161,088</w:t>
            </w:r>
          </w:p>
        </w:tc>
        <w:tc>
          <w:tcPr>
            <w:tcW w:w="14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45,342</w:t>
            </w:r>
          </w:p>
        </w:tc>
        <w:tc>
          <w:tcPr>
            <w:tcW w:w="16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ind w:right="9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840" w:type="dxa"/>
            <w:vAlign w:val="bottom"/>
            <w:shd w:val="clear" w:color="auto" w:fill="CCEEFF"/>
          </w:tcPr>
          <w:p>
            <w:pPr>
              <w:ind w:left="520"/>
              <w:spacing w:after="0" w:line="176" w:lineRule="exact"/>
              <w:rPr>
                <w:sz w:val="20"/>
                <w:szCs w:val="20"/>
                <w:color w:val="auto"/>
              </w:rPr>
            </w:pPr>
            <w:r>
              <w:rPr>
                <w:rFonts w:ascii="Arial" w:cs="Arial" w:eastAsia="Arial" w:hAnsi="Arial"/>
                <w:sz w:val="16"/>
                <w:szCs w:val="16"/>
                <w:color w:val="auto"/>
              </w:rPr>
              <w:t>Funded status (fair value of</w:t>
            </w:r>
          </w:p>
        </w:tc>
        <w:tc>
          <w:tcPr>
            <w:tcW w:w="360" w:type="dxa"/>
            <w:vAlign w:val="bottom"/>
            <w:vMerge w:val="restart"/>
            <w:shd w:val="clear" w:color="auto" w:fill="CCEEFF"/>
          </w:tcPr>
          <w:p>
            <w:pPr>
              <w:spacing w:after="0"/>
              <w:rPr>
                <w:sz w:val="15"/>
                <w:szCs w:val="15"/>
                <w:color w:val="auto"/>
              </w:rPr>
            </w:pP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(123,016)</w:t>
            </w:r>
          </w:p>
        </w:tc>
        <w:tc>
          <w:tcPr>
            <w:tcW w:w="260" w:type="dxa"/>
            <w:vAlign w:val="bottom"/>
            <w:gridSpan w:val="2"/>
            <w:vMerge w:val="restart"/>
            <w:shd w:val="clear" w:color="auto" w:fill="CCEEFF"/>
          </w:tcPr>
          <w:p>
            <w:pPr>
              <w:ind w:left="140"/>
              <w:spacing w:after="0"/>
              <w:rPr>
                <w:sz w:val="20"/>
                <w:szCs w:val="20"/>
                <w:color w:val="auto"/>
              </w:rPr>
            </w:pPr>
            <w:r>
              <w:rPr>
                <w:rFonts w:ascii="Arial" w:cs="Arial" w:eastAsia="Arial" w:hAnsi="Arial"/>
                <w:sz w:val="16"/>
                <w:szCs w:val="16"/>
                <w:color w:val="auto"/>
              </w:rPr>
              <w:t>$</w:t>
            </w:r>
          </w:p>
        </w:tc>
        <w:tc>
          <w:tcPr>
            <w:tcW w:w="72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5,607</w:t>
            </w:r>
          </w:p>
        </w:tc>
        <w:tc>
          <w:tcPr>
            <w:tcW w:w="280" w:type="dxa"/>
            <w:vAlign w:val="bottom"/>
            <w:gridSpan w:val="2"/>
            <w:vMerge w:val="restart"/>
            <w:shd w:val="clear" w:color="auto" w:fill="CCEEFF"/>
          </w:tcPr>
          <w:p>
            <w:pPr>
              <w:ind w:left="140"/>
              <w:spacing w:after="0"/>
              <w:rPr>
                <w:sz w:val="20"/>
                <w:szCs w:val="20"/>
                <w:color w:val="auto"/>
              </w:rPr>
            </w:pPr>
            <w:r>
              <w:rPr>
                <w:rFonts w:ascii="Arial" w:cs="Arial" w:eastAsia="Arial" w:hAnsi="Arial"/>
                <w:sz w:val="16"/>
                <w:szCs w:val="16"/>
                <w:color w:val="auto"/>
              </w:rPr>
              <w:t>$</w:t>
            </w:r>
          </w:p>
        </w:tc>
        <w:tc>
          <w:tcPr>
            <w:tcW w:w="820" w:type="dxa"/>
            <w:vAlign w:val="bottom"/>
            <w:tcBorders>
              <w:right w:val="single" w:sz="8" w:color="CCEEFF"/>
            </w:tcBorders>
            <w:vMerge w:val="restart"/>
            <w:shd w:val="clear" w:color="auto" w:fill="CCEEFF"/>
          </w:tcPr>
          <w:p>
            <w:pPr>
              <w:jc w:val="right"/>
              <w:spacing w:after="0"/>
              <w:rPr>
                <w:sz w:val="20"/>
                <w:szCs w:val="20"/>
                <w:color w:val="auto"/>
              </w:rPr>
            </w:pPr>
            <w:r>
              <w:rPr>
                <w:rFonts w:ascii="Arial" w:cs="Arial" w:eastAsia="Arial" w:hAnsi="Arial"/>
                <w:sz w:val="16"/>
                <w:szCs w:val="16"/>
                <w:color w:val="auto"/>
              </w:rPr>
              <w:t>(20,264)</w:t>
            </w:r>
          </w:p>
        </w:tc>
        <w:tc>
          <w:tcPr>
            <w:tcW w:w="0" w:type="dxa"/>
            <w:vAlign w:val="bottom"/>
          </w:tcPr>
          <w:p>
            <w:pPr>
              <w:spacing w:after="0"/>
              <w:rPr>
                <w:sz w:val="1"/>
                <w:szCs w:val="1"/>
                <w:color w:val="auto"/>
              </w:rPr>
            </w:pPr>
          </w:p>
        </w:tc>
      </w:tr>
      <w:tr>
        <w:trPr>
          <w:trHeight w:val="199"/>
        </w:trPr>
        <w:tc>
          <w:tcPr>
            <w:tcW w:w="20" w:type="dxa"/>
            <w:vAlign w:val="bottom"/>
          </w:tcPr>
          <w:p>
            <w:pPr>
              <w:spacing w:after="0"/>
              <w:rPr>
                <w:sz w:val="17"/>
                <w:szCs w:val="17"/>
                <w:color w:val="auto"/>
              </w:rPr>
            </w:pPr>
          </w:p>
        </w:tc>
        <w:tc>
          <w:tcPr>
            <w:tcW w:w="2840" w:type="dxa"/>
            <w:vAlign w:val="bottom"/>
            <w:shd w:val="clear" w:color="auto" w:fill="CCEEFF"/>
          </w:tcPr>
          <w:p>
            <w:pPr>
              <w:ind w:left="520"/>
              <w:spacing w:after="0"/>
              <w:rPr>
                <w:sz w:val="20"/>
                <w:szCs w:val="20"/>
                <w:color w:val="auto"/>
              </w:rPr>
            </w:pPr>
            <w:r>
              <w:rPr>
                <w:rFonts w:ascii="Arial" w:cs="Arial" w:eastAsia="Arial" w:hAnsi="Arial"/>
                <w:sz w:val="16"/>
                <w:szCs w:val="16"/>
                <w:color w:val="auto"/>
              </w:rPr>
              <w:t>plan assets less PBO)</w:t>
            </w:r>
          </w:p>
        </w:tc>
        <w:tc>
          <w:tcPr>
            <w:tcW w:w="360" w:type="dxa"/>
            <w:vAlign w:val="bottom"/>
            <w:vMerge w:val="continue"/>
            <w:shd w:val="clear" w:color="auto" w:fill="CCEEFF"/>
          </w:tcPr>
          <w:p>
            <w:pPr>
              <w:spacing w:after="0"/>
              <w:rPr>
                <w:sz w:val="17"/>
                <w:szCs w:val="17"/>
                <w:color w:val="auto"/>
              </w:rPr>
            </w:pPr>
          </w:p>
        </w:tc>
        <w:tc>
          <w:tcPr>
            <w:tcW w:w="120" w:type="dxa"/>
            <w:vAlign w:val="bottom"/>
            <w:vMerge w:val="continue"/>
            <w:shd w:val="clear" w:color="auto" w:fill="CCEEFF"/>
          </w:tcPr>
          <w:p>
            <w:pPr>
              <w:spacing w:after="0"/>
              <w:rPr>
                <w:sz w:val="17"/>
                <w:szCs w:val="17"/>
                <w:color w:val="auto"/>
              </w:rPr>
            </w:pPr>
          </w:p>
        </w:tc>
        <w:tc>
          <w:tcPr>
            <w:tcW w:w="1120" w:type="dxa"/>
            <w:vAlign w:val="bottom"/>
            <w:vMerge w:val="continue"/>
            <w:shd w:val="clear" w:color="auto" w:fill="CCEEFF"/>
          </w:tcPr>
          <w:p>
            <w:pPr>
              <w:spacing w:after="0"/>
              <w:rPr>
                <w:sz w:val="17"/>
                <w:szCs w:val="17"/>
                <w:color w:val="auto"/>
              </w:rPr>
            </w:pPr>
          </w:p>
        </w:tc>
        <w:tc>
          <w:tcPr>
            <w:tcW w:w="260" w:type="dxa"/>
            <w:vAlign w:val="bottom"/>
            <w:gridSpan w:val="2"/>
            <w:vMerge w:val="continue"/>
            <w:shd w:val="clear" w:color="auto" w:fill="CCEEFF"/>
          </w:tcPr>
          <w:p>
            <w:pPr>
              <w:spacing w:after="0"/>
              <w:rPr>
                <w:sz w:val="17"/>
                <w:szCs w:val="17"/>
                <w:color w:val="auto"/>
              </w:rPr>
            </w:pPr>
          </w:p>
        </w:tc>
        <w:tc>
          <w:tcPr>
            <w:tcW w:w="720" w:type="dxa"/>
            <w:vAlign w:val="bottom"/>
            <w:vMerge w:val="continue"/>
            <w:shd w:val="clear" w:color="auto" w:fill="CCEEFF"/>
          </w:tcPr>
          <w:p>
            <w:pPr>
              <w:spacing w:after="0"/>
              <w:rPr>
                <w:sz w:val="17"/>
                <w:szCs w:val="17"/>
                <w:color w:val="auto"/>
              </w:rPr>
            </w:pPr>
          </w:p>
        </w:tc>
        <w:tc>
          <w:tcPr>
            <w:tcW w:w="280" w:type="dxa"/>
            <w:vAlign w:val="bottom"/>
            <w:gridSpan w:val="2"/>
            <w:vMerge w:val="continue"/>
            <w:shd w:val="clear" w:color="auto" w:fill="CCEEFF"/>
          </w:tcPr>
          <w:p>
            <w:pPr>
              <w:spacing w:after="0"/>
              <w:rPr>
                <w:sz w:val="17"/>
                <w:szCs w:val="17"/>
                <w:color w:val="auto"/>
              </w:rPr>
            </w:pPr>
          </w:p>
        </w:tc>
        <w:tc>
          <w:tcPr>
            <w:tcW w:w="820" w:type="dxa"/>
            <w:vAlign w:val="bottom"/>
            <w:tcBorders>
              <w:right w:val="single" w:sz="8" w:color="CCEEFF"/>
            </w:tcBorders>
            <w:vMerge w:val="continue"/>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2840" w:type="dxa"/>
            <w:vAlign w:val="bottom"/>
            <w:shd w:val="clear" w:color="auto" w:fill="CCEEFF"/>
          </w:tcPr>
          <w:p>
            <w:pPr>
              <w:spacing w:after="0"/>
              <w:rPr>
                <w:sz w:val="2"/>
                <w:szCs w:val="2"/>
                <w:color w:val="auto"/>
              </w:rPr>
            </w:pPr>
          </w:p>
        </w:tc>
        <w:tc>
          <w:tcPr>
            <w:tcW w:w="360" w:type="dxa"/>
            <w:vAlign w:val="bottom"/>
            <w:shd w:val="clear" w:color="auto" w:fill="CCEEFF"/>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120" w:type="dxa"/>
            <w:vAlign w:val="bottom"/>
            <w:shd w:val="clear" w:color="auto" w:fill="000000"/>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820" w:type="dxa"/>
            <w:vAlign w:val="bottom"/>
            <w:tcBorders>
              <w:right w:val="single" w:sz="8" w:color="CCEEFF"/>
            </w:tcBorders>
            <w:shd w:val="clear" w:color="auto" w:fill="000000"/>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ind w:left="1240" w:right="1279" w:firstLine="648"/>
        <w:spacing w:after="0" w:line="277" w:lineRule="auto"/>
        <w:rPr>
          <w:sz w:val="20"/>
          <w:szCs w:val="20"/>
          <w:color w:val="auto"/>
        </w:rPr>
      </w:pPr>
      <w:r>
        <w:rPr>
          <w:rFonts w:ascii="Arial" w:cs="Arial" w:eastAsia="Arial" w:hAnsi="Arial"/>
          <w:sz w:val="18"/>
          <w:szCs w:val="18"/>
          <w:color w:val="auto"/>
        </w:rPr>
        <w:t>The amount of pension and postretirement assets and liabilities recognized on the consolidated balance sheets were as follows:</w:t>
      </w:r>
    </w:p>
    <w:p>
      <w:pPr>
        <w:spacing w:after="0" w:line="163" w:lineRule="exact"/>
        <w:rPr>
          <w:sz w:val="20"/>
          <w:szCs w:val="20"/>
          <w:color w:val="auto"/>
        </w:rPr>
      </w:pPr>
    </w:p>
    <w:tbl>
      <w:tblPr>
        <w:tblLayout w:type="fixed"/>
        <w:tblInd w:w="12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8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500" w:type="dxa"/>
            <w:vAlign w:val="bottom"/>
            <w:gridSpan w:val="4"/>
            <w:vMerge w:val="restart"/>
          </w:tcPr>
          <w:p>
            <w:pPr>
              <w:jc w:val="right"/>
              <w:ind w:right="201"/>
              <w:spacing w:after="0"/>
              <w:rPr>
                <w:sz w:val="20"/>
                <w:szCs w:val="20"/>
                <w:color w:val="auto"/>
              </w:rPr>
            </w:pPr>
            <w:r>
              <w:rPr>
                <w:rFonts w:ascii="Arial" w:cs="Arial" w:eastAsia="Arial" w:hAnsi="Arial"/>
                <w:sz w:val="14"/>
                <w:szCs w:val="14"/>
                <w:b w:val="1"/>
                <w:bCs w:val="1"/>
                <w:color w:val="auto"/>
              </w:rPr>
              <w:t>Pension Benefits</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380" w:type="dxa"/>
            <w:vAlign w:val="bottom"/>
            <w:gridSpan w:val="6"/>
          </w:tcPr>
          <w:p>
            <w:pPr>
              <w:jc w:val="center"/>
              <w:ind w:right="140"/>
              <w:spacing w:after="0"/>
              <w:rPr>
                <w:sz w:val="20"/>
                <w:szCs w:val="20"/>
                <w:color w:val="auto"/>
              </w:rPr>
            </w:pPr>
            <w:r>
              <w:rPr>
                <w:rFonts w:ascii="Arial" w:cs="Arial" w:eastAsia="Arial" w:hAnsi="Arial"/>
                <w:sz w:val="14"/>
                <w:szCs w:val="14"/>
                <w:b w:val="1"/>
                <w:bCs w:val="1"/>
                <w:color w:val="auto"/>
                <w:w w:val="93"/>
              </w:rPr>
              <w:t>Postretirement</w:t>
            </w:r>
          </w:p>
        </w:tc>
        <w:tc>
          <w:tcPr>
            <w:tcW w:w="0" w:type="dxa"/>
            <w:vAlign w:val="bottom"/>
          </w:tcPr>
          <w:p>
            <w:pPr>
              <w:spacing w:after="0"/>
              <w:rPr>
                <w:sz w:val="1"/>
                <w:szCs w:val="1"/>
                <w:color w:val="auto"/>
              </w:rPr>
            </w:pPr>
          </w:p>
        </w:tc>
      </w:tr>
      <w:tr>
        <w:trPr>
          <w:trHeight w:val="171"/>
        </w:trPr>
        <w:tc>
          <w:tcPr>
            <w:tcW w:w="2840" w:type="dxa"/>
            <w:vAlign w:val="bottom"/>
            <w:gridSpan w:val="2"/>
            <w:vMerge w:val="restart"/>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5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500" w:type="dxa"/>
            <w:vAlign w:val="bottom"/>
            <w:gridSpan w:val="4"/>
            <w:vMerge w:val="continue"/>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380" w:type="dxa"/>
            <w:vAlign w:val="bottom"/>
            <w:gridSpan w:val="6"/>
          </w:tcPr>
          <w:p>
            <w:pPr>
              <w:jc w:val="center"/>
              <w:ind w:right="140"/>
              <w:spacing w:after="0"/>
              <w:rPr>
                <w:sz w:val="20"/>
                <w:szCs w:val="20"/>
                <w:color w:val="auto"/>
              </w:rPr>
            </w:pPr>
            <w:r>
              <w:rPr>
                <w:rFonts w:ascii="Arial" w:cs="Arial" w:eastAsia="Arial" w:hAnsi="Arial"/>
                <w:sz w:val="14"/>
                <w:szCs w:val="14"/>
                <w:b w:val="1"/>
                <w:bCs w:val="1"/>
                <w:color w:val="auto"/>
                <w:w w:val="86"/>
              </w:rPr>
              <w:t>Benefits</w:t>
            </w:r>
          </w:p>
        </w:tc>
        <w:tc>
          <w:tcPr>
            <w:tcW w:w="0" w:type="dxa"/>
            <w:vAlign w:val="bottom"/>
          </w:tcPr>
          <w:p>
            <w:pPr>
              <w:spacing w:after="0"/>
              <w:rPr>
                <w:sz w:val="1"/>
                <w:szCs w:val="1"/>
                <w:color w:val="auto"/>
              </w:rPr>
            </w:pPr>
          </w:p>
        </w:tc>
      </w:tr>
      <w:tr>
        <w:trPr>
          <w:trHeight w:val="142"/>
        </w:trPr>
        <w:tc>
          <w:tcPr>
            <w:tcW w:w="2840" w:type="dxa"/>
            <w:vAlign w:val="bottom"/>
            <w:gridSpan w:val="2"/>
            <w:vMerge w:val="continue"/>
          </w:tcPr>
          <w:p>
            <w:pPr>
              <w:spacing w:after="0"/>
              <w:rPr>
                <w:sz w:val="12"/>
                <w:szCs w:val="12"/>
                <w:color w:val="auto"/>
              </w:rPr>
            </w:pPr>
          </w:p>
        </w:tc>
        <w:tc>
          <w:tcPr>
            <w:tcW w:w="50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640" w:type="dxa"/>
            <w:vAlign w:val="bottom"/>
            <w:tcBorders>
              <w:top w:val="single" w:sz="8" w:color="auto"/>
              <w:bottom w:val="single" w:sz="8" w:color="auto"/>
            </w:tcBorders>
          </w:tcPr>
          <w:p>
            <w:pPr>
              <w:jc w:val="right"/>
              <w:ind w:right="142"/>
              <w:spacing w:after="0" w:line="142" w:lineRule="exact"/>
              <w:rPr>
                <w:sz w:val="20"/>
                <w:szCs w:val="20"/>
                <w:color w:val="auto"/>
              </w:rPr>
            </w:pPr>
            <w:r>
              <w:rPr>
                <w:rFonts w:ascii="Arial" w:cs="Arial" w:eastAsia="Arial" w:hAnsi="Arial"/>
                <w:sz w:val="14"/>
                <w:szCs w:val="14"/>
                <w:b w:val="1"/>
                <w:bCs w:val="1"/>
                <w:color w:val="auto"/>
              </w:rPr>
              <w:t>2017</w:t>
            </w:r>
          </w:p>
        </w:tc>
        <w:tc>
          <w:tcPr>
            <w:tcW w:w="160" w:type="dxa"/>
            <w:vAlign w:val="bottom"/>
            <w:tcBorders>
              <w:top w:val="single" w:sz="8" w:color="auto"/>
            </w:tcBorders>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620" w:type="dxa"/>
            <w:vAlign w:val="bottom"/>
            <w:tcBorders>
              <w:top w:val="single" w:sz="8" w:color="auto"/>
              <w:bottom w:val="single" w:sz="8" w:color="auto"/>
            </w:tcBorders>
          </w:tcPr>
          <w:p>
            <w:pPr>
              <w:jc w:val="right"/>
              <w:ind w:right="141"/>
              <w:spacing w:after="0" w:line="142" w:lineRule="exact"/>
              <w:rPr>
                <w:sz w:val="20"/>
                <w:szCs w:val="20"/>
                <w:color w:val="auto"/>
              </w:rPr>
            </w:pPr>
            <w:r>
              <w:rPr>
                <w:rFonts w:ascii="Arial" w:cs="Arial" w:eastAsia="Arial" w:hAnsi="Arial"/>
                <w:sz w:val="14"/>
                <w:szCs w:val="14"/>
                <w:b w:val="1"/>
                <w:bCs w:val="1"/>
                <w:color w:val="auto"/>
              </w:rPr>
              <w:t>2016</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560" w:type="dxa"/>
            <w:vAlign w:val="bottom"/>
            <w:tcBorders>
              <w:top w:val="single" w:sz="8" w:color="auto"/>
              <w:bottom w:val="single" w:sz="8" w:color="auto"/>
            </w:tcBorders>
          </w:tcPr>
          <w:p>
            <w:pPr>
              <w:jc w:val="right"/>
              <w:ind w:right="103"/>
              <w:spacing w:after="0" w:line="142" w:lineRule="exact"/>
              <w:rPr>
                <w:sz w:val="20"/>
                <w:szCs w:val="20"/>
                <w:color w:val="auto"/>
              </w:rPr>
            </w:pPr>
            <w:r>
              <w:rPr>
                <w:rFonts w:ascii="Arial" w:cs="Arial" w:eastAsia="Arial" w:hAnsi="Arial"/>
                <w:sz w:val="14"/>
                <w:szCs w:val="14"/>
                <w:b w:val="1"/>
                <w:bCs w:val="1"/>
                <w:color w:val="auto"/>
              </w:rPr>
              <w:t>2017</w:t>
            </w:r>
          </w:p>
        </w:tc>
        <w:tc>
          <w:tcPr>
            <w:tcW w:w="14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60" w:type="dxa"/>
            <w:vAlign w:val="bottom"/>
            <w:tcBorders>
              <w:top w:val="single" w:sz="8" w:color="auto"/>
              <w:bottom w:val="single" w:sz="8" w:color="auto"/>
            </w:tcBorders>
          </w:tcPr>
          <w:p>
            <w:pPr>
              <w:spacing w:after="0"/>
              <w:rPr>
                <w:sz w:val="12"/>
                <w:szCs w:val="12"/>
                <w:color w:val="auto"/>
              </w:rPr>
            </w:pPr>
          </w:p>
        </w:tc>
        <w:tc>
          <w:tcPr>
            <w:tcW w:w="560" w:type="dxa"/>
            <w:vAlign w:val="bottom"/>
            <w:tcBorders>
              <w:top w:val="single" w:sz="8" w:color="auto"/>
              <w:bottom w:val="single" w:sz="8" w:color="auto"/>
            </w:tcBorders>
          </w:tcPr>
          <w:p>
            <w:pPr>
              <w:jc w:val="right"/>
              <w:ind w:right="101"/>
              <w:spacing w:after="0" w:line="142" w:lineRule="exact"/>
              <w:rPr>
                <w:sz w:val="20"/>
                <w:szCs w:val="20"/>
                <w:color w:val="auto"/>
              </w:rPr>
            </w:pPr>
            <w:r>
              <w:rPr>
                <w:rFonts w:ascii="Arial" w:cs="Arial" w:eastAsia="Arial" w:hAnsi="Arial"/>
                <w:sz w:val="14"/>
                <w:szCs w:val="14"/>
                <w:b w:val="1"/>
                <w:bCs w:val="1"/>
                <w:color w:val="auto"/>
              </w:rPr>
              <w:t>2016</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3"/>
        </w:trPr>
        <w:tc>
          <w:tcPr>
            <w:tcW w:w="20" w:type="dxa"/>
            <w:vAlign w:val="bottom"/>
            <w:vMerge w:val="restart"/>
          </w:tcPr>
          <w:p>
            <w:pPr>
              <w:spacing w:after="0"/>
              <w:rPr>
                <w:sz w:val="15"/>
                <w:szCs w:val="15"/>
                <w:color w:val="auto"/>
              </w:rPr>
            </w:pPr>
          </w:p>
        </w:tc>
        <w:tc>
          <w:tcPr>
            <w:tcW w:w="282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2820" w:type="dxa"/>
            <w:vAlign w:val="bottom"/>
            <w:shd w:val="clear" w:color="auto" w:fill="CCEEFF"/>
          </w:tcPr>
          <w:p>
            <w:pPr>
              <w:spacing w:after="0"/>
              <w:rPr>
                <w:sz w:val="20"/>
                <w:szCs w:val="20"/>
                <w:color w:val="auto"/>
              </w:rPr>
            </w:pPr>
            <w:r>
              <w:rPr>
                <w:rFonts w:ascii="Arial" w:cs="Arial" w:eastAsia="Arial" w:hAnsi="Arial"/>
                <w:sz w:val="16"/>
                <w:szCs w:val="16"/>
                <w:color w:val="auto"/>
              </w:rPr>
              <w:t>Other noncurrent assets</w:t>
            </w:r>
          </w:p>
        </w:tc>
        <w:tc>
          <w:tcPr>
            <w:tcW w:w="58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15,299</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5,607</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560" w:type="dxa"/>
            <w:vAlign w:val="bottom"/>
            <w:shd w:val="clear" w:color="auto" w:fill="CCEEFF"/>
          </w:tcPr>
          <w:p>
            <w:pPr>
              <w:jc w:val="right"/>
              <w:ind w:right="63"/>
              <w:spacing w:after="0"/>
              <w:rPr>
                <w:sz w:val="20"/>
                <w:szCs w:val="20"/>
                <w:color w:val="auto"/>
              </w:rPr>
            </w:pPr>
            <w:r>
              <w:rPr>
                <w:rFonts w:ascii="Arial" w:cs="Arial" w:eastAsia="Arial" w:hAnsi="Arial"/>
                <w:sz w:val="16"/>
                <w:szCs w:val="16"/>
                <w:color w:val="auto"/>
              </w:rPr>
              <w:t>-</w:t>
            </w:r>
          </w:p>
        </w:tc>
        <w:tc>
          <w:tcPr>
            <w:tcW w:w="140" w:type="dxa"/>
            <w:vAlign w:val="bottom"/>
            <w:shd w:val="clear" w:color="auto" w:fill="CCEEFF"/>
          </w:tcPr>
          <w:p>
            <w:pPr>
              <w:spacing w:after="0"/>
              <w:rPr>
                <w:sz w:val="17"/>
                <w:szCs w:val="17"/>
                <w:color w:val="auto"/>
              </w:rPr>
            </w:pPr>
          </w:p>
        </w:tc>
        <w:tc>
          <w:tcPr>
            <w:tcW w:w="80" w:type="dxa"/>
            <w:vAlign w:val="bottom"/>
            <w:gridSpan w:val="2"/>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shd w:val="clear" w:color="auto" w:fill="CCEEFF"/>
          </w:tcPr>
          <w:p>
            <w:pPr>
              <w:jc w:val="right"/>
              <w:ind w:right="61"/>
              <w:spacing w:after="0"/>
              <w:rPr>
                <w:sz w:val="20"/>
                <w:szCs w:val="20"/>
                <w:color w:val="auto"/>
              </w:rPr>
            </w:pPr>
            <w:r>
              <w:rPr>
                <w:rFonts w:ascii="Arial" w:cs="Arial" w:eastAsia="Arial" w:hAnsi="Arial"/>
                <w:sz w:val="16"/>
                <w:szCs w:val="16"/>
                <w:color w:val="auto"/>
              </w:rPr>
              <w:t>-</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820" w:type="dxa"/>
            <w:vAlign w:val="bottom"/>
          </w:tcPr>
          <w:p>
            <w:pPr>
              <w:spacing w:after="0"/>
              <w:rPr>
                <w:sz w:val="20"/>
                <w:szCs w:val="20"/>
                <w:color w:val="auto"/>
              </w:rPr>
            </w:pPr>
            <w:r>
              <w:rPr>
                <w:rFonts w:ascii="Arial" w:cs="Arial" w:eastAsia="Arial" w:hAnsi="Arial"/>
                <w:sz w:val="16"/>
                <w:szCs w:val="16"/>
                <w:color w:val="auto"/>
              </w:rPr>
              <w:t>Accrued compensation and benefits</w:t>
            </w:r>
          </w:p>
        </w:tc>
        <w:tc>
          <w:tcPr>
            <w:tcW w:w="5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(18,933)</w:t>
            </w: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(7,149)</w:t>
            </w: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60" w:type="dxa"/>
            <w:vAlign w:val="bottom"/>
          </w:tcPr>
          <w:p>
            <w:pPr>
              <w:jc w:val="right"/>
              <w:spacing w:after="0"/>
              <w:rPr>
                <w:sz w:val="20"/>
                <w:szCs w:val="20"/>
                <w:color w:val="auto"/>
              </w:rPr>
            </w:pPr>
            <w:r>
              <w:rPr>
                <w:rFonts w:ascii="Arial" w:cs="Arial" w:eastAsia="Arial" w:hAnsi="Arial"/>
                <w:sz w:val="16"/>
                <w:szCs w:val="16"/>
                <w:color w:val="auto"/>
              </w:rPr>
              <w:t>(748)</w:t>
            </w: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560" w:type="dxa"/>
            <w:vAlign w:val="bottom"/>
          </w:tcPr>
          <w:p>
            <w:pPr>
              <w:jc w:val="right"/>
              <w:spacing w:after="0"/>
              <w:rPr>
                <w:sz w:val="20"/>
                <w:szCs w:val="20"/>
                <w:color w:val="auto"/>
              </w:rPr>
            </w:pPr>
            <w:r>
              <w:rPr>
                <w:rFonts w:ascii="Arial" w:cs="Arial" w:eastAsia="Arial" w:hAnsi="Arial"/>
                <w:sz w:val="16"/>
                <w:szCs w:val="16"/>
                <w:color w:val="auto"/>
              </w:rPr>
              <w:t>(784)</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2820" w:type="dxa"/>
            <w:vAlign w:val="bottom"/>
            <w:shd w:val="clear" w:color="auto" w:fill="CCEEFF"/>
          </w:tcPr>
          <w:p>
            <w:pPr>
              <w:spacing w:after="0"/>
              <w:rPr>
                <w:sz w:val="20"/>
                <w:szCs w:val="20"/>
                <w:color w:val="auto"/>
              </w:rPr>
            </w:pPr>
            <w:r>
              <w:rPr>
                <w:rFonts w:ascii="Arial" w:cs="Arial" w:eastAsia="Arial" w:hAnsi="Arial"/>
                <w:sz w:val="16"/>
                <w:szCs w:val="16"/>
                <w:color w:val="auto"/>
              </w:rPr>
              <w:t>Accrued pension and postretirement</w:t>
            </w:r>
          </w:p>
        </w:tc>
        <w:tc>
          <w:tcPr>
            <w:tcW w:w="5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6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6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56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2820" w:type="dxa"/>
            <w:vAlign w:val="bottom"/>
            <w:shd w:val="clear" w:color="auto" w:fill="CCEEFF"/>
          </w:tcPr>
          <w:p>
            <w:pPr>
              <w:spacing w:after="0"/>
              <w:rPr>
                <w:sz w:val="20"/>
                <w:szCs w:val="20"/>
                <w:color w:val="auto"/>
              </w:rPr>
            </w:pPr>
            <w:r>
              <w:rPr>
                <w:rFonts w:ascii="Arial" w:cs="Arial" w:eastAsia="Arial" w:hAnsi="Arial"/>
                <w:sz w:val="16"/>
                <w:szCs w:val="16"/>
                <w:color w:val="auto"/>
              </w:rPr>
              <w:t>benefits</w:t>
            </w:r>
          </w:p>
        </w:tc>
        <w:tc>
          <w:tcPr>
            <w:tcW w:w="50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90"/>
              </w:rPr>
              <w:t>(114,856)</w:t>
            </w:r>
          </w:p>
        </w:tc>
        <w:tc>
          <w:tcPr>
            <w:tcW w:w="16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7"/>
              </w:rPr>
              <w:t>(115,867)</w:t>
            </w:r>
          </w:p>
        </w:tc>
        <w:tc>
          <w:tcPr>
            <w:tcW w:w="16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7"/>
              </w:rPr>
              <w:t>(15,304)</w:t>
            </w: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60" w:type="dxa"/>
            <w:vAlign w:val="bottom"/>
            <w:tcBorders>
              <w:bottom w:val="single" w:sz="8" w:color="auto"/>
            </w:tcBorders>
            <w:shd w:val="clear" w:color="auto" w:fill="CCEEFF"/>
          </w:tcPr>
          <w:p>
            <w:pPr>
              <w:spacing w:after="0"/>
              <w:rPr>
                <w:sz w:val="18"/>
                <w:szCs w:val="18"/>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7"/>
              </w:rPr>
              <w:t>(19,480)</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820" w:type="dxa"/>
            <w:vAlign w:val="bottom"/>
          </w:tcPr>
          <w:p>
            <w:pPr>
              <w:ind w:left="520"/>
              <w:spacing w:after="0"/>
              <w:rPr>
                <w:sz w:val="20"/>
                <w:szCs w:val="20"/>
                <w:color w:val="auto"/>
              </w:rPr>
            </w:pPr>
            <w:r>
              <w:rPr>
                <w:rFonts w:ascii="Arial" w:cs="Arial" w:eastAsia="Arial" w:hAnsi="Arial"/>
                <w:sz w:val="16"/>
                <w:szCs w:val="16"/>
                <w:color w:val="auto"/>
              </w:rPr>
              <w:t>Net amount recognized</w:t>
            </w:r>
          </w:p>
        </w:tc>
        <w:tc>
          <w:tcPr>
            <w:tcW w:w="500" w:type="dxa"/>
            <w:vAlign w:val="bottom"/>
          </w:tcPr>
          <w:p>
            <w:pPr>
              <w:spacing w:after="0"/>
              <w:rPr>
                <w:sz w:val="17"/>
                <w:szCs w:val="17"/>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5"/>
                <w:szCs w:val="15"/>
                <w:u w:val="single" w:color="auto"/>
                <w:color w:val="auto"/>
                <w:w w:val="71"/>
              </w:rPr>
              <w:t>$</w:t>
            </w: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90"/>
              </w:rPr>
              <w:t>(118,490)</w:t>
            </w:r>
          </w:p>
        </w:tc>
        <w:tc>
          <w:tcPr>
            <w:tcW w:w="160" w:type="dxa"/>
            <w:vAlign w:val="bottom"/>
          </w:tcPr>
          <w:p>
            <w:pPr>
              <w:spacing w:after="0"/>
              <w:rPr>
                <w:sz w:val="17"/>
                <w:szCs w:val="17"/>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0"/>
                <w:szCs w:val="10"/>
                <w:u w:val="single" w:color="auto"/>
                <w:color w:val="auto"/>
                <w:w w:val="71"/>
              </w:rPr>
              <w:t>$</w:t>
            </w: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7"/>
              </w:rPr>
              <w:t>(117,409)</w:t>
            </w:r>
          </w:p>
        </w:tc>
        <w:tc>
          <w:tcPr>
            <w:tcW w:w="160" w:type="dxa"/>
            <w:vAlign w:val="bottom"/>
          </w:tcPr>
          <w:p>
            <w:pPr>
              <w:spacing w:after="0"/>
              <w:rPr>
                <w:sz w:val="17"/>
                <w:szCs w:val="17"/>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5"/>
                <w:szCs w:val="15"/>
                <w:u w:val="single" w:color="auto"/>
                <w:color w:val="auto"/>
                <w:w w:val="71"/>
              </w:rPr>
              <w:t>$</w:t>
            </w: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7"/>
              </w:rPr>
              <w:t>(16,052)</w:t>
            </w:r>
          </w:p>
        </w:tc>
        <w:tc>
          <w:tcPr>
            <w:tcW w:w="140" w:type="dxa"/>
            <w:vAlign w:val="bottom"/>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60" w:type="dxa"/>
            <w:vAlign w:val="bottom"/>
            <w:tcBorders>
              <w:bottom w:val="single" w:sz="8" w:color="auto"/>
            </w:tcBorders>
          </w:tcPr>
          <w:p>
            <w:pPr>
              <w:jc w:val="right"/>
              <w:spacing w:after="0"/>
              <w:rPr>
                <w:sz w:val="20"/>
                <w:szCs w:val="20"/>
                <w:color w:val="auto"/>
              </w:rPr>
            </w:pPr>
            <w:r>
              <w:rPr>
                <w:rFonts w:ascii="Arial" w:cs="Arial" w:eastAsia="Arial" w:hAnsi="Arial"/>
                <w:sz w:val="10"/>
                <w:szCs w:val="10"/>
                <w:u w:val="single" w:color="auto"/>
                <w:color w:val="auto"/>
                <w:w w:val="71"/>
              </w:rPr>
              <w:t>$</w:t>
            </w: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7"/>
              </w:rPr>
              <w:t>(20,264)</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1240" w:right="1759" w:firstLine="648"/>
        <w:spacing w:after="0" w:line="264" w:lineRule="auto"/>
        <w:rPr>
          <w:sz w:val="20"/>
          <w:szCs w:val="20"/>
          <w:color w:val="auto"/>
        </w:rPr>
      </w:pPr>
      <w:r>
        <w:rPr>
          <w:rFonts w:ascii="Arial" w:cs="Arial" w:eastAsia="Arial" w:hAnsi="Arial"/>
          <w:sz w:val="18"/>
          <w:szCs w:val="18"/>
          <w:color w:val="auto"/>
        </w:rPr>
        <w:t>The amounts in accumulated other comprehensive income (loss) on the consolidated balance sheets that have not yet been recognized as components of net periodic benefit cost were as follows:</w:t>
      </w:r>
    </w:p>
    <w:p>
      <w:pPr>
        <w:spacing w:after="0" w:line="200" w:lineRule="exact"/>
        <w:rPr>
          <w:sz w:val="20"/>
          <w:szCs w:val="20"/>
          <w:color w:val="auto"/>
        </w:rPr>
      </w:pPr>
    </w:p>
    <w:tbl>
      <w:tblPr>
        <w:tblLayout w:type="fixed"/>
        <w:tblInd w:w="124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23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940" w:type="dxa"/>
            <w:vAlign w:val="bottom"/>
            <w:gridSpan w:val="5"/>
          </w:tcPr>
          <w:p>
            <w:pPr>
              <w:jc w:val="right"/>
              <w:ind w:right="480"/>
              <w:spacing w:after="0"/>
              <w:rPr>
                <w:sz w:val="20"/>
                <w:szCs w:val="20"/>
                <w:color w:val="auto"/>
              </w:rPr>
            </w:pPr>
            <w:r>
              <w:rPr>
                <w:rFonts w:ascii="Arial" w:cs="Arial" w:eastAsia="Arial" w:hAnsi="Arial"/>
                <w:sz w:val="14"/>
                <w:szCs w:val="14"/>
                <w:b w:val="1"/>
                <w:bCs w:val="1"/>
                <w:color w:val="auto"/>
              </w:rPr>
              <w:t>Pension Benefits</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80" w:type="dxa"/>
            <w:vAlign w:val="bottom"/>
            <w:gridSpan w:val="5"/>
          </w:tcPr>
          <w:p>
            <w:pPr>
              <w:jc w:val="right"/>
              <w:ind w:right="280"/>
              <w:spacing w:after="0"/>
              <w:rPr>
                <w:sz w:val="20"/>
                <w:szCs w:val="20"/>
                <w:color w:val="auto"/>
              </w:rPr>
            </w:pPr>
            <w:r>
              <w:rPr>
                <w:rFonts w:ascii="Arial" w:cs="Arial" w:eastAsia="Arial" w:hAnsi="Arial"/>
                <w:sz w:val="14"/>
                <w:szCs w:val="14"/>
                <w:b w:val="1"/>
                <w:bCs w:val="1"/>
                <w:color w:val="auto"/>
              </w:rPr>
              <w:t>Postretirement Benefits</w:t>
            </w:r>
          </w:p>
        </w:tc>
        <w:tc>
          <w:tcPr>
            <w:tcW w:w="0" w:type="dxa"/>
            <w:vAlign w:val="bottom"/>
          </w:tcPr>
          <w:p>
            <w:pPr>
              <w:spacing w:after="0"/>
              <w:rPr>
                <w:sz w:val="1"/>
                <w:szCs w:val="1"/>
                <w:color w:val="auto"/>
              </w:rPr>
            </w:pPr>
          </w:p>
        </w:tc>
      </w:tr>
      <w:tr>
        <w:trPr>
          <w:trHeight w:val="142"/>
        </w:trPr>
        <w:tc>
          <w:tcPr>
            <w:tcW w:w="2360" w:type="dxa"/>
            <w:vAlign w:val="bottom"/>
            <w:gridSpan w:val="2"/>
            <w:vMerge w:val="restart"/>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120" w:type="dxa"/>
            <w:vAlign w:val="bottom"/>
          </w:tcPr>
          <w:p>
            <w:pPr>
              <w:spacing w:after="0"/>
              <w:rPr>
                <w:sz w:val="12"/>
                <w:szCs w:val="12"/>
                <w:color w:val="auto"/>
              </w:rPr>
            </w:pPr>
          </w:p>
        </w:tc>
        <w:tc>
          <w:tcPr>
            <w:tcW w:w="1940" w:type="dxa"/>
            <w:vAlign w:val="bottom"/>
            <w:tcBorders>
              <w:top w:val="single" w:sz="8" w:color="auto"/>
              <w:bottom w:val="single" w:sz="8" w:color="auto"/>
            </w:tcBorders>
            <w:gridSpan w:val="5"/>
          </w:tcPr>
          <w:p>
            <w:pPr>
              <w:jc w:val="right"/>
              <w:ind w:right="220"/>
              <w:spacing w:after="0" w:line="142" w:lineRule="exact"/>
              <w:rPr>
                <w:sz w:val="20"/>
                <w:szCs w:val="20"/>
                <w:color w:val="auto"/>
              </w:rPr>
            </w:pPr>
            <w:r>
              <w:rPr>
                <w:rFonts w:ascii="Arial" w:cs="Arial" w:eastAsia="Arial" w:hAnsi="Arial"/>
                <w:sz w:val="14"/>
                <w:szCs w:val="14"/>
                <w:b w:val="1"/>
                <w:bCs w:val="1"/>
                <w:color w:val="auto"/>
                <w:w w:val="99"/>
              </w:rPr>
              <w:t>Year ended December 31,</w:t>
            </w:r>
          </w:p>
        </w:tc>
        <w:tc>
          <w:tcPr>
            <w:tcW w:w="16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1880" w:type="dxa"/>
            <w:vAlign w:val="bottom"/>
            <w:tcBorders>
              <w:top w:val="single" w:sz="8" w:color="auto"/>
              <w:bottom w:val="single" w:sz="8" w:color="auto"/>
            </w:tcBorders>
            <w:gridSpan w:val="5"/>
          </w:tcPr>
          <w:p>
            <w:pPr>
              <w:jc w:val="right"/>
              <w:ind w:right="240"/>
              <w:spacing w:after="0" w:line="142" w:lineRule="exact"/>
              <w:rPr>
                <w:sz w:val="20"/>
                <w:szCs w:val="20"/>
                <w:color w:val="auto"/>
              </w:rPr>
            </w:pPr>
            <w:r>
              <w:rPr>
                <w:rFonts w:ascii="Arial" w:cs="Arial" w:eastAsia="Arial" w:hAnsi="Arial"/>
                <w:sz w:val="14"/>
                <w:szCs w:val="14"/>
                <w:b w:val="1"/>
                <w:bCs w:val="1"/>
                <w:color w:val="auto"/>
                <w:w w:val="95"/>
              </w:rPr>
              <w:t>Year ended December 31,</w:t>
            </w:r>
          </w:p>
        </w:tc>
        <w:tc>
          <w:tcPr>
            <w:tcW w:w="0" w:type="dxa"/>
            <w:vAlign w:val="bottom"/>
          </w:tcPr>
          <w:p>
            <w:pPr>
              <w:spacing w:after="0"/>
              <w:rPr>
                <w:sz w:val="1"/>
                <w:szCs w:val="1"/>
                <w:color w:val="auto"/>
              </w:rPr>
            </w:pPr>
          </w:p>
        </w:tc>
      </w:tr>
      <w:tr>
        <w:trPr>
          <w:trHeight w:val="142"/>
        </w:trPr>
        <w:tc>
          <w:tcPr>
            <w:tcW w:w="236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tcPr>
          <w:p>
            <w:pPr>
              <w:jc w:val="right"/>
              <w:ind w:right="68"/>
              <w:spacing w:after="0" w:line="142" w:lineRule="exact"/>
              <w:rPr>
                <w:sz w:val="20"/>
                <w:szCs w:val="20"/>
                <w:color w:val="auto"/>
              </w:rPr>
            </w:pPr>
            <w:r>
              <w:rPr>
                <w:rFonts w:ascii="Arial" w:cs="Arial" w:eastAsia="Arial" w:hAnsi="Arial"/>
                <w:sz w:val="14"/>
                <w:szCs w:val="14"/>
                <w:b w:val="1"/>
                <w:bCs w:val="1"/>
                <w:color w:val="auto"/>
              </w:rPr>
              <w:t>2017</w:t>
            </w:r>
          </w:p>
        </w:tc>
        <w:tc>
          <w:tcPr>
            <w:tcW w:w="680" w:type="dxa"/>
            <w:vAlign w:val="bottom"/>
            <w:gridSpan w:val="2"/>
          </w:tcPr>
          <w:p>
            <w:pPr>
              <w:jc w:val="right"/>
              <w:ind w:right="140"/>
              <w:spacing w:after="0" w:line="142" w:lineRule="exact"/>
              <w:rPr>
                <w:sz w:val="20"/>
                <w:szCs w:val="20"/>
                <w:color w:val="auto"/>
              </w:rPr>
            </w:pPr>
            <w:r>
              <w:rPr>
                <w:rFonts w:ascii="Arial" w:cs="Arial" w:eastAsia="Arial" w:hAnsi="Arial"/>
                <w:sz w:val="14"/>
                <w:szCs w:val="14"/>
                <w:b w:val="1"/>
                <w:bCs w:val="1"/>
                <w:color w:val="auto"/>
              </w:rPr>
              <w:t>2016</w:t>
            </w:r>
          </w:p>
        </w:tc>
        <w:tc>
          <w:tcPr>
            <w:tcW w:w="720" w:type="dxa"/>
            <w:vAlign w:val="bottom"/>
            <w:gridSpan w:val="2"/>
          </w:tcPr>
          <w:p>
            <w:pPr>
              <w:jc w:val="right"/>
              <w:ind w:right="140"/>
              <w:spacing w:after="0" w:line="142" w:lineRule="exact"/>
              <w:rPr>
                <w:sz w:val="20"/>
                <w:szCs w:val="20"/>
                <w:color w:val="auto"/>
              </w:rPr>
            </w:pPr>
            <w:r>
              <w:rPr>
                <w:rFonts w:ascii="Arial" w:cs="Arial" w:eastAsia="Arial" w:hAnsi="Arial"/>
                <w:sz w:val="14"/>
                <w:szCs w:val="14"/>
                <w:b w:val="1"/>
                <w:bCs w:val="1"/>
                <w:color w:val="auto"/>
              </w:rPr>
              <w:t>2015</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Pr>
          <w:p>
            <w:pPr>
              <w:jc w:val="right"/>
              <w:ind w:right="88"/>
              <w:spacing w:after="0" w:line="142" w:lineRule="exact"/>
              <w:rPr>
                <w:sz w:val="20"/>
                <w:szCs w:val="20"/>
                <w:color w:val="auto"/>
              </w:rPr>
            </w:pPr>
            <w:r>
              <w:rPr>
                <w:rFonts w:ascii="Arial" w:cs="Arial" w:eastAsia="Arial" w:hAnsi="Arial"/>
                <w:sz w:val="14"/>
                <w:szCs w:val="14"/>
                <w:b w:val="1"/>
                <w:bCs w:val="1"/>
                <w:color w:val="auto"/>
              </w:rPr>
              <w:t>2017</w:t>
            </w:r>
          </w:p>
        </w:tc>
        <w:tc>
          <w:tcPr>
            <w:tcW w:w="660" w:type="dxa"/>
            <w:vAlign w:val="bottom"/>
            <w:gridSpan w:val="2"/>
          </w:tcPr>
          <w:p>
            <w:pPr>
              <w:jc w:val="right"/>
              <w:ind w:right="120"/>
              <w:spacing w:after="0" w:line="142" w:lineRule="exact"/>
              <w:rPr>
                <w:sz w:val="20"/>
                <w:szCs w:val="20"/>
                <w:color w:val="auto"/>
              </w:rPr>
            </w:pPr>
            <w:r>
              <w:rPr>
                <w:rFonts w:ascii="Arial" w:cs="Arial" w:eastAsia="Arial" w:hAnsi="Arial"/>
                <w:sz w:val="14"/>
                <w:szCs w:val="14"/>
                <w:b w:val="1"/>
                <w:bCs w:val="1"/>
                <w:color w:val="auto"/>
              </w:rPr>
              <w:t>2016</w:t>
            </w:r>
          </w:p>
        </w:tc>
        <w:tc>
          <w:tcPr>
            <w:tcW w:w="720" w:type="dxa"/>
            <w:vAlign w:val="bottom"/>
            <w:gridSpan w:val="2"/>
          </w:tcPr>
          <w:p>
            <w:pPr>
              <w:jc w:val="right"/>
              <w:ind w:right="180"/>
              <w:spacing w:after="0" w:line="142" w:lineRule="exact"/>
              <w:rPr>
                <w:sz w:val="20"/>
                <w:szCs w:val="20"/>
                <w:color w:val="auto"/>
              </w:rPr>
            </w:pPr>
            <w:r>
              <w:rPr>
                <w:rFonts w:ascii="Arial" w:cs="Arial" w:eastAsia="Arial" w:hAnsi="Arial"/>
                <w:sz w:val="14"/>
                <w:szCs w:val="14"/>
                <w:b w:val="1"/>
                <w:bCs w:val="1"/>
                <w:color w:val="auto"/>
              </w:rPr>
              <w:t>2015</w:t>
            </w:r>
          </w:p>
        </w:tc>
        <w:tc>
          <w:tcPr>
            <w:tcW w:w="0" w:type="dxa"/>
            <w:vAlign w:val="bottom"/>
          </w:tcPr>
          <w:p>
            <w:pPr>
              <w:spacing w:after="0"/>
              <w:rPr>
                <w:sz w:val="1"/>
                <w:szCs w:val="1"/>
                <w:color w:val="auto"/>
              </w:rPr>
            </w:pPr>
          </w:p>
        </w:tc>
      </w:tr>
      <w:tr>
        <w:trPr>
          <w:trHeight w:val="196"/>
        </w:trPr>
        <w:tc>
          <w:tcPr>
            <w:tcW w:w="20" w:type="dxa"/>
            <w:vAlign w:val="bottom"/>
            <w:vMerge w:val="restart"/>
          </w:tcPr>
          <w:p>
            <w:pPr>
              <w:spacing w:after="0"/>
              <w:rPr>
                <w:sz w:val="17"/>
                <w:szCs w:val="17"/>
                <w:color w:val="auto"/>
              </w:rPr>
            </w:pPr>
          </w:p>
        </w:tc>
        <w:tc>
          <w:tcPr>
            <w:tcW w:w="2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40" w:type="dxa"/>
            <w:vAlign w:val="bottom"/>
            <w:tcBorders>
              <w:top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540" w:type="dxa"/>
            <w:vAlign w:val="bottom"/>
            <w:tcBorders>
              <w:top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580" w:type="dxa"/>
            <w:vAlign w:val="bottom"/>
            <w:tcBorders>
              <w:top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500" w:type="dxa"/>
            <w:vAlign w:val="bottom"/>
            <w:tcBorders>
              <w:top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520" w:type="dxa"/>
            <w:vAlign w:val="bottom"/>
            <w:tcBorders>
              <w:top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580" w:type="dxa"/>
            <w:vAlign w:val="bottom"/>
            <w:tcBorders>
              <w:top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26"/>
        </w:trPr>
        <w:tc>
          <w:tcPr>
            <w:tcW w:w="20" w:type="dxa"/>
            <w:vAlign w:val="bottom"/>
            <w:vMerge w:val="continue"/>
          </w:tcPr>
          <w:p>
            <w:pPr>
              <w:spacing w:after="0"/>
              <w:rPr>
                <w:sz w:val="10"/>
                <w:szCs w:val="10"/>
                <w:color w:val="auto"/>
              </w:rPr>
            </w:pPr>
          </w:p>
        </w:tc>
        <w:tc>
          <w:tcPr>
            <w:tcW w:w="2340" w:type="dxa"/>
            <w:vAlign w:val="bottom"/>
            <w:shd w:val="clear" w:color="auto" w:fill="CCEEFF"/>
          </w:tcPr>
          <w:p>
            <w:pPr>
              <w:spacing w:after="0" w:line="126" w:lineRule="exact"/>
              <w:rPr>
                <w:sz w:val="20"/>
                <w:szCs w:val="20"/>
                <w:color w:val="auto"/>
              </w:rPr>
            </w:pPr>
            <w:r>
              <w:rPr>
                <w:rFonts w:ascii="Arial" w:cs="Arial" w:eastAsia="Arial" w:hAnsi="Arial"/>
                <w:sz w:val="14"/>
                <w:szCs w:val="14"/>
                <w:b w:val="1"/>
                <w:bCs w:val="1"/>
                <w:color w:val="auto"/>
                <w:w w:val="94"/>
              </w:rPr>
              <w:t>Net actuarial (gain) loss at beginning</w:t>
            </w:r>
          </w:p>
        </w:tc>
        <w:tc>
          <w:tcPr>
            <w:tcW w:w="120" w:type="dxa"/>
            <w:vAlign w:val="bottom"/>
            <w:shd w:val="clear" w:color="auto" w:fill="CCEEFF"/>
          </w:tcPr>
          <w:p>
            <w:pPr>
              <w:spacing w:after="0"/>
              <w:rPr>
                <w:sz w:val="10"/>
                <w:szCs w:val="10"/>
                <w:color w:val="auto"/>
              </w:rPr>
            </w:pPr>
          </w:p>
        </w:tc>
        <w:tc>
          <w:tcPr>
            <w:tcW w:w="54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54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58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50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52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580" w:type="dxa"/>
            <w:vAlign w:val="bottom"/>
            <w:tcBorders>
              <w:right w:val="single" w:sz="8" w:color="CCEEFF"/>
            </w:tcBorders>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340" w:type="dxa"/>
            <w:vAlign w:val="bottom"/>
            <w:shd w:val="clear" w:color="auto" w:fill="CCEEFF"/>
          </w:tcPr>
          <w:p>
            <w:pPr>
              <w:spacing w:after="0"/>
              <w:rPr>
                <w:sz w:val="20"/>
                <w:szCs w:val="20"/>
                <w:color w:val="auto"/>
              </w:rPr>
            </w:pPr>
            <w:r>
              <w:rPr>
                <w:rFonts w:ascii="Arial" w:cs="Arial" w:eastAsia="Arial" w:hAnsi="Arial"/>
                <w:sz w:val="14"/>
                <w:szCs w:val="14"/>
                <w:b w:val="1"/>
                <w:bCs w:val="1"/>
                <w:color w:val="auto"/>
              </w:rPr>
              <w:t>of year</w:t>
            </w:r>
          </w:p>
        </w:tc>
        <w:tc>
          <w:tcPr>
            <w:tcW w:w="66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$ 33,736</w:t>
            </w:r>
          </w:p>
        </w:tc>
        <w:tc>
          <w:tcPr>
            <w:tcW w:w="68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$ 18,374</w:t>
            </w:r>
          </w:p>
        </w:tc>
        <w:tc>
          <w:tcPr>
            <w:tcW w:w="72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$ 19,878</w:t>
            </w:r>
          </w:p>
        </w:tc>
        <w:tc>
          <w:tcPr>
            <w:tcW w:w="24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(8,055)</w:t>
            </w:r>
          </w:p>
        </w:tc>
        <w:tc>
          <w:tcPr>
            <w:tcW w:w="66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 (8,840)</w:t>
            </w:r>
          </w:p>
        </w:tc>
        <w:tc>
          <w:tcPr>
            <w:tcW w:w="720" w:type="dxa"/>
            <w:vAlign w:val="bottom"/>
            <w:tcBorders>
              <w:right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 (7,270)</w:t>
            </w:r>
          </w:p>
        </w:tc>
        <w:tc>
          <w:tcPr>
            <w:tcW w:w="0" w:type="dxa"/>
            <w:vAlign w:val="bottom"/>
          </w:tcPr>
          <w:p>
            <w:pPr>
              <w:spacing w:after="0"/>
              <w:rPr>
                <w:sz w:val="1"/>
                <w:szCs w:val="1"/>
                <w:color w:val="auto"/>
              </w:rPr>
            </w:pPr>
          </w:p>
        </w:tc>
      </w:tr>
      <w:tr>
        <w:trPr>
          <w:trHeight w:val="203"/>
        </w:trPr>
        <w:tc>
          <w:tcPr>
            <w:tcW w:w="2360" w:type="dxa"/>
            <w:vAlign w:val="bottom"/>
            <w:gridSpan w:val="2"/>
          </w:tcPr>
          <w:p>
            <w:pPr>
              <w:spacing w:after="0"/>
              <w:rPr>
                <w:sz w:val="20"/>
                <w:szCs w:val="20"/>
                <w:color w:val="auto"/>
              </w:rPr>
            </w:pPr>
            <w:r>
              <w:rPr>
                <w:rFonts w:ascii="Arial" w:cs="Arial" w:eastAsia="Arial" w:hAnsi="Arial"/>
                <w:sz w:val="14"/>
                <w:szCs w:val="14"/>
                <w:color w:val="auto"/>
              </w:rPr>
              <w:t>Current year actuarial (gain) loss</w:t>
            </w:r>
          </w:p>
        </w:tc>
        <w:tc>
          <w:tcPr>
            <w:tcW w:w="660" w:type="dxa"/>
            <w:vAlign w:val="bottom"/>
            <w:gridSpan w:val="2"/>
          </w:tcPr>
          <w:p>
            <w:pPr>
              <w:jc w:val="right"/>
              <w:spacing w:after="0"/>
              <w:rPr>
                <w:sz w:val="20"/>
                <w:szCs w:val="20"/>
                <w:color w:val="auto"/>
              </w:rPr>
            </w:pPr>
            <w:r>
              <w:rPr>
                <w:rFonts w:ascii="Arial" w:cs="Arial" w:eastAsia="Arial" w:hAnsi="Arial"/>
                <w:sz w:val="14"/>
                <w:szCs w:val="14"/>
                <w:color w:val="auto"/>
              </w:rPr>
              <w:t>14,554</w:t>
            </w:r>
          </w:p>
        </w:tc>
        <w:tc>
          <w:tcPr>
            <w:tcW w:w="680" w:type="dxa"/>
            <w:vAlign w:val="bottom"/>
            <w:gridSpan w:val="2"/>
          </w:tcPr>
          <w:p>
            <w:pPr>
              <w:jc w:val="right"/>
              <w:ind w:right="60"/>
              <w:spacing w:after="0"/>
              <w:rPr>
                <w:sz w:val="20"/>
                <w:szCs w:val="20"/>
                <w:color w:val="auto"/>
              </w:rPr>
            </w:pPr>
            <w:r>
              <w:rPr>
                <w:rFonts w:ascii="Arial" w:cs="Arial" w:eastAsia="Arial" w:hAnsi="Arial"/>
                <w:sz w:val="14"/>
                <w:szCs w:val="14"/>
                <w:color w:val="auto"/>
              </w:rPr>
              <w:t>18,425</w:t>
            </w:r>
          </w:p>
        </w:tc>
        <w:tc>
          <w:tcPr>
            <w:tcW w:w="720" w:type="dxa"/>
            <w:vAlign w:val="bottom"/>
            <w:gridSpan w:val="2"/>
          </w:tcPr>
          <w:p>
            <w:pPr>
              <w:jc w:val="right"/>
              <w:ind w:right="60"/>
              <w:spacing w:after="0"/>
              <w:rPr>
                <w:sz w:val="20"/>
                <w:szCs w:val="20"/>
                <w:color w:val="auto"/>
              </w:rPr>
            </w:pPr>
            <w:r>
              <w:rPr>
                <w:rFonts w:ascii="Arial" w:cs="Arial" w:eastAsia="Arial" w:hAnsi="Arial"/>
                <w:sz w:val="14"/>
                <w:szCs w:val="14"/>
                <w:color w:val="auto"/>
              </w:rPr>
              <w:t>17,835</w:t>
            </w: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rPr>
              <w:t>(5,075)</w:t>
            </w:r>
          </w:p>
        </w:tc>
        <w:tc>
          <w:tcPr>
            <w:tcW w:w="660" w:type="dxa"/>
            <w:vAlign w:val="bottom"/>
            <w:gridSpan w:val="2"/>
          </w:tcPr>
          <w:p>
            <w:pPr>
              <w:jc w:val="right"/>
              <w:spacing w:after="0"/>
              <w:rPr>
                <w:sz w:val="20"/>
                <w:szCs w:val="20"/>
                <w:color w:val="auto"/>
              </w:rPr>
            </w:pPr>
            <w:r>
              <w:rPr>
                <w:rFonts w:ascii="Arial" w:cs="Arial" w:eastAsia="Arial" w:hAnsi="Arial"/>
                <w:sz w:val="14"/>
                <w:szCs w:val="14"/>
                <w:color w:val="auto"/>
              </w:rPr>
              <w:t>(573)</w:t>
            </w:r>
          </w:p>
        </w:tc>
        <w:tc>
          <w:tcPr>
            <w:tcW w:w="720" w:type="dxa"/>
            <w:vAlign w:val="bottom"/>
            <w:gridSpan w:val="2"/>
          </w:tcPr>
          <w:p>
            <w:pPr>
              <w:jc w:val="right"/>
              <w:ind w:right="60"/>
              <w:spacing w:after="0"/>
              <w:rPr>
                <w:sz w:val="20"/>
                <w:szCs w:val="20"/>
                <w:color w:val="auto"/>
              </w:rPr>
            </w:pPr>
            <w:r>
              <w:rPr>
                <w:rFonts w:ascii="Arial" w:cs="Arial" w:eastAsia="Arial" w:hAnsi="Arial"/>
                <w:sz w:val="14"/>
                <w:szCs w:val="14"/>
                <w:color w:val="auto"/>
              </w:rPr>
              <w:t>(2,228)</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340" w:type="dxa"/>
            <w:vAlign w:val="bottom"/>
            <w:shd w:val="clear" w:color="auto" w:fill="CCEEFF"/>
          </w:tcPr>
          <w:p>
            <w:pPr>
              <w:spacing w:after="0"/>
              <w:rPr>
                <w:sz w:val="20"/>
                <w:szCs w:val="20"/>
                <w:color w:val="auto"/>
              </w:rPr>
            </w:pPr>
            <w:r>
              <w:rPr>
                <w:rFonts w:ascii="Arial" w:cs="Arial" w:eastAsia="Arial" w:hAnsi="Arial"/>
                <w:sz w:val="14"/>
                <w:szCs w:val="14"/>
                <w:color w:val="auto"/>
              </w:rPr>
              <w:t>Amortization of actuarial (gain) loss</w:t>
            </w:r>
          </w:p>
        </w:tc>
        <w:tc>
          <w:tcPr>
            <w:tcW w:w="66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(804)</w:t>
            </w: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(485)</w:t>
            </w: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(1,152)</w:t>
            </w: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601</w:t>
            </w:r>
          </w:p>
        </w:tc>
        <w:tc>
          <w:tcPr>
            <w:tcW w:w="66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912</w:t>
            </w:r>
          </w:p>
        </w:tc>
        <w:tc>
          <w:tcPr>
            <w:tcW w:w="72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490</w:t>
            </w:r>
          </w:p>
        </w:tc>
        <w:tc>
          <w:tcPr>
            <w:tcW w:w="0" w:type="dxa"/>
            <w:vAlign w:val="bottom"/>
          </w:tcPr>
          <w:p>
            <w:pPr>
              <w:spacing w:after="0"/>
              <w:rPr>
                <w:sz w:val="1"/>
                <w:szCs w:val="1"/>
                <w:color w:val="auto"/>
              </w:rPr>
            </w:pPr>
          </w:p>
        </w:tc>
      </w:tr>
      <w:tr>
        <w:trPr>
          <w:trHeight w:val="203"/>
        </w:trPr>
        <w:tc>
          <w:tcPr>
            <w:tcW w:w="2360" w:type="dxa"/>
            <w:vAlign w:val="bottom"/>
            <w:gridSpan w:val="2"/>
          </w:tcPr>
          <w:p>
            <w:pPr>
              <w:spacing w:after="0"/>
              <w:rPr>
                <w:sz w:val="20"/>
                <w:szCs w:val="20"/>
                <w:color w:val="auto"/>
              </w:rPr>
            </w:pPr>
            <w:r>
              <w:rPr>
                <w:rFonts w:ascii="Arial" w:cs="Arial" w:eastAsia="Arial" w:hAnsi="Arial"/>
                <w:sz w:val="14"/>
                <w:szCs w:val="14"/>
                <w:color w:val="auto"/>
              </w:rPr>
              <w:t>Curtailment impact</w:t>
            </w:r>
          </w:p>
        </w:tc>
        <w:tc>
          <w:tcPr>
            <w:tcW w:w="660" w:type="dxa"/>
            <w:vAlign w:val="bottom"/>
            <w:gridSpan w:val="2"/>
          </w:tcPr>
          <w:p>
            <w:pPr>
              <w:jc w:val="right"/>
              <w:ind w:right="68"/>
              <w:spacing w:after="0"/>
              <w:rPr>
                <w:sz w:val="20"/>
                <w:szCs w:val="20"/>
                <w:color w:val="auto"/>
              </w:rPr>
            </w:pPr>
            <w:r>
              <w:rPr>
                <w:rFonts w:ascii="Arial" w:cs="Arial" w:eastAsia="Arial" w:hAnsi="Arial"/>
                <w:sz w:val="14"/>
                <w:szCs w:val="14"/>
                <w:color w:val="auto"/>
              </w:rPr>
              <w:t>-</w:t>
            </w:r>
          </w:p>
        </w:tc>
        <w:tc>
          <w:tcPr>
            <w:tcW w:w="68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720" w:type="dxa"/>
            <w:vAlign w:val="bottom"/>
            <w:gridSpan w:val="2"/>
          </w:tcPr>
          <w:p>
            <w:pPr>
              <w:jc w:val="right"/>
              <w:spacing w:after="0"/>
              <w:rPr>
                <w:sz w:val="20"/>
                <w:szCs w:val="20"/>
                <w:color w:val="auto"/>
              </w:rPr>
            </w:pPr>
            <w:r>
              <w:rPr>
                <w:rFonts w:ascii="Arial" w:cs="Arial" w:eastAsia="Arial" w:hAnsi="Arial"/>
                <w:sz w:val="14"/>
                <w:szCs w:val="14"/>
                <w:color w:val="auto"/>
              </w:rPr>
              <w:t>(19,146)</w:t>
            </w: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0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6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72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340" w:type="dxa"/>
            <w:vAlign w:val="bottom"/>
            <w:shd w:val="clear" w:color="auto" w:fill="CCEEFF"/>
          </w:tcPr>
          <w:p>
            <w:pPr>
              <w:spacing w:after="0"/>
              <w:rPr>
                <w:sz w:val="20"/>
                <w:szCs w:val="20"/>
                <w:color w:val="auto"/>
              </w:rPr>
            </w:pPr>
            <w:r>
              <w:rPr>
                <w:rFonts w:ascii="Arial" w:cs="Arial" w:eastAsia="Arial" w:hAnsi="Arial"/>
                <w:sz w:val="14"/>
                <w:szCs w:val="14"/>
                <w:color w:val="auto"/>
              </w:rPr>
              <w:t>Settlement impact</w:t>
            </w:r>
          </w:p>
        </w:tc>
        <w:tc>
          <w:tcPr>
            <w:tcW w:w="66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(2,740)</w:t>
            </w: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(1,124)</w:t>
            </w:r>
          </w:p>
        </w:tc>
        <w:tc>
          <w:tcPr>
            <w:tcW w:w="72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720" w:type="dxa"/>
            <w:vAlign w:val="bottom"/>
            <w:tcBorders>
              <w:right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3"/>
        </w:trPr>
        <w:tc>
          <w:tcPr>
            <w:tcW w:w="2360" w:type="dxa"/>
            <w:vAlign w:val="bottom"/>
            <w:gridSpan w:val="2"/>
          </w:tcPr>
          <w:p>
            <w:pPr>
              <w:spacing w:after="0"/>
              <w:rPr>
                <w:sz w:val="20"/>
                <w:szCs w:val="20"/>
                <w:color w:val="auto"/>
              </w:rPr>
            </w:pPr>
            <w:r>
              <w:rPr>
                <w:rFonts w:ascii="Arial" w:cs="Arial" w:eastAsia="Arial" w:hAnsi="Arial"/>
                <w:sz w:val="14"/>
                <w:szCs w:val="14"/>
                <w:color w:val="auto"/>
              </w:rPr>
              <w:t>Prior service cost</w:t>
            </w:r>
          </w:p>
        </w:tc>
        <w:tc>
          <w:tcPr>
            <w:tcW w:w="660" w:type="dxa"/>
            <w:vAlign w:val="bottom"/>
            <w:gridSpan w:val="2"/>
          </w:tcPr>
          <w:p>
            <w:pPr>
              <w:jc w:val="right"/>
              <w:ind w:right="68"/>
              <w:spacing w:after="0"/>
              <w:rPr>
                <w:sz w:val="20"/>
                <w:szCs w:val="20"/>
                <w:color w:val="auto"/>
              </w:rPr>
            </w:pPr>
            <w:r>
              <w:rPr>
                <w:rFonts w:ascii="Arial" w:cs="Arial" w:eastAsia="Arial" w:hAnsi="Arial"/>
                <w:sz w:val="14"/>
                <w:szCs w:val="14"/>
                <w:color w:val="auto"/>
              </w:rPr>
              <w:t>-</w:t>
            </w:r>
          </w:p>
        </w:tc>
        <w:tc>
          <w:tcPr>
            <w:tcW w:w="68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720" w:type="dxa"/>
            <w:vAlign w:val="bottom"/>
            <w:gridSpan w:val="2"/>
          </w:tcPr>
          <w:p>
            <w:pPr>
              <w:jc w:val="right"/>
              <w:ind w:right="60"/>
              <w:spacing w:after="0"/>
              <w:rPr>
                <w:sz w:val="20"/>
                <w:szCs w:val="20"/>
                <w:color w:val="auto"/>
              </w:rPr>
            </w:pPr>
            <w:r>
              <w:rPr>
                <w:rFonts w:ascii="Arial" w:cs="Arial" w:eastAsia="Arial" w:hAnsi="Arial"/>
                <w:sz w:val="14"/>
                <w:szCs w:val="14"/>
                <w:color w:val="auto"/>
              </w:rPr>
              <w:t>1,331</w:t>
            </w: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0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660" w:type="dxa"/>
            <w:vAlign w:val="bottom"/>
            <w:gridSpan w:val="2"/>
          </w:tcPr>
          <w:p>
            <w:pPr>
              <w:jc w:val="right"/>
              <w:ind w:right="60"/>
              <w:spacing w:after="0"/>
              <w:rPr>
                <w:sz w:val="20"/>
                <w:szCs w:val="20"/>
                <w:color w:val="auto"/>
              </w:rPr>
            </w:pPr>
            <w:r>
              <w:rPr>
                <w:rFonts w:ascii="Arial" w:cs="Arial" w:eastAsia="Arial" w:hAnsi="Arial"/>
                <w:sz w:val="14"/>
                <w:szCs w:val="14"/>
                <w:color w:val="auto"/>
              </w:rPr>
              <w:t>283</w:t>
            </w:r>
          </w:p>
        </w:tc>
        <w:tc>
          <w:tcPr>
            <w:tcW w:w="72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2340" w:type="dxa"/>
            <w:vAlign w:val="bottom"/>
            <w:shd w:val="clear" w:color="auto" w:fill="CCEEFF"/>
          </w:tcPr>
          <w:p>
            <w:pPr>
              <w:spacing w:after="0" w:line="130" w:lineRule="exact"/>
              <w:rPr>
                <w:sz w:val="20"/>
                <w:szCs w:val="20"/>
                <w:color w:val="auto"/>
              </w:rPr>
            </w:pPr>
            <w:r>
              <w:rPr>
                <w:rFonts w:ascii="Arial" w:cs="Arial" w:eastAsia="Arial" w:hAnsi="Arial"/>
                <w:sz w:val="14"/>
                <w:szCs w:val="14"/>
                <w:color w:val="auto"/>
              </w:rPr>
              <w:t>Amortization of prior service cost</w:t>
            </w:r>
          </w:p>
        </w:tc>
        <w:tc>
          <w:tcPr>
            <w:tcW w:w="12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80" w:type="dxa"/>
            <w:vAlign w:val="bottom"/>
            <w:tcBorders>
              <w:right w:val="single" w:sz="8" w:color="CCEEFF"/>
            </w:tcBorders>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340" w:type="dxa"/>
            <w:vAlign w:val="bottom"/>
            <w:shd w:val="clear" w:color="auto" w:fill="CCEEFF"/>
          </w:tcPr>
          <w:p>
            <w:pPr>
              <w:spacing w:after="0"/>
              <w:rPr>
                <w:sz w:val="20"/>
                <w:szCs w:val="20"/>
                <w:color w:val="auto"/>
              </w:rPr>
            </w:pPr>
            <w:r>
              <w:rPr>
                <w:rFonts w:ascii="Arial" w:cs="Arial" w:eastAsia="Arial" w:hAnsi="Arial"/>
                <w:sz w:val="14"/>
                <w:szCs w:val="14"/>
                <w:color w:val="auto"/>
              </w:rPr>
              <w:t>(credit)</w:t>
            </w:r>
          </w:p>
        </w:tc>
        <w:tc>
          <w:tcPr>
            <w:tcW w:w="66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(175)</w:t>
            </w: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(175)</w:t>
            </w: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(22)</w:t>
            </w:r>
          </w:p>
        </w:tc>
        <w:tc>
          <w:tcPr>
            <w:tcW w:w="1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137</w:t>
            </w:r>
          </w:p>
        </w:tc>
        <w:tc>
          <w:tcPr>
            <w:tcW w:w="66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163</w:t>
            </w:r>
          </w:p>
        </w:tc>
        <w:tc>
          <w:tcPr>
            <w:tcW w:w="72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168</w:t>
            </w:r>
          </w:p>
        </w:tc>
        <w:tc>
          <w:tcPr>
            <w:tcW w:w="0" w:type="dxa"/>
            <w:vAlign w:val="bottom"/>
          </w:tcPr>
          <w:p>
            <w:pPr>
              <w:spacing w:after="0"/>
              <w:rPr>
                <w:sz w:val="1"/>
                <w:szCs w:val="1"/>
                <w:color w:val="auto"/>
              </w:rPr>
            </w:pPr>
          </w:p>
        </w:tc>
      </w:tr>
      <w:tr>
        <w:trPr>
          <w:trHeight w:val="203"/>
        </w:trPr>
        <w:tc>
          <w:tcPr>
            <w:tcW w:w="2360" w:type="dxa"/>
            <w:vAlign w:val="bottom"/>
            <w:gridSpan w:val="2"/>
          </w:tcPr>
          <w:p>
            <w:pPr>
              <w:spacing w:after="0"/>
              <w:rPr>
                <w:sz w:val="20"/>
                <w:szCs w:val="20"/>
                <w:color w:val="auto"/>
              </w:rPr>
            </w:pPr>
            <w:r>
              <w:rPr>
                <w:rFonts w:ascii="Arial" w:cs="Arial" w:eastAsia="Arial" w:hAnsi="Arial"/>
                <w:sz w:val="14"/>
                <w:szCs w:val="14"/>
                <w:color w:val="auto"/>
              </w:rPr>
              <w:t>Foreign currency translation</w:t>
            </w:r>
          </w:p>
        </w:tc>
        <w:tc>
          <w:tcPr>
            <w:tcW w:w="660" w:type="dxa"/>
            <w:vAlign w:val="bottom"/>
            <w:gridSpan w:val="2"/>
          </w:tcPr>
          <w:p>
            <w:pPr>
              <w:jc w:val="right"/>
              <w:spacing w:after="0"/>
              <w:rPr>
                <w:sz w:val="20"/>
                <w:szCs w:val="20"/>
                <w:color w:val="auto"/>
              </w:rPr>
            </w:pPr>
            <w:r>
              <w:rPr>
                <w:rFonts w:ascii="Arial" w:cs="Arial" w:eastAsia="Arial" w:hAnsi="Arial"/>
                <w:sz w:val="14"/>
                <w:szCs w:val="14"/>
                <w:color w:val="auto"/>
              </w:rPr>
              <w:t>321</w:t>
            </w:r>
          </w:p>
        </w:tc>
        <w:tc>
          <w:tcPr>
            <w:tcW w:w="680" w:type="dxa"/>
            <w:vAlign w:val="bottom"/>
            <w:gridSpan w:val="2"/>
          </w:tcPr>
          <w:p>
            <w:pPr>
              <w:jc w:val="right"/>
              <w:spacing w:after="0"/>
              <w:rPr>
                <w:sz w:val="20"/>
                <w:szCs w:val="20"/>
                <w:color w:val="auto"/>
              </w:rPr>
            </w:pPr>
            <w:r>
              <w:rPr>
                <w:rFonts w:ascii="Arial" w:cs="Arial" w:eastAsia="Arial" w:hAnsi="Arial"/>
                <w:sz w:val="14"/>
                <w:szCs w:val="14"/>
                <w:color w:val="auto"/>
              </w:rPr>
              <w:t>(1,279)</w:t>
            </w:r>
          </w:p>
        </w:tc>
        <w:tc>
          <w:tcPr>
            <w:tcW w:w="720" w:type="dxa"/>
            <w:vAlign w:val="bottom"/>
            <w:gridSpan w:val="2"/>
          </w:tcPr>
          <w:p>
            <w:pPr>
              <w:jc w:val="right"/>
              <w:spacing w:after="0"/>
              <w:rPr>
                <w:sz w:val="20"/>
                <w:szCs w:val="20"/>
                <w:color w:val="auto"/>
              </w:rPr>
            </w:pPr>
            <w:r>
              <w:rPr>
                <w:rFonts w:ascii="Arial" w:cs="Arial" w:eastAsia="Arial" w:hAnsi="Arial"/>
                <w:sz w:val="14"/>
                <w:szCs w:val="14"/>
                <w:color w:val="auto"/>
              </w:rPr>
              <w:t>(350)</w:t>
            </w: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0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6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72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340" w:type="dxa"/>
            <w:vAlign w:val="bottom"/>
            <w:vMerge w:val="restart"/>
            <w:shd w:val="clear" w:color="auto" w:fill="CCEEFF"/>
          </w:tcPr>
          <w:p>
            <w:pPr>
              <w:spacing w:after="0" w:line="126" w:lineRule="exact"/>
              <w:rPr>
                <w:sz w:val="20"/>
                <w:szCs w:val="20"/>
                <w:color w:val="auto"/>
              </w:rPr>
            </w:pPr>
            <w:r>
              <w:rPr>
                <w:rFonts w:ascii="Arial" w:cs="Arial" w:eastAsia="Arial" w:hAnsi="Arial"/>
                <w:sz w:val="14"/>
                <w:szCs w:val="14"/>
                <w:b w:val="1"/>
                <w:bCs w:val="1"/>
                <w:color w:val="auto"/>
              </w:rPr>
              <w:t>Net actuarial (gain) loss at end of</w:t>
            </w:r>
          </w:p>
        </w:tc>
        <w:tc>
          <w:tcPr>
            <w:tcW w:w="120" w:type="dxa"/>
            <w:vAlign w:val="bottom"/>
            <w:shd w:val="clear" w:color="auto" w:fill="CCEEFF"/>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580" w:type="dxa"/>
            <w:vAlign w:val="bottom"/>
            <w:tcBorders>
              <w:right w:val="single" w:sz="8" w:color="CCEEFF"/>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6"/>
        </w:trPr>
        <w:tc>
          <w:tcPr>
            <w:tcW w:w="20" w:type="dxa"/>
            <w:vAlign w:val="bottom"/>
          </w:tcPr>
          <w:p>
            <w:pPr>
              <w:spacing w:after="0"/>
              <w:rPr>
                <w:sz w:val="9"/>
                <w:szCs w:val="9"/>
                <w:color w:val="auto"/>
              </w:rPr>
            </w:pPr>
          </w:p>
        </w:tc>
        <w:tc>
          <w:tcPr>
            <w:tcW w:w="2340" w:type="dxa"/>
            <w:vAlign w:val="bottom"/>
            <w:vMerge w:val="continue"/>
            <w:shd w:val="clear" w:color="auto" w:fill="CCEEFF"/>
          </w:tcPr>
          <w:p>
            <w:pPr>
              <w:spacing w:after="0"/>
              <w:rPr>
                <w:sz w:val="9"/>
                <w:szCs w:val="9"/>
                <w:color w:val="auto"/>
              </w:rPr>
            </w:pPr>
          </w:p>
        </w:tc>
        <w:tc>
          <w:tcPr>
            <w:tcW w:w="660" w:type="dxa"/>
            <w:vAlign w:val="bottom"/>
            <w:gridSpan w:val="2"/>
            <w:vMerge w:val="restart"/>
            <w:shd w:val="clear" w:color="auto" w:fill="CCEEFF"/>
          </w:tcPr>
          <w:p>
            <w:pPr>
              <w:jc w:val="right"/>
              <w:spacing w:after="0"/>
              <w:rPr>
                <w:sz w:val="20"/>
                <w:szCs w:val="20"/>
                <w:color w:val="auto"/>
              </w:rPr>
            </w:pPr>
            <w:r>
              <w:rPr>
                <w:rFonts w:ascii="Arial" w:cs="Arial" w:eastAsia="Arial" w:hAnsi="Arial"/>
                <w:sz w:val="14"/>
                <w:szCs w:val="14"/>
                <w:color w:val="auto"/>
              </w:rPr>
              <w:t>$ 44,892</w:t>
            </w:r>
          </w:p>
        </w:tc>
        <w:tc>
          <w:tcPr>
            <w:tcW w:w="680" w:type="dxa"/>
            <w:vAlign w:val="bottom"/>
            <w:gridSpan w:val="2"/>
            <w:vMerge w:val="restart"/>
            <w:shd w:val="clear" w:color="auto" w:fill="CCEEFF"/>
          </w:tcPr>
          <w:p>
            <w:pPr>
              <w:jc w:val="right"/>
              <w:ind w:right="60"/>
              <w:spacing w:after="0"/>
              <w:rPr>
                <w:sz w:val="20"/>
                <w:szCs w:val="20"/>
                <w:color w:val="auto"/>
              </w:rPr>
            </w:pPr>
            <w:r>
              <w:rPr>
                <w:rFonts w:ascii="Arial" w:cs="Arial" w:eastAsia="Arial" w:hAnsi="Arial"/>
                <w:sz w:val="14"/>
                <w:szCs w:val="14"/>
                <w:color w:val="auto"/>
              </w:rPr>
              <w:t>$ 33,736</w:t>
            </w:r>
          </w:p>
        </w:tc>
        <w:tc>
          <w:tcPr>
            <w:tcW w:w="720" w:type="dxa"/>
            <w:vAlign w:val="bottom"/>
            <w:gridSpan w:val="2"/>
            <w:vMerge w:val="restart"/>
            <w:shd w:val="clear" w:color="auto" w:fill="CCEEFF"/>
          </w:tcPr>
          <w:p>
            <w:pPr>
              <w:jc w:val="right"/>
              <w:ind w:right="60"/>
              <w:spacing w:after="0"/>
              <w:rPr>
                <w:sz w:val="20"/>
                <w:szCs w:val="20"/>
                <w:color w:val="auto"/>
              </w:rPr>
            </w:pPr>
            <w:r>
              <w:rPr>
                <w:rFonts w:ascii="Arial" w:cs="Arial" w:eastAsia="Arial" w:hAnsi="Arial"/>
                <w:sz w:val="14"/>
                <w:szCs w:val="14"/>
                <w:color w:val="auto"/>
              </w:rPr>
              <w:t>$ 18,374</w:t>
            </w:r>
          </w:p>
        </w:tc>
        <w:tc>
          <w:tcPr>
            <w:tcW w:w="240" w:type="dxa"/>
            <w:vAlign w:val="bottom"/>
            <w:gridSpan w:val="2"/>
            <w:vMerge w:val="restart"/>
            <w:shd w:val="clear" w:color="auto" w:fill="CCEEFF"/>
          </w:tcPr>
          <w:p>
            <w:pPr>
              <w:jc w:val="right"/>
              <w:ind w:right="20"/>
              <w:spacing w:after="0"/>
              <w:rPr>
                <w:sz w:val="20"/>
                <w:szCs w:val="20"/>
                <w:color w:val="auto"/>
              </w:rPr>
            </w:pPr>
            <w:r>
              <w:rPr>
                <w:rFonts w:ascii="Arial" w:cs="Arial" w:eastAsia="Arial" w:hAnsi="Arial"/>
                <w:sz w:val="14"/>
                <w:szCs w:val="14"/>
                <w:u w:val="single" w:color="auto"/>
                <w:color w:val="auto"/>
              </w:rPr>
              <w:t>$</w:t>
            </w:r>
          </w:p>
        </w:tc>
        <w:tc>
          <w:tcPr>
            <w:tcW w:w="5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w w:val="91"/>
              </w:rPr>
              <w:t>(12,392)</w:t>
            </w:r>
          </w:p>
        </w:tc>
        <w:tc>
          <w:tcPr>
            <w:tcW w:w="660" w:type="dxa"/>
            <w:vAlign w:val="bottom"/>
            <w:gridSpan w:val="2"/>
            <w:vMerge w:val="restart"/>
            <w:shd w:val="clear" w:color="auto" w:fill="CCEEFF"/>
          </w:tcPr>
          <w:p>
            <w:pPr>
              <w:jc w:val="right"/>
              <w:spacing w:after="0"/>
              <w:rPr>
                <w:sz w:val="20"/>
                <w:szCs w:val="20"/>
                <w:color w:val="auto"/>
              </w:rPr>
            </w:pPr>
            <w:r>
              <w:rPr>
                <w:rFonts w:ascii="Arial" w:cs="Arial" w:eastAsia="Arial" w:hAnsi="Arial"/>
                <w:sz w:val="14"/>
                <w:szCs w:val="14"/>
                <w:color w:val="auto"/>
              </w:rPr>
              <w:t>$ (8,055)</w:t>
            </w:r>
          </w:p>
        </w:tc>
        <w:tc>
          <w:tcPr>
            <w:tcW w:w="720" w:type="dxa"/>
            <w:vAlign w:val="bottom"/>
            <w:tcBorders>
              <w:right w:val="single" w:sz="8" w:color="CCEEFF"/>
            </w:tcBorders>
            <w:gridSpan w:val="2"/>
            <w:vMerge w:val="restart"/>
            <w:shd w:val="clear" w:color="auto" w:fill="CCEEFF"/>
          </w:tcPr>
          <w:p>
            <w:pPr>
              <w:jc w:val="right"/>
              <w:ind w:right="60"/>
              <w:spacing w:after="0"/>
              <w:rPr>
                <w:sz w:val="20"/>
                <w:szCs w:val="20"/>
                <w:color w:val="auto"/>
              </w:rPr>
            </w:pPr>
            <w:r>
              <w:rPr>
                <w:rFonts w:ascii="Arial" w:cs="Arial" w:eastAsia="Arial" w:hAnsi="Arial"/>
                <w:sz w:val="14"/>
                <w:szCs w:val="14"/>
                <w:color w:val="auto"/>
              </w:rPr>
              <w:t>$ (8,840)</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2340" w:type="dxa"/>
            <w:vAlign w:val="bottom"/>
            <w:shd w:val="clear" w:color="auto" w:fill="CCEEFF"/>
          </w:tcPr>
          <w:p>
            <w:pPr>
              <w:spacing w:after="0" w:line="158" w:lineRule="exact"/>
              <w:rPr>
                <w:sz w:val="20"/>
                <w:szCs w:val="20"/>
                <w:color w:val="auto"/>
              </w:rPr>
            </w:pPr>
            <w:r>
              <w:rPr>
                <w:rFonts w:ascii="Arial" w:cs="Arial" w:eastAsia="Arial" w:hAnsi="Arial"/>
                <w:sz w:val="14"/>
                <w:szCs w:val="14"/>
                <w:b w:val="1"/>
                <w:bCs w:val="1"/>
                <w:color w:val="auto"/>
              </w:rPr>
              <w:t>year</w:t>
            </w:r>
          </w:p>
        </w:tc>
        <w:tc>
          <w:tcPr>
            <w:tcW w:w="660" w:type="dxa"/>
            <w:vAlign w:val="bottom"/>
            <w:gridSpan w:val="2"/>
            <w:vMerge w:val="continue"/>
            <w:shd w:val="clear" w:color="auto" w:fill="CCEEFF"/>
          </w:tcPr>
          <w:p>
            <w:pPr>
              <w:spacing w:after="0"/>
              <w:rPr>
                <w:sz w:val="13"/>
                <w:szCs w:val="13"/>
                <w:color w:val="auto"/>
              </w:rPr>
            </w:pPr>
          </w:p>
        </w:tc>
        <w:tc>
          <w:tcPr>
            <w:tcW w:w="680" w:type="dxa"/>
            <w:vAlign w:val="bottom"/>
            <w:gridSpan w:val="2"/>
            <w:vMerge w:val="continue"/>
            <w:shd w:val="clear" w:color="auto" w:fill="CCEEFF"/>
          </w:tcPr>
          <w:p>
            <w:pPr>
              <w:spacing w:after="0"/>
              <w:rPr>
                <w:sz w:val="13"/>
                <w:szCs w:val="13"/>
                <w:color w:val="auto"/>
              </w:rPr>
            </w:pPr>
          </w:p>
        </w:tc>
        <w:tc>
          <w:tcPr>
            <w:tcW w:w="720" w:type="dxa"/>
            <w:vAlign w:val="bottom"/>
            <w:gridSpan w:val="2"/>
            <w:vMerge w:val="continue"/>
            <w:shd w:val="clear" w:color="auto" w:fill="CCEEFF"/>
          </w:tcPr>
          <w:p>
            <w:pPr>
              <w:spacing w:after="0"/>
              <w:rPr>
                <w:sz w:val="13"/>
                <w:szCs w:val="13"/>
                <w:color w:val="auto"/>
              </w:rPr>
            </w:pPr>
          </w:p>
        </w:tc>
        <w:tc>
          <w:tcPr>
            <w:tcW w:w="240" w:type="dxa"/>
            <w:vAlign w:val="bottom"/>
            <w:gridSpan w:val="2"/>
            <w:vMerge w:val="continue"/>
            <w:shd w:val="clear" w:color="auto" w:fill="CCEEFF"/>
          </w:tcPr>
          <w:p>
            <w:pPr>
              <w:spacing w:after="0"/>
              <w:rPr>
                <w:sz w:val="13"/>
                <w:szCs w:val="13"/>
                <w:color w:val="auto"/>
              </w:rPr>
            </w:pPr>
          </w:p>
        </w:tc>
        <w:tc>
          <w:tcPr>
            <w:tcW w:w="500" w:type="dxa"/>
            <w:vAlign w:val="bottom"/>
            <w:vMerge w:val="continue"/>
            <w:shd w:val="clear" w:color="auto" w:fill="CCEEFF"/>
          </w:tcPr>
          <w:p>
            <w:pPr>
              <w:spacing w:after="0"/>
              <w:rPr>
                <w:sz w:val="13"/>
                <w:szCs w:val="13"/>
                <w:color w:val="auto"/>
              </w:rPr>
            </w:pPr>
          </w:p>
        </w:tc>
        <w:tc>
          <w:tcPr>
            <w:tcW w:w="660" w:type="dxa"/>
            <w:vAlign w:val="bottom"/>
            <w:gridSpan w:val="2"/>
            <w:vMerge w:val="continue"/>
            <w:shd w:val="clear" w:color="auto" w:fill="CCEEFF"/>
          </w:tcPr>
          <w:p>
            <w:pPr>
              <w:spacing w:after="0"/>
              <w:rPr>
                <w:sz w:val="13"/>
                <w:szCs w:val="13"/>
                <w:color w:val="auto"/>
              </w:rPr>
            </w:pPr>
          </w:p>
        </w:tc>
        <w:tc>
          <w:tcPr>
            <w:tcW w:w="720" w:type="dxa"/>
            <w:vAlign w:val="bottom"/>
            <w:tcBorders>
              <w:right w:val="single" w:sz="8" w:color="CCEEFF"/>
            </w:tcBorders>
            <w:gridSpan w:val="2"/>
            <w:vMerge w:val="continue"/>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234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580" w:type="dxa"/>
            <w:vAlign w:val="bottom"/>
            <w:tcBorders>
              <w:right w:val="single" w:sz="8" w:color="CCEEFF"/>
            </w:tcBorders>
            <w:shd w:val="clear" w:color="auto" w:fill="000000"/>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ind w:left="1240" w:right="1279" w:firstLine="648"/>
        <w:spacing w:after="0" w:line="264" w:lineRule="auto"/>
        <w:rPr>
          <w:sz w:val="20"/>
          <w:szCs w:val="20"/>
          <w:color w:val="auto"/>
        </w:rPr>
      </w:pPr>
      <w:r>
        <w:rPr>
          <w:rFonts w:ascii="Arial" w:cs="Arial" w:eastAsia="Arial" w:hAnsi="Arial"/>
          <w:sz w:val="18"/>
          <w:szCs w:val="18"/>
          <w:color w:val="auto"/>
        </w:rPr>
        <w:t>The expected prior service cost (credit) that will be amortized from accumulated other comprehensive income (loss) into net periodic benefit cost in the next fiscal year is a cost of $0.2 million for the pension plans and a credit of</w:t>
      </w:r>
    </w:p>
    <w:p>
      <w:pPr>
        <w:spacing w:after="0" w:line="3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786765</wp:posOffset>
            </wp:positionH>
            <wp:positionV relativeFrom="paragraph">
              <wp:posOffset>83185</wp:posOffset>
            </wp:positionV>
            <wp:extent cx="4159250" cy="26035"/>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58">
                      <a:extLst>
                        <a:ext uri="{28A0092B-C50C-407E-A947-70E740481C1C}"/>
                      </a:extLst>
                    </a:blip>
                    <a:srcRect/>
                    <a:stretch>
                      <a:fillRect/>
                    </a:stretch>
                  </pic:blipFill>
                  <pic:spPr bwMode="auto">
                    <a:xfrm>
                      <a:off x="0" y="0"/>
                      <a:ext cx="4159250" cy="26035"/>
                    </a:xfrm>
                    <a:prstGeom prst="rect">
                      <a:avLst/>
                    </a:prstGeom>
                    <a:noFill/>
                  </pic:spPr>
                </pic:pic>
              </a:graphicData>
            </a:graphic>
          </wp:anchor>
        </w:drawing>
      </w:r>
    </w:p>
    <w:p>
      <w:pPr>
        <w:sectPr>
          <w:pgSz w:w="11900" w:h="16838" w:orient="portrait"/>
          <w:cols w:equalWidth="0" w:num="1">
            <w:col w:w="9019"/>
          </w:cols>
          <w:pgMar w:left="1440" w:top="125" w:right="1440" w:bottom="356" w:gutter="0" w:footer="0" w:header="0"/>
        </w:sectPr>
      </w:pPr>
    </w:p>
    <w:bookmarkStart w:id="125" w:name="page126"/>
    <w:bookmarkEnd w:id="125"/>
    <w:p>
      <w:pPr>
        <w:ind w:left="124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1240" w:right="1379"/>
        <w:spacing w:after="0" w:line="259" w:lineRule="auto"/>
        <w:rPr>
          <w:sz w:val="20"/>
          <w:szCs w:val="20"/>
          <w:color w:val="auto"/>
        </w:rPr>
      </w:pPr>
      <w:r>
        <w:rPr>
          <w:rFonts w:ascii="Arial" w:cs="Arial" w:eastAsia="Arial" w:hAnsi="Arial"/>
          <w:sz w:val="18"/>
          <w:szCs w:val="18"/>
          <w:color w:val="auto"/>
        </w:rPr>
        <w:t>$0.1 million for the postretirement plans. The expected actuarial (gain) loss that will be amortized from accumulated other comprehensive income (loss) into net periodic benefit cost in the next fiscal year is a loss of $2.1 million for the pension plans and a gain of $1.4 million for the postretirement plans.</w:t>
      </w:r>
    </w:p>
    <w:p>
      <w:pPr>
        <w:spacing w:after="0" w:line="187" w:lineRule="exact"/>
        <w:rPr>
          <w:sz w:val="20"/>
          <w:szCs w:val="20"/>
          <w:color w:val="auto"/>
        </w:rPr>
      </w:pPr>
    </w:p>
    <w:p>
      <w:pPr>
        <w:ind w:left="1880"/>
        <w:spacing w:after="0"/>
        <w:rPr>
          <w:sz w:val="20"/>
          <w:szCs w:val="20"/>
          <w:color w:val="auto"/>
        </w:rPr>
      </w:pPr>
      <w:r>
        <w:rPr>
          <w:rFonts w:ascii="Arial" w:cs="Arial" w:eastAsia="Arial" w:hAnsi="Arial"/>
          <w:sz w:val="18"/>
          <w:szCs w:val="18"/>
          <w:color w:val="auto"/>
        </w:rPr>
        <w:t>Components of net periodic benefit cost were as follows:</w:t>
      </w:r>
    </w:p>
    <w:p>
      <w:pPr>
        <w:spacing w:after="0" w:line="244" w:lineRule="exact"/>
        <w:rPr>
          <w:sz w:val="20"/>
          <w:szCs w:val="20"/>
          <w:color w:val="auto"/>
        </w:rPr>
      </w:pPr>
    </w:p>
    <w:tbl>
      <w:tblPr>
        <w:tblLayout w:type="fixed"/>
        <w:tblInd w:w="124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23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940" w:type="dxa"/>
            <w:vAlign w:val="bottom"/>
            <w:gridSpan w:val="6"/>
          </w:tcPr>
          <w:p>
            <w:pPr>
              <w:jc w:val="right"/>
              <w:ind w:right="500"/>
              <w:spacing w:after="0"/>
              <w:rPr>
                <w:sz w:val="20"/>
                <w:szCs w:val="20"/>
                <w:color w:val="auto"/>
              </w:rPr>
            </w:pPr>
            <w:r>
              <w:rPr>
                <w:rFonts w:ascii="Arial" w:cs="Arial" w:eastAsia="Arial" w:hAnsi="Arial"/>
                <w:sz w:val="14"/>
                <w:szCs w:val="14"/>
                <w:b w:val="1"/>
                <w:bCs w:val="1"/>
                <w:color w:val="auto"/>
              </w:rPr>
              <w:t>Pension Benefits</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760" w:type="dxa"/>
            <w:vAlign w:val="bottom"/>
            <w:gridSpan w:val="7"/>
          </w:tcPr>
          <w:p>
            <w:pPr>
              <w:jc w:val="right"/>
              <w:ind w:right="168"/>
              <w:spacing w:after="0"/>
              <w:rPr>
                <w:sz w:val="20"/>
                <w:szCs w:val="20"/>
                <w:color w:val="auto"/>
              </w:rPr>
            </w:pPr>
            <w:r>
              <w:rPr>
                <w:rFonts w:ascii="Arial" w:cs="Arial" w:eastAsia="Arial" w:hAnsi="Arial"/>
                <w:sz w:val="14"/>
                <w:szCs w:val="14"/>
                <w:b w:val="1"/>
                <w:bCs w:val="1"/>
                <w:color w:val="auto"/>
                <w:w w:val="94"/>
              </w:rPr>
              <w:t>Postretirement Benefits</w:t>
            </w:r>
          </w:p>
        </w:tc>
        <w:tc>
          <w:tcPr>
            <w:tcW w:w="0" w:type="dxa"/>
            <w:vAlign w:val="bottom"/>
          </w:tcPr>
          <w:p>
            <w:pPr>
              <w:spacing w:after="0"/>
              <w:rPr>
                <w:sz w:val="1"/>
                <w:szCs w:val="1"/>
                <w:color w:val="auto"/>
              </w:rPr>
            </w:pPr>
          </w:p>
        </w:tc>
      </w:tr>
      <w:tr>
        <w:trPr>
          <w:trHeight w:val="142"/>
        </w:trPr>
        <w:tc>
          <w:tcPr>
            <w:tcW w:w="2340" w:type="dxa"/>
            <w:vAlign w:val="bottom"/>
            <w:gridSpan w:val="2"/>
            <w:vMerge w:val="restart"/>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20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500" w:type="dxa"/>
            <w:vAlign w:val="bottom"/>
            <w:tcBorders>
              <w:top w:val="single" w:sz="8" w:color="auto"/>
              <w:bottom w:val="single" w:sz="8" w:color="auto"/>
            </w:tcBorders>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2000" w:type="dxa"/>
            <w:vAlign w:val="bottom"/>
            <w:tcBorders>
              <w:top w:val="single" w:sz="8" w:color="auto"/>
              <w:bottom w:val="single" w:sz="8" w:color="auto"/>
            </w:tcBorders>
            <w:gridSpan w:val="7"/>
          </w:tcPr>
          <w:p>
            <w:pPr>
              <w:ind w:left="380"/>
              <w:spacing w:after="0" w:line="142" w:lineRule="exact"/>
              <w:rPr>
                <w:sz w:val="20"/>
                <w:szCs w:val="20"/>
                <w:color w:val="auto"/>
              </w:rPr>
            </w:pPr>
            <w:r>
              <w:rPr>
                <w:rFonts w:ascii="Arial" w:cs="Arial" w:eastAsia="Arial" w:hAnsi="Arial"/>
                <w:sz w:val="14"/>
                <w:szCs w:val="14"/>
                <w:b w:val="1"/>
                <w:bCs w:val="1"/>
                <w:color w:val="auto"/>
                <w:w w:val="92"/>
              </w:rPr>
              <w:t>Year ended December 31,</w:t>
            </w:r>
          </w:p>
        </w:tc>
        <w:tc>
          <w:tcPr>
            <w:tcW w:w="80" w:type="dxa"/>
            <w:vAlign w:val="bottom"/>
            <w:tcBorders>
              <w:top w:val="single" w:sz="8" w:color="auto"/>
              <w:bottom w:val="single" w:sz="8" w:color="auto"/>
            </w:tcBorders>
          </w:tcPr>
          <w:p>
            <w:pPr>
              <w:spacing w:after="0"/>
              <w:rPr>
                <w:sz w:val="12"/>
                <w:szCs w:val="12"/>
                <w:color w:val="auto"/>
              </w:rPr>
            </w:pPr>
          </w:p>
        </w:tc>
        <w:tc>
          <w:tcPr>
            <w:tcW w:w="420" w:type="dxa"/>
            <w:vAlign w:val="bottom"/>
            <w:tcBorders>
              <w:top w:val="single" w:sz="8" w:color="auto"/>
              <w:bottom w:val="single" w:sz="8" w:color="auto"/>
            </w:tcBorders>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480" w:type="dxa"/>
            <w:vAlign w:val="bottom"/>
            <w:tcBorders>
              <w:top w:val="single" w:sz="8" w:color="auto"/>
              <w:bottom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340" w:type="dxa"/>
            <w:vAlign w:val="bottom"/>
            <w:gridSpan w:val="2"/>
            <w:vMerge w:val="continue"/>
          </w:tcPr>
          <w:p>
            <w:pPr>
              <w:spacing w:after="0"/>
              <w:rPr>
                <w:sz w:val="12"/>
                <w:szCs w:val="12"/>
                <w:color w:val="auto"/>
              </w:rPr>
            </w:pP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Pr>
          <w:p>
            <w:pPr>
              <w:jc w:val="right"/>
              <w:ind w:right="88"/>
              <w:spacing w:after="0" w:line="142" w:lineRule="exact"/>
              <w:rPr>
                <w:sz w:val="20"/>
                <w:szCs w:val="20"/>
                <w:color w:val="auto"/>
              </w:rPr>
            </w:pPr>
            <w:r>
              <w:rPr>
                <w:rFonts w:ascii="Arial" w:cs="Arial" w:eastAsia="Arial" w:hAnsi="Arial"/>
                <w:sz w:val="14"/>
                <w:szCs w:val="14"/>
                <w:b w:val="1"/>
                <w:bCs w:val="1"/>
                <w:color w:val="auto"/>
              </w:rPr>
              <w:t>2017</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Pr>
          <w:p>
            <w:pPr>
              <w:jc w:val="right"/>
              <w:ind w:right="68"/>
              <w:spacing w:after="0" w:line="142" w:lineRule="exact"/>
              <w:rPr>
                <w:sz w:val="20"/>
                <w:szCs w:val="20"/>
                <w:color w:val="auto"/>
              </w:rPr>
            </w:pPr>
            <w:r>
              <w:rPr>
                <w:rFonts w:ascii="Arial" w:cs="Arial" w:eastAsia="Arial" w:hAnsi="Arial"/>
                <w:sz w:val="14"/>
                <w:szCs w:val="14"/>
                <w:b w:val="1"/>
                <w:bCs w:val="1"/>
                <w:color w:val="auto"/>
              </w:rPr>
              <w:t>2016</w:t>
            </w:r>
          </w:p>
        </w:tc>
        <w:tc>
          <w:tcPr>
            <w:tcW w:w="720" w:type="dxa"/>
            <w:vAlign w:val="bottom"/>
            <w:gridSpan w:val="2"/>
          </w:tcPr>
          <w:p>
            <w:pPr>
              <w:jc w:val="right"/>
              <w:ind w:right="140"/>
              <w:spacing w:after="0" w:line="142" w:lineRule="exact"/>
              <w:rPr>
                <w:sz w:val="20"/>
                <w:szCs w:val="20"/>
                <w:color w:val="auto"/>
              </w:rPr>
            </w:pPr>
            <w:r>
              <w:rPr>
                <w:rFonts w:ascii="Arial" w:cs="Arial" w:eastAsia="Arial" w:hAnsi="Arial"/>
                <w:sz w:val="14"/>
                <w:szCs w:val="14"/>
                <w:b w:val="1"/>
                <w:bCs w:val="1"/>
                <w:color w:val="auto"/>
              </w:rPr>
              <w:t>2015</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0" w:type="dxa"/>
            <w:vAlign w:val="bottom"/>
          </w:tcPr>
          <w:p>
            <w:pPr>
              <w:jc w:val="right"/>
              <w:ind w:right="28"/>
              <w:spacing w:after="0" w:line="142" w:lineRule="exact"/>
              <w:rPr>
                <w:sz w:val="20"/>
                <w:szCs w:val="20"/>
                <w:color w:val="auto"/>
              </w:rPr>
            </w:pPr>
            <w:r>
              <w:rPr>
                <w:rFonts w:ascii="Arial" w:cs="Arial" w:eastAsia="Arial" w:hAnsi="Arial"/>
                <w:sz w:val="14"/>
                <w:szCs w:val="14"/>
                <w:b w:val="1"/>
                <w:bCs w:val="1"/>
                <w:color w:val="auto"/>
                <w:w w:val="89"/>
              </w:rPr>
              <w:t>2017</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jc w:val="right"/>
              <w:ind w:right="48"/>
              <w:spacing w:after="0" w:line="142" w:lineRule="exact"/>
              <w:rPr>
                <w:sz w:val="20"/>
                <w:szCs w:val="20"/>
                <w:color w:val="auto"/>
              </w:rPr>
            </w:pPr>
            <w:r>
              <w:rPr>
                <w:rFonts w:ascii="Arial" w:cs="Arial" w:eastAsia="Arial" w:hAnsi="Arial"/>
                <w:sz w:val="14"/>
                <w:szCs w:val="14"/>
                <w:b w:val="1"/>
                <w:bCs w:val="1"/>
                <w:color w:val="auto"/>
                <w:w w:val="89"/>
              </w:rPr>
              <w:t>2016</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jc w:val="right"/>
              <w:ind w:right="108"/>
              <w:spacing w:after="0" w:line="142" w:lineRule="exact"/>
              <w:rPr>
                <w:sz w:val="20"/>
                <w:szCs w:val="20"/>
                <w:color w:val="auto"/>
              </w:rPr>
            </w:pPr>
            <w:r>
              <w:rPr>
                <w:rFonts w:ascii="Arial" w:cs="Arial" w:eastAsia="Arial" w:hAnsi="Arial"/>
                <w:sz w:val="14"/>
                <w:szCs w:val="14"/>
                <w:b w:val="1"/>
                <w:bCs w:val="1"/>
                <w:color w:val="auto"/>
                <w:w w:val="89"/>
              </w:rPr>
              <w:t>2015</w:t>
            </w:r>
          </w:p>
        </w:tc>
        <w:tc>
          <w:tcPr>
            <w:tcW w:w="0" w:type="dxa"/>
            <w:vAlign w:val="bottom"/>
          </w:tcPr>
          <w:p>
            <w:pPr>
              <w:spacing w:after="0"/>
              <w:rPr>
                <w:sz w:val="1"/>
                <w:szCs w:val="1"/>
                <w:color w:val="auto"/>
              </w:rPr>
            </w:pPr>
          </w:p>
        </w:tc>
      </w:tr>
      <w:tr>
        <w:trPr>
          <w:trHeight w:val="196"/>
        </w:trPr>
        <w:tc>
          <w:tcPr>
            <w:tcW w:w="20" w:type="dxa"/>
            <w:vAlign w:val="bottom"/>
            <w:vMerge w:val="restart"/>
          </w:tcPr>
          <w:p>
            <w:pPr>
              <w:spacing w:after="0"/>
              <w:rPr>
                <w:sz w:val="17"/>
                <w:szCs w:val="17"/>
                <w:color w:val="auto"/>
              </w:rPr>
            </w:pPr>
          </w:p>
        </w:tc>
        <w:tc>
          <w:tcPr>
            <w:tcW w:w="23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500" w:type="dxa"/>
            <w:vAlign w:val="bottom"/>
            <w:tcBorders>
              <w:top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500" w:type="dxa"/>
            <w:vAlign w:val="bottom"/>
            <w:tcBorders>
              <w:top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560" w:type="dxa"/>
            <w:vAlign w:val="bottom"/>
            <w:tcBorders>
              <w:top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400" w:type="dxa"/>
            <w:vAlign w:val="bottom"/>
            <w:tcBorders>
              <w:top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420" w:type="dxa"/>
            <w:vAlign w:val="bottom"/>
            <w:tcBorders>
              <w:top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480" w:type="dxa"/>
            <w:vAlign w:val="bottom"/>
            <w:tcBorders>
              <w:top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26"/>
        </w:trPr>
        <w:tc>
          <w:tcPr>
            <w:tcW w:w="20" w:type="dxa"/>
            <w:vAlign w:val="bottom"/>
            <w:vMerge w:val="continue"/>
          </w:tcPr>
          <w:p>
            <w:pPr>
              <w:spacing w:after="0"/>
              <w:rPr>
                <w:sz w:val="10"/>
                <w:szCs w:val="10"/>
                <w:color w:val="auto"/>
              </w:rPr>
            </w:pPr>
          </w:p>
        </w:tc>
        <w:tc>
          <w:tcPr>
            <w:tcW w:w="2320" w:type="dxa"/>
            <w:vAlign w:val="bottom"/>
            <w:shd w:val="clear" w:color="auto" w:fill="CCEEFF"/>
          </w:tcPr>
          <w:p>
            <w:pPr>
              <w:spacing w:after="0" w:line="126" w:lineRule="exact"/>
              <w:rPr>
                <w:sz w:val="20"/>
                <w:szCs w:val="20"/>
                <w:color w:val="auto"/>
              </w:rPr>
            </w:pPr>
            <w:r>
              <w:rPr>
                <w:rFonts w:ascii="Arial" w:cs="Arial" w:eastAsia="Arial" w:hAnsi="Arial"/>
                <w:sz w:val="14"/>
                <w:szCs w:val="14"/>
                <w:b w:val="1"/>
                <w:bCs w:val="1"/>
                <w:color w:val="auto"/>
                <w:w w:val="97"/>
              </w:rPr>
              <w:t>Components of net periodic benefit</w:t>
            </w:r>
          </w:p>
        </w:tc>
        <w:tc>
          <w:tcPr>
            <w:tcW w:w="20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50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5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56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400" w:type="dxa"/>
            <w:vAlign w:val="bottom"/>
            <w:shd w:val="clear" w:color="auto" w:fill="CCEEFF"/>
          </w:tcPr>
          <w:p>
            <w:pPr>
              <w:spacing w:after="0"/>
              <w:rPr>
                <w:sz w:val="10"/>
                <w:szCs w:val="10"/>
                <w:color w:val="auto"/>
              </w:rPr>
            </w:pPr>
          </w:p>
        </w:tc>
        <w:tc>
          <w:tcPr>
            <w:tcW w:w="140" w:type="dxa"/>
            <w:vAlign w:val="bottom"/>
            <w:tcBorders>
              <w:right w:val="single" w:sz="8" w:color="CCEEFF"/>
            </w:tcBorders>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42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480" w:type="dxa"/>
            <w:vAlign w:val="bottom"/>
            <w:tcBorders>
              <w:right w:val="single" w:sz="8" w:color="CCEEFF"/>
            </w:tcBorders>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320" w:type="dxa"/>
            <w:vAlign w:val="bottom"/>
            <w:shd w:val="clear" w:color="auto" w:fill="CCEEFF"/>
          </w:tcPr>
          <w:p>
            <w:pPr>
              <w:spacing w:after="0"/>
              <w:rPr>
                <w:sz w:val="20"/>
                <w:szCs w:val="20"/>
                <w:color w:val="auto"/>
              </w:rPr>
            </w:pPr>
            <w:r>
              <w:rPr>
                <w:rFonts w:ascii="Arial" w:cs="Arial" w:eastAsia="Arial" w:hAnsi="Arial"/>
                <w:sz w:val="14"/>
                <w:szCs w:val="14"/>
                <w:b w:val="1"/>
                <w:bCs w:val="1"/>
                <w:color w:val="auto"/>
              </w:rPr>
              <w:t>cost</w:t>
            </w:r>
          </w:p>
        </w:tc>
        <w:tc>
          <w:tcPr>
            <w:tcW w:w="2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5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5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56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400" w:type="dxa"/>
            <w:vAlign w:val="bottom"/>
            <w:shd w:val="clear" w:color="auto" w:fill="CCEEFF"/>
          </w:tcPr>
          <w:p>
            <w:pPr>
              <w:spacing w:after="0"/>
              <w:rPr>
                <w:sz w:val="14"/>
                <w:szCs w:val="14"/>
                <w:color w:val="auto"/>
              </w:rPr>
            </w:pPr>
          </w:p>
        </w:tc>
        <w:tc>
          <w:tcPr>
            <w:tcW w:w="140" w:type="dxa"/>
            <w:vAlign w:val="bottom"/>
            <w:tcBorders>
              <w:right w:val="single" w:sz="8" w:color="CCEEFF"/>
            </w:tcBorders>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4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480" w:type="dxa"/>
            <w:vAlign w:val="bottom"/>
            <w:tcBorders>
              <w:right w:val="single" w:sz="8" w:color="CCEEFF"/>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03"/>
        </w:trPr>
        <w:tc>
          <w:tcPr>
            <w:tcW w:w="2340" w:type="dxa"/>
            <w:vAlign w:val="bottom"/>
            <w:gridSpan w:val="2"/>
          </w:tcPr>
          <w:p>
            <w:pPr>
              <w:spacing w:after="0"/>
              <w:rPr>
                <w:sz w:val="20"/>
                <w:szCs w:val="20"/>
                <w:color w:val="auto"/>
              </w:rPr>
            </w:pPr>
            <w:r>
              <w:rPr>
                <w:rFonts w:ascii="Arial" w:cs="Arial" w:eastAsia="Arial" w:hAnsi="Arial"/>
                <w:sz w:val="14"/>
                <w:szCs w:val="14"/>
                <w:color w:val="auto"/>
              </w:rPr>
              <w:t>Service cost</w:t>
            </w:r>
          </w:p>
        </w:tc>
        <w:tc>
          <w:tcPr>
            <w:tcW w:w="28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c>
          <w:tcPr>
            <w:tcW w:w="500" w:type="dxa"/>
            <w:vAlign w:val="bottom"/>
          </w:tcPr>
          <w:p>
            <w:pPr>
              <w:jc w:val="right"/>
              <w:spacing w:after="0"/>
              <w:rPr>
                <w:sz w:val="20"/>
                <w:szCs w:val="20"/>
                <w:color w:val="auto"/>
              </w:rPr>
            </w:pPr>
            <w:r>
              <w:rPr>
                <w:rFonts w:ascii="Arial" w:cs="Arial" w:eastAsia="Arial" w:hAnsi="Arial"/>
                <w:sz w:val="14"/>
                <w:szCs w:val="14"/>
                <w:color w:val="auto"/>
              </w:rPr>
              <w:t>9,217</w:t>
            </w:r>
          </w:p>
        </w:tc>
        <w:tc>
          <w:tcPr>
            <w:tcW w:w="2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500" w:type="dxa"/>
            <w:vAlign w:val="bottom"/>
          </w:tcPr>
          <w:p>
            <w:pPr>
              <w:jc w:val="right"/>
              <w:spacing w:after="0"/>
              <w:rPr>
                <w:sz w:val="20"/>
                <w:szCs w:val="20"/>
                <w:color w:val="auto"/>
              </w:rPr>
            </w:pPr>
            <w:r>
              <w:rPr>
                <w:rFonts w:ascii="Arial" w:cs="Arial" w:eastAsia="Arial" w:hAnsi="Arial"/>
                <w:sz w:val="14"/>
                <w:szCs w:val="14"/>
                <w:color w:val="auto"/>
              </w:rPr>
              <w:t>9,763</w:t>
            </w:r>
          </w:p>
        </w:tc>
        <w:tc>
          <w:tcPr>
            <w:tcW w:w="720" w:type="dxa"/>
            <w:vAlign w:val="bottom"/>
            <w:gridSpan w:val="2"/>
          </w:tcPr>
          <w:p>
            <w:pPr>
              <w:jc w:val="right"/>
              <w:ind w:right="60"/>
              <w:spacing w:after="0"/>
              <w:rPr>
                <w:sz w:val="20"/>
                <w:szCs w:val="20"/>
                <w:color w:val="auto"/>
              </w:rPr>
            </w:pPr>
            <w:r>
              <w:rPr>
                <w:rFonts w:ascii="Arial" w:cs="Arial" w:eastAsia="Arial" w:hAnsi="Arial"/>
                <w:sz w:val="14"/>
                <w:szCs w:val="14"/>
                <w:color w:val="auto"/>
              </w:rPr>
              <w:t>$ 15,683</w:t>
            </w:r>
          </w:p>
        </w:tc>
        <w:tc>
          <w:tcPr>
            <w:tcW w:w="24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c>
          <w:tcPr>
            <w:tcW w:w="400" w:type="dxa"/>
            <w:vAlign w:val="bottom"/>
          </w:tcPr>
          <w:p>
            <w:pPr>
              <w:jc w:val="right"/>
              <w:spacing w:after="0"/>
              <w:rPr>
                <w:sz w:val="20"/>
                <w:szCs w:val="20"/>
                <w:color w:val="auto"/>
              </w:rPr>
            </w:pPr>
            <w:r>
              <w:rPr>
                <w:rFonts w:ascii="Arial" w:cs="Arial" w:eastAsia="Arial" w:hAnsi="Arial"/>
                <w:sz w:val="14"/>
                <w:szCs w:val="14"/>
                <w:color w:val="auto"/>
              </w:rPr>
              <w:t>955</w:t>
            </w:r>
          </w:p>
        </w:tc>
        <w:tc>
          <w:tcPr>
            <w:tcW w:w="140" w:type="dxa"/>
            <w:vAlign w:val="bottom"/>
          </w:tcPr>
          <w:p>
            <w:pPr>
              <w:spacing w:after="0"/>
              <w:rPr>
                <w:sz w:val="17"/>
                <w:szCs w:val="17"/>
                <w:color w:val="auto"/>
              </w:rPr>
            </w:pPr>
          </w:p>
        </w:tc>
        <w:tc>
          <w:tcPr>
            <w:tcW w:w="8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420" w:type="dxa"/>
            <w:vAlign w:val="bottom"/>
          </w:tcPr>
          <w:p>
            <w:pPr>
              <w:jc w:val="right"/>
              <w:spacing w:after="0"/>
              <w:rPr>
                <w:sz w:val="20"/>
                <w:szCs w:val="20"/>
                <w:color w:val="auto"/>
              </w:rPr>
            </w:pPr>
            <w:r>
              <w:rPr>
                <w:rFonts w:ascii="Arial" w:cs="Arial" w:eastAsia="Arial" w:hAnsi="Arial"/>
                <w:sz w:val="14"/>
                <w:szCs w:val="14"/>
                <w:color w:val="auto"/>
              </w:rPr>
              <w:t>888</w:t>
            </w:r>
          </w:p>
        </w:tc>
        <w:tc>
          <w:tcPr>
            <w:tcW w:w="240" w:type="dxa"/>
            <w:vAlign w:val="bottom"/>
            <w:gridSpan w:val="2"/>
          </w:tcPr>
          <w:p>
            <w:pPr>
              <w:jc w:val="right"/>
              <w:ind w:right="40"/>
              <w:spacing w:after="0"/>
              <w:rPr>
                <w:sz w:val="20"/>
                <w:szCs w:val="20"/>
                <w:color w:val="auto"/>
              </w:rPr>
            </w:pPr>
            <w:r>
              <w:rPr>
                <w:rFonts w:ascii="Arial" w:cs="Arial" w:eastAsia="Arial" w:hAnsi="Arial"/>
                <w:sz w:val="14"/>
                <w:szCs w:val="14"/>
                <w:color w:val="auto"/>
              </w:rPr>
              <w:t>$</w:t>
            </w:r>
          </w:p>
        </w:tc>
        <w:tc>
          <w:tcPr>
            <w:tcW w:w="480" w:type="dxa"/>
            <w:vAlign w:val="bottom"/>
          </w:tcPr>
          <w:p>
            <w:pPr>
              <w:jc w:val="right"/>
              <w:ind w:right="48"/>
              <w:spacing w:after="0"/>
              <w:rPr>
                <w:sz w:val="20"/>
                <w:szCs w:val="20"/>
                <w:color w:val="auto"/>
              </w:rPr>
            </w:pPr>
            <w:r>
              <w:rPr>
                <w:rFonts w:ascii="Arial" w:cs="Arial" w:eastAsia="Arial" w:hAnsi="Arial"/>
                <w:sz w:val="14"/>
                <w:szCs w:val="14"/>
                <w:color w:val="auto"/>
                <w:w w:val="96"/>
              </w:rPr>
              <w:t>1,060</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320" w:type="dxa"/>
            <w:vAlign w:val="bottom"/>
            <w:shd w:val="clear" w:color="auto" w:fill="CCEEFF"/>
          </w:tcPr>
          <w:p>
            <w:pPr>
              <w:spacing w:after="0"/>
              <w:rPr>
                <w:sz w:val="20"/>
                <w:szCs w:val="20"/>
                <w:color w:val="auto"/>
              </w:rPr>
            </w:pPr>
            <w:r>
              <w:rPr>
                <w:rFonts w:ascii="Arial" w:cs="Arial" w:eastAsia="Arial" w:hAnsi="Arial"/>
                <w:sz w:val="14"/>
                <w:szCs w:val="14"/>
                <w:color w:val="auto"/>
              </w:rPr>
              <w:t>Interest cost</w:t>
            </w:r>
          </w:p>
        </w:tc>
        <w:tc>
          <w:tcPr>
            <w:tcW w:w="2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7"/>
              </w:rPr>
              <w:t>11,832</w:t>
            </w: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7"/>
              </w:rPr>
              <w:t>12,356</w:t>
            </w:r>
          </w:p>
        </w:tc>
        <w:tc>
          <w:tcPr>
            <w:tcW w:w="72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12,338</w:t>
            </w: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713</w:t>
            </w:r>
          </w:p>
        </w:tc>
        <w:tc>
          <w:tcPr>
            <w:tcW w:w="140" w:type="dxa"/>
            <w:vAlign w:val="bottom"/>
            <w:tcBorders>
              <w:right w:val="single" w:sz="8" w:color="CCEEFF"/>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779</w:t>
            </w: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80" w:type="dxa"/>
            <w:vAlign w:val="bottom"/>
            <w:tcBorders>
              <w:right w:val="single" w:sz="8" w:color="CCEEFF"/>
            </w:tcBorders>
            <w:shd w:val="clear" w:color="auto" w:fill="CCEEFF"/>
          </w:tcPr>
          <w:p>
            <w:pPr>
              <w:jc w:val="right"/>
              <w:ind w:right="48"/>
              <w:spacing w:after="0"/>
              <w:rPr>
                <w:sz w:val="20"/>
                <w:szCs w:val="20"/>
                <w:color w:val="auto"/>
              </w:rPr>
            </w:pPr>
            <w:r>
              <w:rPr>
                <w:rFonts w:ascii="Arial" w:cs="Arial" w:eastAsia="Arial" w:hAnsi="Arial"/>
                <w:sz w:val="14"/>
                <w:szCs w:val="14"/>
                <w:color w:val="auto"/>
              </w:rPr>
              <w:t>787</w:t>
            </w:r>
          </w:p>
        </w:tc>
        <w:tc>
          <w:tcPr>
            <w:tcW w:w="0" w:type="dxa"/>
            <w:vAlign w:val="bottom"/>
          </w:tcPr>
          <w:p>
            <w:pPr>
              <w:spacing w:after="0"/>
              <w:rPr>
                <w:sz w:val="1"/>
                <w:szCs w:val="1"/>
                <w:color w:val="auto"/>
              </w:rPr>
            </w:pPr>
          </w:p>
        </w:tc>
      </w:tr>
      <w:tr>
        <w:trPr>
          <w:trHeight w:val="203"/>
        </w:trPr>
        <w:tc>
          <w:tcPr>
            <w:tcW w:w="2340" w:type="dxa"/>
            <w:vAlign w:val="bottom"/>
            <w:gridSpan w:val="2"/>
          </w:tcPr>
          <w:p>
            <w:pPr>
              <w:spacing w:after="0"/>
              <w:rPr>
                <w:sz w:val="20"/>
                <w:szCs w:val="20"/>
                <w:color w:val="auto"/>
              </w:rPr>
            </w:pPr>
            <w:r>
              <w:rPr>
                <w:rFonts w:ascii="Arial" w:cs="Arial" w:eastAsia="Arial" w:hAnsi="Arial"/>
                <w:sz w:val="14"/>
                <w:szCs w:val="14"/>
                <w:color w:val="auto"/>
              </w:rPr>
              <w:t>Expected return on plan assets</w:t>
            </w: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w w:val="91"/>
              </w:rPr>
              <w:t>(12,006)</w:t>
            </w: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w w:val="91"/>
              </w:rPr>
              <w:t>(12,189)</w:t>
            </w:r>
          </w:p>
        </w:tc>
        <w:tc>
          <w:tcPr>
            <w:tcW w:w="720" w:type="dxa"/>
            <w:vAlign w:val="bottom"/>
            <w:gridSpan w:val="2"/>
          </w:tcPr>
          <w:p>
            <w:pPr>
              <w:jc w:val="right"/>
              <w:spacing w:after="0"/>
              <w:rPr>
                <w:sz w:val="20"/>
                <w:szCs w:val="20"/>
                <w:color w:val="auto"/>
              </w:rPr>
            </w:pPr>
            <w:r>
              <w:rPr>
                <w:rFonts w:ascii="Arial" w:cs="Arial" w:eastAsia="Arial" w:hAnsi="Arial"/>
                <w:sz w:val="14"/>
                <w:szCs w:val="14"/>
                <w:color w:val="auto"/>
              </w:rPr>
              <w:t>(11,372)</w:t>
            </w: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2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8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320" w:type="dxa"/>
            <w:vAlign w:val="bottom"/>
            <w:shd w:val="clear" w:color="auto" w:fill="CCEEFF"/>
          </w:tcPr>
          <w:p>
            <w:pPr>
              <w:spacing w:after="0"/>
              <w:rPr>
                <w:sz w:val="20"/>
                <w:szCs w:val="20"/>
                <w:color w:val="auto"/>
              </w:rPr>
            </w:pPr>
            <w:r>
              <w:rPr>
                <w:rFonts w:ascii="Arial" w:cs="Arial" w:eastAsia="Arial" w:hAnsi="Arial"/>
                <w:sz w:val="14"/>
                <w:szCs w:val="14"/>
                <w:color w:val="auto"/>
              </w:rPr>
              <w:t>Curtailment income</w:t>
            </w:r>
          </w:p>
        </w:tc>
        <w:tc>
          <w:tcPr>
            <w:tcW w:w="2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(2,421)</w:t>
            </w: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40" w:type="dxa"/>
            <w:vAlign w:val="bottom"/>
            <w:tcBorders>
              <w:right w:val="single" w:sz="8" w:color="CCEEFF"/>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80" w:type="dxa"/>
            <w:vAlign w:val="bottom"/>
            <w:tcBorders>
              <w:right w:val="single" w:sz="8" w:color="CCEEFF"/>
            </w:tcBorders>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3"/>
        </w:trPr>
        <w:tc>
          <w:tcPr>
            <w:tcW w:w="2340" w:type="dxa"/>
            <w:vAlign w:val="bottom"/>
            <w:gridSpan w:val="2"/>
          </w:tcPr>
          <w:p>
            <w:pPr>
              <w:spacing w:after="0"/>
              <w:rPr>
                <w:sz w:val="20"/>
                <w:szCs w:val="20"/>
                <w:color w:val="auto"/>
              </w:rPr>
            </w:pPr>
            <w:r>
              <w:rPr>
                <w:rFonts w:ascii="Arial" w:cs="Arial" w:eastAsia="Arial" w:hAnsi="Arial"/>
                <w:sz w:val="14"/>
                <w:szCs w:val="14"/>
                <w:color w:val="auto"/>
              </w:rPr>
              <w:t>Settlement expense</w:t>
            </w: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rPr>
              <w:t>2,740</w:t>
            </w: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rPr>
              <w:t>1,148</w:t>
            </w:r>
          </w:p>
        </w:tc>
        <w:tc>
          <w:tcPr>
            <w:tcW w:w="72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2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8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320" w:type="dxa"/>
            <w:vAlign w:val="bottom"/>
            <w:shd w:val="clear" w:color="auto" w:fill="CCEEFF"/>
          </w:tcPr>
          <w:p>
            <w:pPr>
              <w:spacing w:after="0"/>
              <w:rPr>
                <w:sz w:val="20"/>
                <w:szCs w:val="20"/>
                <w:color w:val="auto"/>
              </w:rPr>
            </w:pPr>
            <w:r>
              <w:rPr>
                <w:rFonts w:ascii="Arial" w:cs="Arial" w:eastAsia="Arial" w:hAnsi="Arial"/>
                <w:sz w:val="14"/>
                <w:szCs w:val="14"/>
                <w:color w:val="auto"/>
              </w:rPr>
              <w:t>Amortization of net (gain) loss</w:t>
            </w:r>
          </w:p>
        </w:tc>
        <w:tc>
          <w:tcPr>
            <w:tcW w:w="2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804</w:t>
            </w: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471</w:t>
            </w:r>
          </w:p>
        </w:tc>
        <w:tc>
          <w:tcPr>
            <w:tcW w:w="72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1,152</w:t>
            </w: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(601)</w:t>
            </w:r>
          </w:p>
        </w:tc>
        <w:tc>
          <w:tcPr>
            <w:tcW w:w="140" w:type="dxa"/>
            <w:vAlign w:val="bottom"/>
            <w:tcBorders>
              <w:right w:val="single" w:sz="8" w:color="CCEEFF"/>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(912)</w:t>
            </w: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8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(490)</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2320" w:type="dxa"/>
            <w:vAlign w:val="bottom"/>
          </w:tcPr>
          <w:p>
            <w:pPr>
              <w:spacing w:after="0" w:line="130" w:lineRule="exact"/>
              <w:rPr>
                <w:sz w:val="20"/>
                <w:szCs w:val="20"/>
                <w:color w:val="auto"/>
              </w:rPr>
            </w:pPr>
            <w:r>
              <w:rPr>
                <w:rFonts w:ascii="Arial" w:cs="Arial" w:eastAsia="Arial" w:hAnsi="Arial"/>
                <w:sz w:val="14"/>
                <w:szCs w:val="14"/>
                <w:color w:val="auto"/>
              </w:rPr>
              <w:t>Amortization of prior service cost</w:t>
            </w: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2340" w:type="dxa"/>
            <w:vAlign w:val="bottom"/>
            <w:gridSpan w:val="2"/>
          </w:tcPr>
          <w:p>
            <w:pPr>
              <w:spacing w:after="0"/>
              <w:rPr>
                <w:sz w:val="20"/>
                <w:szCs w:val="20"/>
                <w:color w:val="auto"/>
              </w:rPr>
            </w:pPr>
            <w:r>
              <w:rPr>
                <w:rFonts w:ascii="Arial" w:cs="Arial" w:eastAsia="Arial" w:hAnsi="Arial"/>
                <w:sz w:val="14"/>
                <w:szCs w:val="14"/>
                <w:color w:val="auto"/>
              </w:rPr>
              <w:t>(credit)</w:t>
            </w: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rPr>
              <w:t>175</w:t>
            </w: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rPr>
              <w:t>175</w:t>
            </w:r>
          </w:p>
        </w:tc>
        <w:tc>
          <w:tcPr>
            <w:tcW w:w="720" w:type="dxa"/>
            <w:vAlign w:val="bottom"/>
            <w:gridSpan w:val="2"/>
          </w:tcPr>
          <w:p>
            <w:pPr>
              <w:jc w:val="right"/>
              <w:ind w:right="60"/>
              <w:spacing w:after="0"/>
              <w:rPr>
                <w:sz w:val="20"/>
                <w:szCs w:val="20"/>
                <w:color w:val="auto"/>
              </w:rPr>
            </w:pPr>
            <w:r>
              <w:rPr>
                <w:rFonts w:ascii="Arial" w:cs="Arial" w:eastAsia="Arial" w:hAnsi="Arial"/>
                <w:sz w:val="14"/>
                <w:szCs w:val="14"/>
                <w:color w:val="auto"/>
              </w:rPr>
              <w:t>22</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0" w:type="dxa"/>
            <w:vAlign w:val="bottom"/>
          </w:tcPr>
          <w:p>
            <w:pPr>
              <w:jc w:val="right"/>
              <w:spacing w:after="0"/>
              <w:rPr>
                <w:sz w:val="20"/>
                <w:szCs w:val="20"/>
                <w:color w:val="auto"/>
              </w:rPr>
            </w:pPr>
            <w:r>
              <w:rPr>
                <w:rFonts w:ascii="Arial" w:cs="Arial" w:eastAsia="Arial" w:hAnsi="Arial"/>
                <w:sz w:val="14"/>
                <w:szCs w:val="14"/>
                <w:color w:val="auto"/>
              </w:rPr>
              <w:t>(137)</w:t>
            </w: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20" w:type="dxa"/>
            <w:vAlign w:val="bottom"/>
          </w:tcPr>
          <w:p>
            <w:pPr>
              <w:jc w:val="right"/>
              <w:spacing w:after="0"/>
              <w:rPr>
                <w:sz w:val="20"/>
                <w:szCs w:val="20"/>
                <w:color w:val="auto"/>
              </w:rPr>
            </w:pPr>
            <w:r>
              <w:rPr>
                <w:rFonts w:ascii="Arial" w:cs="Arial" w:eastAsia="Arial" w:hAnsi="Arial"/>
                <w:sz w:val="14"/>
                <w:szCs w:val="14"/>
                <w:color w:val="auto"/>
              </w:rPr>
              <w:t>(163)</w:t>
            </w: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rPr>
              <w:t>(168)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320" w:type="dxa"/>
            <w:vAlign w:val="bottom"/>
            <w:shd w:val="clear" w:color="auto" w:fill="CCEEFF"/>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40" w:type="dxa"/>
            <w:vAlign w:val="bottom"/>
            <w:tcBorders>
              <w:right w:val="single" w:sz="8" w:color="CCEEFF"/>
            </w:tcBorders>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tcBorders>
              <w:right w:val="single" w:sz="8" w:color="CCEEFF"/>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9"/>
        </w:trPr>
        <w:tc>
          <w:tcPr>
            <w:tcW w:w="20" w:type="dxa"/>
            <w:vAlign w:val="bottom"/>
          </w:tcPr>
          <w:p>
            <w:pPr>
              <w:spacing w:after="0"/>
              <w:rPr>
                <w:sz w:val="14"/>
                <w:szCs w:val="14"/>
                <w:color w:val="auto"/>
              </w:rPr>
            </w:pPr>
          </w:p>
        </w:tc>
        <w:tc>
          <w:tcPr>
            <w:tcW w:w="2320" w:type="dxa"/>
            <w:vAlign w:val="bottom"/>
            <w:shd w:val="clear" w:color="auto" w:fill="CCEEFF"/>
          </w:tcPr>
          <w:p>
            <w:pPr>
              <w:ind w:left="520"/>
              <w:spacing w:after="0"/>
              <w:rPr>
                <w:sz w:val="20"/>
                <w:szCs w:val="20"/>
                <w:color w:val="auto"/>
              </w:rPr>
            </w:pPr>
            <w:r>
              <w:rPr>
                <w:rFonts w:ascii="Arial" w:cs="Arial" w:eastAsia="Arial" w:hAnsi="Arial"/>
                <w:sz w:val="14"/>
                <w:szCs w:val="14"/>
                <w:color w:val="auto"/>
              </w:rPr>
              <w:t>Net periodic benefit cost</w:t>
            </w:r>
          </w:p>
        </w:tc>
        <w:tc>
          <w:tcPr>
            <w:tcW w:w="28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7"/>
              </w:rPr>
              <w:t>12,762</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7"/>
              </w:rPr>
              <w:t>11,724</w:t>
            </w:r>
          </w:p>
        </w:tc>
        <w:tc>
          <w:tcPr>
            <w:tcW w:w="72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$ 15,402</w:t>
            </w:r>
          </w:p>
        </w:tc>
        <w:tc>
          <w:tcPr>
            <w:tcW w:w="24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930</w:t>
            </w:r>
          </w:p>
        </w:tc>
        <w:tc>
          <w:tcPr>
            <w:tcW w:w="140" w:type="dxa"/>
            <w:vAlign w:val="bottom"/>
            <w:tcBorders>
              <w:right w:val="single" w:sz="8" w:color="CCEEFF"/>
            </w:tcBorders>
            <w:shd w:val="clear" w:color="auto" w:fill="CCEEFF"/>
          </w:tcPr>
          <w:p>
            <w:pPr>
              <w:spacing w:after="0"/>
              <w:rPr>
                <w:sz w:val="14"/>
                <w:szCs w:val="14"/>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592</w:t>
            </w:r>
          </w:p>
        </w:tc>
        <w:tc>
          <w:tcPr>
            <w:tcW w:w="240" w:type="dxa"/>
            <w:vAlign w:val="bottom"/>
            <w:gridSpan w:val="2"/>
            <w:shd w:val="clear" w:color="auto" w:fill="CCEEFF"/>
          </w:tcPr>
          <w:p>
            <w:pPr>
              <w:jc w:val="right"/>
              <w:ind w:right="40"/>
              <w:spacing w:after="0"/>
              <w:rPr>
                <w:sz w:val="20"/>
                <w:szCs w:val="20"/>
                <w:color w:val="auto"/>
              </w:rPr>
            </w:pPr>
            <w:r>
              <w:rPr>
                <w:rFonts w:ascii="Arial" w:cs="Arial" w:eastAsia="Arial" w:hAnsi="Arial"/>
                <w:sz w:val="14"/>
                <w:szCs w:val="14"/>
                <w:color w:val="auto"/>
              </w:rPr>
              <w:t>$</w:t>
            </w:r>
          </w:p>
        </w:tc>
        <w:tc>
          <w:tcPr>
            <w:tcW w:w="480" w:type="dxa"/>
            <w:vAlign w:val="bottom"/>
            <w:tcBorders>
              <w:right w:val="single" w:sz="8" w:color="CCEEFF"/>
            </w:tcBorders>
            <w:shd w:val="clear" w:color="auto" w:fill="CCEEFF"/>
          </w:tcPr>
          <w:p>
            <w:pPr>
              <w:jc w:val="right"/>
              <w:ind w:right="48"/>
              <w:spacing w:after="0"/>
              <w:rPr>
                <w:sz w:val="20"/>
                <w:szCs w:val="20"/>
                <w:color w:val="auto"/>
              </w:rPr>
            </w:pPr>
            <w:r>
              <w:rPr>
                <w:rFonts w:ascii="Arial" w:cs="Arial" w:eastAsia="Arial" w:hAnsi="Arial"/>
                <w:sz w:val="14"/>
                <w:szCs w:val="14"/>
                <w:color w:val="auto"/>
                <w:w w:val="96"/>
              </w:rPr>
              <w:t>1,189</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2320" w:type="dxa"/>
            <w:vAlign w:val="bottom"/>
            <w:shd w:val="clear" w:color="auto" w:fill="CCEEFF"/>
          </w:tcPr>
          <w:p>
            <w:pPr>
              <w:spacing w:after="0"/>
              <w:rPr>
                <w:sz w:val="2"/>
                <w:szCs w:val="2"/>
                <w:color w:val="auto"/>
              </w:rPr>
            </w:pPr>
          </w:p>
        </w:tc>
        <w:tc>
          <w:tcPr>
            <w:tcW w:w="200" w:type="dxa"/>
            <w:vAlign w:val="bottom"/>
            <w:shd w:val="clear" w:color="auto" w:fill="CCEEFF"/>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140" w:type="dxa"/>
            <w:vAlign w:val="bottom"/>
            <w:tcBorders>
              <w:right w:val="single" w:sz="8" w:color="CCEEFF"/>
            </w:tcBorders>
            <w:shd w:val="clear" w:color="auto" w:fill="CCEEFF"/>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80" w:type="dxa"/>
            <w:vAlign w:val="bottom"/>
            <w:tcBorders>
              <w:right w:val="single" w:sz="8" w:color="CCEEFF"/>
            </w:tcBorders>
            <w:shd w:val="clear" w:color="auto" w:fill="000000"/>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1880"/>
        <w:spacing w:after="0"/>
        <w:rPr>
          <w:sz w:val="20"/>
          <w:szCs w:val="20"/>
          <w:color w:val="auto"/>
        </w:rPr>
      </w:pPr>
      <w:r>
        <w:rPr>
          <w:rFonts w:ascii="Arial" w:cs="Arial" w:eastAsia="Arial" w:hAnsi="Arial"/>
          <w:sz w:val="17"/>
          <w:szCs w:val="17"/>
          <w:color w:val="auto"/>
        </w:rPr>
        <w:t>The weighted average assumptions used to determine benefit obligations at</w:t>
      </w:r>
    </w:p>
    <w:p>
      <w:pPr>
        <w:spacing w:after="0" w:line="35" w:lineRule="exact"/>
        <w:rPr>
          <w:sz w:val="20"/>
          <w:szCs w:val="20"/>
          <w:color w:val="auto"/>
        </w:rPr>
      </w:pPr>
    </w:p>
    <w:p>
      <w:pPr>
        <w:ind w:left="1240"/>
        <w:spacing w:after="0"/>
        <w:rPr>
          <w:sz w:val="20"/>
          <w:szCs w:val="20"/>
          <w:color w:val="auto"/>
        </w:rPr>
      </w:pPr>
      <w:r>
        <w:rPr>
          <w:rFonts w:ascii="Arial" w:cs="Arial" w:eastAsia="Arial" w:hAnsi="Arial"/>
          <w:sz w:val="18"/>
          <w:szCs w:val="18"/>
          <w:color w:val="auto"/>
        </w:rPr>
        <w:t>December 31, 2017 and 2016 were as follows:</w:t>
      </w:r>
    </w:p>
    <w:p>
      <w:pPr>
        <w:spacing w:after="0" w:line="216" w:lineRule="exact"/>
        <w:rPr>
          <w:sz w:val="20"/>
          <w:szCs w:val="20"/>
          <w:color w:val="auto"/>
        </w:rPr>
      </w:pPr>
    </w:p>
    <w:p>
      <w:pPr>
        <w:ind w:left="6560"/>
        <w:spacing w:after="0"/>
        <w:rPr>
          <w:sz w:val="20"/>
          <w:szCs w:val="20"/>
          <w:color w:val="auto"/>
        </w:rPr>
      </w:pPr>
      <w:r>
        <w:rPr>
          <w:rFonts w:ascii="Arial" w:cs="Arial" w:eastAsia="Arial" w:hAnsi="Arial"/>
          <w:sz w:val="14"/>
          <w:szCs w:val="14"/>
          <w:b w:val="1"/>
          <w:bCs w:val="1"/>
          <w:color w:val="auto"/>
        </w:rPr>
        <w:t>Postretirement</w:t>
      </w:r>
    </w:p>
    <w:p>
      <w:pPr>
        <w:spacing w:after="0" w:line="4" w:lineRule="exact"/>
        <w:rPr>
          <w:sz w:val="20"/>
          <w:szCs w:val="20"/>
          <w:color w:val="auto"/>
        </w:rPr>
      </w:pPr>
    </w:p>
    <w:p>
      <w:pPr>
        <w:ind w:left="5160"/>
        <w:spacing w:after="0"/>
        <w:tabs>
          <w:tab w:leader="none" w:pos="6760" w:val="left"/>
        </w:tabs>
        <w:rPr>
          <w:sz w:val="20"/>
          <w:szCs w:val="20"/>
          <w:color w:val="auto"/>
        </w:rPr>
      </w:pPr>
      <w:r>
        <w:rPr>
          <w:rFonts w:ascii="Arial" w:cs="Arial" w:eastAsia="Arial" w:hAnsi="Arial"/>
          <w:sz w:val="14"/>
          <w:szCs w:val="14"/>
          <w:b w:val="1"/>
          <w:bCs w:val="1"/>
          <w:color w:val="auto"/>
        </w:rPr>
        <w:t>Pension Benefits</w:t>
      </w:r>
      <w:r>
        <w:rPr>
          <w:sz w:val="20"/>
          <w:szCs w:val="20"/>
          <w:color w:val="auto"/>
        </w:rPr>
        <w:tab/>
      </w:r>
      <w:r>
        <w:rPr>
          <w:rFonts w:ascii="Arial" w:cs="Arial" w:eastAsia="Arial" w:hAnsi="Arial"/>
          <w:sz w:val="12"/>
          <w:szCs w:val="12"/>
          <w:b w:val="1"/>
          <w:bCs w:val="1"/>
          <w:color w:val="auto"/>
        </w:rPr>
        <w:t>Benefits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3196590</wp:posOffset>
            </wp:positionH>
            <wp:positionV relativeFrom="paragraph">
              <wp:posOffset>-3175</wp:posOffset>
            </wp:positionV>
            <wp:extent cx="1663700" cy="889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59">
                      <a:extLst>
                        <a:ext uri="{28A0092B-C50C-407E-A947-70E740481C1C}"/>
                      </a:extLst>
                    </a:blip>
                    <a:srcRect/>
                    <a:stretch>
                      <a:fillRect/>
                    </a:stretch>
                  </pic:blipFill>
                  <pic:spPr bwMode="auto">
                    <a:xfrm>
                      <a:off x="0" y="0"/>
                      <a:ext cx="1663700" cy="8890"/>
                    </a:xfrm>
                    <a:prstGeom prst="rect">
                      <a:avLst/>
                    </a:prstGeom>
                    <a:noFill/>
                  </pic:spPr>
                </pic:pic>
              </a:graphicData>
            </a:graphic>
          </wp:anchor>
        </w:drawing>
      </w:r>
    </w:p>
    <w:p>
      <w:pPr>
        <w:ind w:left="5160"/>
        <w:spacing w:after="0"/>
        <w:tabs>
          <w:tab w:leader="none" w:pos="5840" w:val="left"/>
          <w:tab w:leader="none" w:pos="6500" w:val="left"/>
          <w:tab w:leader="none" w:pos="7200" w:val="left"/>
        </w:tabs>
        <w:rPr>
          <w:sz w:val="20"/>
          <w:szCs w:val="20"/>
          <w:color w:val="auto"/>
        </w:rPr>
      </w:pPr>
      <w:r>
        <w:rPr>
          <w:rFonts w:ascii="Arial" w:cs="Arial" w:eastAsia="Arial" w:hAnsi="Arial"/>
          <w:sz w:val="14"/>
          <w:szCs w:val="14"/>
          <w:b w:val="1"/>
          <w:bCs w:val="1"/>
          <w:color w:val="auto"/>
        </w:rPr>
        <w:t>2017</w:t>
      </w:r>
      <w:r>
        <w:rPr>
          <w:sz w:val="20"/>
          <w:szCs w:val="20"/>
          <w:color w:val="auto"/>
        </w:rPr>
        <w:tab/>
      </w:r>
      <w:r>
        <w:rPr>
          <w:rFonts w:ascii="Arial" w:cs="Arial" w:eastAsia="Arial" w:hAnsi="Arial"/>
          <w:sz w:val="14"/>
          <w:szCs w:val="14"/>
          <w:b w:val="1"/>
          <w:bCs w:val="1"/>
          <w:color w:val="auto"/>
        </w:rPr>
        <w:t>2016</w:t>
      </w:r>
      <w:r>
        <w:rPr>
          <w:sz w:val="20"/>
          <w:szCs w:val="20"/>
          <w:color w:val="auto"/>
        </w:rPr>
        <w:tab/>
      </w:r>
      <w:r>
        <w:rPr>
          <w:rFonts w:ascii="Arial" w:cs="Arial" w:eastAsia="Arial" w:hAnsi="Arial"/>
          <w:sz w:val="14"/>
          <w:szCs w:val="14"/>
          <w:b w:val="1"/>
          <w:bCs w:val="1"/>
          <w:color w:val="auto"/>
        </w:rPr>
        <w:t>2017</w:t>
      </w:r>
      <w:r>
        <w:rPr>
          <w:sz w:val="20"/>
          <w:szCs w:val="20"/>
          <w:color w:val="auto"/>
        </w:rPr>
        <w:tab/>
      </w:r>
      <w:r>
        <w:rPr>
          <w:rFonts w:ascii="Arial" w:cs="Arial" w:eastAsia="Arial" w:hAnsi="Arial"/>
          <w:sz w:val="13"/>
          <w:szCs w:val="13"/>
          <w:b w:val="1"/>
          <w:bCs w:val="1"/>
          <w:color w:val="auto"/>
        </w:rPr>
        <w:t>2016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3196590</wp:posOffset>
            </wp:positionH>
            <wp:positionV relativeFrom="paragraph">
              <wp:posOffset>-3175</wp:posOffset>
            </wp:positionV>
            <wp:extent cx="1663700" cy="889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60">
                      <a:extLst>
                        <a:ext uri="{28A0092B-C50C-407E-A947-70E740481C1C}"/>
                      </a:extLst>
                    </a:blip>
                    <a:srcRect/>
                    <a:stretch>
                      <a:fillRect/>
                    </a:stretch>
                  </pic:blipFill>
                  <pic:spPr bwMode="auto">
                    <a:xfrm>
                      <a:off x="0" y="0"/>
                      <a:ext cx="1663700" cy="8890"/>
                    </a:xfrm>
                    <a:prstGeom prst="rect">
                      <a:avLst/>
                    </a:prstGeom>
                    <a:noFill/>
                  </pic:spPr>
                </pic:pic>
              </a:graphicData>
            </a:graphic>
          </wp:anchor>
        </w:drawing>
      </w:r>
    </w:p>
    <w:p>
      <w:pPr>
        <w:spacing w:after="0" w:line="150" w:lineRule="exact"/>
        <w:rPr>
          <w:sz w:val="20"/>
          <w:szCs w:val="20"/>
          <w:color w:val="auto"/>
        </w:rPr>
      </w:pPr>
    </w:p>
    <w:tbl>
      <w:tblPr>
        <w:tblLayout w:type="fixed"/>
        <w:tblInd w:w="1240" w:type="dxa"/>
        <w:tblCellMar>
          <w:top w:w="0" w:type="dxa"/>
          <w:left w:w="0" w:type="dxa"/>
          <w:bottom w:w="0" w:type="dxa"/>
          <w:right w:w="0" w:type="dxa"/>
        </w:tblCellMar>
      </w:tblPr>
      <w:tr>
        <w:trPr>
          <w:trHeight w:val="162"/>
        </w:trPr>
        <w:tc>
          <w:tcPr>
            <w:tcW w:w="2840" w:type="dxa"/>
            <w:vAlign w:val="bottom"/>
            <w:shd w:val="clear" w:color="auto" w:fill="CCEEFF"/>
          </w:tcPr>
          <w:p>
            <w:pPr>
              <w:spacing w:after="0"/>
              <w:rPr>
                <w:sz w:val="20"/>
                <w:szCs w:val="20"/>
                <w:color w:val="auto"/>
              </w:rPr>
            </w:pPr>
            <w:r>
              <w:rPr>
                <w:rFonts w:ascii="Arial" w:cs="Arial" w:eastAsia="Arial" w:hAnsi="Arial"/>
                <w:sz w:val="14"/>
                <w:szCs w:val="14"/>
                <w:color w:val="auto"/>
              </w:rPr>
              <w:t>Discount rate</w:t>
            </w:r>
          </w:p>
        </w:tc>
        <w:tc>
          <w:tcPr>
            <w:tcW w:w="162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3.62%</w:t>
            </w:r>
          </w:p>
        </w:tc>
        <w:tc>
          <w:tcPr>
            <w:tcW w:w="6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4.17%</w:t>
            </w:r>
          </w:p>
        </w:tc>
        <w:tc>
          <w:tcPr>
            <w:tcW w:w="68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3.61%</w:t>
            </w:r>
          </w:p>
        </w:tc>
        <w:tc>
          <w:tcPr>
            <w:tcW w:w="74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4.08%</w:t>
            </w:r>
          </w:p>
        </w:tc>
      </w:tr>
      <w:tr>
        <w:trPr>
          <w:trHeight w:val="182"/>
        </w:trPr>
        <w:tc>
          <w:tcPr>
            <w:tcW w:w="2840" w:type="dxa"/>
            <w:vAlign w:val="bottom"/>
          </w:tcPr>
          <w:p>
            <w:pPr>
              <w:spacing w:after="0"/>
              <w:rPr>
                <w:sz w:val="20"/>
                <w:szCs w:val="20"/>
                <w:color w:val="auto"/>
              </w:rPr>
            </w:pPr>
            <w:r>
              <w:rPr>
                <w:rFonts w:ascii="Arial" w:cs="Arial" w:eastAsia="Arial" w:hAnsi="Arial"/>
                <w:sz w:val="14"/>
                <w:szCs w:val="14"/>
                <w:color w:val="auto"/>
              </w:rPr>
              <w:t>Rate of compensation increase</w:t>
            </w:r>
          </w:p>
        </w:tc>
        <w:tc>
          <w:tcPr>
            <w:tcW w:w="1620" w:type="dxa"/>
            <w:vAlign w:val="bottom"/>
          </w:tcPr>
          <w:p>
            <w:pPr>
              <w:jc w:val="right"/>
              <w:ind w:right="108"/>
              <w:spacing w:after="0"/>
              <w:rPr>
                <w:sz w:val="20"/>
                <w:szCs w:val="20"/>
                <w:color w:val="auto"/>
              </w:rPr>
            </w:pPr>
            <w:r>
              <w:rPr>
                <w:rFonts w:ascii="Arial" w:cs="Arial" w:eastAsia="Arial" w:hAnsi="Arial"/>
                <w:sz w:val="14"/>
                <w:szCs w:val="14"/>
                <w:color w:val="auto"/>
              </w:rPr>
              <w:t>4.01%</w:t>
            </w: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4.02%</w:t>
            </w:r>
          </w:p>
        </w:tc>
        <w:tc>
          <w:tcPr>
            <w:tcW w:w="680" w:type="dxa"/>
            <w:vAlign w:val="bottom"/>
          </w:tcPr>
          <w:p>
            <w:pPr>
              <w:jc w:val="right"/>
              <w:ind w:right="88"/>
              <w:spacing w:after="0"/>
              <w:rPr>
                <w:sz w:val="20"/>
                <w:szCs w:val="20"/>
                <w:color w:val="auto"/>
              </w:rPr>
            </w:pPr>
            <w:r>
              <w:rPr>
                <w:rFonts w:ascii="Arial" w:cs="Arial" w:eastAsia="Arial" w:hAnsi="Arial"/>
                <w:sz w:val="14"/>
                <w:szCs w:val="14"/>
                <w:color w:val="auto"/>
              </w:rPr>
              <w:t>N/A</w:t>
            </w:r>
          </w:p>
        </w:tc>
        <w:tc>
          <w:tcPr>
            <w:tcW w:w="740" w:type="dxa"/>
            <w:vAlign w:val="bottom"/>
          </w:tcPr>
          <w:p>
            <w:pPr>
              <w:jc w:val="right"/>
              <w:ind w:right="128"/>
              <w:spacing w:after="0"/>
              <w:rPr>
                <w:sz w:val="20"/>
                <w:szCs w:val="20"/>
                <w:color w:val="auto"/>
              </w:rPr>
            </w:pPr>
            <w:r>
              <w:rPr>
                <w:rFonts w:ascii="Arial" w:cs="Arial" w:eastAsia="Arial" w:hAnsi="Arial"/>
                <w:sz w:val="14"/>
                <w:szCs w:val="14"/>
                <w:color w:val="auto"/>
              </w:rPr>
              <w:t>N/A</w:t>
            </w:r>
          </w:p>
        </w:tc>
      </w:tr>
    </w:tbl>
    <w:p>
      <w:pPr>
        <w:spacing w:after="0" w:line="182" w:lineRule="exact"/>
        <w:rPr>
          <w:sz w:val="20"/>
          <w:szCs w:val="20"/>
          <w:color w:val="auto"/>
        </w:rPr>
      </w:pPr>
    </w:p>
    <w:p>
      <w:pPr>
        <w:ind w:left="1240" w:right="1259" w:firstLine="648"/>
        <w:spacing w:after="0" w:line="308" w:lineRule="auto"/>
        <w:rPr>
          <w:sz w:val="20"/>
          <w:szCs w:val="20"/>
          <w:color w:val="auto"/>
        </w:rPr>
      </w:pPr>
      <w:r>
        <w:rPr>
          <w:rFonts w:ascii="Arial" w:cs="Arial" w:eastAsia="Arial" w:hAnsi="Arial"/>
          <w:sz w:val="17"/>
          <w:szCs w:val="17"/>
          <w:color w:val="auto"/>
        </w:rPr>
        <w:t>The weighted average assumptions used to determine net periodic benefit cost for the years ended December 31, 2017, 2016 and 2015 were as follows:</w:t>
      </w:r>
    </w:p>
    <w:p>
      <w:pPr>
        <w:spacing w:after="0" w:line="165" w:lineRule="exact"/>
        <w:rPr>
          <w:sz w:val="20"/>
          <w:szCs w:val="20"/>
          <w:color w:val="auto"/>
        </w:rPr>
      </w:pPr>
    </w:p>
    <w:tbl>
      <w:tblPr>
        <w:tblLayout w:type="fixed"/>
        <w:tblInd w:w="1240" w:type="dxa"/>
        <w:tblCellMar>
          <w:top w:w="0" w:type="dxa"/>
          <w:left w:w="0" w:type="dxa"/>
          <w:bottom w:w="0" w:type="dxa"/>
          <w:right w:w="0" w:type="dxa"/>
        </w:tblCellMar>
      </w:tblPr>
      <w:tr>
        <w:trPr>
          <w:trHeight w:val="171"/>
        </w:trPr>
        <w:tc>
          <w:tcPr>
            <w:tcW w:w="3140" w:type="dxa"/>
            <w:vAlign w:val="bottom"/>
          </w:tcPr>
          <w:p>
            <w:pPr>
              <w:spacing w:after="0"/>
              <w:rPr>
                <w:sz w:val="14"/>
                <w:szCs w:val="14"/>
                <w:color w:val="auto"/>
              </w:rPr>
            </w:pPr>
          </w:p>
        </w:tc>
        <w:tc>
          <w:tcPr>
            <w:tcW w:w="1700" w:type="dxa"/>
            <w:vAlign w:val="bottom"/>
            <w:gridSpan w:val="6"/>
          </w:tcPr>
          <w:p>
            <w:pPr>
              <w:jc w:val="center"/>
              <w:ind w:right="100"/>
              <w:spacing w:after="0"/>
              <w:rPr>
                <w:sz w:val="20"/>
                <w:szCs w:val="20"/>
                <w:color w:val="auto"/>
              </w:rPr>
            </w:pPr>
            <w:r>
              <w:rPr>
                <w:rFonts w:ascii="Arial" w:cs="Arial" w:eastAsia="Arial" w:hAnsi="Arial"/>
                <w:sz w:val="14"/>
                <w:szCs w:val="14"/>
                <w:b w:val="1"/>
                <w:bCs w:val="1"/>
                <w:color w:val="auto"/>
                <w:w w:val="88"/>
              </w:rPr>
              <w:t>Pension Benefits</w:t>
            </w:r>
          </w:p>
        </w:tc>
        <w:tc>
          <w:tcPr>
            <w:tcW w:w="1720" w:type="dxa"/>
            <w:vAlign w:val="bottom"/>
            <w:gridSpan w:val="6"/>
          </w:tcPr>
          <w:p>
            <w:pPr>
              <w:jc w:val="right"/>
              <w:ind w:right="220"/>
              <w:spacing w:after="0"/>
              <w:rPr>
                <w:sz w:val="20"/>
                <w:szCs w:val="20"/>
                <w:color w:val="auto"/>
              </w:rPr>
            </w:pPr>
            <w:r>
              <w:rPr>
                <w:rFonts w:ascii="Arial" w:cs="Arial" w:eastAsia="Arial" w:hAnsi="Arial"/>
                <w:sz w:val="14"/>
                <w:szCs w:val="14"/>
                <w:b w:val="1"/>
                <w:bCs w:val="1"/>
                <w:color w:val="auto"/>
                <w:w w:val="93"/>
              </w:rPr>
              <w:t>Postretirement Benefits</w:t>
            </w:r>
          </w:p>
        </w:tc>
      </w:tr>
      <w:tr>
        <w:trPr>
          <w:trHeight w:val="142"/>
        </w:trPr>
        <w:tc>
          <w:tcPr>
            <w:tcW w:w="3140" w:type="dxa"/>
            <w:vAlign w:val="bottom"/>
          </w:tcPr>
          <w:p>
            <w:pPr>
              <w:spacing w:after="0"/>
              <w:rPr>
                <w:sz w:val="12"/>
                <w:szCs w:val="12"/>
                <w:color w:val="auto"/>
              </w:rPr>
            </w:pPr>
          </w:p>
        </w:tc>
        <w:tc>
          <w:tcPr>
            <w:tcW w:w="440" w:type="dxa"/>
            <w:vAlign w:val="bottom"/>
            <w:tcBorders>
              <w:top w:val="single" w:sz="8" w:color="auto"/>
              <w:bottom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w w:val="96"/>
              </w:rPr>
              <w:t>2017</w:t>
            </w:r>
          </w:p>
        </w:tc>
        <w:tc>
          <w:tcPr>
            <w:tcW w:w="140" w:type="dxa"/>
            <w:vAlign w:val="bottom"/>
            <w:tcBorders>
              <w:top w:val="single" w:sz="8" w:color="auto"/>
            </w:tcBorders>
          </w:tcPr>
          <w:p>
            <w:pPr>
              <w:spacing w:after="0"/>
              <w:rPr>
                <w:sz w:val="12"/>
                <w:szCs w:val="12"/>
                <w:color w:val="auto"/>
              </w:rPr>
            </w:pPr>
          </w:p>
        </w:tc>
        <w:tc>
          <w:tcPr>
            <w:tcW w:w="460" w:type="dxa"/>
            <w:vAlign w:val="bottom"/>
            <w:tcBorders>
              <w:top w:val="single" w:sz="8" w:color="auto"/>
              <w:bottom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w w:val="89"/>
              </w:rPr>
              <w:t>2016</w:t>
            </w:r>
          </w:p>
        </w:tc>
        <w:tc>
          <w:tcPr>
            <w:tcW w:w="140" w:type="dxa"/>
            <w:vAlign w:val="bottom"/>
            <w:tcBorders>
              <w:top w:val="single" w:sz="8" w:color="auto"/>
            </w:tcBorders>
          </w:tcPr>
          <w:p>
            <w:pPr>
              <w:spacing w:after="0"/>
              <w:rPr>
                <w:sz w:val="12"/>
                <w:szCs w:val="12"/>
                <w:color w:val="auto"/>
              </w:rPr>
            </w:pPr>
          </w:p>
        </w:tc>
        <w:tc>
          <w:tcPr>
            <w:tcW w:w="440" w:type="dxa"/>
            <w:vAlign w:val="bottom"/>
            <w:tcBorders>
              <w:top w:val="single" w:sz="8" w:color="auto"/>
              <w:bottom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w w:val="89"/>
              </w:rPr>
              <w:t>2015</w:t>
            </w:r>
          </w:p>
        </w:tc>
        <w:tc>
          <w:tcPr>
            <w:tcW w:w="80" w:type="dxa"/>
            <w:vAlign w:val="bottom"/>
          </w:tcPr>
          <w:p>
            <w:pPr>
              <w:spacing w:after="0"/>
              <w:rPr>
                <w:sz w:val="12"/>
                <w:szCs w:val="12"/>
                <w:color w:val="auto"/>
              </w:rPr>
            </w:pPr>
          </w:p>
        </w:tc>
        <w:tc>
          <w:tcPr>
            <w:tcW w:w="460" w:type="dxa"/>
            <w:vAlign w:val="bottom"/>
            <w:tcBorders>
              <w:top w:val="single" w:sz="8" w:color="auto"/>
              <w:bottom w:val="single" w:sz="8" w:color="auto"/>
            </w:tcBorders>
          </w:tcPr>
          <w:p>
            <w:pPr>
              <w:jc w:val="right"/>
              <w:ind w:right="28"/>
              <w:spacing w:after="0" w:line="142" w:lineRule="exact"/>
              <w:rPr>
                <w:sz w:val="20"/>
                <w:szCs w:val="20"/>
                <w:color w:val="auto"/>
              </w:rPr>
            </w:pPr>
            <w:r>
              <w:rPr>
                <w:rFonts w:ascii="Arial" w:cs="Arial" w:eastAsia="Arial" w:hAnsi="Arial"/>
                <w:sz w:val="14"/>
                <w:szCs w:val="14"/>
                <w:b w:val="1"/>
                <w:bCs w:val="1"/>
                <w:color w:val="auto"/>
              </w:rPr>
              <w:t>2017</w:t>
            </w:r>
          </w:p>
        </w:tc>
        <w:tc>
          <w:tcPr>
            <w:tcW w:w="80" w:type="dxa"/>
            <w:vAlign w:val="bottom"/>
            <w:tcBorders>
              <w:top w:val="single" w:sz="8" w:color="auto"/>
            </w:tcBorders>
          </w:tcPr>
          <w:p>
            <w:pPr>
              <w:spacing w:after="0"/>
              <w:rPr>
                <w:sz w:val="12"/>
                <w:szCs w:val="12"/>
                <w:color w:val="auto"/>
              </w:rPr>
            </w:pPr>
          </w:p>
        </w:tc>
        <w:tc>
          <w:tcPr>
            <w:tcW w:w="440" w:type="dxa"/>
            <w:vAlign w:val="bottom"/>
            <w:tcBorders>
              <w:top w:val="single" w:sz="8" w:color="auto"/>
              <w:bottom w:val="single" w:sz="8" w:color="auto"/>
            </w:tcBorders>
          </w:tcPr>
          <w:p>
            <w:pPr>
              <w:jc w:val="right"/>
              <w:ind w:right="8"/>
              <w:spacing w:after="0" w:line="142" w:lineRule="exact"/>
              <w:rPr>
                <w:sz w:val="20"/>
                <w:szCs w:val="20"/>
                <w:color w:val="auto"/>
              </w:rPr>
            </w:pPr>
            <w:r>
              <w:rPr>
                <w:rFonts w:ascii="Arial" w:cs="Arial" w:eastAsia="Arial" w:hAnsi="Arial"/>
                <w:sz w:val="14"/>
                <w:szCs w:val="14"/>
                <w:b w:val="1"/>
                <w:bCs w:val="1"/>
                <w:color w:val="auto"/>
              </w:rPr>
              <w:t>2016</w:t>
            </w:r>
          </w:p>
        </w:tc>
        <w:tc>
          <w:tcPr>
            <w:tcW w:w="140" w:type="dxa"/>
            <w:vAlign w:val="bottom"/>
            <w:tcBorders>
              <w:top w:val="single" w:sz="8" w:color="auto"/>
            </w:tcBorders>
          </w:tcPr>
          <w:p>
            <w:pPr>
              <w:spacing w:after="0"/>
              <w:rPr>
                <w:sz w:val="12"/>
                <w:szCs w:val="12"/>
                <w:color w:val="auto"/>
              </w:rPr>
            </w:pPr>
          </w:p>
        </w:tc>
        <w:tc>
          <w:tcPr>
            <w:tcW w:w="460" w:type="dxa"/>
            <w:vAlign w:val="bottom"/>
            <w:tcBorders>
              <w:top w:val="single" w:sz="8" w:color="auto"/>
              <w:bottom w:val="single" w:sz="8" w:color="auto"/>
            </w:tcBorders>
          </w:tcPr>
          <w:p>
            <w:pPr>
              <w:jc w:val="right"/>
              <w:ind w:right="28"/>
              <w:spacing w:after="0" w:line="142" w:lineRule="exact"/>
              <w:rPr>
                <w:sz w:val="20"/>
                <w:szCs w:val="20"/>
                <w:color w:val="auto"/>
              </w:rPr>
            </w:pPr>
            <w:r>
              <w:rPr>
                <w:rFonts w:ascii="Arial" w:cs="Arial" w:eastAsia="Arial" w:hAnsi="Arial"/>
                <w:sz w:val="14"/>
                <w:szCs w:val="14"/>
                <w:b w:val="1"/>
                <w:bCs w:val="1"/>
                <w:color w:val="auto"/>
              </w:rPr>
              <w:t>2015</w:t>
            </w:r>
          </w:p>
        </w:tc>
        <w:tc>
          <w:tcPr>
            <w:tcW w:w="140" w:type="dxa"/>
            <w:vAlign w:val="bottom"/>
          </w:tcPr>
          <w:p>
            <w:pPr>
              <w:spacing w:after="0"/>
              <w:rPr>
                <w:sz w:val="12"/>
                <w:szCs w:val="12"/>
                <w:color w:val="auto"/>
              </w:rPr>
            </w:pPr>
          </w:p>
        </w:tc>
      </w:tr>
      <w:tr>
        <w:trPr>
          <w:trHeight w:val="183"/>
        </w:trPr>
        <w:tc>
          <w:tcPr>
            <w:tcW w:w="314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40" w:type="dxa"/>
            <w:vAlign w:val="bottom"/>
          </w:tcPr>
          <w:p>
            <w:pPr>
              <w:spacing w:after="0"/>
              <w:rPr>
                <w:sz w:val="15"/>
                <w:szCs w:val="15"/>
                <w:color w:val="auto"/>
              </w:rPr>
            </w:pPr>
          </w:p>
        </w:tc>
      </w:tr>
      <w:tr>
        <w:trPr>
          <w:trHeight w:val="203"/>
        </w:trPr>
        <w:tc>
          <w:tcPr>
            <w:tcW w:w="3140" w:type="dxa"/>
            <w:vAlign w:val="bottom"/>
            <w:shd w:val="clear" w:color="auto" w:fill="CCEEFF"/>
          </w:tcPr>
          <w:p>
            <w:pPr>
              <w:spacing w:after="0"/>
              <w:rPr>
                <w:sz w:val="20"/>
                <w:szCs w:val="20"/>
                <w:color w:val="auto"/>
              </w:rPr>
            </w:pPr>
            <w:r>
              <w:rPr>
                <w:rFonts w:ascii="Arial" w:cs="Arial" w:eastAsia="Arial" w:hAnsi="Arial"/>
                <w:sz w:val="14"/>
                <w:szCs w:val="14"/>
                <w:color w:val="auto"/>
              </w:rPr>
              <w:t>Discount rate</w:t>
            </w:r>
          </w:p>
        </w:tc>
        <w:tc>
          <w:tcPr>
            <w:tcW w:w="4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4.17%</w:t>
            </w:r>
          </w:p>
        </w:tc>
        <w:tc>
          <w:tcPr>
            <w:tcW w:w="140" w:type="dxa"/>
            <w:vAlign w:val="bottom"/>
            <w:shd w:val="clear" w:color="auto" w:fill="CCEEFF"/>
          </w:tcPr>
          <w:p>
            <w:pPr>
              <w:spacing w:after="0"/>
              <w:rPr>
                <w:sz w:val="17"/>
                <w:szCs w:val="17"/>
                <w:color w:val="auto"/>
              </w:rPr>
            </w:pPr>
          </w:p>
        </w:tc>
        <w:tc>
          <w:tcPr>
            <w:tcW w:w="4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4.16%</w:t>
            </w:r>
          </w:p>
        </w:tc>
        <w:tc>
          <w:tcPr>
            <w:tcW w:w="140" w:type="dxa"/>
            <w:vAlign w:val="bottom"/>
            <w:shd w:val="clear" w:color="auto" w:fill="CCEEFF"/>
          </w:tcPr>
          <w:p>
            <w:pPr>
              <w:spacing w:after="0"/>
              <w:rPr>
                <w:sz w:val="17"/>
                <w:szCs w:val="17"/>
                <w:color w:val="auto"/>
              </w:rPr>
            </w:pPr>
          </w:p>
        </w:tc>
        <w:tc>
          <w:tcPr>
            <w:tcW w:w="4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3.92%</w:t>
            </w:r>
          </w:p>
        </w:tc>
        <w:tc>
          <w:tcPr>
            <w:tcW w:w="80" w:type="dxa"/>
            <w:vAlign w:val="bottom"/>
            <w:shd w:val="clear" w:color="auto" w:fill="CCEEFF"/>
          </w:tcPr>
          <w:p>
            <w:pPr>
              <w:spacing w:after="0"/>
              <w:rPr>
                <w:sz w:val="17"/>
                <w:szCs w:val="17"/>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5"/>
              </w:rPr>
              <w:t>4.08%</w:t>
            </w:r>
          </w:p>
        </w:tc>
        <w:tc>
          <w:tcPr>
            <w:tcW w:w="80" w:type="dxa"/>
            <w:vAlign w:val="bottom"/>
            <w:shd w:val="clear" w:color="auto" w:fill="CCEEFF"/>
          </w:tcPr>
          <w:p>
            <w:pPr>
              <w:spacing w:after="0"/>
              <w:rPr>
                <w:sz w:val="17"/>
                <w:szCs w:val="17"/>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0"/>
              </w:rPr>
              <w:t>4.30%</w:t>
            </w:r>
          </w:p>
        </w:tc>
        <w:tc>
          <w:tcPr>
            <w:tcW w:w="140" w:type="dxa"/>
            <w:vAlign w:val="bottom"/>
            <w:shd w:val="clear" w:color="auto" w:fill="CCEEFF"/>
          </w:tcPr>
          <w:p>
            <w:pPr>
              <w:spacing w:after="0"/>
              <w:rPr>
                <w:sz w:val="17"/>
                <w:szCs w:val="17"/>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5"/>
              </w:rPr>
              <w:t>3.90%</w:t>
            </w:r>
          </w:p>
        </w:tc>
        <w:tc>
          <w:tcPr>
            <w:tcW w:w="140" w:type="dxa"/>
            <w:vAlign w:val="bottom"/>
            <w:shd w:val="clear" w:color="auto" w:fill="CCEEFF"/>
          </w:tcPr>
          <w:p>
            <w:pPr>
              <w:spacing w:after="0"/>
              <w:rPr>
                <w:sz w:val="17"/>
                <w:szCs w:val="17"/>
                <w:color w:val="auto"/>
              </w:rPr>
            </w:pPr>
          </w:p>
        </w:tc>
      </w:tr>
      <w:tr>
        <w:trPr>
          <w:trHeight w:val="203"/>
        </w:trPr>
        <w:tc>
          <w:tcPr>
            <w:tcW w:w="3140" w:type="dxa"/>
            <w:vAlign w:val="bottom"/>
          </w:tcPr>
          <w:p>
            <w:pPr>
              <w:spacing w:after="0"/>
              <w:rPr>
                <w:sz w:val="20"/>
                <w:szCs w:val="20"/>
                <w:color w:val="auto"/>
              </w:rPr>
            </w:pPr>
            <w:r>
              <w:rPr>
                <w:rFonts w:ascii="Arial" w:cs="Arial" w:eastAsia="Arial" w:hAnsi="Arial"/>
                <w:sz w:val="14"/>
                <w:szCs w:val="14"/>
                <w:color w:val="auto"/>
              </w:rPr>
              <w:t>Expected long-term rate of return on plan assets</w:t>
            </w:r>
          </w:p>
        </w:tc>
        <w:tc>
          <w:tcPr>
            <w:tcW w:w="440" w:type="dxa"/>
            <w:vAlign w:val="bottom"/>
          </w:tcPr>
          <w:p>
            <w:pPr>
              <w:jc w:val="center"/>
              <w:spacing w:after="0"/>
              <w:rPr>
                <w:sz w:val="20"/>
                <w:szCs w:val="20"/>
                <w:color w:val="auto"/>
              </w:rPr>
            </w:pPr>
            <w:r>
              <w:rPr>
                <w:rFonts w:ascii="Arial" w:cs="Arial" w:eastAsia="Arial" w:hAnsi="Arial"/>
                <w:sz w:val="14"/>
                <w:szCs w:val="14"/>
                <w:color w:val="auto"/>
                <w:w w:val="95"/>
              </w:rPr>
              <w:t>5.77%</w:t>
            </w:r>
          </w:p>
        </w:tc>
        <w:tc>
          <w:tcPr>
            <w:tcW w:w="140" w:type="dxa"/>
            <w:vAlign w:val="bottom"/>
          </w:tcPr>
          <w:p>
            <w:pPr>
              <w:spacing w:after="0"/>
              <w:rPr>
                <w:sz w:val="17"/>
                <w:szCs w:val="17"/>
                <w:color w:val="auto"/>
              </w:rPr>
            </w:pPr>
          </w:p>
        </w:tc>
        <w:tc>
          <w:tcPr>
            <w:tcW w:w="460" w:type="dxa"/>
            <w:vAlign w:val="bottom"/>
          </w:tcPr>
          <w:p>
            <w:pPr>
              <w:jc w:val="center"/>
              <w:spacing w:after="0"/>
              <w:rPr>
                <w:sz w:val="20"/>
                <w:szCs w:val="20"/>
                <w:color w:val="auto"/>
              </w:rPr>
            </w:pPr>
            <w:r>
              <w:rPr>
                <w:rFonts w:ascii="Arial" w:cs="Arial" w:eastAsia="Arial" w:hAnsi="Arial"/>
                <w:sz w:val="14"/>
                <w:szCs w:val="14"/>
                <w:color w:val="auto"/>
                <w:w w:val="95"/>
              </w:rPr>
              <w:t>6.23%</w:t>
            </w:r>
          </w:p>
        </w:tc>
        <w:tc>
          <w:tcPr>
            <w:tcW w:w="140" w:type="dxa"/>
            <w:vAlign w:val="bottom"/>
          </w:tcPr>
          <w:p>
            <w:pPr>
              <w:spacing w:after="0"/>
              <w:rPr>
                <w:sz w:val="17"/>
                <w:szCs w:val="17"/>
                <w:color w:val="auto"/>
              </w:rPr>
            </w:pPr>
          </w:p>
        </w:tc>
        <w:tc>
          <w:tcPr>
            <w:tcW w:w="440" w:type="dxa"/>
            <w:vAlign w:val="bottom"/>
          </w:tcPr>
          <w:p>
            <w:pPr>
              <w:jc w:val="center"/>
              <w:spacing w:after="0"/>
              <w:rPr>
                <w:sz w:val="20"/>
                <w:szCs w:val="20"/>
                <w:color w:val="auto"/>
              </w:rPr>
            </w:pPr>
            <w:r>
              <w:rPr>
                <w:rFonts w:ascii="Arial" w:cs="Arial" w:eastAsia="Arial" w:hAnsi="Arial"/>
                <w:sz w:val="14"/>
                <w:szCs w:val="14"/>
                <w:color w:val="auto"/>
                <w:w w:val="90"/>
              </w:rPr>
              <w:t>6.15%</w:t>
            </w:r>
          </w:p>
        </w:tc>
        <w:tc>
          <w:tcPr>
            <w:tcW w:w="80" w:type="dxa"/>
            <w:vAlign w:val="bottom"/>
          </w:tcPr>
          <w:p>
            <w:pPr>
              <w:spacing w:after="0"/>
              <w:rPr>
                <w:sz w:val="17"/>
                <w:szCs w:val="17"/>
                <w:color w:val="auto"/>
              </w:rPr>
            </w:pPr>
          </w:p>
        </w:tc>
        <w:tc>
          <w:tcPr>
            <w:tcW w:w="540" w:type="dxa"/>
            <w:vAlign w:val="bottom"/>
            <w:gridSpan w:val="2"/>
          </w:tcPr>
          <w:p>
            <w:pPr>
              <w:jc w:val="right"/>
              <w:ind w:right="140"/>
              <w:spacing w:after="0"/>
              <w:rPr>
                <w:sz w:val="20"/>
                <w:szCs w:val="20"/>
                <w:color w:val="auto"/>
              </w:rPr>
            </w:pPr>
            <w:r>
              <w:rPr>
                <w:rFonts w:ascii="Arial" w:cs="Arial" w:eastAsia="Arial" w:hAnsi="Arial"/>
                <w:sz w:val="14"/>
                <w:szCs w:val="14"/>
                <w:color w:val="auto"/>
              </w:rPr>
              <w:t>N/A</w:t>
            </w:r>
          </w:p>
        </w:tc>
        <w:tc>
          <w:tcPr>
            <w:tcW w:w="580" w:type="dxa"/>
            <w:vAlign w:val="bottom"/>
            <w:gridSpan w:val="2"/>
          </w:tcPr>
          <w:p>
            <w:pPr>
              <w:jc w:val="right"/>
              <w:ind w:right="200"/>
              <w:spacing w:after="0"/>
              <w:rPr>
                <w:sz w:val="20"/>
                <w:szCs w:val="20"/>
                <w:color w:val="auto"/>
              </w:rPr>
            </w:pPr>
            <w:r>
              <w:rPr>
                <w:rFonts w:ascii="Arial" w:cs="Arial" w:eastAsia="Arial" w:hAnsi="Arial"/>
                <w:sz w:val="14"/>
                <w:szCs w:val="14"/>
                <w:color w:val="auto"/>
              </w:rPr>
              <w:t>N/A</w:t>
            </w:r>
          </w:p>
        </w:tc>
        <w:tc>
          <w:tcPr>
            <w:tcW w:w="600" w:type="dxa"/>
            <w:vAlign w:val="bottom"/>
            <w:gridSpan w:val="2"/>
          </w:tcPr>
          <w:p>
            <w:pPr>
              <w:jc w:val="right"/>
              <w:ind w:right="200"/>
              <w:spacing w:after="0"/>
              <w:rPr>
                <w:sz w:val="20"/>
                <w:szCs w:val="20"/>
                <w:color w:val="auto"/>
              </w:rPr>
            </w:pPr>
            <w:r>
              <w:rPr>
                <w:rFonts w:ascii="Arial" w:cs="Arial" w:eastAsia="Arial" w:hAnsi="Arial"/>
                <w:sz w:val="14"/>
                <w:szCs w:val="14"/>
                <w:color w:val="auto"/>
              </w:rPr>
              <w:t>N/A</w:t>
            </w:r>
          </w:p>
        </w:tc>
      </w:tr>
      <w:tr>
        <w:trPr>
          <w:trHeight w:val="203"/>
        </w:trPr>
        <w:tc>
          <w:tcPr>
            <w:tcW w:w="3140" w:type="dxa"/>
            <w:vAlign w:val="bottom"/>
            <w:shd w:val="clear" w:color="auto" w:fill="CCEEFF"/>
          </w:tcPr>
          <w:p>
            <w:pPr>
              <w:spacing w:after="0"/>
              <w:rPr>
                <w:sz w:val="20"/>
                <w:szCs w:val="20"/>
                <w:color w:val="auto"/>
              </w:rPr>
            </w:pPr>
            <w:r>
              <w:rPr>
                <w:rFonts w:ascii="Arial" w:cs="Arial" w:eastAsia="Arial" w:hAnsi="Arial"/>
                <w:sz w:val="14"/>
                <w:szCs w:val="14"/>
                <w:color w:val="auto"/>
              </w:rPr>
              <w:t>Rate of compensation increase</w:t>
            </w:r>
          </w:p>
        </w:tc>
        <w:tc>
          <w:tcPr>
            <w:tcW w:w="4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4.02%</w:t>
            </w:r>
          </w:p>
        </w:tc>
        <w:tc>
          <w:tcPr>
            <w:tcW w:w="140" w:type="dxa"/>
            <w:vAlign w:val="bottom"/>
            <w:shd w:val="clear" w:color="auto" w:fill="CCEEFF"/>
          </w:tcPr>
          <w:p>
            <w:pPr>
              <w:spacing w:after="0"/>
              <w:rPr>
                <w:sz w:val="17"/>
                <w:szCs w:val="17"/>
                <w:color w:val="auto"/>
              </w:rPr>
            </w:pPr>
          </w:p>
        </w:tc>
        <w:tc>
          <w:tcPr>
            <w:tcW w:w="4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4.07%</w:t>
            </w:r>
          </w:p>
        </w:tc>
        <w:tc>
          <w:tcPr>
            <w:tcW w:w="140" w:type="dxa"/>
            <w:vAlign w:val="bottom"/>
            <w:shd w:val="clear" w:color="auto" w:fill="CCEEFF"/>
          </w:tcPr>
          <w:p>
            <w:pPr>
              <w:spacing w:after="0"/>
              <w:rPr>
                <w:sz w:val="17"/>
                <w:szCs w:val="17"/>
                <w:color w:val="auto"/>
              </w:rPr>
            </w:pPr>
          </w:p>
        </w:tc>
        <w:tc>
          <w:tcPr>
            <w:tcW w:w="4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4.05%</w:t>
            </w:r>
          </w:p>
        </w:tc>
        <w:tc>
          <w:tcPr>
            <w:tcW w:w="80" w:type="dxa"/>
            <w:vAlign w:val="bottom"/>
            <w:shd w:val="clear" w:color="auto" w:fill="CCEEFF"/>
          </w:tcPr>
          <w:p>
            <w:pPr>
              <w:spacing w:after="0"/>
              <w:rPr>
                <w:sz w:val="17"/>
                <w:szCs w:val="17"/>
                <w:color w:val="auto"/>
              </w:rPr>
            </w:pPr>
          </w:p>
        </w:tc>
        <w:tc>
          <w:tcPr>
            <w:tcW w:w="54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N/A</w:t>
            </w:r>
          </w:p>
        </w:tc>
        <w:tc>
          <w:tcPr>
            <w:tcW w:w="58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N/A</w:t>
            </w: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N/A</w:t>
            </w:r>
          </w:p>
        </w:tc>
      </w:tr>
    </w:tbl>
    <w:p>
      <w:pPr>
        <w:spacing w:after="0" w:line="202" w:lineRule="exact"/>
        <w:rPr>
          <w:sz w:val="20"/>
          <w:szCs w:val="20"/>
          <w:color w:val="auto"/>
        </w:rPr>
      </w:pPr>
    </w:p>
    <w:p>
      <w:pPr>
        <w:ind w:left="1240" w:right="1259" w:firstLine="648"/>
        <w:spacing w:after="0" w:line="264" w:lineRule="auto"/>
        <w:rPr>
          <w:sz w:val="20"/>
          <w:szCs w:val="20"/>
          <w:color w:val="auto"/>
        </w:rPr>
      </w:pPr>
      <w:r>
        <w:rPr>
          <w:rFonts w:ascii="Arial" w:cs="Arial" w:eastAsia="Arial" w:hAnsi="Arial"/>
          <w:sz w:val="18"/>
          <w:szCs w:val="18"/>
          <w:color w:val="auto"/>
        </w:rPr>
        <w:t>The assumed healthcare cost trend rates used to determine benefit obligations and net periodic benefit cost as of and for the years ended December 31 2017, 2016 and 2015 were as follows:</w:t>
      </w:r>
    </w:p>
    <w:p>
      <w:pPr>
        <w:spacing w:after="0" w:line="200" w:lineRule="exact"/>
        <w:rPr>
          <w:sz w:val="20"/>
          <w:szCs w:val="20"/>
          <w:color w:val="auto"/>
        </w:rPr>
      </w:pPr>
    </w:p>
    <w:tbl>
      <w:tblPr>
        <w:tblLayout w:type="fixed"/>
        <w:tblInd w:w="1240" w:type="dxa"/>
        <w:tblCellMar>
          <w:top w:w="0" w:type="dxa"/>
          <w:left w:w="0" w:type="dxa"/>
          <w:bottom w:w="0" w:type="dxa"/>
          <w:right w:w="0" w:type="dxa"/>
        </w:tblCellMar>
      </w:tblPr>
      <w:tr>
        <w:trPr>
          <w:trHeight w:val="162"/>
        </w:trPr>
        <w:tc>
          <w:tcPr>
            <w:tcW w:w="3880" w:type="dxa"/>
            <w:vAlign w:val="bottom"/>
          </w:tcPr>
          <w:p>
            <w:pPr>
              <w:spacing w:after="0"/>
              <w:rPr>
                <w:sz w:val="14"/>
                <w:szCs w:val="14"/>
                <w:color w:val="auto"/>
              </w:rPr>
            </w:pPr>
          </w:p>
        </w:tc>
        <w:tc>
          <w:tcPr>
            <w:tcW w:w="2660" w:type="dxa"/>
            <w:vAlign w:val="bottom"/>
            <w:gridSpan w:val="6"/>
          </w:tcPr>
          <w:p>
            <w:pPr>
              <w:jc w:val="center"/>
              <w:ind w:right="120"/>
              <w:spacing w:after="0"/>
              <w:rPr>
                <w:sz w:val="20"/>
                <w:szCs w:val="20"/>
                <w:color w:val="auto"/>
              </w:rPr>
            </w:pPr>
            <w:r>
              <w:rPr>
                <w:rFonts w:ascii="Arial" w:cs="Arial" w:eastAsia="Arial" w:hAnsi="Arial"/>
                <w:sz w:val="14"/>
                <w:szCs w:val="14"/>
                <w:b w:val="1"/>
                <w:bCs w:val="1"/>
                <w:color w:val="auto"/>
                <w:w w:val="92"/>
              </w:rPr>
              <w:t>Postretirement Benefits</w:t>
            </w:r>
          </w:p>
        </w:tc>
      </w:tr>
      <w:tr>
        <w:trPr>
          <w:trHeight w:val="171"/>
        </w:trPr>
        <w:tc>
          <w:tcPr>
            <w:tcW w:w="3880" w:type="dxa"/>
            <w:vAlign w:val="bottom"/>
          </w:tcPr>
          <w:p>
            <w:pPr>
              <w:spacing w:after="0"/>
              <w:rPr>
                <w:sz w:val="14"/>
                <w:szCs w:val="14"/>
                <w:color w:val="auto"/>
              </w:rPr>
            </w:pPr>
          </w:p>
        </w:tc>
        <w:tc>
          <w:tcPr>
            <w:tcW w:w="2660" w:type="dxa"/>
            <w:vAlign w:val="bottom"/>
            <w:gridSpan w:val="6"/>
          </w:tcPr>
          <w:p>
            <w:pPr>
              <w:jc w:val="center"/>
              <w:ind w:right="120"/>
              <w:spacing w:after="0"/>
              <w:rPr>
                <w:sz w:val="20"/>
                <w:szCs w:val="20"/>
                <w:color w:val="auto"/>
              </w:rPr>
            </w:pPr>
            <w:r>
              <w:rPr>
                <w:rFonts w:ascii="Arial" w:cs="Arial" w:eastAsia="Arial" w:hAnsi="Arial"/>
                <w:sz w:val="14"/>
                <w:szCs w:val="14"/>
                <w:b w:val="1"/>
                <w:bCs w:val="1"/>
                <w:color w:val="auto"/>
                <w:w w:val="93"/>
              </w:rPr>
              <w:t>Medical and Prescription Drug</w:t>
            </w:r>
          </w:p>
        </w:tc>
      </w:tr>
      <w:tr>
        <w:trPr>
          <w:trHeight w:val="156"/>
        </w:trPr>
        <w:tc>
          <w:tcPr>
            <w:tcW w:w="3880" w:type="dxa"/>
            <w:vAlign w:val="bottom"/>
          </w:tcPr>
          <w:p>
            <w:pPr>
              <w:spacing w:after="0"/>
              <w:rPr>
                <w:sz w:val="13"/>
                <w:szCs w:val="13"/>
                <w:color w:val="auto"/>
              </w:rPr>
            </w:pPr>
          </w:p>
        </w:tc>
        <w:tc>
          <w:tcPr>
            <w:tcW w:w="700" w:type="dxa"/>
            <w:vAlign w:val="bottom"/>
            <w:tcBorders>
              <w:top w:val="single" w:sz="8" w:color="auto"/>
            </w:tcBorders>
          </w:tcPr>
          <w:p>
            <w:pPr>
              <w:jc w:val="right"/>
              <w:ind w:right="148"/>
              <w:spacing w:after="0" w:line="155" w:lineRule="exact"/>
              <w:rPr>
                <w:sz w:val="20"/>
                <w:szCs w:val="20"/>
                <w:color w:val="auto"/>
              </w:rPr>
            </w:pPr>
            <w:r>
              <w:rPr>
                <w:rFonts w:ascii="Arial" w:cs="Arial" w:eastAsia="Arial" w:hAnsi="Arial"/>
                <w:sz w:val="14"/>
                <w:szCs w:val="14"/>
                <w:b w:val="1"/>
                <w:bCs w:val="1"/>
                <w:color w:val="auto"/>
              </w:rPr>
              <w:t>2017</w:t>
            </w:r>
          </w:p>
        </w:tc>
        <w:tc>
          <w:tcPr>
            <w:tcW w:w="120" w:type="dxa"/>
            <w:vAlign w:val="bottom"/>
            <w:tcBorders>
              <w:top w:val="single" w:sz="8" w:color="auto"/>
            </w:tcBorders>
          </w:tcPr>
          <w:p>
            <w:pPr>
              <w:spacing w:after="0"/>
              <w:rPr>
                <w:sz w:val="13"/>
                <w:szCs w:val="13"/>
                <w:color w:val="auto"/>
              </w:rPr>
            </w:pPr>
          </w:p>
        </w:tc>
        <w:tc>
          <w:tcPr>
            <w:tcW w:w="840" w:type="dxa"/>
            <w:vAlign w:val="bottom"/>
            <w:tcBorders>
              <w:top w:val="single" w:sz="8" w:color="auto"/>
            </w:tcBorders>
          </w:tcPr>
          <w:p>
            <w:pPr>
              <w:jc w:val="right"/>
              <w:ind w:right="208"/>
              <w:spacing w:after="0" w:line="155" w:lineRule="exact"/>
              <w:rPr>
                <w:sz w:val="20"/>
                <w:szCs w:val="20"/>
                <w:color w:val="auto"/>
              </w:rPr>
            </w:pPr>
            <w:r>
              <w:rPr>
                <w:rFonts w:ascii="Arial" w:cs="Arial" w:eastAsia="Arial" w:hAnsi="Arial"/>
                <w:sz w:val="14"/>
                <w:szCs w:val="14"/>
                <w:b w:val="1"/>
                <w:bCs w:val="1"/>
                <w:color w:val="auto"/>
              </w:rPr>
              <w:t>2016</w:t>
            </w:r>
          </w:p>
        </w:tc>
        <w:tc>
          <w:tcPr>
            <w:tcW w:w="900" w:type="dxa"/>
            <w:vAlign w:val="bottom"/>
            <w:tcBorders>
              <w:top w:val="single" w:sz="8" w:color="auto"/>
            </w:tcBorders>
            <w:gridSpan w:val="2"/>
          </w:tcPr>
          <w:p>
            <w:pPr>
              <w:jc w:val="right"/>
              <w:ind w:right="240"/>
              <w:spacing w:after="0" w:line="155" w:lineRule="exact"/>
              <w:rPr>
                <w:sz w:val="20"/>
                <w:szCs w:val="20"/>
                <w:color w:val="auto"/>
              </w:rPr>
            </w:pPr>
            <w:r>
              <w:rPr>
                <w:rFonts w:ascii="Arial" w:cs="Arial" w:eastAsia="Arial" w:hAnsi="Arial"/>
                <w:sz w:val="14"/>
                <w:szCs w:val="14"/>
                <w:b w:val="1"/>
                <w:bCs w:val="1"/>
                <w:color w:val="auto"/>
              </w:rPr>
              <w:t>2015</w:t>
            </w:r>
          </w:p>
        </w:tc>
        <w:tc>
          <w:tcPr>
            <w:tcW w:w="100" w:type="dxa"/>
            <w:vAlign w:val="bottom"/>
          </w:tcPr>
          <w:p>
            <w:pPr>
              <w:spacing w:after="0"/>
              <w:rPr>
                <w:sz w:val="13"/>
                <w:szCs w:val="13"/>
                <w:color w:val="auto"/>
              </w:rPr>
            </w:pPr>
          </w:p>
        </w:tc>
      </w:tr>
      <w:tr>
        <w:trPr>
          <w:trHeight w:val="196"/>
        </w:trPr>
        <w:tc>
          <w:tcPr>
            <w:tcW w:w="3880" w:type="dxa"/>
            <w:vAlign w:val="bottom"/>
          </w:tcPr>
          <w:p>
            <w:pPr>
              <w:spacing w:after="0"/>
              <w:rPr>
                <w:sz w:val="17"/>
                <w:szCs w:val="17"/>
                <w:color w:val="auto"/>
              </w:rPr>
            </w:pPr>
          </w:p>
        </w:tc>
        <w:tc>
          <w:tcPr>
            <w:tcW w:w="70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840" w:type="dxa"/>
            <w:vAlign w:val="bottom"/>
            <w:tcBorders>
              <w:top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74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r>
      <w:tr>
        <w:trPr>
          <w:trHeight w:val="203"/>
        </w:trPr>
        <w:tc>
          <w:tcPr>
            <w:tcW w:w="3880" w:type="dxa"/>
            <w:vAlign w:val="bottom"/>
            <w:shd w:val="clear" w:color="auto" w:fill="CCEEFF"/>
          </w:tcPr>
          <w:p>
            <w:pPr>
              <w:spacing w:after="0"/>
              <w:rPr>
                <w:sz w:val="20"/>
                <w:szCs w:val="20"/>
                <w:color w:val="auto"/>
              </w:rPr>
            </w:pPr>
            <w:r>
              <w:rPr>
                <w:rFonts w:ascii="Arial" w:cs="Arial" w:eastAsia="Arial" w:hAnsi="Arial"/>
                <w:sz w:val="14"/>
                <w:szCs w:val="14"/>
                <w:color w:val="auto"/>
              </w:rPr>
              <w:t>Healthcare cost trend rate assumed for next year</w:t>
            </w: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1"/>
              </w:rPr>
              <w:t>5.5%/8.5%</w:t>
            </w:r>
          </w:p>
        </w:tc>
        <w:tc>
          <w:tcPr>
            <w:tcW w:w="120" w:type="dxa"/>
            <w:vAlign w:val="bottom"/>
            <w:shd w:val="clear" w:color="auto" w:fill="CCEEFF"/>
          </w:tcPr>
          <w:p>
            <w:pPr>
              <w:spacing w:after="0"/>
              <w:rPr>
                <w:sz w:val="17"/>
                <w:szCs w:val="17"/>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1"/>
              </w:rPr>
              <w:t>5.50%/9.00%</w:t>
            </w:r>
          </w:p>
        </w:tc>
        <w:tc>
          <w:tcPr>
            <w:tcW w:w="90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5.75/10.00%</w:t>
            </w:r>
          </w:p>
        </w:tc>
        <w:tc>
          <w:tcPr>
            <w:tcW w:w="100" w:type="dxa"/>
            <w:vAlign w:val="bottom"/>
            <w:shd w:val="clear" w:color="auto" w:fill="CCEEFF"/>
          </w:tcPr>
          <w:p>
            <w:pPr>
              <w:spacing w:after="0"/>
              <w:rPr>
                <w:sz w:val="17"/>
                <w:szCs w:val="17"/>
                <w:color w:val="auto"/>
              </w:rPr>
            </w:pPr>
          </w:p>
        </w:tc>
      </w:tr>
      <w:tr>
        <w:trPr>
          <w:trHeight w:val="130"/>
        </w:trPr>
        <w:tc>
          <w:tcPr>
            <w:tcW w:w="3880" w:type="dxa"/>
            <w:vAlign w:val="bottom"/>
          </w:tcPr>
          <w:p>
            <w:pPr>
              <w:spacing w:after="0" w:line="130" w:lineRule="exact"/>
              <w:rPr>
                <w:sz w:val="20"/>
                <w:szCs w:val="20"/>
                <w:color w:val="auto"/>
              </w:rPr>
            </w:pPr>
            <w:r>
              <w:rPr>
                <w:rFonts w:ascii="Arial" w:cs="Arial" w:eastAsia="Arial" w:hAnsi="Arial"/>
                <w:sz w:val="14"/>
                <w:szCs w:val="14"/>
                <w:color w:val="auto"/>
              </w:rPr>
              <w:t>Rate that the cost trend rate is assumed to decline</w:t>
            </w:r>
          </w:p>
        </w:tc>
        <w:tc>
          <w:tcPr>
            <w:tcW w:w="7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0" w:type="dxa"/>
            <w:vAlign w:val="bottom"/>
          </w:tcPr>
          <w:p>
            <w:pPr>
              <w:spacing w:after="0"/>
              <w:rPr>
                <w:sz w:val="11"/>
                <w:szCs w:val="11"/>
                <w:color w:val="auto"/>
              </w:rPr>
            </w:pPr>
          </w:p>
        </w:tc>
      </w:tr>
      <w:tr>
        <w:trPr>
          <w:trHeight w:val="167"/>
        </w:trPr>
        <w:tc>
          <w:tcPr>
            <w:tcW w:w="3880" w:type="dxa"/>
            <w:vAlign w:val="bottom"/>
          </w:tcPr>
          <w:p>
            <w:pPr>
              <w:spacing w:after="0"/>
              <w:rPr>
                <w:sz w:val="20"/>
                <w:szCs w:val="20"/>
                <w:color w:val="auto"/>
              </w:rPr>
            </w:pPr>
            <w:r>
              <w:rPr>
                <w:rFonts w:ascii="Arial" w:cs="Arial" w:eastAsia="Arial" w:hAnsi="Arial"/>
                <w:sz w:val="14"/>
                <w:szCs w:val="14"/>
                <w:color w:val="auto"/>
              </w:rPr>
              <w:t>(the ultimate trend rate)</w:t>
            </w:r>
          </w:p>
        </w:tc>
        <w:tc>
          <w:tcPr>
            <w:tcW w:w="700" w:type="dxa"/>
            <w:vAlign w:val="bottom"/>
          </w:tcPr>
          <w:p>
            <w:pPr>
              <w:jc w:val="right"/>
              <w:spacing w:after="0"/>
              <w:rPr>
                <w:sz w:val="20"/>
                <w:szCs w:val="20"/>
                <w:color w:val="auto"/>
              </w:rPr>
            </w:pPr>
            <w:r>
              <w:rPr>
                <w:rFonts w:ascii="Arial" w:cs="Arial" w:eastAsia="Arial" w:hAnsi="Arial"/>
                <w:sz w:val="14"/>
                <w:szCs w:val="14"/>
                <w:color w:val="auto"/>
              </w:rPr>
              <w:t>4.50%</w:t>
            </w:r>
          </w:p>
        </w:tc>
        <w:tc>
          <w:tcPr>
            <w:tcW w:w="12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4.50%</w:t>
            </w:r>
          </w:p>
        </w:tc>
        <w:tc>
          <w:tcPr>
            <w:tcW w:w="900" w:type="dxa"/>
            <w:vAlign w:val="bottom"/>
            <w:gridSpan w:val="2"/>
          </w:tcPr>
          <w:p>
            <w:pPr>
              <w:jc w:val="right"/>
              <w:ind w:right="60"/>
              <w:spacing w:after="0"/>
              <w:rPr>
                <w:sz w:val="20"/>
                <w:szCs w:val="20"/>
                <w:color w:val="auto"/>
              </w:rPr>
            </w:pPr>
            <w:r>
              <w:rPr>
                <w:rFonts w:ascii="Arial" w:cs="Arial" w:eastAsia="Arial" w:hAnsi="Arial"/>
                <w:sz w:val="14"/>
                <w:szCs w:val="14"/>
                <w:color w:val="auto"/>
              </w:rPr>
              <w:t>4.50%</w:t>
            </w:r>
          </w:p>
        </w:tc>
        <w:tc>
          <w:tcPr>
            <w:tcW w:w="100" w:type="dxa"/>
            <w:vAlign w:val="bottom"/>
          </w:tcPr>
          <w:p>
            <w:pPr>
              <w:spacing w:after="0"/>
              <w:rPr>
                <w:sz w:val="14"/>
                <w:szCs w:val="14"/>
                <w:color w:val="auto"/>
              </w:rPr>
            </w:pPr>
          </w:p>
        </w:tc>
      </w:tr>
      <w:tr>
        <w:trPr>
          <w:trHeight w:val="203"/>
        </w:trPr>
        <w:tc>
          <w:tcPr>
            <w:tcW w:w="3880" w:type="dxa"/>
            <w:vAlign w:val="bottom"/>
            <w:shd w:val="clear" w:color="auto" w:fill="CCEEFF"/>
          </w:tcPr>
          <w:p>
            <w:pPr>
              <w:spacing w:after="0"/>
              <w:rPr>
                <w:sz w:val="20"/>
                <w:szCs w:val="20"/>
                <w:color w:val="auto"/>
              </w:rPr>
            </w:pPr>
            <w:r>
              <w:rPr>
                <w:rFonts w:ascii="Arial" w:cs="Arial" w:eastAsia="Arial" w:hAnsi="Arial"/>
                <w:sz w:val="14"/>
                <w:szCs w:val="14"/>
                <w:color w:val="auto"/>
              </w:rPr>
              <w:t>Year that the rate reaches the ultimate trend rate</w:t>
            </w: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2024</w:t>
            </w:r>
          </w:p>
        </w:tc>
        <w:tc>
          <w:tcPr>
            <w:tcW w:w="120" w:type="dxa"/>
            <w:vAlign w:val="bottom"/>
            <w:shd w:val="clear" w:color="auto" w:fill="CCEEFF"/>
          </w:tcPr>
          <w:p>
            <w:pPr>
              <w:spacing w:after="0"/>
              <w:rPr>
                <w:sz w:val="17"/>
                <w:szCs w:val="17"/>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2024</w:t>
            </w:r>
          </w:p>
        </w:tc>
        <w:tc>
          <w:tcPr>
            <w:tcW w:w="90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2024</w:t>
            </w:r>
          </w:p>
        </w:tc>
        <w:tc>
          <w:tcPr>
            <w:tcW w:w="100" w:type="dxa"/>
            <w:vAlign w:val="bottom"/>
            <w:shd w:val="clear" w:color="auto" w:fill="CCEEFF"/>
          </w:tcPr>
          <w:p>
            <w:pPr>
              <w:spacing w:after="0"/>
              <w:rPr>
                <w:sz w:val="17"/>
                <w:szCs w:val="17"/>
                <w:color w:val="auto"/>
              </w:rPr>
            </w:pPr>
          </w:p>
        </w:tc>
      </w:tr>
    </w:tbl>
    <w:p>
      <w:pPr>
        <w:spacing w:after="0" w:line="202" w:lineRule="exact"/>
        <w:rPr>
          <w:sz w:val="20"/>
          <w:szCs w:val="20"/>
          <w:color w:val="auto"/>
        </w:rPr>
      </w:pPr>
    </w:p>
    <w:p>
      <w:pPr>
        <w:ind w:left="1240" w:right="1479" w:firstLine="648"/>
        <w:spacing w:after="0" w:line="264" w:lineRule="auto"/>
        <w:rPr>
          <w:sz w:val="20"/>
          <w:szCs w:val="20"/>
          <w:color w:val="auto"/>
        </w:rPr>
      </w:pPr>
      <w:r>
        <w:rPr>
          <w:rFonts w:ascii="Arial" w:cs="Arial" w:eastAsia="Arial" w:hAnsi="Arial"/>
          <w:sz w:val="18"/>
          <w:szCs w:val="18"/>
          <w:color w:val="auto"/>
        </w:rPr>
        <w:t>Assumed healthcare cost trend rates have a significant effect on the amounts reported for the healthcare plans. A one-percentage-point change in assumed healthcare cost trend rates would have the following effects:</w:t>
      </w:r>
    </w:p>
    <w:p>
      <w:pPr>
        <w:spacing w:after="0" w:line="200" w:lineRule="exact"/>
        <w:rPr>
          <w:sz w:val="20"/>
          <w:szCs w:val="20"/>
          <w:color w:val="auto"/>
        </w:rPr>
      </w:pPr>
    </w:p>
    <w:tbl>
      <w:tblPr>
        <w:tblLayout w:type="fixed"/>
        <w:tblInd w:w="1240" w:type="dxa"/>
        <w:tblCellMar>
          <w:top w:w="0" w:type="dxa"/>
          <w:left w:w="0" w:type="dxa"/>
          <w:bottom w:w="0" w:type="dxa"/>
          <w:right w:w="0" w:type="dxa"/>
        </w:tblCellMar>
      </w:tblPr>
      <w:tr>
        <w:trPr>
          <w:trHeight w:val="171"/>
        </w:trPr>
        <w:tc>
          <w:tcPr>
            <w:tcW w:w="27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2017</w:t>
            </w:r>
          </w:p>
        </w:tc>
        <w:tc>
          <w:tcPr>
            <w:tcW w:w="660" w:type="dxa"/>
            <w:vAlign w:val="bottom"/>
            <w:tcBorders>
              <w:bottom w:val="single" w:sz="8" w:color="auto"/>
            </w:tcBorders>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2016</w:t>
            </w:r>
          </w:p>
        </w:tc>
        <w:tc>
          <w:tcPr>
            <w:tcW w:w="660" w:type="dxa"/>
            <w:vAlign w:val="bottom"/>
            <w:tcBorders>
              <w:bottom w:val="single" w:sz="8" w:color="auto"/>
            </w:tcBorders>
          </w:tcPr>
          <w:p>
            <w:pPr>
              <w:spacing w:after="0"/>
              <w:rPr>
                <w:sz w:val="14"/>
                <w:szCs w:val="14"/>
                <w:color w:val="auto"/>
              </w:rPr>
            </w:pPr>
          </w:p>
        </w:tc>
        <w:tc>
          <w:tcPr>
            <w:tcW w:w="40" w:type="dxa"/>
            <w:vAlign w:val="bottom"/>
          </w:tcPr>
          <w:p>
            <w:pPr>
              <w:spacing w:after="0"/>
              <w:rPr>
                <w:sz w:val="14"/>
                <w:szCs w:val="14"/>
                <w:color w:val="auto"/>
              </w:rPr>
            </w:pPr>
          </w:p>
        </w:tc>
      </w:tr>
      <w:tr>
        <w:trPr>
          <w:trHeight w:val="119"/>
        </w:trPr>
        <w:tc>
          <w:tcPr>
            <w:tcW w:w="278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tcPr>
          <w:p>
            <w:pPr>
              <w:jc w:val="center"/>
              <w:ind w:right="29"/>
              <w:spacing w:after="0" w:line="119" w:lineRule="exact"/>
              <w:rPr>
                <w:sz w:val="20"/>
                <w:szCs w:val="20"/>
                <w:color w:val="auto"/>
              </w:rPr>
            </w:pPr>
            <w:r>
              <w:rPr>
                <w:rFonts w:ascii="Arial" w:cs="Arial" w:eastAsia="Arial" w:hAnsi="Arial"/>
                <w:sz w:val="13"/>
                <w:szCs w:val="13"/>
                <w:b w:val="1"/>
                <w:bCs w:val="1"/>
                <w:color w:val="auto"/>
              </w:rPr>
              <w:t>One-</w:t>
            </w:r>
          </w:p>
        </w:tc>
        <w:tc>
          <w:tcPr>
            <w:tcW w:w="1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60" w:type="dxa"/>
            <w:vAlign w:val="bottom"/>
          </w:tcPr>
          <w:p>
            <w:pPr>
              <w:jc w:val="center"/>
              <w:ind w:right="9"/>
              <w:spacing w:after="0" w:line="119" w:lineRule="exact"/>
              <w:rPr>
                <w:sz w:val="20"/>
                <w:szCs w:val="20"/>
                <w:color w:val="auto"/>
              </w:rPr>
            </w:pPr>
            <w:r>
              <w:rPr>
                <w:rFonts w:ascii="Arial" w:cs="Arial" w:eastAsia="Arial" w:hAnsi="Arial"/>
                <w:sz w:val="13"/>
                <w:szCs w:val="13"/>
                <w:b w:val="1"/>
                <w:bCs w:val="1"/>
                <w:color w:val="auto"/>
              </w:rPr>
              <w:t>One-</w:t>
            </w: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40" w:type="dxa"/>
            <w:vAlign w:val="bottom"/>
          </w:tcPr>
          <w:p>
            <w:pPr>
              <w:jc w:val="center"/>
              <w:ind w:right="29"/>
              <w:spacing w:after="0" w:line="119" w:lineRule="exact"/>
              <w:rPr>
                <w:sz w:val="20"/>
                <w:szCs w:val="20"/>
                <w:color w:val="auto"/>
              </w:rPr>
            </w:pPr>
            <w:r>
              <w:rPr>
                <w:rFonts w:ascii="Arial" w:cs="Arial" w:eastAsia="Arial" w:hAnsi="Arial"/>
                <w:sz w:val="13"/>
                <w:szCs w:val="13"/>
                <w:b w:val="1"/>
                <w:bCs w:val="1"/>
                <w:color w:val="auto"/>
              </w:rPr>
              <w:t>One-</w:t>
            </w:r>
          </w:p>
        </w:tc>
        <w:tc>
          <w:tcPr>
            <w:tcW w:w="1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60" w:type="dxa"/>
            <w:vAlign w:val="bottom"/>
          </w:tcPr>
          <w:p>
            <w:pPr>
              <w:jc w:val="center"/>
              <w:ind w:right="9"/>
              <w:spacing w:after="0" w:line="119" w:lineRule="exact"/>
              <w:rPr>
                <w:sz w:val="20"/>
                <w:szCs w:val="20"/>
                <w:color w:val="auto"/>
              </w:rPr>
            </w:pPr>
            <w:r>
              <w:rPr>
                <w:rFonts w:ascii="Arial" w:cs="Arial" w:eastAsia="Arial" w:hAnsi="Arial"/>
                <w:sz w:val="13"/>
                <w:szCs w:val="13"/>
                <w:b w:val="1"/>
                <w:bCs w:val="1"/>
                <w:color w:val="auto"/>
              </w:rPr>
              <w:t>One-</w:t>
            </w:r>
          </w:p>
        </w:tc>
        <w:tc>
          <w:tcPr>
            <w:tcW w:w="40" w:type="dxa"/>
            <w:vAlign w:val="bottom"/>
          </w:tcPr>
          <w:p>
            <w:pPr>
              <w:spacing w:after="0"/>
              <w:rPr>
                <w:sz w:val="10"/>
                <w:szCs w:val="10"/>
                <w:color w:val="auto"/>
              </w:rPr>
            </w:pPr>
          </w:p>
        </w:tc>
      </w:tr>
      <w:tr>
        <w:trPr>
          <w:trHeight w:val="149"/>
        </w:trPr>
        <w:tc>
          <w:tcPr>
            <w:tcW w:w="27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72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7"/>
              </w:rPr>
              <w:t>Percentage</w:t>
            </w:r>
          </w:p>
        </w:tc>
        <w:tc>
          <w:tcPr>
            <w:tcW w:w="160" w:type="dxa"/>
            <w:vAlign w:val="bottom"/>
          </w:tcPr>
          <w:p>
            <w:pPr>
              <w:spacing w:after="0"/>
              <w:rPr>
                <w:sz w:val="12"/>
                <w:szCs w:val="12"/>
                <w:color w:val="auto"/>
              </w:rPr>
            </w:pPr>
          </w:p>
        </w:tc>
        <w:tc>
          <w:tcPr>
            <w:tcW w:w="72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7"/>
              </w:rPr>
              <w:t>Percentage</w:t>
            </w:r>
          </w:p>
        </w:tc>
        <w:tc>
          <w:tcPr>
            <w:tcW w:w="140" w:type="dxa"/>
            <w:vAlign w:val="bottom"/>
          </w:tcPr>
          <w:p>
            <w:pPr>
              <w:spacing w:after="0"/>
              <w:rPr>
                <w:sz w:val="12"/>
                <w:szCs w:val="12"/>
                <w:color w:val="auto"/>
              </w:rPr>
            </w:pPr>
          </w:p>
        </w:tc>
        <w:tc>
          <w:tcPr>
            <w:tcW w:w="74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0"/>
              </w:rPr>
              <w:t>Percentage</w:t>
            </w:r>
          </w:p>
        </w:tc>
        <w:tc>
          <w:tcPr>
            <w:tcW w:w="140" w:type="dxa"/>
            <w:vAlign w:val="bottom"/>
          </w:tcPr>
          <w:p>
            <w:pPr>
              <w:spacing w:after="0"/>
              <w:rPr>
                <w:sz w:val="12"/>
                <w:szCs w:val="12"/>
                <w:color w:val="auto"/>
              </w:rPr>
            </w:pPr>
          </w:p>
        </w:tc>
        <w:tc>
          <w:tcPr>
            <w:tcW w:w="780" w:type="dxa"/>
            <w:vAlign w:val="bottom"/>
            <w:gridSpan w:val="3"/>
          </w:tcPr>
          <w:p>
            <w:pPr>
              <w:jc w:val="center"/>
              <w:ind w:right="60"/>
              <w:spacing w:after="0" w:line="149" w:lineRule="exact"/>
              <w:rPr>
                <w:sz w:val="20"/>
                <w:szCs w:val="20"/>
                <w:color w:val="auto"/>
              </w:rPr>
            </w:pPr>
            <w:r>
              <w:rPr>
                <w:rFonts w:ascii="Arial" w:cs="Arial" w:eastAsia="Arial" w:hAnsi="Arial"/>
                <w:sz w:val="14"/>
                <w:szCs w:val="14"/>
                <w:b w:val="1"/>
                <w:bCs w:val="1"/>
                <w:color w:val="auto"/>
                <w:w w:val="90"/>
              </w:rPr>
              <w:t>Percentage</w:t>
            </w:r>
          </w:p>
        </w:tc>
      </w:tr>
      <w:tr>
        <w:trPr>
          <w:trHeight w:val="149"/>
        </w:trPr>
        <w:tc>
          <w:tcPr>
            <w:tcW w:w="27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40" w:type="dxa"/>
            <w:vAlign w:val="bottom"/>
          </w:tcPr>
          <w:p>
            <w:pPr>
              <w:jc w:val="center"/>
              <w:ind w:right="29"/>
              <w:spacing w:after="0" w:line="149" w:lineRule="exact"/>
              <w:rPr>
                <w:sz w:val="20"/>
                <w:szCs w:val="20"/>
                <w:color w:val="auto"/>
              </w:rPr>
            </w:pPr>
            <w:r>
              <w:rPr>
                <w:rFonts w:ascii="Arial" w:cs="Arial" w:eastAsia="Arial" w:hAnsi="Arial"/>
                <w:sz w:val="14"/>
                <w:szCs w:val="14"/>
                <w:b w:val="1"/>
                <w:bCs w:val="1"/>
                <w:color w:val="auto"/>
                <w:w w:val="97"/>
              </w:rPr>
              <w:t>Point</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Pr>
          <w:p>
            <w:pPr>
              <w:jc w:val="center"/>
              <w:ind w:right="9"/>
              <w:spacing w:after="0" w:line="149" w:lineRule="exact"/>
              <w:rPr>
                <w:sz w:val="20"/>
                <w:szCs w:val="20"/>
                <w:color w:val="auto"/>
              </w:rPr>
            </w:pPr>
            <w:r>
              <w:rPr>
                <w:rFonts w:ascii="Arial" w:cs="Arial" w:eastAsia="Arial" w:hAnsi="Arial"/>
                <w:sz w:val="14"/>
                <w:szCs w:val="14"/>
                <w:b w:val="1"/>
                <w:bCs w:val="1"/>
                <w:color w:val="auto"/>
                <w:w w:val="97"/>
              </w:rPr>
              <w:t>Point</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jc w:val="center"/>
              <w:ind w:right="29"/>
              <w:spacing w:after="0" w:line="149" w:lineRule="exact"/>
              <w:rPr>
                <w:sz w:val="20"/>
                <w:szCs w:val="20"/>
                <w:color w:val="auto"/>
              </w:rPr>
            </w:pPr>
            <w:r>
              <w:rPr>
                <w:rFonts w:ascii="Arial" w:cs="Arial" w:eastAsia="Arial" w:hAnsi="Arial"/>
                <w:sz w:val="14"/>
                <w:szCs w:val="14"/>
                <w:b w:val="1"/>
                <w:bCs w:val="1"/>
                <w:color w:val="auto"/>
                <w:w w:val="97"/>
              </w:rPr>
              <w:t>Point</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1"/>
              </w:rPr>
              <w:t>Point</w:t>
            </w:r>
          </w:p>
        </w:tc>
      </w:tr>
      <w:tr>
        <w:trPr>
          <w:trHeight w:val="171"/>
        </w:trPr>
        <w:tc>
          <w:tcPr>
            <w:tcW w:w="2780" w:type="dxa"/>
            <w:vAlign w:val="bottom"/>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3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jc w:val="center"/>
              <w:ind w:right="29"/>
              <w:spacing w:after="0"/>
              <w:rPr>
                <w:sz w:val="20"/>
                <w:szCs w:val="20"/>
                <w:color w:val="auto"/>
              </w:rPr>
            </w:pPr>
            <w:r>
              <w:rPr>
                <w:rFonts w:ascii="Arial" w:cs="Arial" w:eastAsia="Arial" w:hAnsi="Arial"/>
                <w:sz w:val="14"/>
                <w:szCs w:val="14"/>
                <w:b w:val="1"/>
                <w:bCs w:val="1"/>
                <w:color w:val="auto"/>
                <w:w w:val="87"/>
              </w:rPr>
              <w:t>Increase</w:t>
            </w: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60" w:type="dxa"/>
            <w:vAlign w:val="bottom"/>
          </w:tcPr>
          <w:p>
            <w:pPr>
              <w:jc w:val="center"/>
              <w:ind w:right="9"/>
              <w:spacing w:after="0"/>
              <w:rPr>
                <w:sz w:val="20"/>
                <w:szCs w:val="20"/>
                <w:color w:val="auto"/>
              </w:rPr>
            </w:pPr>
            <w:r>
              <w:rPr>
                <w:rFonts w:ascii="Arial" w:cs="Arial" w:eastAsia="Arial" w:hAnsi="Arial"/>
                <w:sz w:val="14"/>
                <w:szCs w:val="14"/>
                <w:b w:val="1"/>
                <w:bCs w:val="1"/>
                <w:color w:val="auto"/>
                <w:w w:val="86"/>
              </w:rPr>
              <w:t>Decrease</w:t>
            </w: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jc w:val="center"/>
              <w:ind w:right="49"/>
              <w:spacing w:after="0"/>
              <w:rPr>
                <w:sz w:val="20"/>
                <w:szCs w:val="20"/>
                <w:color w:val="auto"/>
              </w:rPr>
            </w:pPr>
            <w:r>
              <w:rPr>
                <w:rFonts w:ascii="Arial" w:cs="Arial" w:eastAsia="Arial" w:hAnsi="Arial"/>
                <w:sz w:val="14"/>
                <w:szCs w:val="14"/>
                <w:b w:val="1"/>
                <w:bCs w:val="1"/>
                <w:color w:val="auto"/>
                <w:w w:val="91"/>
              </w:rPr>
              <w:t>Increase</w:t>
            </w: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0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86"/>
              </w:rPr>
              <w:t>Decrease</w:t>
            </w:r>
          </w:p>
        </w:tc>
      </w:tr>
      <w:tr>
        <w:trPr>
          <w:trHeight w:val="183"/>
        </w:trPr>
        <w:tc>
          <w:tcPr>
            <w:tcW w:w="27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80" w:type="dxa"/>
            <w:vAlign w:val="bottom"/>
            <w:tcBorders>
              <w:top w:val="single" w:sz="8" w:color="auto"/>
            </w:tcBorders>
          </w:tcPr>
          <w:p>
            <w:pPr>
              <w:spacing w:after="0"/>
              <w:rPr>
                <w:sz w:val="15"/>
                <w:szCs w:val="15"/>
                <w:color w:val="auto"/>
              </w:rPr>
            </w:pPr>
          </w:p>
        </w:tc>
        <w:tc>
          <w:tcPr>
            <w:tcW w:w="640" w:type="dxa"/>
            <w:vAlign w:val="bottom"/>
            <w:tcBorders>
              <w:top w:val="single" w:sz="8" w:color="auto"/>
            </w:tcBorders>
          </w:tcPr>
          <w:p>
            <w:pPr>
              <w:spacing w:after="0"/>
              <w:rPr>
                <w:sz w:val="15"/>
                <w:szCs w:val="15"/>
                <w:color w:val="auto"/>
              </w:rPr>
            </w:pPr>
          </w:p>
        </w:tc>
        <w:tc>
          <w:tcPr>
            <w:tcW w:w="160" w:type="dxa"/>
            <w:vAlign w:val="bottom"/>
          </w:tcPr>
          <w:p>
            <w:pPr>
              <w:spacing w:after="0"/>
              <w:rPr>
                <w:sz w:val="15"/>
                <w:szCs w:val="15"/>
                <w:color w:val="auto"/>
              </w:rPr>
            </w:pPr>
          </w:p>
        </w:tc>
        <w:tc>
          <w:tcPr>
            <w:tcW w:w="60" w:type="dxa"/>
            <w:vAlign w:val="bottom"/>
            <w:tcBorders>
              <w:top w:val="single" w:sz="8" w:color="auto"/>
            </w:tcBorders>
          </w:tcPr>
          <w:p>
            <w:pPr>
              <w:spacing w:after="0"/>
              <w:rPr>
                <w:sz w:val="15"/>
                <w:szCs w:val="15"/>
                <w:color w:val="auto"/>
              </w:rPr>
            </w:pPr>
          </w:p>
        </w:tc>
        <w:tc>
          <w:tcPr>
            <w:tcW w:w="660" w:type="dxa"/>
            <w:vAlign w:val="bottom"/>
            <w:tcBorders>
              <w:top w:val="single" w:sz="8" w:color="auto"/>
            </w:tcBorders>
          </w:tcPr>
          <w:p>
            <w:pPr>
              <w:spacing w:after="0"/>
              <w:rPr>
                <w:sz w:val="15"/>
                <w:szCs w:val="15"/>
                <w:color w:val="auto"/>
              </w:rPr>
            </w:pPr>
          </w:p>
        </w:tc>
        <w:tc>
          <w:tcPr>
            <w:tcW w:w="140" w:type="dxa"/>
            <w:vAlign w:val="bottom"/>
          </w:tcPr>
          <w:p>
            <w:pPr>
              <w:spacing w:after="0"/>
              <w:rPr>
                <w:sz w:val="15"/>
                <w:szCs w:val="15"/>
                <w:color w:val="auto"/>
              </w:rPr>
            </w:pPr>
          </w:p>
        </w:tc>
        <w:tc>
          <w:tcPr>
            <w:tcW w:w="100" w:type="dxa"/>
            <w:vAlign w:val="bottom"/>
            <w:tcBorders>
              <w:top w:val="single" w:sz="8" w:color="auto"/>
            </w:tcBorders>
          </w:tcPr>
          <w:p>
            <w:pPr>
              <w:spacing w:after="0"/>
              <w:rPr>
                <w:sz w:val="15"/>
                <w:szCs w:val="15"/>
                <w:color w:val="auto"/>
              </w:rPr>
            </w:pPr>
          </w:p>
        </w:tc>
        <w:tc>
          <w:tcPr>
            <w:tcW w:w="640" w:type="dxa"/>
            <w:vAlign w:val="bottom"/>
            <w:tcBorders>
              <w:top w:val="single" w:sz="8" w:color="auto"/>
            </w:tcBorders>
          </w:tcPr>
          <w:p>
            <w:pPr>
              <w:spacing w:after="0"/>
              <w:rPr>
                <w:sz w:val="15"/>
                <w:szCs w:val="15"/>
                <w:color w:val="auto"/>
              </w:rPr>
            </w:pPr>
          </w:p>
        </w:tc>
        <w:tc>
          <w:tcPr>
            <w:tcW w:w="140" w:type="dxa"/>
            <w:vAlign w:val="bottom"/>
          </w:tcPr>
          <w:p>
            <w:pPr>
              <w:spacing w:after="0"/>
              <w:rPr>
                <w:sz w:val="15"/>
                <w:szCs w:val="15"/>
                <w:color w:val="auto"/>
              </w:rPr>
            </w:pPr>
          </w:p>
        </w:tc>
        <w:tc>
          <w:tcPr>
            <w:tcW w:w="80" w:type="dxa"/>
            <w:vAlign w:val="bottom"/>
            <w:tcBorders>
              <w:top w:val="single" w:sz="8" w:color="auto"/>
            </w:tcBorders>
          </w:tcPr>
          <w:p>
            <w:pPr>
              <w:spacing w:after="0"/>
              <w:rPr>
                <w:sz w:val="15"/>
                <w:szCs w:val="15"/>
                <w:color w:val="auto"/>
              </w:rPr>
            </w:pPr>
          </w:p>
        </w:tc>
        <w:tc>
          <w:tcPr>
            <w:tcW w:w="660" w:type="dxa"/>
            <w:vAlign w:val="bottom"/>
            <w:tcBorders>
              <w:top w:val="single" w:sz="8" w:color="auto"/>
            </w:tcBorders>
          </w:tcPr>
          <w:p>
            <w:pPr>
              <w:spacing w:after="0"/>
              <w:rPr>
                <w:sz w:val="15"/>
                <w:szCs w:val="15"/>
                <w:color w:val="auto"/>
              </w:rPr>
            </w:pPr>
          </w:p>
        </w:tc>
        <w:tc>
          <w:tcPr>
            <w:tcW w:w="40" w:type="dxa"/>
            <w:vAlign w:val="bottom"/>
          </w:tcPr>
          <w:p>
            <w:pPr>
              <w:spacing w:after="0"/>
              <w:rPr>
                <w:sz w:val="15"/>
                <w:szCs w:val="15"/>
                <w:color w:val="auto"/>
              </w:rPr>
            </w:pPr>
          </w:p>
        </w:tc>
      </w:tr>
      <w:tr>
        <w:trPr>
          <w:trHeight w:val="203"/>
        </w:trPr>
        <w:tc>
          <w:tcPr>
            <w:tcW w:w="2780" w:type="dxa"/>
            <w:vAlign w:val="bottom"/>
            <w:shd w:val="clear" w:color="auto" w:fill="CCEEFF"/>
          </w:tcPr>
          <w:p>
            <w:pPr>
              <w:spacing w:after="0"/>
              <w:rPr>
                <w:sz w:val="20"/>
                <w:szCs w:val="20"/>
                <w:color w:val="auto"/>
              </w:rPr>
            </w:pPr>
            <w:r>
              <w:rPr>
                <w:rFonts w:ascii="Arial" w:cs="Arial" w:eastAsia="Arial" w:hAnsi="Arial"/>
                <w:sz w:val="14"/>
                <w:szCs w:val="14"/>
                <w:color w:val="auto"/>
              </w:rPr>
              <w:t>Effect on total of service and interest cost</w:t>
            </w:r>
          </w:p>
        </w:tc>
        <w:tc>
          <w:tcPr>
            <w:tcW w:w="44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73</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(65)</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104</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(91)</w:t>
            </w:r>
          </w:p>
        </w:tc>
        <w:tc>
          <w:tcPr>
            <w:tcW w:w="40" w:type="dxa"/>
            <w:vAlign w:val="bottom"/>
            <w:shd w:val="clear" w:color="auto" w:fill="CCEEFF"/>
          </w:tcPr>
          <w:p>
            <w:pPr>
              <w:spacing w:after="0"/>
              <w:rPr>
                <w:sz w:val="17"/>
                <w:szCs w:val="17"/>
                <w:color w:val="auto"/>
              </w:rPr>
            </w:pPr>
          </w:p>
        </w:tc>
      </w:tr>
      <w:tr>
        <w:trPr>
          <w:trHeight w:val="218"/>
        </w:trPr>
        <w:tc>
          <w:tcPr>
            <w:tcW w:w="2780" w:type="dxa"/>
            <w:vAlign w:val="bottom"/>
          </w:tcPr>
          <w:p>
            <w:pPr>
              <w:spacing w:after="0"/>
              <w:rPr>
                <w:sz w:val="20"/>
                <w:szCs w:val="20"/>
                <w:color w:val="auto"/>
              </w:rPr>
            </w:pPr>
            <w:r>
              <w:rPr>
                <w:rFonts w:ascii="Arial" w:cs="Arial" w:eastAsia="Arial" w:hAnsi="Arial"/>
                <w:sz w:val="14"/>
                <w:szCs w:val="14"/>
                <w:color w:val="auto"/>
              </w:rPr>
              <w:t>Effect on postretirement benefit obligation</w:t>
            </w:r>
          </w:p>
        </w:tc>
        <w:tc>
          <w:tcPr>
            <w:tcW w:w="3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665</w:t>
            </w:r>
          </w:p>
        </w:tc>
        <w:tc>
          <w:tcPr>
            <w:tcW w:w="1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(598)</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894</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(796)</w:t>
            </w:r>
          </w:p>
        </w:tc>
        <w:tc>
          <w:tcPr>
            <w:tcW w:w="40" w:type="dxa"/>
            <w:vAlign w:val="bottom"/>
          </w:tcPr>
          <w:p>
            <w:pPr>
              <w:spacing w:after="0"/>
              <w:rPr>
                <w:sz w:val="18"/>
                <w:szCs w:val="18"/>
                <w:color w:val="auto"/>
              </w:rPr>
            </w:pPr>
          </w:p>
        </w:tc>
      </w:tr>
    </w:tbl>
    <w:p>
      <w:pPr>
        <w:spacing w:after="0" w:line="200" w:lineRule="exact"/>
        <w:rPr>
          <w:sz w:val="20"/>
          <w:szCs w:val="20"/>
          <w:color w:val="auto"/>
        </w:rPr>
      </w:pPr>
    </w:p>
    <w:p>
      <w:pPr>
        <w:spacing w:after="0" w:line="203"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F-30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786765</wp:posOffset>
            </wp:positionH>
            <wp:positionV relativeFrom="paragraph">
              <wp:posOffset>83185</wp:posOffset>
            </wp:positionV>
            <wp:extent cx="4159250" cy="26035"/>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61">
                      <a:extLst>
                        <a:ext uri="{28A0092B-C50C-407E-A947-70E740481C1C}"/>
                      </a:extLst>
                    </a:blip>
                    <a:srcRect/>
                    <a:stretch>
                      <a:fillRect/>
                    </a:stretch>
                  </pic:blipFill>
                  <pic:spPr bwMode="auto">
                    <a:xfrm>
                      <a:off x="0" y="0"/>
                      <a:ext cx="415925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126" w:name="page127"/>
    <w:bookmarkEnd w:id="126"/>
    <w:p>
      <w:pPr>
        <w:ind w:left="124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Plan Assets</w:t>
      </w:r>
    </w:p>
    <w:p>
      <w:pPr>
        <w:spacing w:after="0" w:line="229" w:lineRule="exact"/>
        <w:rPr>
          <w:sz w:val="20"/>
          <w:szCs w:val="20"/>
          <w:color w:val="auto"/>
        </w:rPr>
      </w:pPr>
    </w:p>
    <w:p>
      <w:pPr>
        <w:ind w:left="1240" w:right="1879" w:firstLine="648"/>
        <w:spacing w:after="0" w:line="277" w:lineRule="auto"/>
        <w:rPr>
          <w:sz w:val="20"/>
          <w:szCs w:val="20"/>
          <w:color w:val="auto"/>
        </w:rPr>
      </w:pPr>
      <w:r>
        <w:rPr>
          <w:rFonts w:ascii="Arial" w:cs="Arial" w:eastAsia="Arial" w:hAnsi="Arial"/>
          <w:sz w:val="18"/>
          <w:szCs w:val="18"/>
          <w:color w:val="auto"/>
        </w:rPr>
        <w:t>Pension assets by major category of plan assets and the type of fair value measurement as of December 31, 2017 were as follows:</w:t>
      </w:r>
    </w:p>
    <w:p>
      <w:pPr>
        <w:spacing w:after="0" w:line="189" w:lineRule="exact"/>
        <w:rPr>
          <w:sz w:val="20"/>
          <w:szCs w:val="20"/>
          <w:color w:val="auto"/>
        </w:rPr>
      </w:pPr>
    </w:p>
    <w:tbl>
      <w:tblPr>
        <w:tblLayout w:type="fixed"/>
        <w:tblInd w:w="1240" w:type="dxa"/>
        <w:tblCellMar>
          <w:top w:w="0" w:type="dxa"/>
          <w:left w:w="0" w:type="dxa"/>
          <w:bottom w:w="0" w:type="dxa"/>
          <w:right w:w="0" w:type="dxa"/>
        </w:tblCellMar>
      </w:tblPr>
      <w:tr>
        <w:trPr>
          <w:trHeight w:val="171"/>
        </w:trPr>
        <w:tc>
          <w:tcPr>
            <w:tcW w:w="23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900" w:type="dxa"/>
            <w:vAlign w:val="bottom"/>
            <w:tcBorders>
              <w:bottom w:val="single" w:sz="8" w:color="auto"/>
            </w:tcBorders>
            <w:gridSpan w:val="7"/>
          </w:tcPr>
          <w:p>
            <w:pPr>
              <w:ind w:left="20"/>
              <w:spacing w:after="0"/>
              <w:rPr>
                <w:sz w:val="20"/>
                <w:szCs w:val="20"/>
                <w:color w:val="auto"/>
              </w:rPr>
            </w:pPr>
            <w:r>
              <w:rPr>
                <w:rFonts w:ascii="Arial" w:cs="Arial" w:eastAsia="Arial" w:hAnsi="Arial"/>
                <w:sz w:val="14"/>
                <w:szCs w:val="14"/>
                <w:b w:val="1"/>
                <w:bCs w:val="1"/>
                <w:color w:val="auto"/>
                <w:w w:val="89"/>
              </w:rPr>
              <w:t>Pension Benefits – Plan Assets</w:t>
            </w:r>
          </w:p>
        </w:tc>
        <w:tc>
          <w:tcPr>
            <w:tcW w:w="760" w:type="dxa"/>
            <w:vAlign w:val="bottom"/>
            <w:tcBorders>
              <w:bottom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3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20" w:type="dxa"/>
            <w:vAlign w:val="bottom"/>
          </w:tcPr>
          <w:p>
            <w:pPr>
              <w:jc w:val="center"/>
              <w:ind w:right="29"/>
              <w:spacing w:after="0" w:line="119" w:lineRule="exact"/>
              <w:rPr>
                <w:sz w:val="20"/>
                <w:szCs w:val="20"/>
                <w:color w:val="auto"/>
              </w:rPr>
            </w:pPr>
            <w:r>
              <w:rPr>
                <w:rFonts w:ascii="Arial" w:cs="Arial" w:eastAsia="Arial" w:hAnsi="Arial"/>
                <w:sz w:val="13"/>
                <w:szCs w:val="13"/>
                <w:b w:val="1"/>
                <w:bCs w:val="1"/>
                <w:color w:val="auto"/>
              </w:rPr>
              <w:t>Quoted</w:t>
            </w:r>
          </w:p>
        </w:tc>
        <w:tc>
          <w:tcPr>
            <w:tcW w:w="140" w:type="dxa"/>
            <w:vAlign w:val="bottom"/>
          </w:tcPr>
          <w:p>
            <w:pPr>
              <w:spacing w:after="0"/>
              <w:rPr>
                <w:sz w:val="10"/>
                <w:szCs w:val="10"/>
                <w:color w:val="auto"/>
              </w:rPr>
            </w:pPr>
          </w:p>
        </w:tc>
        <w:tc>
          <w:tcPr>
            <w:tcW w:w="860" w:type="dxa"/>
            <w:vAlign w:val="bottom"/>
            <w:gridSpan w:val="3"/>
            <w:vMerge w:val="restart"/>
          </w:tcPr>
          <w:p>
            <w:pPr>
              <w:jc w:val="center"/>
              <w:ind w:right="160"/>
              <w:spacing w:after="0"/>
              <w:rPr>
                <w:sz w:val="20"/>
                <w:szCs w:val="20"/>
                <w:color w:val="auto"/>
              </w:rPr>
            </w:pPr>
            <w:r>
              <w:rPr>
                <w:rFonts w:ascii="Arial" w:cs="Arial" w:eastAsia="Arial" w:hAnsi="Arial"/>
                <w:sz w:val="14"/>
                <w:szCs w:val="14"/>
                <w:b w:val="1"/>
                <w:bCs w:val="1"/>
                <w:color w:val="auto"/>
                <w:w w:val="92"/>
              </w:rPr>
              <w:t>Significant</w:t>
            </w:r>
          </w:p>
        </w:tc>
        <w:tc>
          <w:tcPr>
            <w:tcW w:w="80" w:type="dxa"/>
            <w:vAlign w:val="bottom"/>
          </w:tcPr>
          <w:p>
            <w:pPr>
              <w:spacing w:after="0"/>
              <w:rPr>
                <w:sz w:val="10"/>
                <w:szCs w:val="10"/>
                <w:color w:val="auto"/>
              </w:rPr>
            </w:pPr>
          </w:p>
        </w:tc>
        <w:tc>
          <w:tcPr>
            <w:tcW w:w="800" w:type="dxa"/>
            <w:vAlign w:val="bottom"/>
            <w:gridSpan w:val="2"/>
            <w:vMerge w:val="restart"/>
          </w:tcPr>
          <w:p>
            <w:pPr>
              <w:jc w:val="center"/>
              <w:ind w:right="140"/>
              <w:spacing w:after="0"/>
              <w:rPr>
                <w:sz w:val="20"/>
                <w:szCs w:val="20"/>
                <w:color w:val="auto"/>
              </w:rPr>
            </w:pPr>
            <w:r>
              <w:rPr>
                <w:rFonts w:ascii="Arial" w:cs="Arial" w:eastAsia="Arial" w:hAnsi="Arial"/>
                <w:sz w:val="14"/>
                <w:szCs w:val="14"/>
                <w:b w:val="1"/>
                <w:bCs w:val="1"/>
                <w:color w:val="auto"/>
                <w:w w:val="92"/>
              </w:rPr>
              <w:t>Significant</w:t>
            </w:r>
          </w:p>
        </w:tc>
        <w:tc>
          <w:tcPr>
            <w:tcW w:w="0" w:type="dxa"/>
            <w:vAlign w:val="bottom"/>
          </w:tcPr>
          <w:p>
            <w:pPr>
              <w:spacing w:after="0"/>
              <w:rPr>
                <w:sz w:val="1"/>
                <w:szCs w:val="1"/>
                <w:color w:val="auto"/>
              </w:rPr>
            </w:pPr>
          </w:p>
        </w:tc>
      </w:tr>
      <w:tr>
        <w:trPr>
          <w:trHeight w:val="149"/>
        </w:trPr>
        <w:tc>
          <w:tcPr>
            <w:tcW w:w="23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tcPr>
          <w:p>
            <w:pPr>
              <w:jc w:val="center"/>
              <w:ind w:right="29"/>
              <w:spacing w:after="0" w:line="149" w:lineRule="exact"/>
              <w:rPr>
                <w:sz w:val="20"/>
                <w:szCs w:val="20"/>
                <w:color w:val="auto"/>
              </w:rPr>
            </w:pPr>
            <w:r>
              <w:rPr>
                <w:rFonts w:ascii="Arial" w:cs="Arial" w:eastAsia="Arial" w:hAnsi="Arial"/>
                <w:sz w:val="14"/>
                <w:szCs w:val="14"/>
                <w:b w:val="1"/>
                <w:bCs w:val="1"/>
                <w:color w:val="auto"/>
                <w:w w:val="92"/>
              </w:rPr>
              <w:t>Prices in</w:t>
            </w:r>
          </w:p>
        </w:tc>
        <w:tc>
          <w:tcPr>
            <w:tcW w:w="140" w:type="dxa"/>
            <w:vAlign w:val="bottom"/>
          </w:tcPr>
          <w:p>
            <w:pPr>
              <w:spacing w:after="0"/>
              <w:rPr>
                <w:sz w:val="12"/>
                <w:szCs w:val="12"/>
                <w:color w:val="auto"/>
              </w:rPr>
            </w:pPr>
          </w:p>
        </w:tc>
        <w:tc>
          <w:tcPr>
            <w:tcW w:w="860" w:type="dxa"/>
            <w:vAlign w:val="bottom"/>
            <w:gridSpan w:val="3"/>
            <w:vMerge w:val="continue"/>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3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tcPr>
          <w:p>
            <w:pPr>
              <w:jc w:val="center"/>
              <w:ind w:right="29"/>
              <w:spacing w:after="0" w:line="149" w:lineRule="exact"/>
              <w:rPr>
                <w:sz w:val="20"/>
                <w:szCs w:val="20"/>
                <w:color w:val="auto"/>
              </w:rPr>
            </w:pPr>
            <w:r>
              <w:rPr>
                <w:rFonts w:ascii="Arial" w:cs="Arial" w:eastAsia="Arial" w:hAnsi="Arial"/>
                <w:sz w:val="14"/>
                <w:szCs w:val="14"/>
                <w:b w:val="1"/>
                <w:bCs w:val="1"/>
                <w:color w:val="auto"/>
                <w:w w:val="90"/>
              </w:rPr>
              <w:t>Active</w:t>
            </w:r>
          </w:p>
        </w:tc>
        <w:tc>
          <w:tcPr>
            <w:tcW w:w="1000" w:type="dxa"/>
            <w:vAlign w:val="bottom"/>
            <w:gridSpan w:val="4"/>
            <w:vMerge w:val="restart"/>
          </w:tcPr>
          <w:p>
            <w:pPr>
              <w:jc w:val="center"/>
              <w:ind w:right="20"/>
              <w:spacing w:after="0"/>
              <w:rPr>
                <w:sz w:val="20"/>
                <w:szCs w:val="20"/>
                <w:color w:val="auto"/>
              </w:rPr>
            </w:pPr>
            <w:r>
              <w:rPr>
                <w:rFonts w:ascii="Arial" w:cs="Arial" w:eastAsia="Arial" w:hAnsi="Arial"/>
                <w:sz w:val="14"/>
                <w:szCs w:val="14"/>
                <w:b w:val="1"/>
                <w:bCs w:val="1"/>
                <w:color w:val="auto"/>
                <w:w w:val="91"/>
              </w:rPr>
              <w:t>Observable</w:t>
            </w:r>
          </w:p>
        </w:tc>
        <w:tc>
          <w:tcPr>
            <w:tcW w:w="880" w:type="dxa"/>
            <w:vAlign w:val="bottom"/>
            <w:gridSpan w:val="3"/>
            <w:vMerge w:val="restart"/>
          </w:tcPr>
          <w:p>
            <w:pPr>
              <w:jc w:val="center"/>
              <w:ind w:right="40"/>
              <w:spacing w:after="0"/>
              <w:rPr>
                <w:sz w:val="20"/>
                <w:szCs w:val="20"/>
                <w:color w:val="auto"/>
              </w:rPr>
            </w:pPr>
            <w:r>
              <w:rPr>
                <w:rFonts w:ascii="Arial" w:cs="Arial" w:eastAsia="Arial" w:hAnsi="Arial"/>
                <w:sz w:val="14"/>
                <w:szCs w:val="14"/>
                <w:b w:val="1"/>
                <w:bCs w:val="1"/>
                <w:color w:val="auto"/>
                <w:w w:val="90"/>
              </w:rPr>
              <w:t>Unobservable</w:t>
            </w:r>
          </w:p>
        </w:tc>
        <w:tc>
          <w:tcPr>
            <w:tcW w:w="0" w:type="dxa"/>
            <w:vAlign w:val="bottom"/>
          </w:tcPr>
          <w:p>
            <w:pPr>
              <w:spacing w:after="0"/>
              <w:rPr>
                <w:sz w:val="1"/>
                <w:szCs w:val="1"/>
                <w:color w:val="auto"/>
              </w:rPr>
            </w:pPr>
          </w:p>
        </w:tc>
      </w:tr>
      <w:tr>
        <w:trPr>
          <w:trHeight w:val="149"/>
        </w:trPr>
        <w:tc>
          <w:tcPr>
            <w:tcW w:w="23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2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8"/>
              </w:rPr>
              <w:t>Markets for</w:t>
            </w:r>
          </w:p>
        </w:tc>
        <w:tc>
          <w:tcPr>
            <w:tcW w:w="1000" w:type="dxa"/>
            <w:vAlign w:val="bottom"/>
            <w:gridSpan w:val="4"/>
            <w:vMerge w:val="continue"/>
          </w:tcPr>
          <w:p>
            <w:pPr>
              <w:spacing w:after="0"/>
              <w:rPr>
                <w:sz w:val="12"/>
                <w:szCs w:val="12"/>
                <w:color w:val="auto"/>
              </w:rPr>
            </w:pPr>
          </w:p>
        </w:tc>
        <w:tc>
          <w:tcPr>
            <w:tcW w:w="88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3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tcPr>
          <w:p>
            <w:pPr>
              <w:jc w:val="center"/>
              <w:ind w:right="29"/>
              <w:spacing w:after="0" w:line="149" w:lineRule="exact"/>
              <w:rPr>
                <w:sz w:val="20"/>
                <w:szCs w:val="20"/>
                <w:color w:val="auto"/>
              </w:rPr>
            </w:pPr>
            <w:r>
              <w:rPr>
                <w:rFonts w:ascii="Arial" w:cs="Arial" w:eastAsia="Arial" w:hAnsi="Arial"/>
                <w:sz w:val="14"/>
                <w:szCs w:val="14"/>
                <w:b w:val="1"/>
                <w:bCs w:val="1"/>
                <w:color w:val="auto"/>
                <w:w w:val="94"/>
              </w:rPr>
              <w:t>Identical</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8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95"/>
              </w:rPr>
              <w:t>Inputs</w:t>
            </w:r>
          </w:p>
        </w:tc>
        <w:tc>
          <w:tcPr>
            <w:tcW w:w="80" w:type="dxa"/>
            <w:vAlign w:val="bottom"/>
          </w:tcPr>
          <w:p>
            <w:pPr>
              <w:spacing w:after="0"/>
              <w:rPr>
                <w:sz w:val="12"/>
                <w:szCs w:val="12"/>
                <w:color w:val="auto"/>
              </w:rPr>
            </w:pPr>
          </w:p>
        </w:tc>
        <w:tc>
          <w:tcPr>
            <w:tcW w:w="80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5"/>
              </w:rPr>
              <w:t>Inputs</w:t>
            </w:r>
          </w:p>
        </w:tc>
        <w:tc>
          <w:tcPr>
            <w:tcW w:w="0" w:type="dxa"/>
            <w:vAlign w:val="bottom"/>
          </w:tcPr>
          <w:p>
            <w:pPr>
              <w:spacing w:after="0"/>
              <w:rPr>
                <w:sz w:val="1"/>
                <w:szCs w:val="1"/>
                <w:color w:val="auto"/>
              </w:rPr>
            </w:pPr>
          </w:p>
        </w:tc>
      </w:tr>
      <w:tr>
        <w:trPr>
          <w:trHeight w:val="149"/>
        </w:trPr>
        <w:tc>
          <w:tcPr>
            <w:tcW w:w="23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540" w:type="dxa"/>
            <w:vAlign w:val="bottom"/>
            <w:vMerge w:val="restart"/>
          </w:tcPr>
          <w:p>
            <w:pPr>
              <w:jc w:val="right"/>
              <w:ind w:right="88"/>
              <w:spacing w:after="0"/>
              <w:rPr>
                <w:sz w:val="20"/>
                <w:szCs w:val="20"/>
                <w:color w:val="auto"/>
              </w:rPr>
            </w:pPr>
            <w:r>
              <w:rPr>
                <w:rFonts w:ascii="Arial" w:cs="Arial" w:eastAsia="Arial" w:hAnsi="Arial"/>
                <w:sz w:val="14"/>
                <w:szCs w:val="14"/>
                <w:b w:val="1"/>
                <w:bCs w:val="1"/>
                <w:color w:val="auto"/>
              </w:rPr>
              <w:t>Total</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tcPr>
          <w:p>
            <w:pPr>
              <w:jc w:val="center"/>
              <w:ind w:right="29"/>
              <w:spacing w:after="0" w:line="149" w:lineRule="exact"/>
              <w:rPr>
                <w:sz w:val="20"/>
                <w:szCs w:val="20"/>
                <w:color w:val="auto"/>
              </w:rPr>
            </w:pPr>
            <w:r>
              <w:rPr>
                <w:rFonts w:ascii="Arial" w:cs="Arial" w:eastAsia="Arial" w:hAnsi="Arial"/>
                <w:sz w:val="14"/>
                <w:szCs w:val="14"/>
                <w:b w:val="1"/>
                <w:bCs w:val="1"/>
                <w:color w:val="auto"/>
                <w:w w:val="82"/>
              </w:rPr>
              <w:t>Assets</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80" w:type="dxa"/>
            <w:vAlign w:val="bottom"/>
            <w:gridSpan w:val="2"/>
            <w:vMerge w:val="continue"/>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380" w:type="dxa"/>
            <w:vAlign w:val="bottom"/>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780" w:type="dxa"/>
            <w:vAlign w:val="bottom"/>
          </w:tcPr>
          <w:p>
            <w:pPr>
              <w:spacing w:after="0"/>
              <w:rPr>
                <w:sz w:val="14"/>
                <w:szCs w:val="14"/>
                <w:color w:val="auto"/>
              </w:rPr>
            </w:pPr>
          </w:p>
        </w:tc>
        <w:tc>
          <w:tcPr>
            <w:tcW w:w="54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20" w:type="dxa"/>
            <w:vAlign w:val="bottom"/>
          </w:tcPr>
          <w:p>
            <w:pPr>
              <w:jc w:val="center"/>
              <w:ind w:right="29"/>
              <w:spacing w:after="0"/>
              <w:rPr>
                <w:sz w:val="20"/>
                <w:szCs w:val="20"/>
                <w:color w:val="auto"/>
              </w:rPr>
            </w:pPr>
            <w:r>
              <w:rPr>
                <w:rFonts w:ascii="Arial" w:cs="Arial" w:eastAsia="Arial" w:hAnsi="Arial"/>
                <w:sz w:val="14"/>
                <w:szCs w:val="14"/>
                <w:b w:val="1"/>
                <w:bCs w:val="1"/>
                <w:color w:val="auto"/>
                <w:w w:val="94"/>
              </w:rPr>
              <w:t>(Level 1)</w:t>
            </w: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8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4"/>
              </w:rPr>
              <w:t>(Level 2)</w:t>
            </w:r>
          </w:p>
        </w:tc>
        <w:tc>
          <w:tcPr>
            <w:tcW w:w="80" w:type="dxa"/>
            <w:vAlign w:val="bottom"/>
          </w:tcPr>
          <w:p>
            <w:pPr>
              <w:spacing w:after="0"/>
              <w:rPr>
                <w:sz w:val="14"/>
                <w:szCs w:val="14"/>
                <w:color w:val="auto"/>
              </w:rPr>
            </w:pPr>
          </w:p>
        </w:tc>
        <w:tc>
          <w:tcPr>
            <w:tcW w:w="80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4"/>
              </w:rPr>
              <w:t>(Level 3)</w:t>
            </w:r>
          </w:p>
        </w:tc>
        <w:tc>
          <w:tcPr>
            <w:tcW w:w="0" w:type="dxa"/>
            <w:vAlign w:val="bottom"/>
          </w:tcPr>
          <w:p>
            <w:pPr>
              <w:spacing w:after="0"/>
              <w:rPr>
                <w:sz w:val="1"/>
                <w:szCs w:val="1"/>
                <w:color w:val="auto"/>
              </w:rPr>
            </w:pPr>
          </w:p>
        </w:tc>
      </w:tr>
      <w:tr>
        <w:trPr>
          <w:trHeight w:val="400"/>
        </w:trPr>
        <w:tc>
          <w:tcPr>
            <w:tcW w:w="2380" w:type="dxa"/>
            <w:vAlign w:val="bottom"/>
          </w:tcPr>
          <w:p>
            <w:pPr>
              <w:spacing w:after="0"/>
              <w:rPr>
                <w:sz w:val="20"/>
                <w:szCs w:val="20"/>
                <w:color w:val="auto"/>
              </w:rPr>
            </w:pPr>
            <w:r>
              <w:rPr>
                <w:rFonts w:ascii="Arial" w:cs="Arial" w:eastAsia="Arial" w:hAnsi="Arial"/>
                <w:sz w:val="14"/>
                <w:szCs w:val="14"/>
                <w:b w:val="1"/>
                <w:bCs w:val="1"/>
                <w:color w:val="auto"/>
              </w:rPr>
              <w:t>Asset category</w:t>
            </w:r>
          </w:p>
        </w:tc>
        <w:tc>
          <w:tcPr>
            <w:tcW w:w="780" w:type="dxa"/>
            <w:vAlign w:val="bottom"/>
          </w:tcPr>
          <w:p>
            <w:pPr>
              <w:spacing w:after="0"/>
              <w:rPr>
                <w:sz w:val="24"/>
                <w:szCs w:val="24"/>
                <w:color w:val="auto"/>
              </w:rPr>
            </w:pPr>
          </w:p>
        </w:tc>
        <w:tc>
          <w:tcPr>
            <w:tcW w:w="540" w:type="dxa"/>
            <w:vAlign w:val="bottom"/>
            <w:tcBorders>
              <w:top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720" w:type="dxa"/>
            <w:vAlign w:val="bottom"/>
            <w:tcBorders>
              <w:top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620" w:type="dxa"/>
            <w:vAlign w:val="bottom"/>
            <w:tcBorders>
              <w:top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760" w:type="dxa"/>
            <w:vAlign w:val="bottom"/>
            <w:tcBorders>
              <w:top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8"/>
        </w:trPr>
        <w:tc>
          <w:tcPr>
            <w:tcW w:w="2380" w:type="dxa"/>
            <w:vAlign w:val="bottom"/>
          </w:tcPr>
          <w:p>
            <w:pPr>
              <w:spacing w:after="0"/>
              <w:rPr>
                <w:sz w:val="20"/>
                <w:szCs w:val="20"/>
                <w:color w:val="auto"/>
              </w:rPr>
            </w:pPr>
            <w:r>
              <w:rPr>
                <w:rFonts w:ascii="Arial" w:cs="Arial" w:eastAsia="Arial" w:hAnsi="Arial"/>
                <w:sz w:val="14"/>
                <w:szCs w:val="14"/>
                <w:color w:val="auto"/>
              </w:rPr>
              <w:t>Individual securities</w:t>
            </w:r>
          </w:p>
        </w:tc>
        <w:tc>
          <w:tcPr>
            <w:tcW w:w="78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2380" w:type="dxa"/>
            <w:vAlign w:val="bottom"/>
            <w:shd w:val="clear" w:color="auto" w:fill="CCEEFF"/>
          </w:tcPr>
          <w:p>
            <w:pPr>
              <w:ind w:left="100"/>
              <w:spacing w:after="0"/>
              <w:rPr>
                <w:sz w:val="20"/>
                <w:szCs w:val="20"/>
                <w:color w:val="auto"/>
              </w:rPr>
            </w:pPr>
            <w:r>
              <w:rPr>
                <w:rFonts w:ascii="Arial" w:cs="Arial" w:eastAsia="Arial" w:hAnsi="Arial"/>
                <w:sz w:val="14"/>
                <w:szCs w:val="14"/>
                <w:color w:val="auto"/>
              </w:rPr>
              <w:t>Fixed income</w:t>
            </w:r>
          </w:p>
        </w:tc>
        <w:tc>
          <w:tcPr>
            <w:tcW w:w="78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1,794</w:t>
            </w:r>
          </w:p>
        </w:tc>
        <w:tc>
          <w:tcPr>
            <w:tcW w:w="240" w:type="dxa"/>
            <w:vAlign w:val="bottom"/>
            <w:gridSpan w:val="2"/>
            <w:shd w:val="clear" w:color="auto" w:fill="CCEEFF"/>
          </w:tcPr>
          <w:p>
            <w:pPr>
              <w:ind w:left="140"/>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1,794</w:t>
            </w: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76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380" w:type="dxa"/>
            <w:vAlign w:val="bottom"/>
          </w:tcPr>
          <w:p>
            <w:pPr>
              <w:spacing w:after="0"/>
              <w:rPr>
                <w:sz w:val="20"/>
                <w:szCs w:val="20"/>
                <w:color w:val="auto"/>
              </w:rPr>
            </w:pPr>
            <w:r>
              <w:rPr>
                <w:rFonts w:ascii="Arial" w:cs="Arial" w:eastAsia="Arial" w:hAnsi="Arial"/>
                <w:sz w:val="14"/>
                <w:szCs w:val="14"/>
                <w:color w:val="auto"/>
              </w:rPr>
              <w:t>Commingled funds</w:t>
            </w:r>
          </w:p>
        </w:tc>
        <w:tc>
          <w:tcPr>
            <w:tcW w:w="7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380" w:type="dxa"/>
            <w:vAlign w:val="bottom"/>
            <w:shd w:val="clear" w:color="auto" w:fill="CCEEFF"/>
          </w:tcPr>
          <w:p>
            <w:pPr>
              <w:ind w:left="100"/>
              <w:spacing w:after="0"/>
              <w:rPr>
                <w:sz w:val="20"/>
                <w:szCs w:val="20"/>
                <w:color w:val="auto"/>
              </w:rPr>
            </w:pPr>
            <w:r>
              <w:rPr>
                <w:rFonts w:ascii="Arial" w:cs="Arial" w:eastAsia="Arial" w:hAnsi="Arial"/>
                <w:sz w:val="14"/>
                <w:szCs w:val="14"/>
                <w:color w:val="auto"/>
              </w:rPr>
              <w:t>Measured at net asset value</w:t>
            </w:r>
          </w:p>
        </w:tc>
        <w:tc>
          <w:tcPr>
            <w:tcW w:w="780" w:type="dxa"/>
            <w:vAlign w:val="bottom"/>
            <w:tcBorders>
              <w:right w:val="single" w:sz="8" w:color="CCEEFF"/>
            </w:tcBorders>
            <w:shd w:val="clear" w:color="auto" w:fill="CCEEFF"/>
          </w:tcPr>
          <w:p>
            <w:pPr>
              <w:spacing w:after="0"/>
              <w:rPr>
                <w:sz w:val="17"/>
                <w:szCs w:val="17"/>
                <w:color w:val="auto"/>
              </w:rPr>
            </w:pPr>
          </w:p>
        </w:tc>
        <w:tc>
          <w:tcPr>
            <w:tcW w:w="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90"/>
              </w:rPr>
              <w:t>232,066</w:t>
            </w:r>
          </w:p>
        </w:tc>
        <w:tc>
          <w:tcPr>
            <w:tcW w:w="140" w:type="dxa"/>
            <w:vAlign w:val="bottom"/>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720" w:type="dxa"/>
            <w:vAlign w:val="bottom"/>
            <w:tcBorders>
              <w:bottom w:val="single" w:sz="8" w:color="auto"/>
            </w:tcBorders>
            <w:shd w:val="clear" w:color="auto" w:fill="CCEEFF"/>
          </w:tcPr>
          <w:p>
            <w:pPr>
              <w:jc w:val="right"/>
              <w:ind w:right="69"/>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spacing w:after="0"/>
              <w:rPr>
                <w:sz w:val="17"/>
                <w:szCs w:val="17"/>
                <w:color w:val="auto"/>
              </w:rPr>
            </w:pPr>
          </w:p>
        </w:tc>
        <w:tc>
          <w:tcPr>
            <w:tcW w:w="6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spacing w:after="0"/>
              <w:rPr>
                <w:sz w:val="17"/>
                <w:szCs w:val="17"/>
                <w:color w:val="auto"/>
              </w:rPr>
            </w:pPr>
          </w:p>
        </w:tc>
        <w:tc>
          <w:tcPr>
            <w:tcW w:w="76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69"/>
        </w:trPr>
        <w:tc>
          <w:tcPr>
            <w:tcW w:w="238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w:t>
            </w:r>
          </w:p>
        </w:tc>
        <w:tc>
          <w:tcPr>
            <w:tcW w:w="540" w:type="dxa"/>
            <w:vAlign w:val="bottom"/>
          </w:tcPr>
          <w:p>
            <w:pPr>
              <w:jc w:val="right"/>
              <w:spacing w:after="0"/>
              <w:rPr>
                <w:sz w:val="20"/>
                <w:szCs w:val="20"/>
                <w:color w:val="auto"/>
              </w:rPr>
            </w:pPr>
            <w:r>
              <w:rPr>
                <w:rFonts w:ascii="Arial" w:cs="Arial" w:eastAsia="Arial" w:hAnsi="Arial"/>
                <w:sz w:val="14"/>
                <w:szCs w:val="14"/>
                <w:color w:val="auto"/>
                <w:w w:val="90"/>
              </w:rPr>
              <w:t>233,860</w:t>
            </w:r>
          </w:p>
        </w:tc>
        <w:tc>
          <w:tcPr>
            <w:tcW w:w="240" w:type="dxa"/>
            <w:vAlign w:val="bottom"/>
            <w:gridSpan w:val="2"/>
          </w:tcPr>
          <w:p>
            <w:pPr>
              <w:ind w:left="140"/>
              <w:spacing w:after="0"/>
              <w:rPr>
                <w:sz w:val="20"/>
                <w:szCs w:val="20"/>
                <w:color w:val="auto"/>
              </w:rPr>
            </w:pPr>
            <w:r>
              <w:rPr>
                <w:rFonts w:ascii="Arial" w:cs="Arial" w:eastAsia="Arial" w:hAnsi="Arial"/>
                <w:sz w:val="14"/>
                <w:szCs w:val="14"/>
                <w:color w:val="auto"/>
              </w:rPr>
              <w:t>$</w:t>
            </w:r>
          </w:p>
        </w:tc>
        <w:tc>
          <w:tcPr>
            <w:tcW w:w="720" w:type="dxa"/>
            <w:vAlign w:val="bottom"/>
          </w:tcPr>
          <w:p>
            <w:pPr>
              <w:jc w:val="right"/>
              <w:ind w:right="69"/>
              <w:spacing w:after="0"/>
              <w:rPr>
                <w:sz w:val="20"/>
                <w:szCs w:val="20"/>
                <w:color w:val="auto"/>
              </w:rPr>
            </w:pPr>
            <w:r>
              <w:rPr>
                <w:rFonts w:ascii="Arial" w:cs="Arial" w:eastAsia="Arial" w:hAnsi="Arial"/>
                <w:sz w:val="14"/>
                <w:szCs w:val="14"/>
                <w:color w:val="auto"/>
              </w:rPr>
              <w:t>-</w:t>
            </w:r>
          </w:p>
        </w:tc>
        <w:tc>
          <w:tcPr>
            <w:tcW w:w="2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620" w:type="dxa"/>
            <w:vAlign w:val="bottom"/>
          </w:tcPr>
          <w:p>
            <w:pPr>
              <w:jc w:val="right"/>
              <w:spacing w:after="0"/>
              <w:rPr>
                <w:sz w:val="20"/>
                <w:szCs w:val="20"/>
                <w:color w:val="auto"/>
              </w:rPr>
            </w:pPr>
            <w:r>
              <w:rPr>
                <w:rFonts w:ascii="Arial" w:cs="Arial" w:eastAsia="Arial" w:hAnsi="Arial"/>
                <w:sz w:val="14"/>
                <w:szCs w:val="14"/>
                <w:color w:val="auto"/>
              </w:rPr>
              <w:t>1,794</w:t>
            </w:r>
          </w:p>
        </w:tc>
        <w:tc>
          <w:tcPr>
            <w:tcW w:w="160" w:type="dxa"/>
            <w:vAlign w:val="bottom"/>
          </w:tcPr>
          <w:p>
            <w:pPr>
              <w:spacing w:after="0"/>
              <w:rPr>
                <w:sz w:val="14"/>
                <w:szCs w:val="14"/>
                <w:color w:val="auto"/>
              </w:rPr>
            </w:pP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76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7"/>
        </w:trPr>
        <w:tc>
          <w:tcPr>
            <w:tcW w:w="2380" w:type="dxa"/>
            <w:vAlign w:val="bottom"/>
          </w:tcPr>
          <w:p>
            <w:pPr>
              <w:spacing w:after="0"/>
              <w:rPr>
                <w:sz w:val="2"/>
                <w:szCs w:val="2"/>
                <w:color w:val="auto"/>
              </w:rPr>
            </w:pPr>
          </w:p>
        </w:tc>
        <w:tc>
          <w:tcPr>
            <w:tcW w:w="780" w:type="dxa"/>
            <w:vAlign w:val="bottom"/>
            <w:tcBorders>
              <w:right w:val="single" w:sz="8" w:color="auto"/>
            </w:tcBorders>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1240" w:right="1879" w:firstLine="648"/>
        <w:spacing w:after="0" w:line="277" w:lineRule="auto"/>
        <w:rPr>
          <w:sz w:val="20"/>
          <w:szCs w:val="20"/>
          <w:color w:val="auto"/>
        </w:rPr>
      </w:pPr>
      <w:r>
        <w:rPr>
          <w:rFonts w:ascii="Arial" w:cs="Arial" w:eastAsia="Arial" w:hAnsi="Arial"/>
          <w:sz w:val="18"/>
          <w:szCs w:val="18"/>
          <w:color w:val="auto"/>
        </w:rPr>
        <w:t>Pension assets by major category of plan assets and the type of fair value measurement as of December 31, 2016 were as follows:</w:t>
      </w:r>
    </w:p>
    <w:p>
      <w:pPr>
        <w:spacing w:after="0" w:line="189" w:lineRule="exact"/>
        <w:rPr>
          <w:sz w:val="20"/>
          <w:szCs w:val="20"/>
          <w:color w:val="auto"/>
        </w:rPr>
      </w:pPr>
    </w:p>
    <w:tbl>
      <w:tblPr>
        <w:tblLayout w:type="fixed"/>
        <w:tblInd w:w="1240" w:type="dxa"/>
        <w:tblCellMar>
          <w:top w:w="0" w:type="dxa"/>
          <w:left w:w="0" w:type="dxa"/>
          <w:bottom w:w="0" w:type="dxa"/>
          <w:right w:w="0" w:type="dxa"/>
        </w:tblCellMar>
      </w:tblPr>
      <w:tr>
        <w:trPr>
          <w:trHeight w:val="171"/>
        </w:trPr>
        <w:tc>
          <w:tcPr>
            <w:tcW w:w="23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900" w:type="dxa"/>
            <w:vAlign w:val="bottom"/>
            <w:tcBorders>
              <w:bottom w:val="single" w:sz="8" w:color="auto"/>
            </w:tcBorders>
            <w:gridSpan w:val="7"/>
          </w:tcPr>
          <w:p>
            <w:pPr>
              <w:ind w:left="20"/>
              <w:spacing w:after="0"/>
              <w:rPr>
                <w:sz w:val="20"/>
                <w:szCs w:val="20"/>
                <w:color w:val="auto"/>
              </w:rPr>
            </w:pPr>
            <w:r>
              <w:rPr>
                <w:rFonts w:ascii="Arial" w:cs="Arial" w:eastAsia="Arial" w:hAnsi="Arial"/>
                <w:sz w:val="14"/>
                <w:szCs w:val="14"/>
                <w:b w:val="1"/>
                <w:bCs w:val="1"/>
                <w:color w:val="auto"/>
                <w:w w:val="89"/>
              </w:rPr>
              <w:t>Pension Benefits – Plan Assets</w:t>
            </w:r>
          </w:p>
        </w:tc>
        <w:tc>
          <w:tcPr>
            <w:tcW w:w="760" w:type="dxa"/>
            <w:vAlign w:val="bottom"/>
            <w:tcBorders>
              <w:bottom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3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20" w:type="dxa"/>
            <w:vAlign w:val="bottom"/>
          </w:tcPr>
          <w:p>
            <w:pPr>
              <w:jc w:val="center"/>
              <w:ind w:right="29"/>
              <w:spacing w:after="0" w:line="119" w:lineRule="exact"/>
              <w:rPr>
                <w:sz w:val="20"/>
                <w:szCs w:val="20"/>
                <w:color w:val="auto"/>
              </w:rPr>
            </w:pPr>
            <w:r>
              <w:rPr>
                <w:rFonts w:ascii="Arial" w:cs="Arial" w:eastAsia="Arial" w:hAnsi="Arial"/>
                <w:sz w:val="13"/>
                <w:szCs w:val="13"/>
                <w:b w:val="1"/>
                <w:bCs w:val="1"/>
                <w:color w:val="auto"/>
              </w:rPr>
              <w:t>Quoted</w:t>
            </w:r>
          </w:p>
        </w:tc>
        <w:tc>
          <w:tcPr>
            <w:tcW w:w="140" w:type="dxa"/>
            <w:vAlign w:val="bottom"/>
          </w:tcPr>
          <w:p>
            <w:pPr>
              <w:spacing w:after="0"/>
              <w:rPr>
                <w:sz w:val="10"/>
                <w:szCs w:val="10"/>
                <w:color w:val="auto"/>
              </w:rPr>
            </w:pPr>
          </w:p>
        </w:tc>
        <w:tc>
          <w:tcPr>
            <w:tcW w:w="860" w:type="dxa"/>
            <w:vAlign w:val="bottom"/>
            <w:gridSpan w:val="3"/>
            <w:vMerge w:val="restart"/>
          </w:tcPr>
          <w:p>
            <w:pPr>
              <w:jc w:val="center"/>
              <w:ind w:right="160"/>
              <w:spacing w:after="0"/>
              <w:rPr>
                <w:sz w:val="20"/>
                <w:szCs w:val="20"/>
                <w:color w:val="auto"/>
              </w:rPr>
            </w:pPr>
            <w:r>
              <w:rPr>
                <w:rFonts w:ascii="Arial" w:cs="Arial" w:eastAsia="Arial" w:hAnsi="Arial"/>
                <w:sz w:val="14"/>
                <w:szCs w:val="14"/>
                <w:b w:val="1"/>
                <w:bCs w:val="1"/>
                <w:color w:val="auto"/>
                <w:w w:val="92"/>
              </w:rPr>
              <w:t>Significant</w:t>
            </w:r>
          </w:p>
        </w:tc>
        <w:tc>
          <w:tcPr>
            <w:tcW w:w="80" w:type="dxa"/>
            <w:vAlign w:val="bottom"/>
          </w:tcPr>
          <w:p>
            <w:pPr>
              <w:spacing w:after="0"/>
              <w:rPr>
                <w:sz w:val="10"/>
                <w:szCs w:val="10"/>
                <w:color w:val="auto"/>
              </w:rPr>
            </w:pPr>
          </w:p>
        </w:tc>
        <w:tc>
          <w:tcPr>
            <w:tcW w:w="800" w:type="dxa"/>
            <w:vAlign w:val="bottom"/>
            <w:gridSpan w:val="2"/>
            <w:vMerge w:val="restart"/>
          </w:tcPr>
          <w:p>
            <w:pPr>
              <w:jc w:val="center"/>
              <w:ind w:right="140"/>
              <w:spacing w:after="0"/>
              <w:rPr>
                <w:sz w:val="20"/>
                <w:szCs w:val="20"/>
                <w:color w:val="auto"/>
              </w:rPr>
            </w:pPr>
            <w:r>
              <w:rPr>
                <w:rFonts w:ascii="Arial" w:cs="Arial" w:eastAsia="Arial" w:hAnsi="Arial"/>
                <w:sz w:val="14"/>
                <w:szCs w:val="14"/>
                <w:b w:val="1"/>
                <w:bCs w:val="1"/>
                <w:color w:val="auto"/>
                <w:w w:val="92"/>
              </w:rPr>
              <w:t>Significant</w:t>
            </w:r>
          </w:p>
        </w:tc>
        <w:tc>
          <w:tcPr>
            <w:tcW w:w="0" w:type="dxa"/>
            <w:vAlign w:val="bottom"/>
          </w:tcPr>
          <w:p>
            <w:pPr>
              <w:spacing w:after="0"/>
              <w:rPr>
                <w:sz w:val="1"/>
                <w:szCs w:val="1"/>
                <w:color w:val="auto"/>
              </w:rPr>
            </w:pPr>
          </w:p>
        </w:tc>
      </w:tr>
      <w:tr>
        <w:trPr>
          <w:trHeight w:val="149"/>
        </w:trPr>
        <w:tc>
          <w:tcPr>
            <w:tcW w:w="23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tcPr>
          <w:p>
            <w:pPr>
              <w:jc w:val="center"/>
              <w:ind w:right="29"/>
              <w:spacing w:after="0" w:line="149" w:lineRule="exact"/>
              <w:rPr>
                <w:sz w:val="20"/>
                <w:szCs w:val="20"/>
                <w:color w:val="auto"/>
              </w:rPr>
            </w:pPr>
            <w:r>
              <w:rPr>
                <w:rFonts w:ascii="Arial" w:cs="Arial" w:eastAsia="Arial" w:hAnsi="Arial"/>
                <w:sz w:val="14"/>
                <w:szCs w:val="14"/>
                <w:b w:val="1"/>
                <w:bCs w:val="1"/>
                <w:color w:val="auto"/>
                <w:w w:val="92"/>
              </w:rPr>
              <w:t>Prices in</w:t>
            </w:r>
          </w:p>
        </w:tc>
        <w:tc>
          <w:tcPr>
            <w:tcW w:w="140" w:type="dxa"/>
            <w:vAlign w:val="bottom"/>
          </w:tcPr>
          <w:p>
            <w:pPr>
              <w:spacing w:after="0"/>
              <w:rPr>
                <w:sz w:val="12"/>
                <w:szCs w:val="12"/>
                <w:color w:val="auto"/>
              </w:rPr>
            </w:pPr>
          </w:p>
        </w:tc>
        <w:tc>
          <w:tcPr>
            <w:tcW w:w="860" w:type="dxa"/>
            <w:vAlign w:val="bottom"/>
            <w:gridSpan w:val="3"/>
            <w:vMerge w:val="continue"/>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3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tcPr>
          <w:p>
            <w:pPr>
              <w:jc w:val="center"/>
              <w:ind w:right="29"/>
              <w:spacing w:after="0" w:line="149" w:lineRule="exact"/>
              <w:rPr>
                <w:sz w:val="20"/>
                <w:szCs w:val="20"/>
                <w:color w:val="auto"/>
              </w:rPr>
            </w:pPr>
            <w:r>
              <w:rPr>
                <w:rFonts w:ascii="Arial" w:cs="Arial" w:eastAsia="Arial" w:hAnsi="Arial"/>
                <w:sz w:val="14"/>
                <w:szCs w:val="14"/>
                <w:b w:val="1"/>
                <w:bCs w:val="1"/>
                <w:color w:val="auto"/>
                <w:w w:val="90"/>
              </w:rPr>
              <w:t>Active</w:t>
            </w:r>
          </w:p>
        </w:tc>
        <w:tc>
          <w:tcPr>
            <w:tcW w:w="1000" w:type="dxa"/>
            <w:vAlign w:val="bottom"/>
            <w:gridSpan w:val="4"/>
            <w:vMerge w:val="restart"/>
          </w:tcPr>
          <w:p>
            <w:pPr>
              <w:jc w:val="center"/>
              <w:ind w:right="20"/>
              <w:spacing w:after="0"/>
              <w:rPr>
                <w:sz w:val="20"/>
                <w:szCs w:val="20"/>
                <w:color w:val="auto"/>
              </w:rPr>
            </w:pPr>
            <w:r>
              <w:rPr>
                <w:rFonts w:ascii="Arial" w:cs="Arial" w:eastAsia="Arial" w:hAnsi="Arial"/>
                <w:sz w:val="14"/>
                <w:szCs w:val="14"/>
                <w:b w:val="1"/>
                <w:bCs w:val="1"/>
                <w:color w:val="auto"/>
                <w:w w:val="91"/>
              </w:rPr>
              <w:t>Observable</w:t>
            </w:r>
          </w:p>
        </w:tc>
        <w:tc>
          <w:tcPr>
            <w:tcW w:w="880" w:type="dxa"/>
            <w:vAlign w:val="bottom"/>
            <w:gridSpan w:val="3"/>
            <w:vMerge w:val="restart"/>
          </w:tcPr>
          <w:p>
            <w:pPr>
              <w:jc w:val="center"/>
              <w:ind w:right="40"/>
              <w:spacing w:after="0"/>
              <w:rPr>
                <w:sz w:val="20"/>
                <w:szCs w:val="20"/>
                <w:color w:val="auto"/>
              </w:rPr>
            </w:pPr>
            <w:r>
              <w:rPr>
                <w:rFonts w:ascii="Arial" w:cs="Arial" w:eastAsia="Arial" w:hAnsi="Arial"/>
                <w:sz w:val="14"/>
                <w:szCs w:val="14"/>
                <w:b w:val="1"/>
                <w:bCs w:val="1"/>
                <w:color w:val="auto"/>
                <w:w w:val="90"/>
              </w:rPr>
              <w:t>Unobservable</w:t>
            </w:r>
          </w:p>
        </w:tc>
        <w:tc>
          <w:tcPr>
            <w:tcW w:w="0" w:type="dxa"/>
            <w:vAlign w:val="bottom"/>
          </w:tcPr>
          <w:p>
            <w:pPr>
              <w:spacing w:after="0"/>
              <w:rPr>
                <w:sz w:val="1"/>
                <w:szCs w:val="1"/>
                <w:color w:val="auto"/>
              </w:rPr>
            </w:pPr>
          </w:p>
        </w:tc>
      </w:tr>
      <w:tr>
        <w:trPr>
          <w:trHeight w:val="149"/>
        </w:trPr>
        <w:tc>
          <w:tcPr>
            <w:tcW w:w="23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2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8"/>
              </w:rPr>
              <w:t>Markets for</w:t>
            </w:r>
          </w:p>
        </w:tc>
        <w:tc>
          <w:tcPr>
            <w:tcW w:w="1000" w:type="dxa"/>
            <w:vAlign w:val="bottom"/>
            <w:gridSpan w:val="4"/>
            <w:vMerge w:val="continue"/>
          </w:tcPr>
          <w:p>
            <w:pPr>
              <w:spacing w:after="0"/>
              <w:rPr>
                <w:sz w:val="12"/>
                <w:szCs w:val="12"/>
                <w:color w:val="auto"/>
              </w:rPr>
            </w:pPr>
          </w:p>
        </w:tc>
        <w:tc>
          <w:tcPr>
            <w:tcW w:w="88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3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tcPr>
          <w:p>
            <w:pPr>
              <w:jc w:val="center"/>
              <w:ind w:right="29"/>
              <w:spacing w:after="0" w:line="149" w:lineRule="exact"/>
              <w:rPr>
                <w:sz w:val="20"/>
                <w:szCs w:val="20"/>
                <w:color w:val="auto"/>
              </w:rPr>
            </w:pPr>
            <w:r>
              <w:rPr>
                <w:rFonts w:ascii="Arial" w:cs="Arial" w:eastAsia="Arial" w:hAnsi="Arial"/>
                <w:sz w:val="14"/>
                <w:szCs w:val="14"/>
                <w:b w:val="1"/>
                <w:bCs w:val="1"/>
                <w:color w:val="auto"/>
                <w:w w:val="94"/>
              </w:rPr>
              <w:t>Identical</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8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95"/>
              </w:rPr>
              <w:t>Inputs</w:t>
            </w:r>
          </w:p>
        </w:tc>
        <w:tc>
          <w:tcPr>
            <w:tcW w:w="80" w:type="dxa"/>
            <w:vAlign w:val="bottom"/>
          </w:tcPr>
          <w:p>
            <w:pPr>
              <w:spacing w:after="0"/>
              <w:rPr>
                <w:sz w:val="12"/>
                <w:szCs w:val="12"/>
                <w:color w:val="auto"/>
              </w:rPr>
            </w:pPr>
          </w:p>
        </w:tc>
        <w:tc>
          <w:tcPr>
            <w:tcW w:w="80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5"/>
              </w:rPr>
              <w:t>Inputs</w:t>
            </w:r>
          </w:p>
        </w:tc>
        <w:tc>
          <w:tcPr>
            <w:tcW w:w="0" w:type="dxa"/>
            <w:vAlign w:val="bottom"/>
          </w:tcPr>
          <w:p>
            <w:pPr>
              <w:spacing w:after="0"/>
              <w:rPr>
                <w:sz w:val="1"/>
                <w:szCs w:val="1"/>
                <w:color w:val="auto"/>
              </w:rPr>
            </w:pPr>
          </w:p>
        </w:tc>
      </w:tr>
      <w:tr>
        <w:trPr>
          <w:trHeight w:val="149"/>
        </w:trPr>
        <w:tc>
          <w:tcPr>
            <w:tcW w:w="23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540" w:type="dxa"/>
            <w:vAlign w:val="bottom"/>
            <w:vMerge w:val="restart"/>
          </w:tcPr>
          <w:p>
            <w:pPr>
              <w:jc w:val="right"/>
              <w:ind w:right="88"/>
              <w:spacing w:after="0"/>
              <w:rPr>
                <w:sz w:val="20"/>
                <w:szCs w:val="20"/>
                <w:color w:val="auto"/>
              </w:rPr>
            </w:pPr>
            <w:r>
              <w:rPr>
                <w:rFonts w:ascii="Arial" w:cs="Arial" w:eastAsia="Arial" w:hAnsi="Arial"/>
                <w:sz w:val="14"/>
                <w:szCs w:val="14"/>
                <w:b w:val="1"/>
                <w:bCs w:val="1"/>
                <w:color w:val="auto"/>
              </w:rPr>
              <w:t>Total</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tcPr>
          <w:p>
            <w:pPr>
              <w:jc w:val="center"/>
              <w:ind w:right="29"/>
              <w:spacing w:after="0" w:line="149" w:lineRule="exact"/>
              <w:rPr>
                <w:sz w:val="20"/>
                <w:szCs w:val="20"/>
                <w:color w:val="auto"/>
              </w:rPr>
            </w:pPr>
            <w:r>
              <w:rPr>
                <w:rFonts w:ascii="Arial" w:cs="Arial" w:eastAsia="Arial" w:hAnsi="Arial"/>
                <w:sz w:val="14"/>
                <w:szCs w:val="14"/>
                <w:b w:val="1"/>
                <w:bCs w:val="1"/>
                <w:color w:val="auto"/>
                <w:w w:val="82"/>
              </w:rPr>
              <w:t>Assets</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80" w:type="dxa"/>
            <w:vAlign w:val="bottom"/>
            <w:gridSpan w:val="2"/>
            <w:vMerge w:val="continue"/>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380" w:type="dxa"/>
            <w:vAlign w:val="bottom"/>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780" w:type="dxa"/>
            <w:vAlign w:val="bottom"/>
          </w:tcPr>
          <w:p>
            <w:pPr>
              <w:spacing w:after="0"/>
              <w:rPr>
                <w:sz w:val="14"/>
                <w:szCs w:val="14"/>
                <w:color w:val="auto"/>
              </w:rPr>
            </w:pPr>
          </w:p>
        </w:tc>
        <w:tc>
          <w:tcPr>
            <w:tcW w:w="54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20" w:type="dxa"/>
            <w:vAlign w:val="bottom"/>
          </w:tcPr>
          <w:p>
            <w:pPr>
              <w:jc w:val="center"/>
              <w:ind w:right="29"/>
              <w:spacing w:after="0"/>
              <w:rPr>
                <w:sz w:val="20"/>
                <w:szCs w:val="20"/>
                <w:color w:val="auto"/>
              </w:rPr>
            </w:pPr>
            <w:r>
              <w:rPr>
                <w:rFonts w:ascii="Arial" w:cs="Arial" w:eastAsia="Arial" w:hAnsi="Arial"/>
                <w:sz w:val="14"/>
                <w:szCs w:val="14"/>
                <w:b w:val="1"/>
                <w:bCs w:val="1"/>
                <w:color w:val="auto"/>
                <w:w w:val="94"/>
              </w:rPr>
              <w:t>(Level 1)</w:t>
            </w: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8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4"/>
              </w:rPr>
              <w:t>(Level 2)</w:t>
            </w:r>
          </w:p>
        </w:tc>
        <w:tc>
          <w:tcPr>
            <w:tcW w:w="80" w:type="dxa"/>
            <w:vAlign w:val="bottom"/>
          </w:tcPr>
          <w:p>
            <w:pPr>
              <w:spacing w:after="0"/>
              <w:rPr>
                <w:sz w:val="14"/>
                <w:szCs w:val="14"/>
                <w:color w:val="auto"/>
              </w:rPr>
            </w:pPr>
          </w:p>
        </w:tc>
        <w:tc>
          <w:tcPr>
            <w:tcW w:w="80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4"/>
              </w:rPr>
              <w:t>(Level 3)</w:t>
            </w:r>
          </w:p>
        </w:tc>
        <w:tc>
          <w:tcPr>
            <w:tcW w:w="0" w:type="dxa"/>
            <w:vAlign w:val="bottom"/>
          </w:tcPr>
          <w:p>
            <w:pPr>
              <w:spacing w:after="0"/>
              <w:rPr>
                <w:sz w:val="1"/>
                <w:szCs w:val="1"/>
                <w:color w:val="auto"/>
              </w:rPr>
            </w:pPr>
          </w:p>
        </w:tc>
      </w:tr>
      <w:tr>
        <w:trPr>
          <w:trHeight w:val="414"/>
        </w:trPr>
        <w:tc>
          <w:tcPr>
            <w:tcW w:w="2380" w:type="dxa"/>
            <w:vAlign w:val="bottom"/>
          </w:tcPr>
          <w:p>
            <w:pPr>
              <w:spacing w:after="0"/>
              <w:rPr>
                <w:sz w:val="20"/>
                <w:szCs w:val="20"/>
                <w:color w:val="auto"/>
              </w:rPr>
            </w:pPr>
            <w:r>
              <w:rPr>
                <w:rFonts w:ascii="Arial" w:cs="Arial" w:eastAsia="Arial" w:hAnsi="Arial"/>
                <w:sz w:val="14"/>
                <w:szCs w:val="14"/>
                <w:b w:val="1"/>
                <w:bCs w:val="1"/>
                <w:color w:val="auto"/>
              </w:rPr>
              <w:t>Asset category</w:t>
            </w:r>
          </w:p>
        </w:tc>
        <w:tc>
          <w:tcPr>
            <w:tcW w:w="780" w:type="dxa"/>
            <w:vAlign w:val="bottom"/>
          </w:tcPr>
          <w:p>
            <w:pPr>
              <w:spacing w:after="0"/>
              <w:rPr>
                <w:sz w:val="24"/>
                <w:szCs w:val="24"/>
                <w:color w:val="auto"/>
              </w:rPr>
            </w:pPr>
          </w:p>
        </w:tc>
        <w:tc>
          <w:tcPr>
            <w:tcW w:w="540" w:type="dxa"/>
            <w:vAlign w:val="bottom"/>
            <w:tcBorders>
              <w:top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720" w:type="dxa"/>
            <w:vAlign w:val="bottom"/>
            <w:tcBorders>
              <w:top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620" w:type="dxa"/>
            <w:vAlign w:val="bottom"/>
            <w:tcBorders>
              <w:top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760" w:type="dxa"/>
            <w:vAlign w:val="bottom"/>
            <w:tcBorders>
              <w:top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8"/>
        </w:trPr>
        <w:tc>
          <w:tcPr>
            <w:tcW w:w="2380" w:type="dxa"/>
            <w:vAlign w:val="bottom"/>
          </w:tcPr>
          <w:p>
            <w:pPr>
              <w:spacing w:after="0"/>
              <w:rPr>
                <w:sz w:val="20"/>
                <w:szCs w:val="20"/>
                <w:color w:val="auto"/>
              </w:rPr>
            </w:pPr>
            <w:r>
              <w:rPr>
                <w:rFonts w:ascii="Arial" w:cs="Arial" w:eastAsia="Arial" w:hAnsi="Arial"/>
                <w:sz w:val="14"/>
                <w:szCs w:val="14"/>
                <w:color w:val="auto"/>
              </w:rPr>
              <w:t>Individual securities</w:t>
            </w:r>
          </w:p>
        </w:tc>
        <w:tc>
          <w:tcPr>
            <w:tcW w:w="78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2380" w:type="dxa"/>
            <w:vAlign w:val="bottom"/>
            <w:shd w:val="clear" w:color="auto" w:fill="CCEEFF"/>
          </w:tcPr>
          <w:p>
            <w:pPr>
              <w:ind w:left="100"/>
              <w:spacing w:after="0"/>
              <w:rPr>
                <w:sz w:val="20"/>
                <w:szCs w:val="20"/>
                <w:color w:val="auto"/>
              </w:rPr>
            </w:pPr>
            <w:r>
              <w:rPr>
                <w:rFonts w:ascii="Arial" w:cs="Arial" w:eastAsia="Arial" w:hAnsi="Arial"/>
                <w:sz w:val="14"/>
                <w:szCs w:val="14"/>
                <w:color w:val="auto"/>
              </w:rPr>
              <w:t>Fixed income</w:t>
            </w:r>
          </w:p>
        </w:tc>
        <w:tc>
          <w:tcPr>
            <w:tcW w:w="78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1,628</w:t>
            </w:r>
          </w:p>
        </w:tc>
        <w:tc>
          <w:tcPr>
            <w:tcW w:w="240" w:type="dxa"/>
            <w:vAlign w:val="bottom"/>
            <w:gridSpan w:val="2"/>
            <w:shd w:val="clear" w:color="auto" w:fill="CCEEFF"/>
          </w:tcPr>
          <w:p>
            <w:pPr>
              <w:ind w:left="140"/>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1,628</w:t>
            </w: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76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380" w:type="dxa"/>
            <w:vAlign w:val="bottom"/>
          </w:tcPr>
          <w:p>
            <w:pPr>
              <w:spacing w:after="0"/>
              <w:rPr>
                <w:sz w:val="20"/>
                <w:szCs w:val="20"/>
                <w:color w:val="auto"/>
              </w:rPr>
            </w:pPr>
            <w:r>
              <w:rPr>
                <w:rFonts w:ascii="Arial" w:cs="Arial" w:eastAsia="Arial" w:hAnsi="Arial"/>
                <w:sz w:val="14"/>
                <w:szCs w:val="14"/>
                <w:color w:val="auto"/>
              </w:rPr>
              <w:t>Commingled funds</w:t>
            </w:r>
          </w:p>
        </w:tc>
        <w:tc>
          <w:tcPr>
            <w:tcW w:w="7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380" w:type="dxa"/>
            <w:vAlign w:val="bottom"/>
            <w:shd w:val="clear" w:color="auto" w:fill="CCEEFF"/>
          </w:tcPr>
          <w:p>
            <w:pPr>
              <w:ind w:left="100"/>
              <w:spacing w:after="0"/>
              <w:rPr>
                <w:sz w:val="20"/>
                <w:szCs w:val="20"/>
                <w:color w:val="auto"/>
              </w:rPr>
            </w:pPr>
            <w:r>
              <w:rPr>
                <w:rFonts w:ascii="Arial" w:cs="Arial" w:eastAsia="Arial" w:hAnsi="Arial"/>
                <w:sz w:val="14"/>
                <w:szCs w:val="14"/>
                <w:color w:val="auto"/>
              </w:rPr>
              <w:t>Measured at net asset value</w:t>
            </w:r>
          </w:p>
        </w:tc>
        <w:tc>
          <w:tcPr>
            <w:tcW w:w="780" w:type="dxa"/>
            <w:vAlign w:val="bottom"/>
            <w:tcBorders>
              <w:right w:val="single" w:sz="8" w:color="CCEEFF"/>
            </w:tcBorders>
            <w:shd w:val="clear" w:color="auto" w:fill="CCEEFF"/>
          </w:tcPr>
          <w:p>
            <w:pPr>
              <w:spacing w:after="0"/>
              <w:rPr>
                <w:sz w:val="17"/>
                <w:szCs w:val="17"/>
                <w:color w:val="auto"/>
              </w:rPr>
            </w:pPr>
          </w:p>
        </w:tc>
        <w:tc>
          <w:tcPr>
            <w:tcW w:w="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90"/>
              </w:rPr>
              <w:t>204,801</w:t>
            </w:r>
          </w:p>
        </w:tc>
        <w:tc>
          <w:tcPr>
            <w:tcW w:w="140" w:type="dxa"/>
            <w:vAlign w:val="bottom"/>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720" w:type="dxa"/>
            <w:vAlign w:val="bottom"/>
            <w:tcBorders>
              <w:bottom w:val="single" w:sz="8" w:color="auto"/>
            </w:tcBorders>
            <w:shd w:val="clear" w:color="auto" w:fill="CCEEFF"/>
          </w:tcPr>
          <w:p>
            <w:pPr>
              <w:jc w:val="right"/>
              <w:ind w:right="69"/>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spacing w:after="0"/>
              <w:rPr>
                <w:sz w:val="17"/>
                <w:szCs w:val="17"/>
                <w:color w:val="auto"/>
              </w:rPr>
            </w:pPr>
          </w:p>
        </w:tc>
        <w:tc>
          <w:tcPr>
            <w:tcW w:w="6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spacing w:after="0"/>
              <w:rPr>
                <w:sz w:val="17"/>
                <w:szCs w:val="17"/>
                <w:color w:val="auto"/>
              </w:rPr>
            </w:pPr>
          </w:p>
        </w:tc>
        <w:tc>
          <w:tcPr>
            <w:tcW w:w="76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69"/>
        </w:trPr>
        <w:tc>
          <w:tcPr>
            <w:tcW w:w="238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w:t>
            </w:r>
          </w:p>
        </w:tc>
        <w:tc>
          <w:tcPr>
            <w:tcW w:w="540" w:type="dxa"/>
            <w:vAlign w:val="bottom"/>
          </w:tcPr>
          <w:p>
            <w:pPr>
              <w:jc w:val="right"/>
              <w:spacing w:after="0"/>
              <w:rPr>
                <w:sz w:val="20"/>
                <w:szCs w:val="20"/>
                <w:color w:val="auto"/>
              </w:rPr>
            </w:pPr>
            <w:r>
              <w:rPr>
                <w:rFonts w:ascii="Arial" w:cs="Arial" w:eastAsia="Arial" w:hAnsi="Arial"/>
                <w:sz w:val="14"/>
                <w:szCs w:val="14"/>
                <w:color w:val="auto"/>
                <w:w w:val="90"/>
              </w:rPr>
              <w:t>206,429</w:t>
            </w:r>
          </w:p>
        </w:tc>
        <w:tc>
          <w:tcPr>
            <w:tcW w:w="240" w:type="dxa"/>
            <w:vAlign w:val="bottom"/>
            <w:gridSpan w:val="2"/>
          </w:tcPr>
          <w:p>
            <w:pPr>
              <w:ind w:left="140"/>
              <w:spacing w:after="0"/>
              <w:rPr>
                <w:sz w:val="20"/>
                <w:szCs w:val="20"/>
                <w:color w:val="auto"/>
              </w:rPr>
            </w:pPr>
            <w:r>
              <w:rPr>
                <w:rFonts w:ascii="Arial" w:cs="Arial" w:eastAsia="Arial" w:hAnsi="Arial"/>
                <w:sz w:val="14"/>
                <w:szCs w:val="14"/>
                <w:color w:val="auto"/>
              </w:rPr>
              <w:t>$</w:t>
            </w:r>
          </w:p>
        </w:tc>
        <w:tc>
          <w:tcPr>
            <w:tcW w:w="720" w:type="dxa"/>
            <w:vAlign w:val="bottom"/>
          </w:tcPr>
          <w:p>
            <w:pPr>
              <w:jc w:val="right"/>
              <w:ind w:right="69"/>
              <w:spacing w:after="0"/>
              <w:rPr>
                <w:sz w:val="20"/>
                <w:szCs w:val="20"/>
                <w:color w:val="auto"/>
              </w:rPr>
            </w:pPr>
            <w:r>
              <w:rPr>
                <w:rFonts w:ascii="Arial" w:cs="Arial" w:eastAsia="Arial" w:hAnsi="Arial"/>
                <w:sz w:val="14"/>
                <w:szCs w:val="14"/>
                <w:color w:val="auto"/>
              </w:rPr>
              <w:t>-</w:t>
            </w:r>
          </w:p>
        </w:tc>
        <w:tc>
          <w:tcPr>
            <w:tcW w:w="2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620" w:type="dxa"/>
            <w:vAlign w:val="bottom"/>
          </w:tcPr>
          <w:p>
            <w:pPr>
              <w:jc w:val="right"/>
              <w:spacing w:after="0"/>
              <w:rPr>
                <w:sz w:val="20"/>
                <w:szCs w:val="20"/>
                <w:color w:val="auto"/>
              </w:rPr>
            </w:pPr>
            <w:r>
              <w:rPr>
                <w:rFonts w:ascii="Arial" w:cs="Arial" w:eastAsia="Arial" w:hAnsi="Arial"/>
                <w:sz w:val="14"/>
                <w:szCs w:val="14"/>
                <w:color w:val="auto"/>
              </w:rPr>
              <w:t>1,628</w:t>
            </w:r>
          </w:p>
        </w:tc>
        <w:tc>
          <w:tcPr>
            <w:tcW w:w="160" w:type="dxa"/>
            <w:vAlign w:val="bottom"/>
          </w:tcPr>
          <w:p>
            <w:pPr>
              <w:spacing w:after="0"/>
              <w:rPr>
                <w:sz w:val="14"/>
                <w:szCs w:val="14"/>
                <w:color w:val="auto"/>
              </w:rPr>
            </w:pP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76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7"/>
        </w:trPr>
        <w:tc>
          <w:tcPr>
            <w:tcW w:w="2380" w:type="dxa"/>
            <w:vAlign w:val="bottom"/>
          </w:tcPr>
          <w:p>
            <w:pPr>
              <w:spacing w:after="0"/>
              <w:rPr>
                <w:sz w:val="2"/>
                <w:szCs w:val="2"/>
                <w:color w:val="auto"/>
              </w:rPr>
            </w:pPr>
          </w:p>
        </w:tc>
        <w:tc>
          <w:tcPr>
            <w:tcW w:w="780" w:type="dxa"/>
            <w:vAlign w:val="bottom"/>
            <w:tcBorders>
              <w:right w:val="single" w:sz="8" w:color="auto"/>
            </w:tcBorders>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1240" w:right="1279" w:firstLine="648"/>
        <w:spacing w:after="0" w:line="270" w:lineRule="auto"/>
        <w:rPr>
          <w:sz w:val="20"/>
          <w:szCs w:val="20"/>
          <w:color w:val="auto"/>
        </w:rPr>
      </w:pPr>
      <w:r>
        <w:rPr>
          <w:rFonts w:ascii="Arial" w:cs="Arial" w:eastAsia="Arial" w:hAnsi="Arial"/>
          <w:sz w:val="17"/>
          <w:szCs w:val="17"/>
          <w:color w:val="auto"/>
        </w:rPr>
        <w:t>Pension assets include fixed income securities and commingled funds. Fixed income securities are valued at daily closing prices or institutional mid-evaluation prices provided by independent industry-recognized pricing sources. Commingled funds are not traded in active markets with quoted prices and as a result, are valued using the net asset values provided by the administrator of the fund. The investments underlying the net asset values are based on quoted prices traded in active markets. In accordance with ASU 2015-07, “Fair Value Measurement: Disclosures for Investments in Certain Entities that Calculate Net Asset Value per Share (or Its Equivalent)”, the Company has elected the practical expedient to exclude assets measured at net asset value from the fair value hierarchy.</w:t>
      </w:r>
    </w:p>
    <w:p>
      <w:pPr>
        <w:spacing w:after="0" w:line="178" w:lineRule="exact"/>
        <w:rPr>
          <w:sz w:val="20"/>
          <w:szCs w:val="20"/>
          <w:color w:val="auto"/>
        </w:rPr>
      </w:pPr>
    </w:p>
    <w:p>
      <w:pPr>
        <w:jc w:val="both"/>
        <w:ind w:left="1240" w:right="1419" w:firstLine="648"/>
        <w:spacing w:after="0" w:line="276" w:lineRule="auto"/>
        <w:rPr>
          <w:sz w:val="20"/>
          <w:szCs w:val="20"/>
          <w:color w:val="auto"/>
        </w:rPr>
      </w:pPr>
      <w:r>
        <w:rPr>
          <w:rFonts w:ascii="Arial" w:cs="Arial" w:eastAsia="Arial" w:hAnsi="Arial"/>
          <w:sz w:val="17"/>
          <w:szCs w:val="17"/>
          <w:color w:val="auto"/>
        </w:rPr>
        <w:t>The Company's investment strategy is to optimize investment returns through a diversified portfolio of investments, taking into consideration underlying plan liabilities and asset volatility. Asset allocations are based on the underlying liability structure and local regulations. All retirement asset allocations are reviewed periodically to ensure the allocation meets the needs of the liability structure.</w:t>
      </w:r>
    </w:p>
    <w:p>
      <w:pPr>
        <w:spacing w:after="0" w:line="173" w:lineRule="exact"/>
        <w:rPr>
          <w:sz w:val="20"/>
          <w:szCs w:val="20"/>
          <w:color w:val="auto"/>
        </w:rPr>
      </w:pPr>
    </w:p>
    <w:p>
      <w:pPr>
        <w:ind w:left="1240" w:right="1319" w:firstLine="648"/>
        <w:spacing w:after="0" w:line="255" w:lineRule="auto"/>
        <w:rPr>
          <w:sz w:val="20"/>
          <w:szCs w:val="20"/>
          <w:color w:val="auto"/>
        </w:rPr>
      </w:pPr>
      <w:r>
        <w:rPr>
          <w:rFonts w:ascii="Arial" w:cs="Arial" w:eastAsia="Arial" w:hAnsi="Arial"/>
          <w:sz w:val="18"/>
          <w:szCs w:val="18"/>
          <w:color w:val="auto"/>
        </w:rPr>
        <w:t>Master trusts were established to hold the assets of the Company's U.S. defined benefit plans. During the years ended December 31, 2017 and 2016, the U.S. defined benefit plan asset allocation of these trusts targeted a return-seeking investment allocation of 64% to 76% and a liability-hedging investment allocation of 24% to 36%. Return-seeking investments include equities, real estate, high yield bonds and other instruments. Liability-hedging investments include assets such as corporate and government fixed income securities.</w:t>
      </w:r>
    </w:p>
    <w:p>
      <w:pPr>
        <w:spacing w:after="0" w:line="189" w:lineRule="exact"/>
        <w:rPr>
          <w:sz w:val="20"/>
          <w:szCs w:val="20"/>
          <w:color w:val="auto"/>
        </w:rPr>
      </w:pPr>
    </w:p>
    <w:p>
      <w:pPr>
        <w:ind w:left="1240" w:right="1259" w:firstLine="648"/>
        <w:spacing w:after="0" w:line="264" w:lineRule="auto"/>
        <w:rPr>
          <w:sz w:val="20"/>
          <w:szCs w:val="20"/>
          <w:color w:val="auto"/>
        </w:rPr>
      </w:pPr>
      <w:r>
        <w:rPr>
          <w:rFonts w:ascii="Arial" w:cs="Arial" w:eastAsia="Arial" w:hAnsi="Arial"/>
          <w:sz w:val="18"/>
          <w:szCs w:val="18"/>
          <w:color w:val="auto"/>
        </w:rPr>
        <w:t>The Company's future expected blended long-term rate of return on plan assets of 5.77% is determined based on long-term historical performance of plan assets, current asset allocation, and projected long-term rates of return.</w:t>
      </w:r>
    </w:p>
    <w:p>
      <w:pPr>
        <w:spacing w:after="0" w:line="3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786765</wp:posOffset>
            </wp:positionH>
            <wp:positionV relativeFrom="paragraph">
              <wp:posOffset>83185</wp:posOffset>
            </wp:positionV>
            <wp:extent cx="4159250" cy="2603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62">
                      <a:extLst>
                        <a:ext uri="{28A0092B-C50C-407E-A947-70E740481C1C}"/>
                      </a:extLst>
                    </a:blip>
                    <a:srcRect/>
                    <a:stretch>
                      <a:fillRect/>
                    </a:stretch>
                  </pic:blipFill>
                  <pic:spPr bwMode="auto">
                    <a:xfrm>
                      <a:off x="0" y="0"/>
                      <a:ext cx="415925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127" w:name="page128"/>
    <w:bookmarkEnd w:id="127"/>
    <w:p>
      <w:pPr>
        <w:ind w:left="124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Estimated Contributions</w:t>
      </w:r>
    </w:p>
    <w:p>
      <w:pPr>
        <w:spacing w:after="0" w:line="229" w:lineRule="exact"/>
        <w:rPr>
          <w:sz w:val="20"/>
          <w:szCs w:val="20"/>
          <w:color w:val="auto"/>
        </w:rPr>
      </w:pPr>
    </w:p>
    <w:p>
      <w:pPr>
        <w:ind w:left="1880"/>
        <w:spacing w:after="0"/>
        <w:rPr>
          <w:sz w:val="20"/>
          <w:szCs w:val="20"/>
          <w:color w:val="auto"/>
        </w:rPr>
      </w:pPr>
      <w:r>
        <w:rPr>
          <w:rFonts w:ascii="Arial" w:cs="Arial" w:eastAsia="Arial" w:hAnsi="Arial"/>
          <w:sz w:val="18"/>
          <w:szCs w:val="18"/>
          <w:color w:val="auto"/>
        </w:rPr>
        <w:t>The Company expects to make pension contributions of approximately</w:t>
      </w:r>
    </w:p>
    <w:p>
      <w:pPr>
        <w:spacing w:after="0" w:line="23" w:lineRule="exact"/>
        <w:rPr>
          <w:sz w:val="20"/>
          <w:szCs w:val="20"/>
          <w:color w:val="auto"/>
        </w:rPr>
      </w:pPr>
    </w:p>
    <w:p>
      <w:pPr>
        <w:ind w:left="1240"/>
        <w:spacing w:after="0"/>
        <w:rPr>
          <w:sz w:val="20"/>
          <w:szCs w:val="20"/>
          <w:color w:val="auto"/>
        </w:rPr>
      </w:pPr>
      <w:r>
        <w:rPr>
          <w:rFonts w:ascii="Arial" w:cs="Arial" w:eastAsia="Arial" w:hAnsi="Arial"/>
          <w:sz w:val="17"/>
          <w:szCs w:val="17"/>
          <w:color w:val="auto"/>
        </w:rPr>
        <w:t>$40.9 million during 2018 based on current assumptions as of December 31, 2017.</w:t>
      </w:r>
    </w:p>
    <w:p>
      <w:pPr>
        <w:spacing w:after="0" w:line="218"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Estimated Future Retirement Benefit Payments</w:t>
      </w:r>
    </w:p>
    <w:p>
      <w:pPr>
        <w:spacing w:after="0" w:line="229" w:lineRule="exact"/>
        <w:rPr>
          <w:sz w:val="20"/>
          <w:szCs w:val="20"/>
          <w:color w:val="auto"/>
        </w:rPr>
      </w:pPr>
    </w:p>
    <w:p>
      <w:pPr>
        <w:ind w:left="1240" w:right="1259" w:firstLine="648"/>
        <w:spacing w:after="0" w:line="277" w:lineRule="auto"/>
        <w:rPr>
          <w:sz w:val="20"/>
          <w:szCs w:val="20"/>
          <w:color w:val="auto"/>
        </w:rPr>
      </w:pPr>
      <w:r>
        <w:rPr>
          <w:rFonts w:ascii="Arial" w:cs="Arial" w:eastAsia="Arial" w:hAnsi="Arial"/>
          <w:sz w:val="18"/>
          <w:szCs w:val="18"/>
          <w:color w:val="auto"/>
        </w:rPr>
        <w:t>The following retirement benefit payments, which reflect expected future service, are expected to be paid as follows:</w:t>
      </w:r>
    </w:p>
    <w:p>
      <w:pPr>
        <w:spacing w:after="0" w:line="177" w:lineRule="exact"/>
        <w:rPr>
          <w:sz w:val="20"/>
          <w:szCs w:val="20"/>
          <w:color w:val="auto"/>
        </w:rPr>
      </w:pPr>
    </w:p>
    <w:tbl>
      <w:tblPr>
        <w:tblLayout w:type="fixed"/>
        <w:tblInd w:w="12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220" w:type="dxa"/>
            <w:vAlign w:val="bottom"/>
          </w:tcPr>
          <w:p>
            <w:pPr>
              <w:spacing w:after="0"/>
              <w:rPr>
                <w:sz w:val="14"/>
                <w:szCs w:val="14"/>
                <w:color w:val="auto"/>
              </w:rPr>
            </w:pPr>
          </w:p>
        </w:tc>
        <w:tc>
          <w:tcPr>
            <w:tcW w:w="14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20" w:type="dxa"/>
            <w:vAlign w:val="bottom"/>
            <w:gridSpan w:val="2"/>
          </w:tcPr>
          <w:p>
            <w:pPr>
              <w:ind w:left="40"/>
              <w:spacing w:after="0"/>
              <w:rPr>
                <w:sz w:val="20"/>
                <w:szCs w:val="20"/>
                <w:color w:val="auto"/>
              </w:rPr>
            </w:pPr>
            <w:r>
              <w:rPr>
                <w:rFonts w:ascii="Arial" w:cs="Arial" w:eastAsia="Arial" w:hAnsi="Arial"/>
                <w:sz w:val="14"/>
                <w:szCs w:val="14"/>
                <w:b w:val="1"/>
                <w:bCs w:val="1"/>
                <w:color w:val="auto"/>
              </w:rPr>
              <w:t>Pension</w:t>
            </w:r>
          </w:p>
        </w:tc>
        <w:tc>
          <w:tcPr>
            <w:tcW w:w="960" w:type="dxa"/>
            <w:vAlign w:val="bottom"/>
            <w:gridSpan w:val="4"/>
          </w:tcPr>
          <w:p>
            <w:pPr>
              <w:spacing w:after="0"/>
              <w:rPr>
                <w:sz w:val="20"/>
                <w:szCs w:val="20"/>
                <w:color w:val="auto"/>
              </w:rPr>
            </w:pPr>
            <w:r>
              <w:rPr>
                <w:rFonts w:ascii="Arial" w:cs="Arial" w:eastAsia="Arial" w:hAnsi="Arial"/>
                <w:sz w:val="14"/>
                <w:szCs w:val="14"/>
                <w:b w:val="1"/>
                <w:bCs w:val="1"/>
                <w:color w:val="auto"/>
                <w:w w:val="95"/>
              </w:rPr>
              <w:t>Postretirement</w:t>
            </w:r>
          </w:p>
        </w:tc>
        <w:tc>
          <w:tcPr>
            <w:tcW w:w="0" w:type="dxa"/>
            <w:vAlign w:val="bottom"/>
          </w:tcPr>
          <w:p>
            <w:pPr>
              <w:spacing w:after="0"/>
              <w:rPr>
                <w:sz w:val="1"/>
                <w:szCs w:val="1"/>
                <w:color w:val="auto"/>
              </w:rPr>
            </w:pPr>
          </w:p>
        </w:tc>
      </w:tr>
      <w:tr>
        <w:trPr>
          <w:trHeight w:val="171"/>
        </w:trPr>
        <w:tc>
          <w:tcPr>
            <w:tcW w:w="3240" w:type="dxa"/>
            <w:vAlign w:val="bottom"/>
            <w:gridSpan w:val="2"/>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14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20" w:type="dxa"/>
            <w:vAlign w:val="bottom"/>
            <w:gridSpan w:val="2"/>
          </w:tcPr>
          <w:p>
            <w:pPr>
              <w:ind w:left="40"/>
              <w:spacing w:after="0"/>
              <w:rPr>
                <w:sz w:val="20"/>
                <w:szCs w:val="20"/>
                <w:color w:val="auto"/>
              </w:rPr>
            </w:pPr>
            <w:r>
              <w:rPr>
                <w:rFonts w:ascii="Arial" w:cs="Arial" w:eastAsia="Arial" w:hAnsi="Arial"/>
                <w:sz w:val="14"/>
                <w:szCs w:val="14"/>
                <w:b w:val="1"/>
                <w:bCs w:val="1"/>
                <w:color w:val="auto"/>
              </w:rPr>
              <w:t>Benefits</w:t>
            </w: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20" w:type="dxa"/>
            <w:vAlign w:val="bottom"/>
            <w:gridSpan w:val="2"/>
          </w:tcPr>
          <w:p>
            <w:pPr>
              <w:ind w:left="60"/>
              <w:spacing w:after="0"/>
              <w:rPr>
                <w:sz w:val="20"/>
                <w:szCs w:val="20"/>
                <w:color w:val="auto"/>
              </w:rPr>
            </w:pPr>
            <w:r>
              <w:rPr>
                <w:rFonts w:ascii="Arial" w:cs="Arial" w:eastAsia="Arial" w:hAnsi="Arial"/>
                <w:sz w:val="14"/>
                <w:szCs w:val="14"/>
                <w:b w:val="1"/>
                <w:bCs w:val="1"/>
                <w:color w:val="auto"/>
              </w:rPr>
              <w:t>Benefits</w:t>
            </w:r>
          </w:p>
        </w:tc>
        <w:tc>
          <w:tcPr>
            <w:tcW w:w="0" w:type="dxa"/>
            <w:vAlign w:val="bottom"/>
          </w:tcPr>
          <w:p>
            <w:pPr>
              <w:spacing w:after="0"/>
              <w:rPr>
                <w:sz w:val="1"/>
                <w:szCs w:val="1"/>
                <w:color w:val="auto"/>
              </w:rPr>
            </w:pPr>
          </w:p>
        </w:tc>
      </w:tr>
      <w:tr>
        <w:trPr>
          <w:trHeight w:val="196"/>
        </w:trPr>
        <w:tc>
          <w:tcPr>
            <w:tcW w:w="20" w:type="dxa"/>
            <w:vAlign w:val="bottom"/>
            <w:vMerge w:val="restart"/>
          </w:tcPr>
          <w:p>
            <w:pPr>
              <w:spacing w:after="0"/>
              <w:rPr>
                <w:sz w:val="17"/>
                <w:szCs w:val="17"/>
                <w:color w:val="auto"/>
              </w:rPr>
            </w:pPr>
          </w:p>
        </w:tc>
        <w:tc>
          <w:tcPr>
            <w:tcW w:w="3220" w:type="dxa"/>
            <w:vAlign w:val="bottom"/>
          </w:tcPr>
          <w:p>
            <w:pPr>
              <w:spacing w:after="0"/>
              <w:rPr>
                <w:sz w:val="17"/>
                <w:szCs w:val="17"/>
                <w:color w:val="auto"/>
              </w:rPr>
            </w:pPr>
          </w:p>
        </w:tc>
        <w:tc>
          <w:tcPr>
            <w:tcW w:w="144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680" w:type="dxa"/>
            <w:vAlign w:val="bottom"/>
            <w:tcBorders>
              <w:top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760" w:type="dxa"/>
            <w:vAlign w:val="bottom"/>
            <w:tcBorders>
              <w:top w:val="single" w:sz="8" w:color="auto"/>
            </w:tcBorders>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322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Year ending December 31,</w:t>
            </w:r>
          </w:p>
        </w:tc>
        <w:tc>
          <w:tcPr>
            <w:tcW w:w="14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220" w:type="dxa"/>
            <w:vAlign w:val="bottom"/>
          </w:tcPr>
          <w:p>
            <w:pPr>
              <w:spacing w:after="0"/>
              <w:rPr>
                <w:sz w:val="20"/>
                <w:szCs w:val="20"/>
                <w:color w:val="auto"/>
              </w:rPr>
            </w:pPr>
            <w:r>
              <w:rPr>
                <w:rFonts w:ascii="Arial" w:cs="Arial" w:eastAsia="Arial" w:hAnsi="Arial"/>
                <w:sz w:val="16"/>
                <w:szCs w:val="16"/>
                <w:color w:val="auto"/>
              </w:rPr>
              <w:t>2018</w:t>
            </w:r>
          </w:p>
        </w:tc>
        <w:tc>
          <w:tcPr>
            <w:tcW w:w="154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680" w:type="dxa"/>
            <w:vAlign w:val="bottom"/>
          </w:tcPr>
          <w:p>
            <w:pPr>
              <w:jc w:val="right"/>
              <w:spacing w:after="0"/>
              <w:rPr>
                <w:sz w:val="20"/>
                <w:szCs w:val="20"/>
                <w:color w:val="auto"/>
              </w:rPr>
            </w:pPr>
            <w:r>
              <w:rPr>
                <w:rFonts w:ascii="Arial" w:cs="Arial" w:eastAsia="Arial" w:hAnsi="Arial"/>
                <w:sz w:val="16"/>
                <w:szCs w:val="16"/>
                <w:color w:val="auto"/>
              </w:rPr>
              <w:t>36,506</w:t>
            </w:r>
          </w:p>
        </w:tc>
        <w:tc>
          <w:tcPr>
            <w:tcW w:w="140" w:type="dxa"/>
            <w:vAlign w:val="bottom"/>
          </w:tcPr>
          <w:p>
            <w:pPr>
              <w:spacing w:after="0"/>
              <w:rPr>
                <w:sz w:val="17"/>
                <w:szCs w:val="17"/>
                <w:color w:val="auto"/>
              </w:rPr>
            </w:pPr>
          </w:p>
        </w:tc>
        <w:tc>
          <w:tcPr>
            <w:tcW w:w="140" w:type="dxa"/>
            <w:vAlign w:val="bottom"/>
            <w:gridSpan w:val="2"/>
          </w:tcPr>
          <w:p>
            <w:pPr>
              <w:spacing w:after="0"/>
              <w:rPr>
                <w:sz w:val="20"/>
                <w:szCs w:val="20"/>
                <w:color w:val="auto"/>
              </w:rPr>
            </w:pPr>
            <w:r>
              <w:rPr>
                <w:rFonts w:ascii="Arial" w:cs="Arial" w:eastAsia="Arial" w:hAnsi="Arial"/>
                <w:sz w:val="16"/>
                <w:szCs w:val="16"/>
                <w:color w:val="auto"/>
              </w:rPr>
              <w:t>$</w:t>
            </w:r>
          </w:p>
        </w:tc>
        <w:tc>
          <w:tcPr>
            <w:tcW w:w="760" w:type="dxa"/>
            <w:vAlign w:val="bottom"/>
          </w:tcPr>
          <w:p>
            <w:pPr>
              <w:jc w:val="right"/>
              <w:spacing w:after="0"/>
              <w:rPr>
                <w:sz w:val="20"/>
                <w:szCs w:val="20"/>
                <w:color w:val="auto"/>
              </w:rPr>
            </w:pPr>
            <w:r>
              <w:rPr>
                <w:rFonts w:ascii="Arial" w:cs="Arial" w:eastAsia="Arial" w:hAnsi="Arial"/>
                <w:sz w:val="16"/>
                <w:szCs w:val="16"/>
                <w:color w:val="auto"/>
              </w:rPr>
              <w:t>748</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220" w:type="dxa"/>
            <w:vAlign w:val="bottom"/>
            <w:shd w:val="clear" w:color="auto" w:fill="CCEEFF"/>
          </w:tcPr>
          <w:p>
            <w:pPr>
              <w:spacing w:after="0"/>
              <w:rPr>
                <w:sz w:val="20"/>
                <w:szCs w:val="20"/>
                <w:color w:val="auto"/>
              </w:rPr>
            </w:pPr>
            <w:r>
              <w:rPr>
                <w:rFonts w:ascii="Arial" w:cs="Arial" w:eastAsia="Arial" w:hAnsi="Arial"/>
                <w:sz w:val="16"/>
                <w:szCs w:val="16"/>
                <w:color w:val="auto"/>
              </w:rPr>
              <w:t>2019</w:t>
            </w:r>
          </w:p>
        </w:tc>
        <w:tc>
          <w:tcPr>
            <w:tcW w:w="14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20,544</w:t>
            </w:r>
          </w:p>
        </w:tc>
        <w:tc>
          <w:tcPr>
            <w:tcW w:w="1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828</w:t>
            </w: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220" w:type="dxa"/>
            <w:vAlign w:val="bottom"/>
          </w:tcPr>
          <w:p>
            <w:pPr>
              <w:spacing w:after="0"/>
              <w:rPr>
                <w:sz w:val="20"/>
                <w:szCs w:val="20"/>
                <w:color w:val="auto"/>
              </w:rPr>
            </w:pPr>
            <w:r>
              <w:rPr>
                <w:rFonts w:ascii="Arial" w:cs="Arial" w:eastAsia="Arial" w:hAnsi="Arial"/>
                <w:sz w:val="16"/>
                <w:szCs w:val="16"/>
                <w:color w:val="auto"/>
              </w:rPr>
              <w:t>2020</w:t>
            </w:r>
          </w:p>
        </w:tc>
        <w:tc>
          <w:tcPr>
            <w:tcW w:w="14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22,103</w:t>
            </w: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943</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220" w:type="dxa"/>
            <w:vAlign w:val="bottom"/>
            <w:shd w:val="clear" w:color="auto" w:fill="CCEEFF"/>
          </w:tcPr>
          <w:p>
            <w:pPr>
              <w:spacing w:after="0"/>
              <w:rPr>
                <w:sz w:val="20"/>
                <w:szCs w:val="20"/>
                <w:color w:val="auto"/>
              </w:rPr>
            </w:pPr>
            <w:r>
              <w:rPr>
                <w:rFonts w:ascii="Arial" w:cs="Arial" w:eastAsia="Arial" w:hAnsi="Arial"/>
                <w:sz w:val="16"/>
                <w:szCs w:val="16"/>
                <w:color w:val="auto"/>
              </w:rPr>
              <w:t>2021</w:t>
            </w:r>
          </w:p>
        </w:tc>
        <w:tc>
          <w:tcPr>
            <w:tcW w:w="14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23,751</w:t>
            </w:r>
          </w:p>
        </w:tc>
        <w:tc>
          <w:tcPr>
            <w:tcW w:w="1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1,078</w:t>
            </w: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220" w:type="dxa"/>
            <w:vAlign w:val="bottom"/>
          </w:tcPr>
          <w:p>
            <w:pPr>
              <w:spacing w:after="0"/>
              <w:rPr>
                <w:sz w:val="20"/>
                <w:szCs w:val="20"/>
                <w:color w:val="auto"/>
              </w:rPr>
            </w:pPr>
            <w:r>
              <w:rPr>
                <w:rFonts w:ascii="Arial" w:cs="Arial" w:eastAsia="Arial" w:hAnsi="Arial"/>
                <w:sz w:val="16"/>
                <w:szCs w:val="16"/>
                <w:color w:val="auto"/>
              </w:rPr>
              <w:t>2022</w:t>
            </w:r>
          </w:p>
        </w:tc>
        <w:tc>
          <w:tcPr>
            <w:tcW w:w="14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24,511</w:t>
            </w: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1,214</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220" w:type="dxa"/>
            <w:vAlign w:val="bottom"/>
            <w:shd w:val="clear" w:color="auto" w:fill="CCEEFF"/>
          </w:tcPr>
          <w:p>
            <w:pPr>
              <w:spacing w:after="0"/>
              <w:rPr>
                <w:sz w:val="20"/>
                <w:szCs w:val="20"/>
                <w:color w:val="auto"/>
              </w:rPr>
            </w:pPr>
            <w:r>
              <w:rPr>
                <w:rFonts w:ascii="Arial" w:cs="Arial" w:eastAsia="Arial" w:hAnsi="Arial"/>
                <w:sz w:val="16"/>
                <w:szCs w:val="16"/>
                <w:color w:val="auto"/>
              </w:rPr>
              <w:t>Thereafter</w:t>
            </w:r>
          </w:p>
        </w:tc>
        <w:tc>
          <w:tcPr>
            <w:tcW w:w="1440" w:type="dxa"/>
            <w:vAlign w:val="bottom"/>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138,204</w:t>
            </w:r>
          </w:p>
        </w:tc>
        <w:tc>
          <w:tcPr>
            <w:tcW w:w="1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7,096</w:t>
            </w: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220" w:type="dxa"/>
            <w:vAlign w:val="bottom"/>
          </w:tcPr>
          <w:p>
            <w:pPr>
              <w:spacing w:after="0"/>
              <w:rPr>
                <w:sz w:val="17"/>
                <w:szCs w:val="17"/>
                <w:color w:val="auto"/>
              </w:rPr>
            </w:pPr>
          </w:p>
        </w:tc>
        <w:tc>
          <w:tcPr>
            <w:tcW w:w="1440" w:type="dxa"/>
            <w:vAlign w:val="bottom"/>
          </w:tcPr>
          <w:p>
            <w:pPr>
              <w:spacing w:after="0"/>
              <w:rPr>
                <w:sz w:val="17"/>
                <w:szCs w:val="17"/>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265,619</w:t>
            </w:r>
          </w:p>
        </w:tc>
        <w:tc>
          <w:tcPr>
            <w:tcW w:w="140" w:type="dxa"/>
            <w:vAlign w:val="bottom"/>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20"/>
                <w:szCs w:val="20"/>
                <w:color w:val="auto"/>
              </w:rPr>
            </w:pPr>
            <w:r>
              <w:rPr>
                <w:rFonts w:ascii="Arial" w:cs="Arial" w:eastAsia="Arial" w:hAnsi="Arial"/>
                <w:sz w:val="16"/>
                <w:szCs w:val="16"/>
                <w:color w:val="auto"/>
              </w:rPr>
              <w:t>$</w:t>
            </w: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11,907</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1240" w:right="1339" w:firstLine="648"/>
        <w:spacing w:after="0" w:line="259" w:lineRule="auto"/>
        <w:rPr>
          <w:sz w:val="20"/>
          <w:szCs w:val="20"/>
          <w:color w:val="auto"/>
        </w:rPr>
      </w:pPr>
      <w:r>
        <w:rPr>
          <w:rFonts w:ascii="Arial" w:cs="Arial" w:eastAsia="Arial" w:hAnsi="Arial"/>
          <w:sz w:val="18"/>
          <w:szCs w:val="18"/>
          <w:color w:val="auto"/>
        </w:rPr>
        <w:t>The estimated future retirement benefit payments noted above are estimates and could change significantly based on differences between actuarial assumptions and actual events and decisions related to lump sum distribution options that are available to participants in certain plans.</w:t>
      </w:r>
    </w:p>
    <w:p>
      <w:pPr>
        <w:spacing w:after="0" w:line="183"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International Plans</w:t>
      </w:r>
    </w:p>
    <w:p>
      <w:pPr>
        <w:spacing w:after="0" w:line="229" w:lineRule="exact"/>
        <w:rPr>
          <w:sz w:val="20"/>
          <w:szCs w:val="20"/>
          <w:color w:val="auto"/>
        </w:rPr>
      </w:pPr>
    </w:p>
    <w:p>
      <w:pPr>
        <w:ind w:left="1240" w:right="1279" w:firstLine="648"/>
        <w:spacing w:after="0" w:line="285" w:lineRule="auto"/>
        <w:rPr>
          <w:sz w:val="20"/>
          <w:szCs w:val="20"/>
          <w:color w:val="auto"/>
        </w:rPr>
      </w:pPr>
      <w:r>
        <w:rPr>
          <w:rFonts w:ascii="Arial" w:cs="Arial" w:eastAsia="Arial" w:hAnsi="Arial"/>
          <w:sz w:val="16"/>
          <w:szCs w:val="16"/>
          <w:color w:val="auto"/>
        </w:rPr>
        <w:t>Pension coverage for employees of the Company's international subsidiaries is provided, to the extent deemed appropriate, through separate defined benefit plans. The international pension plans are included in the tables above. As of December 31, 2017 and 2016, the defined benefit plans had total projected benefit obligations of $53.6 million and $54.4 million, respectively, and fair values of plan assets of $53.6 million and</w:t>
      </w:r>
    </w:p>
    <w:p>
      <w:pPr>
        <w:spacing w:after="0" w:line="2" w:lineRule="exact"/>
        <w:rPr>
          <w:sz w:val="20"/>
          <w:szCs w:val="20"/>
          <w:color w:val="auto"/>
        </w:rPr>
      </w:pPr>
    </w:p>
    <w:p>
      <w:pPr>
        <w:ind w:left="1240" w:right="1299"/>
        <w:spacing w:after="0" w:line="292" w:lineRule="auto"/>
        <w:rPr>
          <w:sz w:val="20"/>
          <w:szCs w:val="20"/>
          <w:color w:val="auto"/>
        </w:rPr>
      </w:pPr>
      <w:r>
        <w:rPr>
          <w:rFonts w:ascii="Arial" w:cs="Arial" w:eastAsia="Arial" w:hAnsi="Arial"/>
          <w:sz w:val="16"/>
          <w:szCs w:val="16"/>
          <w:color w:val="auto"/>
        </w:rPr>
        <w:t>$47.6 million, respectively. The majority of the plan assets are invested in equity securities. The pension expense related to these plans was $0.9 million, $1.0 million and $0.9 million for the years ended December 31, 2017, 2016 and 2015, respectively. The expected actuarial loss that will be amortized from accumulated other comprehensive income (loss) into net periodic benefit cost in the next fiscal year is less than $0.1 million.</w:t>
      </w:r>
    </w:p>
    <w:p>
      <w:pPr>
        <w:spacing w:after="0" w:line="159"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Defined Contribution Plans</w:t>
      </w:r>
    </w:p>
    <w:p>
      <w:pPr>
        <w:spacing w:after="0" w:line="229" w:lineRule="exact"/>
        <w:rPr>
          <w:sz w:val="20"/>
          <w:szCs w:val="20"/>
          <w:color w:val="auto"/>
        </w:rPr>
      </w:pPr>
    </w:p>
    <w:p>
      <w:pPr>
        <w:ind w:left="1240" w:right="1239" w:firstLine="648"/>
        <w:spacing w:after="0" w:line="259" w:lineRule="auto"/>
        <w:rPr>
          <w:sz w:val="20"/>
          <w:szCs w:val="20"/>
          <w:color w:val="auto"/>
        </w:rPr>
      </w:pPr>
      <w:r>
        <w:rPr>
          <w:rFonts w:ascii="Arial" w:cs="Arial" w:eastAsia="Arial" w:hAnsi="Arial"/>
          <w:sz w:val="18"/>
          <w:szCs w:val="18"/>
          <w:color w:val="auto"/>
        </w:rPr>
        <w:t>The Company sponsors a number of defined contribution plans. Contributions are determined under various formulas. Cash contributions related to these plans amounted to $13.8 million, $13.0 million and $9.4 million for the years ended December 31, 2017, 2016 and 2015, respectively.</w:t>
      </w:r>
    </w:p>
    <w:p>
      <w:pPr>
        <w:spacing w:after="0" w:line="183"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13. Income Taxes</w:t>
      </w:r>
    </w:p>
    <w:p>
      <w:pPr>
        <w:spacing w:after="0" w:line="229" w:lineRule="exact"/>
        <w:rPr>
          <w:sz w:val="20"/>
          <w:szCs w:val="20"/>
          <w:color w:val="auto"/>
        </w:rPr>
      </w:pPr>
    </w:p>
    <w:p>
      <w:pPr>
        <w:ind w:left="1240" w:right="1259" w:firstLine="648"/>
        <w:spacing w:after="0" w:line="269" w:lineRule="auto"/>
        <w:rPr>
          <w:sz w:val="20"/>
          <w:szCs w:val="20"/>
          <w:color w:val="auto"/>
        </w:rPr>
      </w:pPr>
      <w:r>
        <w:rPr>
          <w:rFonts w:ascii="Arial" w:cs="Arial" w:eastAsia="Arial" w:hAnsi="Arial"/>
          <w:sz w:val="17"/>
          <w:szCs w:val="17"/>
          <w:color w:val="auto"/>
        </w:rPr>
        <w:t>On December 22, 2017, the U.S. enacted tax reform legislation, commonly referred to as the U.S. Tax Cuts and Jobs Act of 2017 (the “2017 Tax Act”). The 2017 Tax Act reduces the U.S. federal corporate tax rate from 35% to 21%, requires companies to pay a one-time transition tax on earnings of certain foreign subsidiaries that were previously tax deferred, and creates new taxes on certain foreign sourced earnings. On December 22, 2017, the Securities and Exchange Commission issued guidance under Staff Accounting Bulletin No. 118, Income Tax Accounting Implications of the Tax Cuts and Jobs Act (“SAB 118”) directing taxpayers to consider the impact of the U.S. legislation as “provisional” when it does not have the necessary information available, prepared or analyzed (including computations) in reasonable detail to complete its accounting for the change in tax law.</w:t>
      </w:r>
    </w:p>
    <w:p>
      <w:pPr>
        <w:spacing w:after="0" w:line="183" w:lineRule="exact"/>
        <w:rPr>
          <w:sz w:val="20"/>
          <w:szCs w:val="20"/>
          <w:color w:val="auto"/>
        </w:rPr>
      </w:pPr>
    </w:p>
    <w:p>
      <w:pPr>
        <w:ind w:left="1240" w:right="1399" w:firstLine="648"/>
        <w:spacing w:after="0" w:line="257" w:lineRule="auto"/>
        <w:rPr>
          <w:sz w:val="20"/>
          <w:szCs w:val="20"/>
          <w:color w:val="auto"/>
        </w:rPr>
      </w:pPr>
      <w:r>
        <w:rPr>
          <w:rFonts w:ascii="Arial" w:cs="Arial" w:eastAsia="Arial" w:hAnsi="Arial"/>
          <w:sz w:val="18"/>
          <w:szCs w:val="18"/>
          <w:color w:val="auto"/>
        </w:rPr>
        <w:t>At December 31, 2017, the Company has not finalized the accounting for the Federal and State tax effects of enactment of the Act; however, as described below, the Company has made a reasonable estimate of the effects on its existing deferred tax balances and the one-time transition tax. The Company recognized a provisional amount of $14.0</w:t>
      </w:r>
    </w:p>
    <w:p>
      <w:pPr>
        <w:spacing w:after="0" w:line="200" w:lineRule="exact"/>
        <w:rPr>
          <w:sz w:val="20"/>
          <w:szCs w:val="20"/>
          <w:color w:val="auto"/>
        </w:rPr>
      </w:pPr>
    </w:p>
    <w:p>
      <w:pPr>
        <w:spacing w:after="0" w:line="204"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F-32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786765</wp:posOffset>
            </wp:positionH>
            <wp:positionV relativeFrom="paragraph">
              <wp:posOffset>83185</wp:posOffset>
            </wp:positionV>
            <wp:extent cx="4159250" cy="2603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63">
                      <a:extLst>
                        <a:ext uri="{28A0092B-C50C-407E-A947-70E740481C1C}"/>
                      </a:extLst>
                    </a:blip>
                    <a:srcRect/>
                    <a:stretch>
                      <a:fillRect/>
                    </a:stretch>
                  </pic:blipFill>
                  <pic:spPr bwMode="auto">
                    <a:xfrm>
                      <a:off x="0" y="0"/>
                      <a:ext cx="4159250" cy="26035"/>
                    </a:xfrm>
                    <a:prstGeom prst="rect">
                      <a:avLst/>
                    </a:prstGeom>
                    <a:noFill/>
                  </pic:spPr>
                </pic:pic>
              </a:graphicData>
            </a:graphic>
          </wp:anchor>
        </w:drawing>
      </w:r>
    </w:p>
    <w:p>
      <w:pPr>
        <w:sectPr>
          <w:pgSz w:w="11900" w:h="16838" w:orient="portrait"/>
          <w:cols w:equalWidth="0" w:num="1">
            <w:col w:w="9019"/>
          </w:cols>
          <w:pgMar w:left="1440" w:top="125" w:right="1440" w:bottom="667" w:gutter="0" w:footer="0" w:header="0"/>
        </w:sectPr>
      </w:pPr>
    </w:p>
    <w:bookmarkStart w:id="128" w:name="page129"/>
    <w:bookmarkEnd w:id="128"/>
    <w:p>
      <w:pPr>
        <w:ind w:left="124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1240" w:right="1219"/>
        <w:spacing w:after="0" w:line="297" w:lineRule="auto"/>
        <w:rPr>
          <w:sz w:val="20"/>
          <w:szCs w:val="20"/>
          <w:color w:val="auto"/>
        </w:rPr>
      </w:pPr>
      <w:r>
        <w:rPr>
          <w:rFonts w:ascii="Arial" w:cs="Arial" w:eastAsia="Arial" w:hAnsi="Arial"/>
          <w:sz w:val="16"/>
          <w:szCs w:val="16"/>
          <w:color w:val="auto"/>
        </w:rPr>
        <w:t>million as a reasonable estimate of the impact of the provisions of the 2017 Tax Act, which is included as a component of income tax expense from continuing operations. In all cases, the Company will continue to make and refine its calculations as additional analysis is completed. In addition, the estimates may also be affected as the Company gains a more thorough understanding of the new tax law as incremental guidance becomes available.</w:t>
      </w:r>
    </w:p>
    <w:p>
      <w:pPr>
        <w:spacing w:after="0" w:line="158" w:lineRule="exact"/>
        <w:rPr>
          <w:sz w:val="20"/>
          <w:szCs w:val="20"/>
          <w:color w:val="auto"/>
        </w:rPr>
      </w:pPr>
    </w:p>
    <w:p>
      <w:pPr>
        <w:ind w:left="1240"/>
        <w:spacing w:after="0"/>
        <w:rPr>
          <w:sz w:val="20"/>
          <w:szCs w:val="20"/>
          <w:color w:val="auto"/>
        </w:rPr>
      </w:pPr>
      <w:r>
        <w:rPr>
          <w:rFonts w:ascii="Arial" w:cs="Arial" w:eastAsia="Arial" w:hAnsi="Arial"/>
          <w:sz w:val="18"/>
          <w:szCs w:val="18"/>
          <w:i w:val="1"/>
          <w:iCs w:val="1"/>
          <w:u w:val="single" w:color="auto"/>
          <w:color w:val="auto"/>
        </w:rPr>
        <w:t>Provisional amounts</w:t>
      </w:r>
    </w:p>
    <w:p>
      <w:pPr>
        <w:spacing w:after="0" w:line="225" w:lineRule="exact"/>
        <w:rPr>
          <w:sz w:val="20"/>
          <w:szCs w:val="20"/>
          <w:color w:val="auto"/>
        </w:rPr>
      </w:pPr>
    </w:p>
    <w:p>
      <w:pPr>
        <w:ind w:left="1240" w:right="1239" w:firstLine="648"/>
        <w:spacing w:after="0" w:line="270" w:lineRule="auto"/>
        <w:rPr>
          <w:sz w:val="20"/>
          <w:szCs w:val="20"/>
          <w:color w:val="auto"/>
        </w:rPr>
      </w:pPr>
      <w:r>
        <w:rPr>
          <w:rFonts w:ascii="Arial" w:cs="Arial" w:eastAsia="Arial" w:hAnsi="Arial"/>
          <w:sz w:val="17"/>
          <w:szCs w:val="17"/>
          <w:u w:val="single" w:color="auto"/>
          <w:color w:val="auto"/>
        </w:rPr>
        <w:t>Deferred tax assets and liabilities</w:t>
      </w:r>
      <w:r>
        <w:rPr>
          <w:rFonts w:ascii="Arial" w:cs="Arial" w:eastAsia="Arial" w:hAnsi="Arial"/>
          <w:sz w:val="17"/>
          <w:szCs w:val="17"/>
          <w:color w:val="auto"/>
        </w:rPr>
        <w:t>: The Company remeasured its U.S. deferred tax assets and liabilities based upon the rates at which they are expected to reverse in the future, which is generally 21%. However, the Company is still analyzing certain aspects of the 2017 Tax Act and refining its calculations, which could potentially affect the measurement of these balances or potentially give rise to changes in deferred tax amounts. As the Company continues to analyze the 2017 Tax Act and refine its calculations it could give rise to changes in the assessment of the realizability of certain deferred tax assets, including foreign tax credit carryforwards. The provisional tax expense amount recorded related to the remeasurement of the Company’s deferred tax balances was $10.2 million.</w:t>
      </w:r>
    </w:p>
    <w:p>
      <w:pPr>
        <w:spacing w:after="0" w:line="178" w:lineRule="exact"/>
        <w:rPr>
          <w:sz w:val="20"/>
          <w:szCs w:val="20"/>
          <w:color w:val="auto"/>
        </w:rPr>
      </w:pPr>
    </w:p>
    <w:p>
      <w:pPr>
        <w:ind w:left="1240" w:right="1259" w:firstLine="648"/>
        <w:spacing w:after="0" w:line="269" w:lineRule="auto"/>
        <w:rPr>
          <w:sz w:val="20"/>
          <w:szCs w:val="20"/>
          <w:color w:val="auto"/>
        </w:rPr>
      </w:pPr>
      <w:r>
        <w:rPr>
          <w:rFonts w:ascii="Arial" w:cs="Arial" w:eastAsia="Arial" w:hAnsi="Arial"/>
          <w:sz w:val="17"/>
          <w:szCs w:val="17"/>
          <w:u w:val="single" w:color="auto"/>
          <w:color w:val="auto"/>
        </w:rPr>
        <w:t>Foreign tax effects</w:t>
      </w:r>
      <w:r>
        <w:rPr>
          <w:rFonts w:ascii="Arial" w:cs="Arial" w:eastAsia="Arial" w:hAnsi="Arial"/>
          <w:sz w:val="17"/>
          <w:szCs w:val="17"/>
          <w:color w:val="auto"/>
        </w:rPr>
        <w:t>: The one-time transition tax is based on the Company’s total unremitted post-1986 earnings and profits (E&amp;P). The Company recorded a provisional increase to income tax expense of $8.6 million for the one-time transition tax liability for its foreign subsidiaries. This increase included tax on foreign income of $23.8 million, partially offset by a related benefit of foreign tax credits of $15.2 million. As the Company has sufficient existing tax attributes available to fully offset the transition tax liability there will be no cash tax impact to the Company. The Company has not yet completed its calculation of the total post-1986 E&amp;P for its foreign subsidiaries or the tax pools of the foreign subsidiaries. Further, the transition tax is based in part on the amount of those earnings held in cash and other specified assets. This amount may change when the Company finalizes the calculation of post-1986 foreign E&amp;P and finalizes the amounts held in cash or other specified assets.</w:t>
      </w:r>
    </w:p>
    <w:p>
      <w:pPr>
        <w:spacing w:after="0" w:line="112" w:lineRule="exact"/>
        <w:rPr>
          <w:sz w:val="20"/>
          <w:szCs w:val="20"/>
          <w:color w:val="auto"/>
        </w:rPr>
      </w:pPr>
    </w:p>
    <w:p>
      <w:pPr>
        <w:ind w:left="1240" w:right="1339" w:firstLine="648"/>
        <w:spacing w:after="0" w:line="269" w:lineRule="auto"/>
        <w:rPr>
          <w:sz w:val="20"/>
          <w:szCs w:val="20"/>
          <w:color w:val="auto"/>
        </w:rPr>
      </w:pPr>
      <w:r>
        <w:rPr>
          <w:rFonts w:ascii="Arial" w:cs="Arial" w:eastAsia="Arial" w:hAnsi="Arial"/>
          <w:sz w:val="17"/>
          <w:szCs w:val="17"/>
          <w:color w:val="auto"/>
        </w:rPr>
        <w:t>The Company has determined that its undistributed earnings for most of its foreign subsidiaries are not permanently reinvested. The change in the tax law impacted the Company’s deferred taxes provided on unremitted earnings. The Company had previously recorded a $4.8 million deferred tax liability on those unremitted foreign earnings, which were taxed in the current year as part of the transition tax. The Company does not believe that any additional outside basis differences exist as of December 31, 2017, however, determining the amount of unrecognized deferred tax liability related to any remaining undistributed foreign earnings not subject to the transition tax (i.e., basis difference in excess of that subject to the one-time transition tax) is not currently estimable. The Company has provided for withholding taxes on all unremitted earnings, as required.</w:t>
      </w:r>
    </w:p>
    <w:p>
      <w:pPr>
        <w:spacing w:after="0" w:line="102" w:lineRule="exact"/>
        <w:rPr>
          <w:sz w:val="20"/>
          <w:szCs w:val="20"/>
          <w:color w:val="auto"/>
        </w:rPr>
      </w:pPr>
    </w:p>
    <w:p>
      <w:pPr>
        <w:ind w:left="1920"/>
        <w:spacing w:after="0"/>
        <w:rPr>
          <w:sz w:val="20"/>
          <w:szCs w:val="20"/>
          <w:color w:val="auto"/>
        </w:rPr>
      </w:pPr>
      <w:r>
        <w:rPr>
          <w:rFonts w:ascii="Arial" w:cs="Arial" w:eastAsia="Arial" w:hAnsi="Arial"/>
          <w:sz w:val="18"/>
          <w:szCs w:val="18"/>
          <w:color w:val="auto"/>
        </w:rPr>
        <w:t>The components of income before income taxes were as follows:</w:t>
      </w:r>
    </w:p>
    <w:p>
      <w:pPr>
        <w:spacing w:after="0" w:line="284" w:lineRule="exact"/>
        <w:rPr>
          <w:sz w:val="20"/>
          <w:szCs w:val="20"/>
          <w:color w:val="auto"/>
        </w:rPr>
      </w:pPr>
    </w:p>
    <w:tbl>
      <w:tblPr>
        <w:tblLayout w:type="fixed"/>
        <w:tblInd w:w="1240" w:type="dxa"/>
        <w:tblCellMar>
          <w:top w:w="0" w:type="dxa"/>
          <w:left w:w="0" w:type="dxa"/>
          <w:bottom w:w="0" w:type="dxa"/>
          <w:right w:w="0" w:type="dxa"/>
        </w:tblCellMar>
      </w:tblPr>
      <w:tr>
        <w:trPr>
          <w:trHeight w:val="171"/>
        </w:trPr>
        <w:tc>
          <w:tcPr>
            <w:tcW w:w="3280" w:type="dxa"/>
            <w:vAlign w:val="bottom"/>
            <w:gridSpan w:val="2"/>
            <w:vMerge w:val="restart"/>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9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280" w:type="dxa"/>
            <w:vAlign w:val="bottom"/>
            <w:gridSpan w:val="8"/>
          </w:tcPr>
          <w:p>
            <w:pPr>
              <w:ind w:left="280"/>
              <w:spacing w:after="0"/>
              <w:rPr>
                <w:sz w:val="20"/>
                <w:szCs w:val="20"/>
                <w:color w:val="auto"/>
              </w:rPr>
            </w:pPr>
            <w:r>
              <w:rPr>
                <w:rFonts w:ascii="Arial" w:cs="Arial" w:eastAsia="Arial" w:hAnsi="Arial"/>
                <w:sz w:val="14"/>
                <w:szCs w:val="14"/>
                <w:b w:val="1"/>
                <w:bCs w:val="1"/>
                <w:color w:val="auto"/>
              </w:rPr>
              <w:t>Year ended December 31,</w:t>
            </w:r>
          </w:p>
        </w:tc>
        <w:tc>
          <w:tcPr>
            <w:tcW w:w="0" w:type="dxa"/>
            <w:vAlign w:val="bottom"/>
          </w:tcPr>
          <w:p>
            <w:pPr>
              <w:spacing w:after="0"/>
              <w:rPr>
                <w:sz w:val="1"/>
                <w:szCs w:val="1"/>
                <w:color w:val="auto"/>
              </w:rPr>
            </w:pPr>
          </w:p>
        </w:tc>
      </w:tr>
      <w:tr>
        <w:trPr>
          <w:trHeight w:val="142"/>
        </w:trPr>
        <w:tc>
          <w:tcPr>
            <w:tcW w:w="3280" w:type="dxa"/>
            <w:vAlign w:val="bottom"/>
            <w:gridSpan w:val="2"/>
            <w:vMerge w:val="continue"/>
          </w:tcPr>
          <w:p>
            <w:pPr>
              <w:spacing w:after="0"/>
              <w:rPr>
                <w:sz w:val="12"/>
                <w:szCs w:val="12"/>
                <w:color w:val="auto"/>
              </w:rPr>
            </w:pPr>
          </w:p>
        </w:tc>
        <w:tc>
          <w:tcPr>
            <w:tcW w:w="90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600" w:type="dxa"/>
            <w:vAlign w:val="bottom"/>
            <w:tcBorders>
              <w:top w:val="single" w:sz="8" w:color="auto"/>
              <w:bottom w:val="single" w:sz="8" w:color="auto"/>
            </w:tcBorders>
          </w:tcPr>
          <w:p>
            <w:pPr>
              <w:jc w:val="right"/>
              <w:ind w:right="123"/>
              <w:spacing w:after="0" w:line="142" w:lineRule="exact"/>
              <w:rPr>
                <w:sz w:val="20"/>
                <w:szCs w:val="20"/>
                <w:color w:val="auto"/>
              </w:rPr>
            </w:pPr>
            <w:r>
              <w:rPr>
                <w:rFonts w:ascii="Arial" w:cs="Arial" w:eastAsia="Arial" w:hAnsi="Arial"/>
                <w:sz w:val="14"/>
                <w:szCs w:val="14"/>
                <w:b w:val="1"/>
                <w:bCs w:val="1"/>
                <w:color w:val="auto"/>
              </w:rPr>
              <w:t>2017</w:t>
            </w:r>
          </w:p>
        </w:tc>
        <w:tc>
          <w:tcPr>
            <w:tcW w:w="140" w:type="dxa"/>
            <w:vAlign w:val="bottom"/>
            <w:tcBorders>
              <w:top w:val="single" w:sz="8" w:color="auto"/>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560" w:type="dxa"/>
            <w:vAlign w:val="bottom"/>
            <w:tcBorders>
              <w:top w:val="single" w:sz="8" w:color="auto"/>
              <w:bottom w:val="single" w:sz="8" w:color="auto"/>
            </w:tcBorders>
          </w:tcPr>
          <w:p>
            <w:pPr>
              <w:jc w:val="right"/>
              <w:ind w:right="121"/>
              <w:spacing w:after="0" w:line="142" w:lineRule="exact"/>
              <w:rPr>
                <w:sz w:val="20"/>
                <w:szCs w:val="20"/>
                <w:color w:val="auto"/>
              </w:rPr>
            </w:pPr>
            <w:r>
              <w:rPr>
                <w:rFonts w:ascii="Arial" w:cs="Arial" w:eastAsia="Arial" w:hAnsi="Arial"/>
                <w:sz w:val="14"/>
                <w:szCs w:val="14"/>
                <w:b w:val="1"/>
                <w:bCs w:val="1"/>
                <w:color w:val="auto"/>
              </w:rPr>
              <w:t>2016</w:t>
            </w:r>
          </w:p>
        </w:tc>
        <w:tc>
          <w:tcPr>
            <w:tcW w:w="140" w:type="dxa"/>
            <w:vAlign w:val="bottom"/>
            <w:tcBorders>
              <w:top w:val="single" w:sz="8" w:color="auto"/>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580" w:type="dxa"/>
            <w:vAlign w:val="bottom"/>
            <w:tcBorders>
              <w:top w:val="single" w:sz="8" w:color="auto"/>
              <w:bottom w:val="single" w:sz="8" w:color="auto"/>
            </w:tcBorders>
          </w:tcPr>
          <w:p>
            <w:pPr>
              <w:jc w:val="right"/>
              <w:ind w:right="121"/>
              <w:spacing w:after="0" w:line="142" w:lineRule="exact"/>
              <w:rPr>
                <w:sz w:val="20"/>
                <w:szCs w:val="20"/>
                <w:color w:val="auto"/>
              </w:rPr>
            </w:pPr>
            <w:r>
              <w:rPr>
                <w:rFonts w:ascii="Arial" w:cs="Arial" w:eastAsia="Arial" w:hAnsi="Arial"/>
                <w:sz w:val="14"/>
                <w:szCs w:val="14"/>
                <w:b w:val="1"/>
                <w:bCs w:val="1"/>
                <w:color w:val="auto"/>
              </w:rPr>
              <w:t>2015</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20" w:type="dxa"/>
            <w:vAlign w:val="bottom"/>
            <w:vMerge w:val="restart"/>
          </w:tcPr>
          <w:p>
            <w:pPr>
              <w:spacing w:after="0"/>
              <w:rPr>
                <w:sz w:val="17"/>
                <w:szCs w:val="17"/>
                <w:color w:val="auto"/>
              </w:rPr>
            </w:pPr>
          </w:p>
        </w:tc>
        <w:tc>
          <w:tcPr>
            <w:tcW w:w="326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3260" w:type="dxa"/>
            <w:vAlign w:val="bottom"/>
            <w:shd w:val="clear" w:color="auto" w:fill="CCEEFF"/>
          </w:tcPr>
          <w:p>
            <w:pPr>
              <w:spacing w:after="0"/>
              <w:rPr>
                <w:sz w:val="20"/>
                <w:szCs w:val="20"/>
                <w:color w:val="auto"/>
              </w:rPr>
            </w:pPr>
            <w:r>
              <w:rPr>
                <w:rFonts w:ascii="Arial" w:cs="Arial" w:eastAsia="Arial" w:hAnsi="Arial"/>
                <w:sz w:val="16"/>
                <w:szCs w:val="16"/>
                <w:color w:val="auto"/>
              </w:rPr>
              <w:t>Domestic operations</w:t>
            </w:r>
          </w:p>
        </w:tc>
        <w:tc>
          <w:tcPr>
            <w:tcW w:w="98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61,158</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(3,995)</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0"/>
              </w:rPr>
              <w:t>(48,544)</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260" w:type="dxa"/>
            <w:vAlign w:val="bottom"/>
            <w:tcBorders>
              <w:bottom w:val="single" w:sz="8" w:color="CCEEFF"/>
            </w:tcBorders>
          </w:tcPr>
          <w:p>
            <w:pPr>
              <w:spacing w:after="0"/>
              <w:rPr>
                <w:sz w:val="20"/>
                <w:szCs w:val="20"/>
                <w:color w:val="auto"/>
              </w:rPr>
            </w:pPr>
            <w:r>
              <w:rPr>
                <w:rFonts w:ascii="Arial" w:cs="Arial" w:eastAsia="Arial" w:hAnsi="Arial"/>
                <w:sz w:val="16"/>
                <w:szCs w:val="16"/>
                <w:color w:val="auto"/>
              </w:rPr>
              <w:t>Foreign operations</w:t>
            </w:r>
          </w:p>
        </w:tc>
        <w:tc>
          <w:tcPr>
            <w:tcW w:w="900" w:type="dxa"/>
            <w:vAlign w:val="bottom"/>
            <w:tcBorders>
              <w:bottom w:val="single" w:sz="8" w:color="CCEEFF"/>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90,518</w:t>
            </w:r>
          </w:p>
        </w:tc>
        <w:tc>
          <w:tcPr>
            <w:tcW w:w="14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98"/>
              </w:rPr>
              <w:t>93,217</w:t>
            </w:r>
          </w:p>
        </w:tc>
        <w:tc>
          <w:tcPr>
            <w:tcW w:w="14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80,694</w:t>
            </w:r>
          </w:p>
        </w:tc>
        <w:tc>
          <w:tcPr>
            <w:tcW w:w="40" w:type="dxa"/>
            <w:vAlign w:val="bottom"/>
            <w:tcBorders>
              <w:bottom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260" w:type="dxa"/>
            <w:vAlign w:val="bottom"/>
            <w:tcBorders>
              <w:bottom w:val="single" w:sz="8" w:color="CCEEFF"/>
            </w:tcBorders>
            <w:shd w:val="clear" w:color="auto" w:fill="CCEEFF"/>
          </w:tcPr>
          <w:p>
            <w:pPr>
              <w:ind w:left="520"/>
              <w:spacing w:after="0"/>
              <w:rPr>
                <w:sz w:val="20"/>
                <w:szCs w:val="20"/>
                <w:color w:val="auto"/>
              </w:rPr>
            </w:pPr>
            <w:r>
              <w:rPr>
                <w:rFonts w:ascii="Arial" w:cs="Arial" w:eastAsia="Arial" w:hAnsi="Arial"/>
                <w:sz w:val="16"/>
                <w:szCs w:val="16"/>
                <w:color w:val="auto"/>
              </w:rPr>
              <w:t>Income before income taxes</w:t>
            </w:r>
          </w:p>
        </w:tc>
        <w:tc>
          <w:tcPr>
            <w:tcW w:w="900" w:type="dxa"/>
            <w:vAlign w:val="bottom"/>
            <w:tcBorders>
              <w:bottom w:val="single" w:sz="8" w:color="CCEEFF"/>
            </w:tcBorders>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151,676</w:t>
            </w:r>
          </w:p>
        </w:tc>
        <w:tc>
          <w:tcPr>
            <w:tcW w:w="14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98"/>
              </w:rPr>
              <w:t>89,222</w:t>
            </w:r>
          </w:p>
        </w:tc>
        <w:tc>
          <w:tcPr>
            <w:tcW w:w="14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32,150</w:t>
            </w:r>
          </w:p>
        </w:tc>
        <w:tc>
          <w:tcPr>
            <w:tcW w:w="40" w:type="dxa"/>
            <w:vAlign w:val="bottom"/>
            <w:tcBorders>
              <w:bottom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1240" w:right="1459" w:firstLine="648"/>
        <w:spacing w:after="0" w:line="277" w:lineRule="auto"/>
        <w:rPr>
          <w:sz w:val="20"/>
          <w:szCs w:val="20"/>
          <w:color w:val="auto"/>
        </w:rPr>
      </w:pPr>
      <w:r>
        <w:rPr>
          <w:rFonts w:ascii="Arial" w:cs="Arial" w:eastAsia="Arial" w:hAnsi="Arial"/>
          <w:sz w:val="18"/>
          <w:szCs w:val="18"/>
          <w:color w:val="auto"/>
        </w:rPr>
        <w:t>Amounts reflected for 2016 and 2015 have been reclassified for consistency of presentation with 2017 amounts.</w:t>
      </w:r>
    </w:p>
    <w:p>
      <w:pPr>
        <w:spacing w:after="0" w:line="387"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F-33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786765</wp:posOffset>
            </wp:positionH>
            <wp:positionV relativeFrom="paragraph">
              <wp:posOffset>83185</wp:posOffset>
            </wp:positionV>
            <wp:extent cx="4159250" cy="26035"/>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64">
                      <a:extLst>
                        <a:ext uri="{28A0092B-C50C-407E-A947-70E740481C1C}"/>
                      </a:extLst>
                    </a:blip>
                    <a:srcRect/>
                    <a:stretch>
                      <a:fillRect/>
                    </a:stretch>
                  </pic:blipFill>
                  <pic:spPr bwMode="auto">
                    <a:xfrm>
                      <a:off x="0" y="0"/>
                      <a:ext cx="415925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129" w:name="page130"/>
    <w:bookmarkEnd w:id="129"/>
    <w:p>
      <w:pPr>
        <w:ind w:left="124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1240" w:right="1239" w:firstLine="648"/>
        <w:spacing w:after="0" w:line="277" w:lineRule="auto"/>
        <w:rPr>
          <w:sz w:val="20"/>
          <w:szCs w:val="20"/>
          <w:color w:val="auto"/>
        </w:rPr>
      </w:pPr>
      <w:r>
        <w:rPr>
          <w:rFonts w:ascii="Arial" w:cs="Arial" w:eastAsia="Arial" w:hAnsi="Arial"/>
          <w:sz w:val="18"/>
          <w:szCs w:val="18"/>
          <w:color w:val="auto"/>
        </w:rPr>
        <w:t>The following table represents a reconciliation of income taxes at the 35% federal statutory income tax rate to income tax expense as reported:</w:t>
      </w:r>
    </w:p>
    <w:p>
      <w:pPr>
        <w:spacing w:after="0" w:line="230" w:lineRule="exact"/>
        <w:rPr>
          <w:sz w:val="20"/>
          <w:szCs w:val="20"/>
          <w:color w:val="auto"/>
        </w:rPr>
      </w:pPr>
    </w:p>
    <w:tbl>
      <w:tblPr>
        <w:tblLayout w:type="fixed"/>
        <w:tblInd w:w="1240" w:type="dxa"/>
        <w:tblCellMar>
          <w:top w:w="0" w:type="dxa"/>
          <w:left w:w="0" w:type="dxa"/>
          <w:bottom w:w="0" w:type="dxa"/>
          <w:right w:w="0" w:type="dxa"/>
        </w:tblCellMar>
      </w:tblPr>
      <w:tr>
        <w:trPr>
          <w:trHeight w:val="171"/>
        </w:trPr>
        <w:tc>
          <w:tcPr>
            <w:tcW w:w="3480" w:type="dxa"/>
            <w:vAlign w:val="bottom"/>
            <w:gridSpan w:val="2"/>
            <w:vMerge w:val="restart"/>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20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100" w:type="dxa"/>
            <w:vAlign w:val="bottom"/>
            <w:tcBorders>
              <w:bottom w:val="single" w:sz="8" w:color="auto"/>
            </w:tcBorders>
            <w:gridSpan w:val="7"/>
          </w:tcPr>
          <w:p>
            <w:pPr>
              <w:jc w:val="right"/>
              <w:spacing w:after="0"/>
              <w:rPr>
                <w:sz w:val="20"/>
                <w:szCs w:val="20"/>
                <w:color w:val="auto"/>
              </w:rPr>
            </w:pPr>
            <w:r>
              <w:rPr>
                <w:rFonts w:ascii="Arial" w:cs="Arial" w:eastAsia="Arial" w:hAnsi="Arial"/>
                <w:sz w:val="14"/>
                <w:szCs w:val="14"/>
                <w:b w:val="1"/>
                <w:bCs w:val="1"/>
                <w:color w:val="auto"/>
              </w:rPr>
              <w:t>Year ended December 31,</w:t>
            </w:r>
          </w:p>
        </w:tc>
        <w:tc>
          <w:tcPr>
            <w:tcW w:w="54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3480" w:type="dxa"/>
            <w:vAlign w:val="bottom"/>
            <w:gridSpan w:val="2"/>
            <w:vMerge w:val="continue"/>
          </w:tcPr>
          <w:p>
            <w:pPr>
              <w:spacing w:after="0"/>
              <w:rPr>
                <w:sz w:val="12"/>
                <w:szCs w:val="12"/>
                <w:color w:val="auto"/>
              </w:rPr>
            </w:pPr>
          </w:p>
        </w:tc>
        <w:tc>
          <w:tcPr>
            <w:tcW w:w="20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580" w:type="dxa"/>
            <w:vAlign w:val="bottom"/>
            <w:tcBorders>
              <w:bottom w:val="single" w:sz="8" w:color="auto"/>
            </w:tcBorders>
          </w:tcPr>
          <w:p>
            <w:pPr>
              <w:jc w:val="right"/>
              <w:ind w:right="120"/>
              <w:spacing w:after="0" w:line="142" w:lineRule="exact"/>
              <w:rPr>
                <w:sz w:val="20"/>
                <w:szCs w:val="20"/>
                <w:color w:val="auto"/>
              </w:rPr>
            </w:pPr>
            <w:r>
              <w:rPr>
                <w:rFonts w:ascii="Arial" w:cs="Arial" w:eastAsia="Arial" w:hAnsi="Arial"/>
                <w:sz w:val="14"/>
                <w:szCs w:val="14"/>
                <w:b w:val="1"/>
                <w:bCs w:val="1"/>
                <w:color w:val="auto"/>
              </w:rPr>
              <w:t>2017</w:t>
            </w:r>
          </w:p>
        </w:tc>
        <w:tc>
          <w:tcPr>
            <w:tcW w:w="14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ind w:right="100"/>
              <w:spacing w:after="0" w:line="142" w:lineRule="exact"/>
              <w:rPr>
                <w:sz w:val="20"/>
                <w:szCs w:val="20"/>
                <w:color w:val="auto"/>
              </w:rPr>
            </w:pPr>
            <w:r>
              <w:rPr>
                <w:rFonts w:ascii="Arial" w:cs="Arial" w:eastAsia="Arial" w:hAnsi="Arial"/>
                <w:sz w:val="14"/>
                <w:szCs w:val="14"/>
                <w:b w:val="1"/>
                <w:bCs w:val="1"/>
                <w:color w:val="auto"/>
              </w:rPr>
              <w:t>2016</w:t>
            </w:r>
          </w:p>
        </w:tc>
        <w:tc>
          <w:tcPr>
            <w:tcW w:w="3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ind w:right="120"/>
              <w:spacing w:after="0" w:line="142" w:lineRule="exact"/>
              <w:rPr>
                <w:sz w:val="20"/>
                <w:szCs w:val="20"/>
                <w:color w:val="auto"/>
              </w:rPr>
            </w:pPr>
            <w:r>
              <w:rPr>
                <w:rFonts w:ascii="Arial" w:cs="Arial" w:eastAsia="Arial" w:hAnsi="Arial"/>
                <w:sz w:val="14"/>
                <w:szCs w:val="14"/>
                <w:b w:val="1"/>
                <w:bCs w:val="1"/>
                <w:color w:val="auto"/>
              </w:rPr>
              <w:t>2015</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20" w:type="dxa"/>
            <w:vAlign w:val="bottom"/>
            <w:vMerge w:val="restart"/>
          </w:tcPr>
          <w:p>
            <w:pPr>
              <w:spacing w:after="0"/>
              <w:rPr>
                <w:sz w:val="17"/>
                <w:szCs w:val="17"/>
                <w:color w:val="auto"/>
              </w:rPr>
            </w:pPr>
          </w:p>
        </w:tc>
        <w:tc>
          <w:tcPr>
            <w:tcW w:w="34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3"/>
        </w:trPr>
        <w:tc>
          <w:tcPr>
            <w:tcW w:w="20" w:type="dxa"/>
            <w:vAlign w:val="bottom"/>
            <w:vMerge w:val="continue"/>
          </w:tcPr>
          <w:p>
            <w:pPr>
              <w:spacing w:after="0"/>
              <w:rPr>
                <w:sz w:val="16"/>
                <w:szCs w:val="16"/>
                <w:color w:val="auto"/>
              </w:rPr>
            </w:pPr>
          </w:p>
        </w:tc>
        <w:tc>
          <w:tcPr>
            <w:tcW w:w="3460" w:type="dxa"/>
            <w:vAlign w:val="bottom"/>
            <w:shd w:val="clear" w:color="auto" w:fill="CCEEFF"/>
          </w:tcPr>
          <w:p>
            <w:pPr>
              <w:spacing w:after="0"/>
              <w:rPr>
                <w:sz w:val="20"/>
                <w:szCs w:val="20"/>
                <w:color w:val="auto"/>
              </w:rPr>
            </w:pPr>
            <w:r>
              <w:rPr>
                <w:rFonts w:ascii="Arial" w:cs="Arial" w:eastAsia="Arial" w:hAnsi="Arial"/>
                <w:sz w:val="16"/>
                <w:szCs w:val="16"/>
                <w:color w:val="auto"/>
                <w:w w:val="96"/>
              </w:rPr>
              <w:t>Income tax expense computed at federal statutory</w:t>
            </w:r>
          </w:p>
        </w:tc>
        <w:tc>
          <w:tcPr>
            <w:tcW w:w="2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54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54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3460" w:type="dxa"/>
            <w:vAlign w:val="bottom"/>
            <w:shd w:val="clear" w:color="auto" w:fill="CCEEFF"/>
          </w:tcPr>
          <w:p>
            <w:pPr>
              <w:spacing w:after="0"/>
              <w:rPr>
                <w:sz w:val="20"/>
                <w:szCs w:val="20"/>
                <w:color w:val="auto"/>
              </w:rPr>
            </w:pPr>
            <w:r>
              <w:rPr>
                <w:rFonts w:ascii="Arial" w:cs="Arial" w:eastAsia="Arial" w:hAnsi="Arial"/>
                <w:sz w:val="16"/>
                <w:szCs w:val="16"/>
                <w:color w:val="auto"/>
              </w:rPr>
              <w:t>income tax rate</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53,086</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3"/>
              </w:rPr>
              <w:t>31,229</w:t>
            </w:r>
          </w:p>
        </w:tc>
        <w:tc>
          <w:tcPr>
            <w:tcW w:w="360" w:type="dxa"/>
            <w:vAlign w:val="bottom"/>
            <w:shd w:val="clear" w:color="auto" w:fill="CCEEFF"/>
          </w:tcPr>
          <w:p>
            <w:pPr>
              <w:spacing w:after="0"/>
              <w:rPr>
                <w:sz w:val="18"/>
                <w:szCs w:val="18"/>
                <w:color w:val="auto"/>
              </w:rPr>
            </w:pPr>
          </w:p>
        </w:tc>
        <w:tc>
          <w:tcPr>
            <w:tcW w:w="3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3"/>
              </w:rPr>
              <w:t>11,252</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460" w:type="dxa"/>
            <w:vAlign w:val="bottom"/>
          </w:tcPr>
          <w:p>
            <w:pPr>
              <w:spacing w:after="0"/>
              <w:rPr>
                <w:sz w:val="20"/>
                <w:szCs w:val="20"/>
                <w:color w:val="auto"/>
              </w:rPr>
            </w:pPr>
            <w:r>
              <w:rPr>
                <w:rFonts w:ascii="Arial" w:cs="Arial" w:eastAsia="Arial" w:hAnsi="Arial"/>
                <w:sz w:val="16"/>
                <w:szCs w:val="16"/>
                <w:color w:val="auto"/>
              </w:rPr>
              <w:t>Foreign taxes, net of credits</w:t>
            </w: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Arial" w:cs="Arial" w:eastAsia="Arial" w:hAnsi="Arial"/>
                <w:sz w:val="16"/>
                <w:szCs w:val="16"/>
                <w:color w:val="auto"/>
                <w:w w:val="93"/>
              </w:rPr>
              <w:t>(15,545)</w:t>
            </w: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40" w:type="dxa"/>
            <w:vAlign w:val="bottom"/>
          </w:tcPr>
          <w:p>
            <w:pPr>
              <w:jc w:val="right"/>
              <w:spacing w:after="0"/>
              <w:rPr>
                <w:sz w:val="20"/>
                <w:szCs w:val="20"/>
                <w:color w:val="auto"/>
              </w:rPr>
            </w:pPr>
            <w:r>
              <w:rPr>
                <w:rFonts w:ascii="Arial" w:cs="Arial" w:eastAsia="Arial" w:hAnsi="Arial"/>
                <w:sz w:val="16"/>
                <w:szCs w:val="16"/>
                <w:color w:val="auto"/>
              </w:rPr>
              <w:t>(1,804)</w:t>
            </w:r>
          </w:p>
        </w:tc>
        <w:tc>
          <w:tcPr>
            <w:tcW w:w="3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40" w:type="dxa"/>
            <w:vAlign w:val="bottom"/>
          </w:tcPr>
          <w:p>
            <w:pPr>
              <w:jc w:val="right"/>
              <w:spacing w:after="0"/>
              <w:rPr>
                <w:sz w:val="20"/>
                <w:szCs w:val="20"/>
                <w:color w:val="auto"/>
              </w:rPr>
            </w:pPr>
            <w:r>
              <w:rPr>
                <w:rFonts w:ascii="Arial" w:cs="Arial" w:eastAsia="Arial" w:hAnsi="Arial"/>
                <w:sz w:val="16"/>
                <w:szCs w:val="16"/>
                <w:color w:val="auto"/>
              </w:rPr>
              <w:t>418</w:t>
            </w: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460" w:type="dxa"/>
            <w:vAlign w:val="bottom"/>
            <w:shd w:val="clear" w:color="auto" w:fill="CCEEFF"/>
          </w:tcPr>
          <w:p>
            <w:pPr>
              <w:spacing w:after="0"/>
              <w:rPr>
                <w:sz w:val="20"/>
                <w:szCs w:val="20"/>
                <w:color w:val="auto"/>
              </w:rPr>
            </w:pPr>
            <w:r>
              <w:rPr>
                <w:rFonts w:ascii="Arial" w:cs="Arial" w:eastAsia="Arial" w:hAnsi="Arial"/>
                <w:sz w:val="16"/>
                <w:szCs w:val="16"/>
                <w:color w:val="auto"/>
                <w:w w:val="95"/>
              </w:rPr>
              <w:t>Transition tax (net of federal tax credits generated)</w:t>
            </w:r>
          </w:p>
        </w:tc>
        <w:tc>
          <w:tcPr>
            <w:tcW w:w="2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8,593</w:t>
            </w:r>
          </w:p>
        </w:tc>
        <w:tc>
          <w:tcPr>
            <w:tcW w:w="1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40" w:type="dxa"/>
            <w:vAlign w:val="bottom"/>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3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40" w:type="dxa"/>
            <w:vAlign w:val="bottom"/>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460" w:type="dxa"/>
            <w:vAlign w:val="bottom"/>
          </w:tcPr>
          <w:p>
            <w:pPr>
              <w:spacing w:after="0"/>
              <w:rPr>
                <w:sz w:val="20"/>
                <w:szCs w:val="20"/>
                <w:color w:val="auto"/>
              </w:rPr>
            </w:pPr>
            <w:r>
              <w:rPr>
                <w:rFonts w:ascii="Arial" w:cs="Arial" w:eastAsia="Arial" w:hAnsi="Arial"/>
                <w:sz w:val="16"/>
                <w:szCs w:val="16"/>
                <w:color w:val="auto"/>
              </w:rPr>
              <w:t>US rate change related to the 2017 Tax Act</w:t>
            </w: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Arial" w:cs="Arial" w:eastAsia="Arial" w:hAnsi="Arial"/>
                <w:sz w:val="16"/>
                <w:szCs w:val="16"/>
                <w:color w:val="auto"/>
              </w:rPr>
              <w:t>10,198</w:t>
            </w: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40" w:type="dxa"/>
            <w:vAlign w:val="bottom"/>
          </w:tcPr>
          <w:p>
            <w:pPr>
              <w:jc w:val="right"/>
              <w:ind w:right="60"/>
              <w:spacing w:after="0"/>
              <w:rPr>
                <w:sz w:val="20"/>
                <w:szCs w:val="20"/>
                <w:color w:val="auto"/>
              </w:rPr>
            </w:pPr>
            <w:r>
              <w:rPr>
                <w:rFonts w:ascii="Arial" w:cs="Arial" w:eastAsia="Arial" w:hAnsi="Arial"/>
                <w:sz w:val="16"/>
                <w:szCs w:val="16"/>
                <w:color w:val="auto"/>
              </w:rPr>
              <w:t>-</w:t>
            </w:r>
          </w:p>
        </w:tc>
        <w:tc>
          <w:tcPr>
            <w:tcW w:w="3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40" w:type="dxa"/>
            <w:vAlign w:val="bottom"/>
          </w:tcPr>
          <w:p>
            <w:pPr>
              <w:jc w:val="right"/>
              <w:ind w:right="6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460" w:type="dxa"/>
            <w:vAlign w:val="bottom"/>
            <w:shd w:val="clear" w:color="auto" w:fill="CCEEFF"/>
          </w:tcPr>
          <w:p>
            <w:pPr>
              <w:spacing w:after="0"/>
              <w:rPr>
                <w:sz w:val="20"/>
                <w:szCs w:val="20"/>
                <w:color w:val="auto"/>
              </w:rPr>
            </w:pPr>
            <w:r>
              <w:rPr>
                <w:rFonts w:ascii="Arial" w:cs="Arial" w:eastAsia="Arial" w:hAnsi="Arial"/>
                <w:sz w:val="16"/>
                <w:szCs w:val="16"/>
                <w:color w:val="auto"/>
              </w:rPr>
              <w:t>Net adjustments for uncertain tax positions</w:t>
            </w:r>
          </w:p>
        </w:tc>
        <w:tc>
          <w:tcPr>
            <w:tcW w:w="2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508</w:t>
            </w:r>
          </w:p>
        </w:tc>
        <w:tc>
          <w:tcPr>
            <w:tcW w:w="1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706</w:t>
            </w:r>
          </w:p>
        </w:tc>
        <w:tc>
          <w:tcPr>
            <w:tcW w:w="3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4,731</w:t>
            </w:r>
          </w:p>
        </w:tc>
        <w:tc>
          <w:tcPr>
            <w:tcW w:w="1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460" w:type="dxa"/>
            <w:vAlign w:val="bottom"/>
          </w:tcPr>
          <w:p>
            <w:pPr>
              <w:spacing w:after="0"/>
              <w:rPr>
                <w:sz w:val="20"/>
                <w:szCs w:val="20"/>
                <w:color w:val="auto"/>
              </w:rPr>
            </w:pPr>
            <w:r>
              <w:rPr>
                <w:rFonts w:ascii="Arial" w:cs="Arial" w:eastAsia="Arial" w:hAnsi="Arial"/>
                <w:sz w:val="16"/>
                <w:szCs w:val="16"/>
                <w:color w:val="auto"/>
              </w:rPr>
              <w:t>State and local taxes</w:t>
            </w: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Arial" w:cs="Arial" w:eastAsia="Arial" w:hAnsi="Arial"/>
                <w:sz w:val="16"/>
                <w:szCs w:val="16"/>
                <w:color w:val="auto"/>
              </w:rPr>
              <w:t>2,031</w:t>
            </w: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40" w:type="dxa"/>
            <w:vAlign w:val="bottom"/>
          </w:tcPr>
          <w:p>
            <w:pPr>
              <w:jc w:val="right"/>
              <w:spacing w:after="0"/>
              <w:rPr>
                <w:sz w:val="20"/>
                <w:szCs w:val="20"/>
                <w:color w:val="auto"/>
              </w:rPr>
            </w:pPr>
            <w:r>
              <w:rPr>
                <w:rFonts w:ascii="Arial" w:cs="Arial" w:eastAsia="Arial" w:hAnsi="Arial"/>
                <w:sz w:val="16"/>
                <w:szCs w:val="16"/>
                <w:color w:val="auto"/>
              </w:rPr>
              <w:t>(525)</w:t>
            </w:r>
          </w:p>
        </w:tc>
        <w:tc>
          <w:tcPr>
            <w:tcW w:w="3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40" w:type="dxa"/>
            <w:vAlign w:val="bottom"/>
          </w:tcPr>
          <w:p>
            <w:pPr>
              <w:jc w:val="right"/>
              <w:spacing w:after="0"/>
              <w:rPr>
                <w:sz w:val="20"/>
                <w:szCs w:val="20"/>
                <w:color w:val="auto"/>
              </w:rPr>
            </w:pPr>
            <w:r>
              <w:rPr>
                <w:rFonts w:ascii="Arial" w:cs="Arial" w:eastAsia="Arial" w:hAnsi="Arial"/>
                <w:sz w:val="16"/>
                <w:szCs w:val="16"/>
                <w:color w:val="auto"/>
              </w:rPr>
              <w:t>(1,108)</w:t>
            </w: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460" w:type="dxa"/>
            <w:vAlign w:val="bottom"/>
            <w:shd w:val="clear" w:color="auto" w:fill="CCEEFF"/>
          </w:tcPr>
          <w:p>
            <w:pPr>
              <w:spacing w:after="0"/>
              <w:rPr>
                <w:sz w:val="20"/>
                <w:szCs w:val="20"/>
                <w:color w:val="auto"/>
              </w:rPr>
            </w:pPr>
            <w:r>
              <w:rPr>
                <w:rFonts w:ascii="Arial" w:cs="Arial" w:eastAsia="Arial" w:hAnsi="Arial"/>
                <w:sz w:val="16"/>
                <w:szCs w:val="16"/>
                <w:color w:val="auto"/>
              </w:rPr>
              <w:t>Equity appreciation rights</w:t>
            </w:r>
          </w:p>
        </w:tc>
        <w:tc>
          <w:tcPr>
            <w:tcW w:w="2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(765)</w:t>
            </w:r>
          </w:p>
        </w:tc>
        <w:tc>
          <w:tcPr>
            <w:tcW w:w="1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372</w:t>
            </w:r>
          </w:p>
        </w:tc>
        <w:tc>
          <w:tcPr>
            <w:tcW w:w="3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693</w:t>
            </w:r>
          </w:p>
        </w:tc>
        <w:tc>
          <w:tcPr>
            <w:tcW w:w="1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460" w:type="dxa"/>
            <w:vAlign w:val="bottom"/>
          </w:tcPr>
          <w:p>
            <w:pPr>
              <w:spacing w:after="0"/>
              <w:rPr>
                <w:sz w:val="20"/>
                <w:szCs w:val="20"/>
                <w:color w:val="auto"/>
              </w:rPr>
            </w:pPr>
            <w:r>
              <w:rPr>
                <w:rFonts w:ascii="Arial" w:cs="Arial" w:eastAsia="Arial" w:hAnsi="Arial"/>
                <w:sz w:val="16"/>
                <w:szCs w:val="16"/>
                <w:color w:val="auto"/>
              </w:rPr>
              <w:t>Transaction costs</w:t>
            </w: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Arial" w:cs="Arial" w:eastAsia="Arial" w:hAnsi="Arial"/>
                <w:sz w:val="16"/>
                <w:szCs w:val="16"/>
                <w:color w:val="auto"/>
              </w:rPr>
              <w:t>189</w:t>
            </w: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40" w:type="dxa"/>
            <w:vAlign w:val="bottom"/>
          </w:tcPr>
          <w:p>
            <w:pPr>
              <w:jc w:val="right"/>
              <w:spacing w:after="0"/>
              <w:rPr>
                <w:sz w:val="20"/>
                <w:szCs w:val="20"/>
                <w:color w:val="auto"/>
              </w:rPr>
            </w:pPr>
            <w:r>
              <w:rPr>
                <w:rFonts w:ascii="Arial" w:cs="Arial" w:eastAsia="Arial" w:hAnsi="Arial"/>
                <w:sz w:val="16"/>
                <w:szCs w:val="16"/>
                <w:color w:val="auto"/>
              </w:rPr>
              <w:t>3,078</w:t>
            </w:r>
          </w:p>
        </w:tc>
        <w:tc>
          <w:tcPr>
            <w:tcW w:w="3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40" w:type="dxa"/>
            <w:vAlign w:val="bottom"/>
          </w:tcPr>
          <w:p>
            <w:pPr>
              <w:jc w:val="right"/>
              <w:spacing w:after="0"/>
              <w:rPr>
                <w:sz w:val="20"/>
                <w:szCs w:val="20"/>
                <w:color w:val="auto"/>
              </w:rPr>
            </w:pPr>
            <w:r>
              <w:rPr>
                <w:rFonts w:ascii="Arial" w:cs="Arial" w:eastAsia="Arial" w:hAnsi="Arial"/>
                <w:sz w:val="16"/>
                <w:szCs w:val="16"/>
                <w:color w:val="auto"/>
              </w:rPr>
              <w:t>414</w:t>
            </w: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460" w:type="dxa"/>
            <w:vAlign w:val="bottom"/>
            <w:shd w:val="clear" w:color="auto" w:fill="CCEEFF"/>
          </w:tcPr>
          <w:p>
            <w:pPr>
              <w:spacing w:after="0"/>
              <w:rPr>
                <w:sz w:val="20"/>
                <w:szCs w:val="20"/>
                <w:color w:val="auto"/>
              </w:rPr>
            </w:pPr>
            <w:r>
              <w:rPr>
                <w:rFonts w:ascii="Arial" w:cs="Arial" w:eastAsia="Arial" w:hAnsi="Arial"/>
                <w:sz w:val="16"/>
                <w:szCs w:val="16"/>
                <w:color w:val="auto"/>
              </w:rPr>
              <w:t>Indemnified taxes</w:t>
            </w:r>
          </w:p>
        </w:tc>
        <w:tc>
          <w:tcPr>
            <w:tcW w:w="2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(115)</w:t>
            </w:r>
          </w:p>
        </w:tc>
        <w:tc>
          <w:tcPr>
            <w:tcW w:w="1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1,594</w:t>
            </w:r>
          </w:p>
        </w:tc>
        <w:tc>
          <w:tcPr>
            <w:tcW w:w="3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(1,106)</w:t>
            </w:r>
          </w:p>
        </w:tc>
        <w:tc>
          <w:tcPr>
            <w:tcW w:w="1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460" w:type="dxa"/>
            <w:vAlign w:val="bottom"/>
          </w:tcPr>
          <w:p>
            <w:pPr>
              <w:spacing w:after="0"/>
              <w:rPr>
                <w:sz w:val="20"/>
                <w:szCs w:val="20"/>
                <w:color w:val="auto"/>
              </w:rPr>
            </w:pPr>
            <w:r>
              <w:rPr>
                <w:rFonts w:ascii="Arial" w:cs="Arial" w:eastAsia="Arial" w:hAnsi="Arial"/>
                <w:sz w:val="16"/>
                <w:szCs w:val="16"/>
                <w:color w:val="auto"/>
                <w:w w:val="98"/>
              </w:rPr>
              <w:t>Fair value adjustment for common stock warrants</w:t>
            </w: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20" w:type="dxa"/>
            <w:vAlign w:val="bottom"/>
            <w:gridSpan w:val="2"/>
          </w:tcPr>
          <w:p>
            <w:pPr>
              <w:jc w:val="right"/>
              <w:ind w:right="119"/>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7"/>
                <w:szCs w:val="17"/>
                <w:color w:val="auto"/>
              </w:rPr>
            </w:pPr>
          </w:p>
        </w:tc>
        <w:tc>
          <w:tcPr>
            <w:tcW w:w="540" w:type="dxa"/>
            <w:vAlign w:val="bottom"/>
          </w:tcPr>
          <w:p>
            <w:pPr>
              <w:jc w:val="right"/>
              <w:spacing w:after="0"/>
              <w:rPr>
                <w:sz w:val="20"/>
                <w:szCs w:val="20"/>
                <w:color w:val="auto"/>
              </w:rPr>
            </w:pPr>
            <w:r>
              <w:rPr>
                <w:rFonts w:ascii="Arial" w:cs="Arial" w:eastAsia="Arial" w:hAnsi="Arial"/>
                <w:sz w:val="16"/>
                <w:szCs w:val="16"/>
                <w:color w:val="auto"/>
              </w:rPr>
              <w:t>3,029</w:t>
            </w:r>
          </w:p>
        </w:tc>
        <w:tc>
          <w:tcPr>
            <w:tcW w:w="3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40" w:type="dxa"/>
            <w:vAlign w:val="bottom"/>
          </w:tcPr>
          <w:p>
            <w:pPr>
              <w:jc w:val="right"/>
              <w:spacing w:after="0"/>
              <w:rPr>
                <w:sz w:val="20"/>
                <w:szCs w:val="20"/>
                <w:color w:val="auto"/>
              </w:rPr>
            </w:pPr>
            <w:r>
              <w:rPr>
                <w:rFonts w:ascii="Arial" w:cs="Arial" w:eastAsia="Arial" w:hAnsi="Arial"/>
                <w:sz w:val="16"/>
                <w:szCs w:val="16"/>
                <w:color w:val="auto"/>
                <w:w w:val="93"/>
              </w:rPr>
              <w:t>10,853</w:t>
            </w: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460" w:type="dxa"/>
            <w:vAlign w:val="bottom"/>
            <w:shd w:val="clear" w:color="auto" w:fill="CCEEFF"/>
          </w:tcPr>
          <w:p>
            <w:pPr>
              <w:spacing w:after="0"/>
              <w:rPr>
                <w:sz w:val="20"/>
                <w:szCs w:val="20"/>
                <w:color w:val="auto"/>
              </w:rPr>
            </w:pPr>
            <w:r>
              <w:rPr>
                <w:rFonts w:ascii="Arial" w:cs="Arial" w:eastAsia="Arial" w:hAnsi="Arial"/>
                <w:sz w:val="16"/>
                <w:szCs w:val="16"/>
                <w:color w:val="auto"/>
              </w:rPr>
              <w:t>Valuation allowance</w:t>
            </w:r>
          </w:p>
        </w:tc>
        <w:tc>
          <w:tcPr>
            <w:tcW w:w="2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(219)</w:t>
            </w:r>
          </w:p>
        </w:tc>
        <w:tc>
          <w:tcPr>
            <w:tcW w:w="1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955</w:t>
            </w:r>
          </w:p>
        </w:tc>
        <w:tc>
          <w:tcPr>
            <w:tcW w:w="3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7,872</w:t>
            </w:r>
          </w:p>
        </w:tc>
        <w:tc>
          <w:tcPr>
            <w:tcW w:w="1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460" w:type="dxa"/>
            <w:vAlign w:val="bottom"/>
          </w:tcPr>
          <w:p>
            <w:pPr>
              <w:spacing w:after="0"/>
              <w:rPr>
                <w:sz w:val="20"/>
                <w:szCs w:val="20"/>
                <w:color w:val="auto"/>
              </w:rPr>
            </w:pPr>
            <w:r>
              <w:rPr>
                <w:rFonts w:ascii="Arial" w:cs="Arial" w:eastAsia="Arial" w:hAnsi="Arial"/>
                <w:sz w:val="16"/>
                <w:szCs w:val="16"/>
                <w:color w:val="auto"/>
              </w:rPr>
              <w:t>Deferred charge</w:t>
            </w: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Arial" w:cs="Arial" w:eastAsia="Arial" w:hAnsi="Arial"/>
                <w:sz w:val="16"/>
                <w:szCs w:val="16"/>
                <w:color w:val="auto"/>
              </w:rPr>
              <w:t>(1,295)</w:t>
            </w: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40" w:type="dxa"/>
            <w:vAlign w:val="bottom"/>
          </w:tcPr>
          <w:p>
            <w:pPr>
              <w:jc w:val="right"/>
              <w:spacing w:after="0"/>
              <w:rPr>
                <w:sz w:val="20"/>
                <w:szCs w:val="20"/>
                <w:color w:val="auto"/>
              </w:rPr>
            </w:pPr>
            <w:r>
              <w:rPr>
                <w:rFonts w:ascii="Arial" w:cs="Arial" w:eastAsia="Arial" w:hAnsi="Arial"/>
                <w:sz w:val="16"/>
                <w:szCs w:val="16"/>
                <w:color w:val="auto"/>
              </w:rPr>
              <w:t>1,009</w:t>
            </w:r>
          </w:p>
        </w:tc>
        <w:tc>
          <w:tcPr>
            <w:tcW w:w="3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40" w:type="dxa"/>
            <w:vAlign w:val="bottom"/>
          </w:tcPr>
          <w:p>
            <w:pPr>
              <w:jc w:val="right"/>
              <w:spacing w:after="0"/>
              <w:rPr>
                <w:sz w:val="20"/>
                <w:szCs w:val="20"/>
                <w:color w:val="auto"/>
              </w:rPr>
            </w:pPr>
            <w:r>
              <w:rPr>
                <w:rFonts w:ascii="Arial" w:cs="Arial" w:eastAsia="Arial" w:hAnsi="Arial"/>
                <w:sz w:val="16"/>
                <w:szCs w:val="16"/>
                <w:color w:val="auto"/>
              </w:rPr>
              <w:t>807</w:t>
            </w: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460" w:type="dxa"/>
            <w:vAlign w:val="bottom"/>
            <w:shd w:val="clear" w:color="auto" w:fill="CCEEFF"/>
          </w:tcPr>
          <w:p>
            <w:pPr>
              <w:spacing w:after="0"/>
              <w:rPr>
                <w:sz w:val="20"/>
                <w:szCs w:val="20"/>
                <w:color w:val="auto"/>
              </w:rPr>
            </w:pPr>
            <w:r>
              <w:rPr>
                <w:rFonts w:ascii="Arial" w:cs="Arial" w:eastAsia="Arial" w:hAnsi="Arial"/>
                <w:sz w:val="16"/>
                <w:szCs w:val="16"/>
                <w:color w:val="auto"/>
              </w:rPr>
              <w:t>Tax credits</w:t>
            </w:r>
          </w:p>
        </w:tc>
        <w:tc>
          <w:tcPr>
            <w:tcW w:w="2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(3,240)</w:t>
            </w:r>
          </w:p>
        </w:tc>
        <w:tc>
          <w:tcPr>
            <w:tcW w:w="1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(704)</w:t>
            </w:r>
          </w:p>
        </w:tc>
        <w:tc>
          <w:tcPr>
            <w:tcW w:w="3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(7,003)</w:t>
            </w:r>
          </w:p>
        </w:tc>
        <w:tc>
          <w:tcPr>
            <w:tcW w:w="1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460" w:type="dxa"/>
            <w:vAlign w:val="bottom"/>
            <w:tcBorders>
              <w:bottom w:val="single" w:sz="8" w:color="CCEEFF"/>
            </w:tcBorders>
          </w:tcPr>
          <w:p>
            <w:pPr>
              <w:spacing w:after="0"/>
              <w:rPr>
                <w:sz w:val="20"/>
                <w:szCs w:val="20"/>
                <w:color w:val="auto"/>
              </w:rPr>
            </w:pPr>
            <w:r>
              <w:rPr>
                <w:rFonts w:ascii="Arial" w:cs="Arial" w:eastAsia="Arial" w:hAnsi="Arial"/>
                <w:sz w:val="16"/>
                <w:szCs w:val="16"/>
                <w:color w:val="auto"/>
              </w:rPr>
              <w:t>Miscellaneous other, net</w:t>
            </w:r>
          </w:p>
        </w:tc>
        <w:tc>
          <w:tcPr>
            <w:tcW w:w="200" w:type="dxa"/>
            <w:vAlign w:val="bottom"/>
            <w:tcBorders>
              <w:bottom w:val="single" w:sz="8" w:color="CCEEFF"/>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1,630</w:t>
            </w:r>
          </w:p>
        </w:tc>
        <w:tc>
          <w:tcPr>
            <w:tcW w:w="14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768</w:t>
            </w:r>
          </w:p>
        </w:tc>
        <w:tc>
          <w:tcPr>
            <w:tcW w:w="360" w:type="dxa"/>
            <w:vAlign w:val="bottom"/>
            <w:tcBorders>
              <w:bottom w:val="single" w:sz="8" w:color="CCEEFF"/>
            </w:tcBorders>
          </w:tcPr>
          <w:p>
            <w:pPr>
              <w:spacing w:after="0"/>
              <w:rPr>
                <w:sz w:val="17"/>
                <w:szCs w:val="17"/>
                <w:color w:val="auto"/>
              </w:rPr>
            </w:pPr>
          </w:p>
        </w:tc>
        <w:tc>
          <w:tcPr>
            <w:tcW w:w="24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171</w:t>
            </w:r>
          </w:p>
        </w:tc>
        <w:tc>
          <w:tcPr>
            <w:tcW w:w="160" w:type="dxa"/>
            <w:vAlign w:val="bottom"/>
            <w:tcBorders>
              <w:bottom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60" w:type="dxa"/>
            <w:vAlign w:val="bottom"/>
            <w:tcBorders>
              <w:bottom w:val="single" w:sz="8" w:color="CCEEFF"/>
            </w:tcBorders>
            <w:shd w:val="clear" w:color="auto" w:fill="CCEEFF"/>
          </w:tcPr>
          <w:p>
            <w:pPr>
              <w:ind w:left="520"/>
              <w:spacing w:after="0"/>
              <w:rPr>
                <w:sz w:val="20"/>
                <w:szCs w:val="20"/>
                <w:color w:val="auto"/>
              </w:rPr>
            </w:pPr>
            <w:r>
              <w:rPr>
                <w:rFonts w:ascii="Arial" w:cs="Arial" w:eastAsia="Arial" w:hAnsi="Arial"/>
                <w:sz w:val="16"/>
                <w:szCs w:val="16"/>
                <w:color w:val="auto"/>
              </w:rPr>
              <w:t>Income tax expense as reported</w:t>
            </w:r>
          </w:p>
        </w:tc>
        <w:tc>
          <w:tcPr>
            <w:tcW w:w="20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55,056</w:t>
            </w:r>
          </w:p>
        </w:tc>
        <w:tc>
          <w:tcPr>
            <w:tcW w:w="14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93"/>
              </w:rPr>
              <w:t>39,707</w:t>
            </w:r>
          </w:p>
        </w:tc>
        <w:tc>
          <w:tcPr>
            <w:tcW w:w="360" w:type="dxa"/>
            <w:vAlign w:val="bottom"/>
            <w:tcBorders>
              <w:bottom w:val="single" w:sz="8" w:color="CCEEFF"/>
            </w:tcBorders>
            <w:shd w:val="clear" w:color="auto" w:fill="CCEEFF"/>
          </w:tcPr>
          <w:p>
            <w:pPr>
              <w:spacing w:after="0"/>
              <w:rPr>
                <w:sz w:val="18"/>
                <w:szCs w:val="18"/>
                <w:color w:val="auto"/>
              </w:rPr>
            </w:pPr>
          </w:p>
        </w:tc>
        <w:tc>
          <w:tcPr>
            <w:tcW w:w="24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93"/>
              </w:rPr>
              <w:t>27,994</w:t>
            </w:r>
          </w:p>
        </w:tc>
        <w:tc>
          <w:tcPr>
            <w:tcW w:w="16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4"/>
        </w:trPr>
        <w:tc>
          <w:tcPr>
            <w:tcW w:w="3480" w:type="dxa"/>
            <w:vAlign w:val="bottom"/>
            <w:gridSpan w:val="2"/>
          </w:tcPr>
          <w:p>
            <w:pPr>
              <w:spacing w:after="0"/>
              <w:rPr>
                <w:sz w:val="20"/>
                <w:szCs w:val="20"/>
                <w:color w:val="auto"/>
              </w:rPr>
            </w:pPr>
            <w:r>
              <w:rPr>
                <w:rFonts w:ascii="Arial" w:cs="Arial" w:eastAsia="Arial" w:hAnsi="Arial"/>
                <w:sz w:val="16"/>
                <w:szCs w:val="16"/>
                <w:color w:val="auto"/>
              </w:rPr>
              <w:t>Effective income tax rate</w:t>
            </w: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Arial" w:cs="Arial" w:eastAsia="Arial" w:hAnsi="Arial"/>
                <w:sz w:val="16"/>
                <w:szCs w:val="16"/>
                <w:color w:val="auto"/>
              </w:rPr>
              <w:t>36.3</w:t>
            </w:r>
          </w:p>
        </w:tc>
        <w:tc>
          <w:tcPr>
            <w:tcW w:w="140" w:type="dxa"/>
            <w:vAlign w:val="bottom"/>
          </w:tcPr>
          <w:p>
            <w:pPr>
              <w:jc w:val="right"/>
              <w:spacing w:after="0"/>
              <w:rPr>
                <w:sz w:val="20"/>
                <w:szCs w:val="20"/>
                <w:color w:val="auto"/>
              </w:rPr>
            </w:pPr>
            <w:r>
              <w:rPr>
                <w:rFonts w:ascii="Arial" w:cs="Arial" w:eastAsia="Arial" w:hAnsi="Arial"/>
                <w:sz w:val="16"/>
                <w:szCs w:val="16"/>
                <w:color w:val="auto"/>
                <w:w w:val="84"/>
              </w:rPr>
              <w:t>%</w:t>
            </w:r>
          </w:p>
        </w:tc>
        <w:tc>
          <w:tcPr>
            <w:tcW w:w="120" w:type="dxa"/>
            <w:vAlign w:val="bottom"/>
          </w:tcPr>
          <w:p>
            <w:pPr>
              <w:spacing w:after="0"/>
              <w:rPr>
                <w:sz w:val="17"/>
                <w:szCs w:val="17"/>
                <w:color w:val="auto"/>
              </w:rPr>
            </w:pPr>
          </w:p>
        </w:tc>
        <w:tc>
          <w:tcPr>
            <w:tcW w:w="540" w:type="dxa"/>
            <w:vAlign w:val="bottom"/>
          </w:tcPr>
          <w:p>
            <w:pPr>
              <w:jc w:val="right"/>
              <w:spacing w:after="0"/>
              <w:rPr>
                <w:sz w:val="20"/>
                <w:szCs w:val="20"/>
                <w:color w:val="auto"/>
              </w:rPr>
            </w:pPr>
            <w:r>
              <w:rPr>
                <w:rFonts w:ascii="Arial" w:cs="Arial" w:eastAsia="Arial" w:hAnsi="Arial"/>
                <w:sz w:val="16"/>
                <w:szCs w:val="16"/>
                <w:color w:val="auto"/>
              </w:rPr>
              <w:t>44.5</w:t>
            </w:r>
          </w:p>
        </w:tc>
        <w:tc>
          <w:tcPr>
            <w:tcW w:w="360" w:type="dxa"/>
            <w:vAlign w:val="bottom"/>
          </w:tcPr>
          <w:p>
            <w:pPr>
              <w:jc w:val="right"/>
              <w:ind w:right="139"/>
              <w:spacing w:after="0"/>
              <w:rPr>
                <w:sz w:val="20"/>
                <w:szCs w:val="20"/>
                <w:color w:val="auto"/>
              </w:rPr>
            </w:pPr>
            <w:r>
              <w:rPr>
                <w:rFonts w:ascii="Arial" w:cs="Arial" w:eastAsia="Arial" w:hAnsi="Arial"/>
                <w:sz w:val="16"/>
                <w:szCs w:val="16"/>
                <w:color w:val="auto"/>
                <w:w w:val="84"/>
              </w:rPr>
              <w:t>%</w:t>
            </w:r>
          </w:p>
        </w:tc>
        <w:tc>
          <w:tcPr>
            <w:tcW w:w="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40" w:type="dxa"/>
            <w:vAlign w:val="bottom"/>
          </w:tcPr>
          <w:p>
            <w:pPr>
              <w:jc w:val="right"/>
              <w:spacing w:after="0"/>
              <w:rPr>
                <w:sz w:val="20"/>
                <w:szCs w:val="20"/>
                <w:color w:val="auto"/>
              </w:rPr>
            </w:pPr>
            <w:r>
              <w:rPr>
                <w:rFonts w:ascii="Arial" w:cs="Arial" w:eastAsia="Arial" w:hAnsi="Arial"/>
                <w:sz w:val="16"/>
                <w:szCs w:val="16"/>
                <w:color w:val="auto"/>
              </w:rPr>
              <w:t>87.1</w:t>
            </w:r>
          </w:p>
        </w:tc>
        <w:tc>
          <w:tcPr>
            <w:tcW w:w="160" w:type="dxa"/>
            <w:vAlign w:val="bottom"/>
          </w:tcPr>
          <w:p>
            <w:pPr>
              <w:jc w:val="right"/>
              <w:spacing w:after="0" w:line="204" w:lineRule="exact"/>
              <w:rPr>
                <w:sz w:val="20"/>
                <w:szCs w:val="20"/>
                <w:color w:val="auto"/>
              </w:rPr>
            </w:pPr>
            <w:r>
              <w:rPr>
                <w:rFonts w:ascii="Arial" w:cs="Arial" w:eastAsia="Arial" w:hAnsi="Arial"/>
                <w:sz w:val="18"/>
                <w:szCs w:val="18"/>
                <w:color w:val="auto"/>
                <w:w w:val="74"/>
              </w:rPr>
              <w:t>%</w:t>
            </w:r>
          </w:p>
        </w:tc>
        <w:tc>
          <w:tcPr>
            <w:tcW w:w="0" w:type="dxa"/>
            <w:vAlign w:val="bottom"/>
          </w:tcPr>
          <w:p>
            <w:pPr>
              <w:spacing w:after="0"/>
              <w:rPr>
                <w:sz w:val="1"/>
                <w:szCs w:val="1"/>
                <w:color w:val="auto"/>
              </w:rPr>
            </w:pPr>
          </w:p>
        </w:tc>
      </w:tr>
    </w:tbl>
    <w:p>
      <w:pPr>
        <w:spacing w:after="0" w:line="187" w:lineRule="exact"/>
        <w:rPr>
          <w:sz w:val="20"/>
          <w:szCs w:val="20"/>
          <w:color w:val="auto"/>
        </w:rPr>
      </w:pPr>
    </w:p>
    <w:p>
      <w:pPr>
        <w:ind w:left="1240" w:right="1339" w:firstLine="648"/>
        <w:spacing w:after="0" w:line="312" w:lineRule="auto"/>
        <w:rPr>
          <w:sz w:val="20"/>
          <w:szCs w:val="20"/>
          <w:color w:val="auto"/>
        </w:rPr>
      </w:pPr>
      <w:r>
        <w:rPr>
          <w:rFonts w:ascii="Arial" w:cs="Arial" w:eastAsia="Arial" w:hAnsi="Arial"/>
          <w:sz w:val="16"/>
          <w:szCs w:val="16"/>
          <w:color w:val="auto"/>
        </w:rPr>
        <w:t>The Company's unrecognized tax benefits represent tax positions for which reserves have been established. The following table represents a reconciliation of the activity related to the unrecognized tax benefits, excluding accrued interest and penalties:</w:t>
      </w:r>
    </w:p>
    <w:p>
      <w:pPr>
        <w:spacing w:after="0" w:line="155" w:lineRule="exact"/>
        <w:rPr>
          <w:sz w:val="20"/>
          <w:szCs w:val="20"/>
          <w:color w:val="auto"/>
        </w:rPr>
      </w:pPr>
    </w:p>
    <w:tbl>
      <w:tblPr>
        <w:tblLayout w:type="fixed"/>
        <w:tblInd w:w="1240" w:type="dxa"/>
        <w:tblCellMar>
          <w:top w:w="0" w:type="dxa"/>
          <w:left w:w="0" w:type="dxa"/>
          <w:bottom w:w="0" w:type="dxa"/>
          <w:right w:w="0" w:type="dxa"/>
        </w:tblCellMar>
      </w:tblPr>
      <w:tr>
        <w:trPr>
          <w:trHeight w:val="162"/>
        </w:trPr>
        <w:tc>
          <w:tcPr>
            <w:tcW w:w="3940" w:type="dxa"/>
            <w:vAlign w:val="bottom"/>
            <w:gridSpan w:val="2"/>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240" w:type="dxa"/>
            <w:vAlign w:val="bottom"/>
          </w:tcPr>
          <w:p>
            <w:pPr>
              <w:spacing w:after="0"/>
              <w:rPr>
                <w:sz w:val="14"/>
                <w:szCs w:val="14"/>
                <w:color w:val="auto"/>
              </w:rPr>
            </w:pPr>
          </w:p>
        </w:tc>
        <w:tc>
          <w:tcPr>
            <w:tcW w:w="120" w:type="dxa"/>
            <w:vAlign w:val="bottom"/>
            <w:tcBorders>
              <w:top w:val="single" w:sz="8" w:color="auto"/>
              <w:bottom w:val="single" w:sz="8" w:color="auto"/>
            </w:tcBorders>
          </w:tcPr>
          <w:p>
            <w:pPr>
              <w:spacing w:after="0"/>
              <w:rPr>
                <w:sz w:val="14"/>
                <w:szCs w:val="14"/>
                <w:color w:val="auto"/>
              </w:rPr>
            </w:pPr>
          </w:p>
        </w:tc>
        <w:tc>
          <w:tcPr>
            <w:tcW w:w="540" w:type="dxa"/>
            <w:vAlign w:val="bottom"/>
            <w:tcBorders>
              <w:top w:val="single" w:sz="8" w:color="auto"/>
              <w:bottom w:val="single" w:sz="8" w:color="auto"/>
            </w:tcBorders>
          </w:tcPr>
          <w:p>
            <w:pPr>
              <w:jc w:val="right"/>
              <w:ind w:right="120"/>
              <w:spacing w:after="0"/>
              <w:rPr>
                <w:sz w:val="20"/>
                <w:szCs w:val="20"/>
                <w:color w:val="auto"/>
              </w:rPr>
            </w:pPr>
            <w:r>
              <w:rPr>
                <w:rFonts w:ascii="Arial" w:cs="Arial" w:eastAsia="Arial" w:hAnsi="Arial"/>
                <w:sz w:val="14"/>
                <w:szCs w:val="14"/>
                <w:b w:val="1"/>
                <w:bCs w:val="1"/>
                <w:color w:val="auto"/>
              </w:rPr>
              <w:t>2017</w:t>
            </w:r>
          </w:p>
        </w:tc>
        <w:tc>
          <w:tcPr>
            <w:tcW w:w="160" w:type="dxa"/>
            <w:vAlign w:val="bottom"/>
            <w:tcBorders>
              <w:top w:val="single" w:sz="8" w:color="auto"/>
            </w:tcBorders>
          </w:tcPr>
          <w:p>
            <w:pPr>
              <w:spacing w:after="0"/>
              <w:rPr>
                <w:sz w:val="14"/>
                <w:szCs w:val="14"/>
                <w:color w:val="auto"/>
              </w:rPr>
            </w:pPr>
          </w:p>
        </w:tc>
        <w:tc>
          <w:tcPr>
            <w:tcW w:w="120" w:type="dxa"/>
            <w:vAlign w:val="bottom"/>
            <w:tcBorders>
              <w:top w:val="single" w:sz="8" w:color="auto"/>
              <w:bottom w:val="single" w:sz="8" w:color="auto"/>
            </w:tcBorders>
          </w:tcPr>
          <w:p>
            <w:pPr>
              <w:spacing w:after="0"/>
              <w:rPr>
                <w:sz w:val="14"/>
                <w:szCs w:val="14"/>
                <w:color w:val="auto"/>
              </w:rPr>
            </w:pPr>
          </w:p>
        </w:tc>
        <w:tc>
          <w:tcPr>
            <w:tcW w:w="560" w:type="dxa"/>
            <w:vAlign w:val="bottom"/>
            <w:tcBorders>
              <w:top w:val="single" w:sz="8" w:color="auto"/>
              <w:bottom w:val="single" w:sz="8" w:color="auto"/>
            </w:tcBorders>
          </w:tcPr>
          <w:p>
            <w:pPr>
              <w:jc w:val="right"/>
              <w:ind w:right="120"/>
              <w:spacing w:after="0"/>
              <w:rPr>
                <w:sz w:val="20"/>
                <w:szCs w:val="20"/>
                <w:color w:val="auto"/>
              </w:rPr>
            </w:pPr>
            <w:r>
              <w:rPr>
                <w:rFonts w:ascii="Arial" w:cs="Arial" w:eastAsia="Arial" w:hAnsi="Arial"/>
                <w:sz w:val="14"/>
                <w:szCs w:val="14"/>
                <w:b w:val="1"/>
                <w:bCs w:val="1"/>
                <w:color w:val="auto"/>
              </w:rPr>
              <w:t>2016</w:t>
            </w:r>
          </w:p>
        </w:tc>
        <w:tc>
          <w:tcPr>
            <w:tcW w:w="140" w:type="dxa"/>
            <w:vAlign w:val="bottom"/>
            <w:tcBorders>
              <w:top w:val="single" w:sz="8" w:color="auto"/>
            </w:tcBorders>
          </w:tcPr>
          <w:p>
            <w:pPr>
              <w:spacing w:after="0"/>
              <w:rPr>
                <w:sz w:val="14"/>
                <w:szCs w:val="14"/>
                <w:color w:val="auto"/>
              </w:rPr>
            </w:pPr>
          </w:p>
        </w:tc>
        <w:tc>
          <w:tcPr>
            <w:tcW w:w="120" w:type="dxa"/>
            <w:vAlign w:val="bottom"/>
            <w:tcBorders>
              <w:top w:val="single" w:sz="8" w:color="auto"/>
              <w:bottom w:val="single" w:sz="8" w:color="auto"/>
            </w:tcBorders>
          </w:tcPr>
          <w:p>
            <w:pPr>
              <w:spacing w:after="0"/>
              <w:rPr>
                <w:sz w:val="14"/>
                <w:szCs w:val="14"/>
                <w:color w:val="auto"/>
              </w:rPr>
            </w:pPr>
          </w:p>
        </w:tc>
        <w:tc>
          <w:tcPr>
            <w:tcW w:w="560" w:type="dxa"/>
            <w:vAlign w:val="bottom"/>
            <w:tcBorders>
              <w:top w:val="single" w:sz="8" w:color="auto"/>
              <w:bottom w:val="single" w:sz="8" w:color="auto"/>
            </w:tcBorders>
          </w:tcPr>
          <w:p>
            <w:pPr>
              <w:jc w:val="right"/>
              <w:ind w:right="120"/>
              <w:spacing w:after="0"/>
              <w:rPr>
                <w:sz w:val="20"/>
                <w:szCs w:val="20"/>
                <w:color w:val="auto"/>
              </w:rPr>
            </w:pPr>
            <w:r>
              <w:rPr>
                <w:rFonts w:ascii="Arial" w:cs="Arial" w:eastAsia="Arial" w:hAnsi="Arial"/>
                <w:sz w:val="14"/>
                <w:szCs w:val="14"/>
                <w:b w:val="1"/>
                <w:bCs w:val="1"/>
                <w:color w:val="auto"/>
              </w:rPr>
              <w:t>2015</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20" w:type="dxa"/>
            <w:vAlign w:val="bottom"/>
            <w:vMerge w:val="restart"/>
          </w:tcPr>
          <w:p>
            <w:pPr>
              <w:spacing w:after="0"/>
              <w:rPr>
                <w:sz w:val="17"/>
                <w:szCs w:val="17"/>
                <w:color w:val="auto"/>
              </w:rPr>
            </w:pPr>
          </w:p>
        </w:tc>
        <w:tc>
          <w:tcPr>
            <w:tcW w:w="39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392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Unrecognized tax benefits at beginning of year</w:t>
            </w:r>
          </w:p>
        </w:tc>
        <w:tc>
          <w:tcPr>
            <w:tcW w:w="360" w:type="dxa"/>
            <w:vAlign w:val="bottom"/>
            <w:gridSpan w:val="2"/>
            <w:shd w:val="clear" w:color="auto" w:fill="CCEEFF"/>
          </w:tcPr>
          <w:p>
            <w:pPr>
              <w:jc w:val="right"/>
              <w:ind w:right="9"/>
              <w:spacing w:after="0"/>
              <w:rPr>
                <w:sz w:val="20"/>
                <w:szCs w:val="20"/>
                <w:color w:val="auto"/>
              </w:rPr>
            </w:pPr>
            <w:r>
              <w:rPr>
                <w:rFonts w:ascii="Arial" w:cs="Arial" w:eastAsia="Arial" w:hAnsi="Arial"/>
                <w:sz w:val="16"/>
                <w:szCs w:val="16"/>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3"/>
              </w:rPr>
              <w:t>11,347</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8"/>
              </w:rPr>
              <w:t>13,120</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8,845</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920" w:type="dxa"/>
            <w:vAlign w:val="bottom"/>
          </w:tcPr>
          <w:p>
            <w:pPr>
              <w:spacing w:after="0"/>
              <w:rPr>
                <w:sz w:val="20"/>
                <w:szCs w:val="20"/>
                <w:color w:val="auto"/>
              </w:rPr>
            </w:pPr>
            <w:r>
              <w:rPr>
                <w:rFonts w:ascii="Arial" w:cs="Arial" w:eastAsia="Arial" w:hAnsi="Arial"/>
                <w:sz w:val="16"/>
                <w:szCs w:val="16"/>
                <w:color w:val="auto"/>
              </w:rPr>
              <w:t>Gross additions - prior year tax positions</w:t>
            </w:r>
          </w:p>
        </w:tc>
        <w:tc>
          <w:tcPr>
            <w:tcW w:w="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40" w:type="dxa"/>
            <w:vAlign w:val="bottom"/>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60" w:type="dxa"/>
            <w:vAlign w:val="bottom"/>
          </w:tcPr>
          <w:p>
            <w:pPr>
              <w:jc w:val="right"/>
              <w:spacing w:after="0"/>
              <w:rPr>
                <w:sz w:val="20"/>
                <w:szCs w:val="20"/>
                <w:color w:val="auto"/>
              </w:rPr>
            </w:pPr>
            <w:r>
              <w:rPr>
                <w:rFonts w:ascii="Arial" w:cs="Arial" w:eastAsia="Arial" w:hAnsi="Arial"/>
                <w:sz w:val="16"/>
                <w:szCs w:val="16"/>
                <w:color w:val="auto"/>
              </w:rPr>
              <w:t>1,960</w:t>
            </w: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60" w:type="dxa"/>
            <w:vAlign w:val="bottom"/>
          </w:tcPr>
          <w:p>
            <w:pPr>
              <w:jc w:val="right"/>
              <w:spacing w:after="0"/>
              <w:rPr>
                <w:sz w:val="20"/>
                <w:szCs w:val="20"/>
                <w:color w:val="auto"/>
              </w:rPr>
            </w:pPr>
            <w:r>
              <w:rPr>
                <w:rFonts w:ascii="Arial" w:cs="Arial" w:eastAsia="Arial" w:hAnsi="Arial"/>
                <w:sz w:val="16"/>
                <w:szCs w:val="16"/>
                <w:color w:val="auto"/>
              </w:rPr>
              <w:t>3,045</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920" w:type="dxa"/>
            <w:vAlign w:val="bottom"/>
            <w:shd w:val="clear" w:color="auto" w:fill="CCEEFF"/>
          </w:tcPr>
          <w:p>
            <w:pPr>
              <w:spacing w:after="0"/>
              <w:rPr>
                <w:sz w:val="20"/>
                <w:szCs w:val="20"/>
                <w:color w:val="auto"/>
              </w:rPr>
            </w:pPr>
            <w:r>
              <w:rPr>
                <w:rFonts w:ascii="Arial" w:cs="Arial" w:eastAsia="Arial" w:hAnsi="Arial"/>
                <w:sz w:val="16"/>
                <w:szCs w:val="16"/>
                <w:color w:val="auto"/>
              </w:rPr>
              <w:t>Gross additions - current year tax positions</w:t>
            </w:r>
          </w:p>
        </w:tc>
        <w:tc>
          <w:tcPr>
            <w:tcW w:w="2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1,159</w:t>
            </w: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747</w:t>
            </w:r>
          </w:p>
        </w:tc>
        <w:tc>
          <w:tcPr>
            <w:tcW w:w="1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1,605</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920" w:type="dxa"/>
            <w:vAlign w:val="bottom"/>
          </w:tcPr>
          <w:p>
            <w:pPr>
              <w:spacing w:after="0"/>
              <w:rPr>
                <w:sz w:val="20"/>
                <w:szCs w:val="20"/>
                <w:color w:val="auto"/>
              </w:rPr>
            </w:pPr>
            <w:r>
              <w:rPr>
                <w:rFonts w:ascii="Arial" w:cs="Arial" w:eastAsia="Arial" w:hAnsi="Arial"/>
                <w:sz w:val="16"/>
                <w:szCs w:val="16"/>
                <w:color w:val="auto"/>
              </w:rPr>
              <w:t>Gross reductions - prior year tax positions</w:t>
            </w:r>
          </w:p>
        </w:tc>
        <w:tc>
          <w:tcPr>
            <w:tcW w:w="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40" w:type="dxa"/>
            <w:vAlign w:val="bottom"/>
          </w:tcPr>
          <w:p>
            <w:pPr>
              <w:jc w:val="right"/>
              <w:spacing w:after="0"/>
              <w:rPr>
                <w:sz w:val="20"/>
                <w:szCs w:val="20"/>
                <w:color w:val="auto"/>
              </w:rPr>
            </w:pPr>
            <w:r>
              <w:rPr>
                <w:rFonts w:ascii="Arial" w:cs="Arial" w:eastAsia="Arial" w:hAnsi="Arial"/>
                <w:sz w:val="16"/>
                <w:szCs w:val="16"/>
                <w:color w:val="auto"/>
              </w:rPr>
              <w:t>(348)</w:t>
            </w: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60" w:type="dxa"/>
            <w:vAlign w:val="bottom"/>
          </w:tcPr>
          <w:p>
            <w:pPr>
              <w:jc w:val="right"/>
              <w:spacing w:after="0"/>
              <w:rPr>
                <w:sz w:val="20"/>
                <w:szCs w:val="20"/>
                <w:color w:val="auto"/>
              </w:rPr>
            </w:pPr>
            <w:r>
              <w:rPr>
                <w:rFonts w:ascii="Arial" w:cs="Arial" w:eastAsia="Arial" w:hAnsi="Arial"/>
                <w:sz w:val="16"/>
                <w:szCs w:val="16"/>
                <w:color w:val="auto"/>
              </w:rPr>
              <w:t>(4,457)</w:t>
            </w: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60" w:type="dxa"/>
            <w:vAlign w:val="bottom"/>
          </w:tcPr>
          <w:p>
            <w:pPr>
              <w:jc w:val="right"/>
              <w:spacing w:after="0"/>
              <w:rPr>
                <w:sz w:val="20"/>
                <w:szCs w:val="20"/>
                <w:color w:val="auto"/>
              </w:rPr>
            </w:pPr>
            <w:r>
              <w:rPr>
                <w:rFonts w:ascii="Arial" w:cs="Arial" w:eastAsia="Arial" w:hAnsi="Arial"/>
                <w:sz w:val="16"/>
                <w:szCs w:val="16"/>
                <w:color w:val="auto"/>
              </w:rPr>
              <w:t>(333)</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3920" w:type="dxa"/>
            <w:vAlign w:val="bottom"/>
            <w:shd w:val="clear" w:color="auto" w:fill="CCEEFF"/>
          </w:tcPr>
          <w:p>
            <w:pPr>
              <w:spacing w:after="0"/>
              <w:rPr>
                <w:sz w:val="20"/>
                <w:szCs w:val="20"/>
                <w:color w:val="auto"/>
              </w:rPr>
            </w:pPr>
            <w:r>
              <w:rPr>
                <w:rFonts w:ascii="Arial" w:cs="Arial" w:eastAsia="Arial" w:hAnsi="Arial"/>
                <w:sz w:val="16"/>
                <w:szCs w:val="16"/>
                <w:color w:val="auto"/>
                <w:w w:val="97"/>
              </w:rPr>
              <w:t>Gross reductions - Acquired tax positions settled with tax</w:t>
            </w:r>
          </w:p>
        </w:tc>
        <w:tc>
          <w:tcPr>
            <w:tcW w:w="2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54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56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56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3920" w:type="dxa"/>
            <w:vAlign w:val="bottom"/>
            <w:shd w:val="clear" w:color="auto" w:fill="CCEEFF"/>
          </w:tcPr>
          <w:p>
            <w:pPr>
              <w:spacing w:after="0"/>
              <w:rPr>
                <w:sz w:val="20"/>
                <w:szCs w:val="20"/>
                <w:color w:val="auto"/>
              </w:rPr>
            </w:pPr>
            <w:r>
              <w:rPr>
                <w:rFonts w:ascii="Arial" w:cs="Arial" w:eastAsia="Arial" w:hAnsi="Arial"/>
                <w:sz w:val="16"/>
                <w:szCs w:val="16"/>
                <w:color w:val="auto"/>
              </w:rPr>
              <w:t>authorities</w:t>
            </w:r>
          </w:p>
        </w:tc>
        <w:tc>
          <w:tcPr>
            <w:tcW w:w="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(1,241)</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920" w:type="dxa"/>
            <w:vAlign w:val="bottom"/>
            <w:tcBorders>
              <w:bottom w:val="single" w:sz="8" w:color="CCEEFF"/>
            </w:tcBorders>
          </w:tcPr>
          <w:p>
            <w:pPr>
              <w:spacing w:after="0"/>
              <w:rPr>
                <w:sz w:val="20"/>
                <w:szCs w:val="20"/>
                <w:color w:val="auto"/>
              </w:rPr>
            </w:pPr>
            <w:r>
              <w:rPr>
                <w:rFonts w:ascii="Arial" w:cs="Arial" w:eastAsia="Arial" w:hAnsi="Arial"/>
                <w:sz w:val="16"/>
                <w:szCs w:val="16"/>
                <w:color w:val="auto"/>
              </w:rPr>
              <w:t>Impact of change in foreign exchange rates</w:t>
            </w:r>
          </w:p>
        </w:tc>
        <w:tc>
          <w:tcPr>
            <w:tcW w:w="24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132</w:t>
            </w:r>
          </w:p>
        </w:tc>
        <w:tc>
          <w:tcPr>
            <w:tcW w:w="16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(23)</w:t>
            </w:r>
          </w:p>
        </w:tc>
        <w:tc>
          <w:tcPr>
            <w:tcW w:w="14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(42)</w:t>
            </w:r>
          </w:p>
        </w:tc>
        <w:tc>
          <w:tcPr>
            <w:tcW w:w="40" w:type="dxa"/>
            <w:vAlign w:val="bottom"/>
            <w:tcBorders>
              <w:bottom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9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6"/>
                <w:szCs w:val="16"/>
                <w:b w:val="1"/>
                <w:bCs w:val="1"/>
                <w:color w:val="auto"/>
              </w:rPr>
              <w:t>Unrecognized tax benefits at end of year</w:t>
            </w:r>
          </w:p>
        </w:tc>
        <w:tc>
          <w:tcPr>
            <w:tcW w:w="24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0"/>
                <w:szCs w:val="10"/>
                <w:color w:val="auto"/>
                <w:w w:val="71"/>
              </w:rPr>
              <w:t>$</w:t>
            </w:r>
          </w:p>
        </w:tc>
        <w:tc>
          <w:tcPr>
            <w:tcW w:w="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93"/>
              </w:rPr>
              <w:t>11,049</w:t>
            </w:r>
          </w:p>
        </w:tc>
        <w:tc>
          <w:tcPr>
            <w:tcW w:w="16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98"/>
              </w:rPr>
              <w:t>11,347</w:t>
            </w:r>
          </w:p>
        </w:tc>
        <w:tc>
          <w:tcPr>
            <w:tcW w:w="14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98"/>
              </w:rPr>
              <w:t>13,120</w:t>
            </w:r>
          </w:p>
        </w:tc>
        <w:tc>
          <w:tcPr>
            <w:tcW w:w="40" w:type="dxa"/>
            <w:vAlign w:val="bottom"/>
            <w:tcBorders>
              <w:bottom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1880"/>
        <w:spacing w:after="0"/>
        <w:rPr>
          <w:sz w:val="20"/>
          <w:szCs w:val="20"/>
          <w:color w:val="auto"/>
        </w:rPr>
      </w:pPr>
      <w:r>
        <w:rPr>
          <w:rFonts w:ascii="Arial" w:cs="Arial" w:eastAsia="Arial" w:hAnsi="Arial"/>
          <w:sz w:val="17"/>
          <w:szCs w:val="17"/>
          <w:color w:val="auto"/>
        </w:rPr>
        <w:t>As of December 31, 2017, 2016 and 2015, the unrecognized tax benefits of</w:t>
      </w:r>
    </w:p>
    <w:p>
      <w:pPr>
        <w:spacing w:after="0" w:line="35" w:lineRule="exact"/>
        <w:rPr>
          <w:sz w:val="20"/>
          <w:szCs w:val="20"/>
          <w:color w:val="auto"/>
        </w:rPr>
      </w:pPr>
    </w:p>
    <w:p>
      <w:pPr>
        <w:ind w:left="1240"/>
        <w:spacing w:after="0"/>
        <w:rPr>
          <w:sz w:val="20"/>
          <w:szCs w:val="20"/>
          <w:color w:val="auto"/>
        </w:rPr>
      </w:pPr>
      <w:r>
        <w:rPr>
          <w:rFonts w:ascii="Arial" w:cs="Arial" w:eastAsia="Arial" w:hAnsi="Arial"/>
          <w:sz w:val="17"/>
          <w:szCs w:val="17"/>
          <w:color w:val="auto"/>
        </w:rPr>
        <w:t>$11.0 million, $11.3 million and $13.1 million, respectively, would affect the Company's</w:t>
      </w:r>
    </w:p>
    <w:p>
      <w:pPr>
        <w:spacing w:after="0" w:line="21" w:lineRule="exact"/>
        <w:rPr>
          <w:sz w:val="20"/>
          <w:szCs w:val="20"/>
          <w:color w:val="auto"/>
        </w:rPr>
      </w:pPr>
    </w:p>
    <w:p>
      <w:pPr>
        <w:ind w:left="1240"/>
        <w:spacing w:after="0"/>
        <w:rPr>
          <w:sz w:val="20"/>
          <w:szCs w:val="20"/>
          <w:color w:val="auto"/>
        </w:rPr>
      </w:pPr>
      <w:r>
        <w:rPr>
          <w:rFonts w:ascii="Arial" w:cs="Arial" w:eastAsia="Arial" w:hAnsi="Arial"/>
          <w:sz w:val="16"/>
          <w:szCs w:val="16"/>
          <w:color w:val="auto"/>
        </w:rPr>
        <w:t>future effective tax rate if recognized. The Company does not anticipate a material change</w:t>
      </w:r>
    </w:p>
    <w:p>
      <w:pPr>
        <w:spacing w:after="0" w:line="32" w:lineRule="exact"/>
        <w:rPr>
          <w:sz w:val="20"/>
          <w:szCs w:val="20"/>
          <w:color w:val="auto"/>
        </w:rPr>
      </w:pPr>
    </w:p>
    <w:p>
      <w:pPr>
        <w:ind w:left="1240"/>
        <w:spacing w:after="0"/>
        <w:rPr>
          <w:sz w:val="20"/>
          <w:szCs w:val="20"/>
          <w:color w:val="auto"/>
        </w:rPr>
      </w:pPr>
      <w:r>
        <w:rPr>
          <w:rFonts w:ascii="Arial" w:cs="Arial" w:eastAsia="Arial" w:hAnsi="Arial"/>
          <w:sz w:val="18"/>
          <w:szCs w:val="18"/>
          <w:color w:val="auto"/>
        </w:rPr>
        <w:t>in unrecognized tax benefits within the next 12 months.</w:t>
      </w:r>
    </w:p>
    <w:p>
      <w:pPr>
        <w:spacing w:after="0" w:line="211" w:lineRule="exact"/>
        <w:rPr>
          <w:sz w:val="20"/>
          <w:szCs w:val="20"/>
          <w:color w:val="auto"/>
        </w:rPr>
      </w:pPr>
    </w:p>
    <w:p>
      <w:pPr>
        <w:ind w:left="1240" w:right="1399" w:firstLine="648"/>
        <w:spacing w:after="0" w:line="259" w:lineRule="auto"/>
        <w:rPr>
          <w:sz w:val="20"/>
          <w:szCs w:val="20"/>
          <w:color w:val="auto"/>
        </w:rPr>
      </w:pPr>
      <w:r>
        <w:rPr>
          <w:rFonts w:ascii="Arial" w:cs="Arial" w:eastAsia="Arial" w:hAnsi="Arial"/>
          <w:sz w:val="18"/>
          <w:szCs w:val="18"/>
          <w:color w:val="auto"/>
        </w:rPr>
        <w:t>As of December 31, 2017, 2016 and 2015, the Company had unrecognized tax benefits included in the amounts above of $4.9 million, $5.9 million and $4.2 million, respectively, related to periods prior to the Company's acquisition of Acushnet Company and as such, are indemnified by Beam.</w:t>
      </w:r>
    </w:p>
    <w:p>
      <w:pPr>
        <w:spacing w:after="0" w:line="187" w:lineRule="exact"/>
        <w:rPr>
          <w:sz w:val="20"/>
          <w:szCs w:val="20"/>
          <w:color w:val="auto"/>
        </w:rPr>
      </w:pPr>
    </w:p>
    <w:p>
      <w:pPr>
        <w:ind w:left="1240" w:right="1319" w:firstLine="648"/>
        <w:spacing w:after="0" w:line="286" w:lineRule="auto"/>
        <w:rPr>
          <w:sz w:val="20"/>
          <w:szCs w:val="20"/>
          <w:color w:val="auto"/>
        </w:rPr>
      </w:pPr>
      <w:r>
        <w:rPr>
          <w:rFonts w:ascii="Arial" w:cs="Arial" w:eastAsia="Arial" w:hAnsi="Arial"/>
          <w:sz w:val="17"/>
          <w:szCs w:val="17"/>
          <w:color w:val="auto"/>
        </w:rPr>
        <w:t>As of December 31, 2017, 2016 and 2015, the Company recognized a liability of $2.7 million, $2.3 million and $1.9 million, respectively for interest and penalties, of which $2.7 million, $1.8 million and $1.6 million is indemnified by Beam.</w:t>
      </w:r>
    </w:p>
    <w:p>
      <w:pPr>
        <w:spacing w:after="0" w:line="166" w:lineRule="exact"/>
        <w:rPr>
          <w:sz w:val="20"/>
          <w:szCs w:val="20"/>
          <w:color w:val="auto"/>
        </w:rPr>
      </w:pPr>
    </w:p>
    <w:p>
      <w:pPr>
        <w:ind w:left="1240" w:right="1239" w:firstLine="648"/>
        <w:spacing w:after="0" w:line="255" w:lineRule="auto"/>
        <w:rPr>
          <w:sz w:val="20"/>
          <w:szCs w:val="20"/>
          <w:color w:val="auto"/>
        </w:rPr>
      </w:pPr>
      <w:r>
        <w:rPr>
          <w:rFonts w:ascii="Arial" w:cs="Arial" w:eastAsia="Arial" w:hAnsi="Arial"/>
          <w:sz w:val="18"/>
          <w:szCs w:val="18"/>
          <w:color w:val="auto"/>
        </w:rPr>
        <w:t>Prior to the Company's acquisition of Acushnet Company, Acushnet Company or its subsidiaries filed certain combined tax returns with Beam. Those and other subsidiaries' income tax returns are periodically examined by various tax authorities. Beam is responsible for managing United States tax audits related to periods prior to July 29, 2011. Acushnet Company is obligated to support these audits and is responsible for managing all non-U.S. audits.</w:t>
      </w:r>
    </w:p>
    <w:p>
      <w:pPr>
        <w:spacing w:after="0" w:line="193" w:lineRule="exact"/>
        <w:rPr>
          <w:sz w:val="20"/>
          <w:szCs w:val="20"/>
          <w:color w:val="auto"/>
        </w:rPr>
      </w:pPr>
    </w:p>
    <w:p>
      <w:pPr>
        <w:ind w:left="1240" w:right="1359" w:firstLine="648"/>
        <w:spacing w:after="0" w:line="302" w:lineRule="auto"/>
        <w:rPr>
          <w:sz w:val="20"/>
          <w:szCs w:val="20"/>
          <w:color w:val="auto"/>
        </w:rPr>
      </w:pPr>
      <w:r>
        <w:rPr>
          <w:rFonts w:ascii="Arial" w:cs="Arial" w:eastAsia="Arial" w:hAnsi="Arial"/>
          <w:sz w:val="16"/>
          <w:szCs w:val="16"/>
          <w:color w:val="auto"/>
        </w:rPr>
        <w:t>The Company and certain subsidiaries have tax years that remain open and are subject to examination by tax authorities in the following major taxing jurisdictions: United States for years after July 29, 2011, Canada for years after 2012, Japan for years after 2011, Korea for years after 2016, and the United Kingdom for years after 2015. The</w:t>
      </w:r>
    </w:p>
    <w:p>
      <w:pPr>
        <w:spacing w:after="0" w:line="370"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F-34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786765</wp:posOffset>
            </wp:positionH>
            <wp:positionV relativeFrom="paragraph">
              <wp:posOffset>83185</wp:posOffset>
            </wp:positionV>
            <wp:extent cx="4159250" cy="26035"/>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65">
                      <a:extLst>
                        <a:ext uri="{28A0092B-C50C-407E-A947-70E740481C1C}"/>
                      </a:extLst>
                    </a:blip>
                    <a:srcRect/>
                    <a:stretch>
                      <a:fillRect/>
                    </a:stretch>
                  </pic:blipFill>
                  <pic:spPr bwMode="auto">
                    <a:xfrm>
                      <a:off x="0" y="0"/>
                      <a:ext cx="415925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130" w:name="page131"/>
    <w:bookmarkEnd w:id="130"/>
    <w:p>
      <w:pPr>
        <w:ind w:left="124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1240" w:right="1299"/>
        <w:spacing w:after="0" w:line="255" w:lineRule="auto"/>
        <w:rPr>
          <w:sz w:val="20"/>
          <w:szCs w:val="20"/>
          <w:color w:val="auto"/>
        </w:rPr>
      </w:pPr>
      <w:r>
        <w:rPr>
          <w:rFonts w:ascii="Arial" w:cs="Arial" w:eastAsia="Arial" w:hAnsi="Arial"/>
          <w:sz w:val="18"/>
          <w:szCs w:val="18"/>
          <w:color w:val="auto"/>
        </w:rPr>
        <w:t>Company files income tax returns on a combined, unitary, or stand-alone basis in multiple state and local jurisdictions, which generally have statute of limitations from three to four years. Various states and local income tax returns are currently in the process of examination. These examinations are unlikely to result in any significant changes to the amounts of unrecognized tax benefits on the consolidated balance sheet as of December 31, 2017.</w:t>
      </w:r>
    </w:p>
    <w:p>
      <w:pPr>
        <w:spacing w:after="0" w:line="193" w:lineRule="exact"/>
        <w:rPr>
          <w:sz w:val="20"/>
          <w:szCs w:val="20"/>
          <w:color w:val="auto"/>
        </w:rPr>
      </w:pPr>
    </w:p>
    <w:p>
      <w:pPr>
        <w:ind w:left="1880"/>
        <w:spacing w:after="0"/>
        <w:rPr>
          <w:sz w:val="20"/>
          <w:szCs w:val="20"/>
          <w:color w:val="auto"/>
        </w:rPr>
      </w:pPr>
      <w:r>
        <w:rPr>
          <w:rFonts w:ascii="Arial" w:cs="Arial" w:eastAsia="Arial" w:hAnsi="Arial"/>
          <w:sz w:val="18"/>
          <w:szCs w:val="18"/>
          <w:color w:val="auto"/>
        </w:rPr>
        <w:t>The Company's income tax expense includes tax expense of $0.2 million,</w:t>
      </w:r>
    </w:p>
    <w:p>
      <w:pPr>
        <w:spacing w:after="0" w:line="23" w:lineRule="exact"/>
        <w:rPr>
          <w:sz w:val="20"/>
          <w:szCs w:val="20"/>
          <w:color w:val="auto"/>
        </w:rPr>
      </w:pPr>
    </w:p>
    <w:p>
      <w:pPr>
        <w:ind w:left="1240"/>
        <w:spacing w:after="0"/>
        <w:rPr>
          <w:sz w:val="20"/>
          <w:szCs w:val="20"/>
          <w:color w:val="auto"/>
        </w:rPr>
      </w:pPr>
      <w:r>
        <w:rPr>
          <w:rFonts w:ascii="Arial" w:cs="Arial" w:eastAsia="Arial" w:hAnsi="Arial"/>
          <w:sz w:val="17"/>
          <w:szCs w:val="17"/>
          <w:color w:val="auto"/>
        </w:rPr>
        <w:t>$2.2 million and $3.0 million for the years ended December 31, 2017, 2016 and 2015,</w:t>
      </w:r>
    </w:p>
    <w:p>
      <w:pPr>
        <w:spacing w:after="0" w:line="21" w:lineRule="exact"/>
        <w:rPr>
          <w:sz w:val="20"/>
          <w:szCs w:val="20"/>
          <w:color w:val="auto"/>
        </w:rPr>
      </w:pPr>
    </w:p>
    <w:p>
      <w:pPr>
        <w:ind w:left="1240"/>
        <w:spacing w:after="0"/>
        <w:rPr>
          <w:sz w:val="20"/>
          <w:szCs w:val="20"/>
          <w:color w:val="auto"/>
        </w:rPr>
      </w:pPr>
      <w:r>
        <w:rPr>
          <w:rFonts w:ascii="Arial" w:cs="Arial" w:eastAsia="Arial" w:hAnsi="Arial"/>
          <w:sz w:val="17"/>
          <w:szCs w:val="17"/>
          <w:color w:val="auto"/>
        </w:rPr>
        <w:t>respectively, related to the tax obligations indemnified by Beam. There is an offsetting</w:t>
      </w:r>
    </w:p>
    <w:p>
      <w:pPr>
        <w:spacing w:after="0" w:line="21" w:lineRule="exact"/>
        <w:rPr>
          <w:sz w:val="20"/>
          <w:szCs w:val="20"/>
          <w:color w:val="auto"/>
        </w:rPr>
      </w:pPr>
    </w:p>
    <w:p>
      <w:pPr>
        <w:ind w:left="1240"/>
        <w:spacing w:after="0"/>
        <w:rPr>
          <w:sz w:val="20"/>
          <w:szCs w:val="20"/>
          <w:color w:val="auto"/>
        </w:rPr>
      </w:pPr>
      <w:r>
        <w:rPr>
          <w:rFonts w:ascii="Arial" w:cs="Arial" w:eastAsia="Arial" w:hAnsi="Arial"/>
          <w:sz w:val="17"/>
          <w:szCs w:val="17"/>
          <w:color w:val="auto"/>
        </w:rPr>
        <w:t>amount included in other (income) expense, net for the related adjustment to the Beam</w:t>
      </w:r>
    </w:p>
    <w:p>
      <w:pPr>
        <w:spacing w:after="0" w:line="21" w:lineRule="exact"/>
        <w:rPr>
          <w:sz w:val="20"/>
          <w:szCs w:val="20"/>
          <w:color w:val="auto"/>
        </w:rPr>
      </w:pPr>
    </w:p>
    <w:p>
      <w:pPr>
        <w:ind w:left="1240"/>
        <w:spacing w:after="0"/>
        <w:rPr>
          <w:sz w:val="20"/>
          <w:szCs w:val="20"/>
          <w:color w:val="auto"/>
        </w:rPr>
      </w:pPr>
      <w:r>
        <w:rPr>
          <w:rFonts w:ascii="Arial" w:cs="Arial" w:eastAsia="Arial" w:hAnsi="Arial"/>
          <w:sz w:val="18"/>
          <w:szCs w:val="18"/>
          <w:color w:val="auto"/>
        </w:rPr>
        <w:t>indemnification asset, resulting in no effect on net income.</w:t>
      </w:r>
    </w:p>
    <w:p>
      <w:pPr>
        <w:spacing w:after="0" w:line="211" w:lineRule="exact"/>
        <w:rPr>
          <w:sz w:val="20"/>
          <w:szCs w:val="20"/>
          <w:color w:val="auto"/>
        </w:rPr>
      </w:pPr>
    </w:p>
    <w:p>
      <w:pPr>
        <w:ind w:left="1880"/>
        <w:spacing w:after="0"/>
        <w:rPr>
          <w:sz w:val="20"/>
          <w:szCs w:val="20"/>
          <w:color w:val="auto"/>
        </w:rPr>
      </w:pPr>
      <w:r>
        <w:rPr>
          <w:rFonts w:ascii="Arial" w:cs="Arial" w:eastAsia="Arial" w:hAnsi="Arial"/>
          <w:sz w:val="18"/>
          <w:szCs w:val="18"/>
          <w:color w:val="auto"/>
        </w:rPr>
        <w:t>Income tax expense was as follows:</w:t>
      </w:r>
    </w:p>
    <w:p>
      <w:pPr>
        <w:spacing w:after="0" w:line="284" w:lineRule="exact"/>
        <w:rPr>
          <w:sz w:val="20"/>
          <w:szCs w:val="20"/>
          <w:color w:val="auto"/>
        </w:rPr>
      </w:pPr>
    </w:p>
    <w:tbl>
      <w:tblPr>
        <w:tblLayout w:type="fixed"/>
        <w:tblInd w:w="1240" w:type="dxa"/>
        <w:tblCellMar>
          <w:top w:w="0" w:type="dxa"/>
          <w:left w:w="0" w:type="dxa"/>
          <w:bottom w:w="0" w:type="dxa"/>
          <w:right w:w="0" w:type="dxa"/>
        </w:tblCellMar>
      </w:tblPr>
      <w:tr>
        <w:trPr>
          <w:trHeight w:val="171"/>
        </w:trPr>
        <w:tc>
          <w:tcPr>
            <w:tcW w:w="3380" w:type="dxa"/>
            <w:vAlign w:val="bottom"/>
            <w:gridSpan w:val="2"/>
            <w:vMerge w:val="restart"/>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380" w:type="dxa"/>
            <w:vAlign w:val="bottom"/>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940" w:type="dxa"/>
            <w:vAlign w:val="bottom"/>
            <w:tcBorders>
              <w:bottom w:val="single" w:sz="8" w:color="auto"/>
            </w:tcBorders>
            <w:gridSpan w:val="10"/>
          </w:tcPr>
          <w:p>
            <w:pPr>
              <w:jc w:val="center"/>
              <w:ind w:left="181"/>
              <w:spacing w:after="0"/>
              <w:rPr>
                <w:sz w:val="20"/>
                <w:szCs w:val="20"/>
                <w:color w:val="auto"/>
              </w:rPr>
            </w:pPr>
            <w:r>
              <w:rPr>
                <w:rFonts w:ascii="Arial" w:cs="Arial" w:eastAsia="Arial" w:hAnsi="Arial"/>
                <w:sz w:val="14"/>
                <w:szCs w:val="14"/>
                <w:b w:val="1"/>
                <w:bCs w:val="1"/>
                <w:color w:val="auto"/>
                <w:w w:val="91"/>
              </w:rPr>
              <w:t>Year ended December 31,</w:t>
            </w:r>
          </w:p>
        </w:tc>
        <w:tc>
          <w:tcPr>
            <w:tcW w:w="60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3380" w:type="dxa"/>
            <w:vAlign w:val="bottom"/>
            <w:gridSpan w:val="2"/>
            <w:vMerge w:val="continue"/>
          </w:tcPr>
          <w:p>
            <w:pPr>
              <w:spacing w:after="0"/>
              <w:rPr>
                <w:sz w:val="12"/>
                <w:szCs w:val="12"/>
                <w:color w:val="auto"/>
              </w:rPr>
            </w:pPr>
          </w:p>
        </w:tc>
        <w:tc>
          <w:tcPr>
            <w:tcW w:w="380" w:type="dxa"/>
            <w:vAlign w:val="bottom"/>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920" w:type="dxa"/>
            <w:vAlign w:val="bottom"/>
            <w:tcBorders>
              <w:bottom w:val="single" w:sz="8" w:color="auto"/>
            </w:tcBorders>
            <w:gridSpan w:val="2"/>
          </w:tcPr>
          <w:p>
            <w:pPr>
              <w:jc w:val="right"/>
              <w:ind w:right="366"/>
              <w:spacing w:after="0" w:line="142" w:lineRule="exact"/>
              <w:rPr>
                <w:sz w:val="20"/>
                <w:szCs w:val="20"/>
                <w:color w:val="auto"/>
              </w:rPr>
            </w:pPr>
            <w:r>
              <w:rPr>
                <w:rFonts w:ascii="Arial" w:cs="Arial" w:eastAsia="Arial" w:hAnsi="Arial"/>
                <w:sz w:val="14"/>
                <w:szCs w:val="14"/>
                <w:b w:val="1"/>
                <w:bCs w:val="1"/>
                <w:color w:val="auto"/>
              </w:rPr>
              <w:t>2017</w:t>
            </w:r>
          </w:p>
        </w:tc>
        <w:tc>
          <w:tcPr>
            <w:tcW w:w="14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4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2016</w:t>
            </w:r>
          </w:p>
        </w:tc>
        <w:tc>
          <w:tcPr>
            <w:tcW w:w="120" w:type="dxa"/>
            <w:vAlign w:val="bottom"/>
            <w:tcBorders>
              <w:bottom w:val="single" w:sz="8" w:color="auto"/>
            </w:tcBorders>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600" w:type="dxa"/>
            <w:vAlign w:val="bottom"/>
            <w:tcBorders>
              <w:bottom w:val="single" w:sz="8" w:color="auto"/>
            </w:tcBorders>
          </w:tcPr>
          <w:p>
            <w:pPr>
              <w:jc w:val="right"/>
              <w:ind w:right="140"/>
              <w:spacing w:after="0" w:line="142" w:lineRule="exact"/>
              <w:rPr>
                <w:sz w:val="20"/>
                <w:szCs w:val="20"/>
                <w:color w:val="auto"/>
              </w:rPr>
            </w:pPr>
            <w:r>
              <w:rPr>
                <w:rFonts w:ascii="Arial" w:cs="Arial" w:eastAsia="Arial" w:hAnsi="Arial"/>
                <w:sz w:val="14"/>
                <w:szCs w:val="14"/>
                <w:b w:val="1"/>
                <w:bCs w:val="1"/>
                <w:color w:val="auto"/>
              </w:rPr>
              <w:t>2015</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20" w:type="dxa"/>
            <w:vAlign w:val="bottom"/>
            <w:vMerge w:val="restart"/>
          </w:tcPr>
          <w:p>
            <w:pPr>
              <w:spacing w:after="0"/>
              <w:rPr>
                <w:sz w:val="17"/>
                <w:szCs w:val="17"/>
                <w:color w:val="auto"/>
              </w:rPr>
            </w:pPr>
          </w:p>
        </w:tc>
        <w:tc>
          <w:tcPr>
            <w:tcW w:w="33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336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Current expense (benefit)</w:t>
            </w:r>
          </w:p>
        </w:tc>
        <w:tc>
          <w:tcPr>
            <w:tcW w:w="3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00" w:type="dxa"/>
            <w:vAlign w:val="bottom"/>
            <w:tcBorders>
              <w:right w:val="single" w:sz="8" w:color="CCEEFF"/>
            </w:tcBorders>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360" w:type="dxa"/>
            <w:vAlign w:val="bottom"/>
          </w:tcPr>
          <w:p>
            <w:pPr>
              <w:spacing w:after="0"/>
              <w:rPr>
                <w:sz w:val="20"/>
                <w:szCs w:val="20"/>
                <w:color w:val="auto"/>
              </w:rPr>
            </w:pPr>
            <w:r>
              <w:rPr>
                <w:rFonts w:ascii="Arial" w:cs="Arial" w:eastAsia="Arial" w:hAnsi="Arial"/>
                <w:sz w:val="16"/>
                <w:szCs w:val="16"/>
                <w:color w:val="auto"/>
              </w:rPr>
              <w:t>United States</w:t>
            </w:r>
          </w:p>
        </w:tc>
        <w:tc>
          <w:tcPr>
            <w:tcW w:w="620" w:type="dxa"/>
            <w:vAlign w:val="bottom"/>
            <w:gridSpan w:val="2"/>
          </w:tcPr>
          <w:p>
            <w:pPr>
              <w:jc w:val="right"/>
              <w:ind w:right="129"/>
              <w:spacing w:after="0"/>
              <w:rPr>
                <w:sz w:val="20"/>
                <w:szCs w:val="20"/>
                <w:color w:val="auto"/>
              </w:rPr>
            </w:pPr>
            <w:r>
              <w:rPr>
                <w:rFonts w:ascii="Arial" w:cs="Arial" w:eastAsia="Arial" w:hAnsi="Arial"/>
                <w:sz w:val="16"/>
                <w:szCs w:val="16"/>
                <w:color w:val="auto"/>
              </w:rPr>
              <w:t>$</w:t>
            </w:r>
          </w:p>
        </w:tc>
        <w:tc>
          <w:tcPr>
            <w:tcW w:w="920" w:type="dxa"/>
            <w:vAlign w:val="bottom"/>
            <w:gridSpan w:val="2"/>
          </w:tcPr>
          <w:p>
            <w:pPr>
              <w:jc w:val="right"/>
              <w:spacing w:after="0"/>
              <w:rPr>
                <w:sz w:val="20"/>
                <w:szCs w:val="20"/>
                <w:color w:val="auto"/>
              </w:rPr>
            </w:pPr>
            <w:r>
              <w:rPr>
                <w:rFonts w:ascii="Arial" w:cs="Arial" w:eastAsia="Arial" w:hAnsi="Arial"/>
                <w:sz w:val="16"/>
                <w:szCs w:val="16"/>
                <w:color w:val="auto"/>
              </w:rPr>
              <w:t>(906)</w:t>
            </w:r>
          </w:p>
        </w:tc>
        <w:tc>
          <w:tcPr>
            <w:tcW w:w="240" w:type="dxa"/>
            <w:vAlign w:val="bottom"/>
            <w:gridSpan w:val="2"/>
          </w:tcPr>
          <w:p>
            <w:pPr>
              <w:jc w:val="center"/>
              <w:ind w:left="40"/>
              <w:spacing w:after="0"/>
              <w:rPr>
                <w:sz w:val="20"/>
                <w:szCs w:val="20"/>
                <w:color w:val="auto"/>
              </w:rPr>
            </w:pPr>
            <w:r>
              <w:rPr>
                <w:rFonts w:ascii="Arial" w:cs="Arial" w:eastAsia="Arial" w:hAnsi="Arial"/>
                <w:sz w:val="16"/>
                <w:szCs w:val="16"/>
                <w:color w:val="auto"/>
                <w:w w:val="89"/>
              </w:rPr>
              <w:t>$</w:t>
            </w:r>
          </w:p>
        </w:tc>
        <w:tc>
          <w:tcPr>
            <w:tcW w:w="560" w:type="dxa"/>
            <w:vAlign w:val="bottom"/>
            <w:gridSpan w:val="2"/>
          </w:tcPr>
          <w:p>
            <w:pPr>
              <w:jc w:val="right"/>
              <w:ind w:right="60"/>
              <w:spacing w:after="0"/>
              <w:rPr>
                <w:sz w:val="20"/>
                <w:szCs w:val="20"/>
                <w:color w:val="auto"/>
              </w:rPr>
            </w:pPr>
            <w:r>
              <w:rPr>
                <w:rFonts w:ascii="Arial" w:cs="Arial" w:eastAsia="Arial" w:hAnsi="Arial"/>
                <w:sz w:val="16"/>
                <w:szCs w:val="16"/>
                <w:color w:val="auto"/>
              </w:rPr>
              <w:t>3,702</w:t>
            </w:r>
          </w:p>
        </w:tc>
        <w:tc>
          <w:tcPr>
            <w:tcW w:w="20" w:type="dxa"/>
            <w:vAlign w:val="bottom"/>
          </w:tcPr>
          <w:p>
            <w:pPr>
              <w:spacing w:after="0"/>
              <w:rPr>
                <w:sz w:val="17"/>
                <w:szCs w:val="17"/>
                <w:color w:val="auto"/>
              </w:rPr>
            </w:pPr>
          </w:p>
        </w:tc>
        <w:tc>
          <w:tcPr>
            <w:tcW w:w="200" w:type="dxa"/>
            <w:vAlign w:val="bottom"/>
            <w:gridSpan w:val="3"/>
          </w:tcPr>
          <w:p>
            <w:pPr>
              <w:jc w:val="right"/>
              <w:spacing w:after="0"/>
              <w:rPr>
                <w:sz w:val="20"/>
                <w:szCs w:val="20"/>
                <w:color w:val="auto"/>
              </w:rPr>
            </w:pPr>
            <w:r>
              <w:rPr>
                <w:rFonts w:ascii="Arial" w:cs="Arial" w:eastAsia="Arial" w:hAnsi="Arial"/>
                <w:sz w:val="16"/>
                <w:szCs w:val="16"/>
                <w:color w:val="auto"/>
              </w:rPr>
              <w:t>$</w:t>
            </w:r>
          </w:p>
        </w:tc>
        <w:tc>
          <w:tcPr>
            <w:tcW w:w="600" w:type="dxa"/>
            <w:vAlign w:val="bottom"/>
          </w:tcPr>
          <w:p>
            <w:pPr>
              <w:jc w:val="right"/>
              <w:ind w:right="20"/>
              <w:spacing w:after="0"/>
              <w:rPr>
                <w:sz w:val="20"/>
                <w:szCs w:val="20"/>
                <w:color w:val="auto"/>
              </w:rPr>
            </w:pPr>
            <w:r>
              <w:rPr>
                <w:rFonts w:ascii="Arial" w:cs="Arial" w:eastAsia="Arial" w:hAnsi="Arial"/>
                <w:sz w:val="16"/>
                <w:szCs w:val="16"/>
                <w:color w:val="auto"/>
              </w:rPr>
              <w:t>5,455</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360" w:type="dxa"/>
            <w:vAlign w:val="bottom"/>
            <w:shd w:val="clear" w:color="auto" w:fill="CCEEFF"/>
          </w:tcPr>
          <w:p>
            <w:pPr>
              <w:spacing w:after="0"/>
              <w:rPr>
                <w:sz w:val="20"/>
                <w:szCs w:val="20"/>
                <w:color w:val="auto"/>
              </w:rPr>
            </w:pPr>
            <w:r>
              <w:rPr>
                <w:rFonts w:ascii="Arial" w:cs="Arial" w:eastAsia="Arial" w:hAnsi="Arial"/>
                <w:sz w:val="16"/>
                <w:szCs w:val="16"/>
                <w:color w:val="auto"/>
              </w:rPr>
              <w:t>Foreign</w:t>
            </w:r>
          </w:p>
        </w:tc>
        <w:tc>
          <w:tcPr>
            <w:tcW w:w="380" w:type="dxa"/>
            <w:vAlign w:val="bottom"/>
            <w:shd w:val="clear" w:color="auto" w:fill="CCEEFF"/>
          </w:tcPr>
          <w:p>
            <w:pPr>
              <w:spacing w:after="0"/>
              <w:rPr>
                <w:sz w:val="17"/>
                <w:szCs w:val="17"/>
                <w:color w:val="auto"/>
              </w:rPr>
            </w:pPr>
          </w:p>
        </w:tc>
        <w:tc>
          <w:tcPr>
            <w:tcW w:w="24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6"/>
                <w:szCs w:val="16"/>
                <w:color w:val="auto"/>
              </w:rPr>
              <w:t>28,109</w:t>
            </w:r>
          </w:p>
        </w:tc>
        <w:tc>
          <w:tcPr>
            <w:tcW w:w="140" w:type="dxa"/>
            <w:vAlign w:val="bottom"/>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560" w:type="dxa"/>
            <w:vAlign w:val="bottom"/>
            <w:tcBorders>
              <w:bottom w:val="single" w:sz="8" w:color="auto"/>
            </w:tcBorders>
            <w:gridSpan w:val="2"/>
            <w:shd w:val="clear" w:color="auto" w:fill="CCEEFF"/>
          </w:tcPr>
          <w:p>
            <w:pPr>
              <w:jc w:val="right"/>
              <w:ind w:right="60"/>
              <w:spacing w:after="0"/>
              <w:rPr>
                <w:sz w:val="20"/>
                <w:szCs w:val="20"/>
                <w:color w:val="auto"/>
              </w:rPr>
            </w:pPr>
            <w:r>
              <w:rPr>
                <w:rFonts w:ascii="Arial" w:cs="Arial" w:eastAsia="Arial" w:hAnsi="Arial"/>
                <w:sz w:val="16"/>
                <w:szCs w:val="16"/>
                <w:color w:val="auto"/>
                <w:w w:val="98"/>
              </w:rPr>
              <w:t>28,156</w:t>
            </w:r>
          </w:p>
        </w:tc>
        <w:tc>
          <w:tcPr>
            <w:tcW w:w="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spacing w:after="0"/>
              <w:rPr>
                <w:sz w:val="17"/>
                <w:szCs w:val="17"/>
                <w:color w:val="auto"/>
              </w:rPr>
            </w:pPr>
          </w:p>
        </w:tc>
        <w:tc>
          <w:tcPr>
            <w:tcW w:w="600" w:type="dxa"/>
            <w:vAlign w:val="bottom"/>
            <w:tcBorders>
              <w:bottom w:val="single" w:sz="8" w:color="auto"/>
              <w:right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w w:val="98"/>
              </w:rPr>
              <w:t>20,351</w:t>
            </w:r>
          </w:p>
        </w:tc>
        <w:tc>
          <w:tcPr>
            <w:tcW w:w="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3360" w:type="dxa"/>
            <w:vAlign w:val="bottom"/>
            <w:tcBorders>
              <w:bottom w:val="single" w:sz="8" w:color="CCEEFF"/>
            </w:tcBorders>
          </w:tcPr>
          <w:p>
            <w:pPr>
              <w:ind w:left="520"/>
              <w:spacing w:after="0"/>
              <w:rPr>
                <w:sz w:val="20"/>
                <w:szCs w:val="20"/>
                <w:color w:val="auto"/>
              </w:rPr>
            </w:pPr>
            <w:r>
              <w:rPr>
                <w:rFonts w:ascii="Arial" w:cs="Arial" w:eastAsia="Arial" w:hAnsi="Arial"/>
                <w:sz w:val="16"/>
                <w:szCs w:val="16"/>
                <w:color w:val="auto"/>
              </w:rPr>
              <w:t>Current income tax expense (benefit)</w:t>
            </w:r>
          </w:p>
        </w:tc>
        <w:tc>
          <w:tcPr>
            <w:tcW w:w="380" w:type="dxa"/>
            <w:vAlign w:val="bottom"/>
            <w:tcBorders>
              <w:bottom w:val="single" w:sz="8" w:color="CCEEFF"/>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gridSpan w:val="2"/>
          </w:tcPr>
          <w:p>
            <w:pPr>
              <w:jc w:val="right"/>
              <w:spacing w:after="0"/>
              <w:rPr>
                <w:sz w:val="20"/>
                <w:szCs w:val="20"/>
                <w:color w:val="auto"/>
              </w:rPr>
            </w:pPr>
            <w:r>
              <w:rPr>
                <w:rFonts w:ascii="Arial" w:cs="Arial" w:eastAsia="Arial" w:hAnsi="Arial"/>
                <w:sz w:val="16"/>
                <w:szCs w:val="16"/>
                <w:color w:val="auto"/>
              </w:rPr>
              <w:t>27,203</w:t>
            </w:r>
          </w:p>
        </w:tc>
        <w:tc>
          <w:tcPr>
            <w:tcW w:w="14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560" w:type="dxa"/>
            <w:vAlign w:val="bottom"/>
            <w:tcBorders>
              <w:bottom w:val="single" w:sz="8" w:color="auto"/>
            </w:tcBorders>
            <w:gridSpan w:val="2"/>
          </w:tcPr>
          <w:p>
            <w:pPr>
              <w:jc w:val="right"/>
              <w:ind w:right="60"/>
              <w:spacing w:after="0"/>
              <w:rPr>
                <w:sz w:val="20"/>
                <w:szCs w:val="20"/>
                <w:color w:val="auto"/>
              </w:rPr>
            </w:pPr>
            <w:r>
              <w:rPr>
                <w:rFonts w:ascii="Arial" w:cs="Arial" w:eastAsia="Arial" w:hAnsi="Arial"/>
                <w:sz w:val="16"/>
                <w:szCs w:val="16"/>
                <w:color w:val="auto"/>
                <w:w w:val="98"/>
              </w:rPr>
              <w:t>31,858</w:t>
            </w:r>
          </w:p>
        </w:tc>
        <w:tc>
          <w:tcPr>
            <w:tcW w:w="20" w:type="dxa"/>
            <w:vAlign w:val="bottom"/>
            <w:tcBorders>
              <w:bottom w:val="single" w:sz="8" w:color="CCEEFF"/>
            </w:tcBorders>
          </w:tcPr>
          <w:p>
            <w:pPr>
              <w:spacing w:after="0"/>
              <w:rPr>
                <w:sz w:val="17"/>
                <w:szCs w:val="17"/>
                <w:color w:val="auto"/>
              </w:rPr>
            </w:pPr>
          </w:p>
        </w:tc>
        <w:tc>
          <w:tcPr>
            <w:tcW w:w="20" w:type="dxa"/>
            <w:vAlign w:val="bottom"/>
            <w:tcBorders>
              <w:bottom w:val="single" w:sz="8" w:color="CCEEFF"/>
            </w:tcBorders>
          </w:tcPr>
          <w:p>
            <w:pPr>
              <w:spacing w:after="0"/>
              <w:rPr>
                <w:sz w:val="17"/>
                <w:szCs w:val="17"/>
                <w:color w:val="auto"/>
              </w:rPr>
            </w:pPr>
          </w:p>
        </w:tc>
        <w:tc>
          <w:tcPr>
            <w:tcW w:w="100" w:type="dxa"/>
            <w:vAlign w:val="bottom"/>
            <w:tcBorders>
              <w:bottom w:val="single" w:sz="8" w:color="CCEEFF"/>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600" w:type="dxa"/>
            <w:vAlign w:val="bottom"/>
            <w:tcBorders>
              <w:bottom w:val="single" w:sz="8" w:color="auto"/>
            </w:tcBorders>
          </w:tcPr>
          <w:p>
            <w:pPr>
              <w:jc w:val="right"/>
              <w:ind w:right="20"/>
              <w:spacing w:after="0"/>
              <w:rPr>
                <w:sz w:val="20"/>
                <w:szCs w:val="20"/>
                <w:color w:val="auto"/>
              </w:rPr>
            </w:pPr>
            <w:r>
              <w:rPr>
                <w:rFonts w:ascii="Arial" w:cs="Arial" w:eastAsia="Arial" w:hAnsi="Arial"/>
                <w:sz w:val="16"/>
                <w:szCs w:val="16"/>
                <w:color w:val="auto"/>
                <w:w w:val="98"/>
              </w:rPr>
              <w:t>25,806</w:t>
            </w:r>
          </w:p>
        </w:tc>
        <w:tc>
          <w:tcPr>
            <w:tcW w:w="20" w:type="dxa"/>
            <w:vAlign w:val="bottom"/>
            <w:tcBorders>
              <w:bottom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183"/>
        </w:trPr>
        <w:tc>
          <w:tcPr>
            <w:tcW w:w="20" w:type="dxa"/>
            <w:vAlign w:val="bottom"/>
          </w:tcPr>
          <w:p>
            <w:pPr>
              <w:spacing w:after="0"/>
              <w:rPr>
                <w:sz w:val="15"/>
                <w:szCs w:val="15"/>
                <w:color w:val="auto"/>
              </w:rPr>
            </w:pPr>
          </w:p>
        </w:tc>
        <w:tc>
          <w:tcPr>
            <w:tcW w:w="3360" w:type="dxa"/>
            <w:vAlign w:val="bottom"/>
            <w:shd w:val="clear" w:color="auto" w:fill="CCEEFF"/>
          </w:tcPr>
          <w:p>
            <w:pPr>
              <w:spacing w:after="0" w:line="183" w:lineRule="exact"/>
              <w:rPr>
                <w:sz w:val="20"/>
                <w:szCs w:val="20"/>
                <w:color w:val="auto"/>
              </w:rPr>
            </w:pPr>
            <w:r>
              <w:rPr>
                <w:rFonts w:ascii="Arial" w:cs="Arial" w:eastAsia="Arial" w:hAnsi="Arial"/>
                <w:sz w:val="16"/>
                <w:szCs w:val="16"/>
                <w:b w:val="1"/>
                <w:bCs w:val="1"/>
                <w:color w:val="auto"/>
              </w:rPr>
              <w:t>Deferred expense (benefit)</w:t>
            </w:r>
          </w:p>
        </w:tc>
        <w:tc>
          <w:tcPr>
            <w:tcW w:w="38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340" w:type="dxa"/>
            <w:vAlign w:val="bottom"/>
            <w:shd w:val="clear" w:color="auto" w:fill="CCEEFF"/>
          </w:tcPr>
          <w:p>
            <w:pPr>
              <w:spacing w:after="0"/>
              <w:rPr>
                <w:sz w:val="15"/>
                <w:szCs w:val="15"/>
                <w:color w:val="auto"/>
              </w:rPr>
            </w:pPr>
          </w:p>
        </w:tc>
        <w:tc>
          <w:tcPr>
            <w:tcW w:w="58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44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600" w:type="dxa"/>
            <w:vAlign w:val="bottom"/>
            <w:tcBorders>
              <w:right w:val="single" w:sz="8" w:color="CCEEFF"/>
            </w:tcBorders>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360" w:type="dxa"/>
            <w:vAlign w:val="bottom"/>
          </w:tcPr>
          <w:p>
            <w:pPr>
              <w:spacing w:after="0"/>
              <w:rPr>
                <w:sz w:val="20"/>
                <w:szCs w:val="20"/>
                <w:color w:val="auto"/>
              </w:rPr>
            </w:pPr>
            <w:r>
              <w:rPr>
                <w:rFonts w:ascii="Arial" w:cs="Arial" w:eastAsia="Arial" w:hAnsi="Arial"/>
                <w:sz w:val="16"/>
                <w:szCs w:val="16"/>
                <w:color w:val="auto"/>
              </w:rPr>
              <w:t>United States</w:t>
            </w:r>
          </w:p>
        </w:tc>
        <w:tc>
          <w:tcPr>
            <w:tcW w:w="3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20" w:type="dxa"/>
            <w:vAlign w:val="bottom"/>
            <w:gridSpan w:val="2"/>
          </w:tcPr>
          <w:p>
            <w:pPr>
              <w:jc w:val="right"/>
              <w:spacing w:after="0"/>
              <w:rPr>
                <w:sz w:val="20"/>
                <w:szCs w:val="20"/>
                <w:color w:val="auto"/>
              </w:rPr>
            </w:pPr>
            <w:r>
              <w:rPr>
                <w:rFonts w:ascii="Arial" w:cs="Arial" w:eastAsia="Arial" w:hAnsi="Arial"/>
                <w:sz w:val="16"/>
                <w:szCs w:val="16"/>
                <w:color w:val="auto"/>
              </w:rPr>
              <w:t>27,770</w:t>
            </w: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60" w:type="dxa"/>
            <w:vAlign w:val="bottom"/>
            <w:gridSpan w:val="2"/>
          </w:tcPr>
          <w:p>
            <w:pPr>
              <w:jc w:val="right"/>
              <w:ind w:right="60"/>
              <w:spacing w:after="0"/>
              <w:rPr>
                <w:sz w:val="20"/>
                <w:szCs w:val="20"/>
                <w:color w:val="auto"/>
              </w:rPr>
            </w:pPr>
            <w:r>
              <w:rPr>
                <w:rFonts w:ascii="Arial" w:cs="Arial" w:eastAsia="Arial" w:hAnsi="Arial"/>
                <w:sz w:val="16"/>
                <w:szCs w:val="16"/>
                <w:color w:val="auto"/>
              </w:rPr>
              <w:t>9,489</w:t>
            </w: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0" w:type="dxa"/>
            <w:vAlign w:val="bottom"/>
          </w:tcPr>
          <w:p>
            <w:pPr>
              <w:jc w:val="right"/>
              <w:spacing w:after="0"/>
              <w:rPr>
                <w:sz w:val="20"/>
                <w:szCs w:val="20"/>
                <w:color w:val="auto"/>
              </w:rPr>
            </w:pPr>
            <w:r>
              <w:rPr>
                <w:rFonts w:ascii="Arial" w:cs="Arial" w:eastAsia="Arial" w:hAnsi="Arial"/>
                <w:sz w:val="16"/>
                <w:szCs w:val="16"/>
                <w:color w:val="auto"/>
              </w:rPr>
              <w:t>(152)</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360" w:type="dxa"/>
            <w:vAlign w:val="bottom"/>
            <w:shd w:val="clear" w:color="auto" w:fill="CCEEFF"/>
          </w:tcPr>
          <w:p>
            <w:pPr>
              <w:spacing w:after="0"/>
              <w:rPr>
                <w:sz w:val="20"/>
                <w:szCs w:val="20"/>
                <w:color w:val="auto"/>
              </w:rPr>
            </w:pPr>
            <w:r>
              <w:rPr>
                <w:rFonts w:ascii="Arial" w:cs="Arial" w:eastAsia="Arial" w:hAnsi="Arial"/>
                <w:sz w:val="16"/>
                <w:szCs w:val="16"/>
                <w:color w:val="auto"/>
              </w:rPr>
              <w:t>Foreign</w:t>
            </w:r>
          </w:p>
        </w:tc>
        <w:tc>
          <w:tcPr>
            <w:tcW w:w="380" w:type="dxa"/>
            <w:vAlign w:val="bottom"/>
            <w:shd w:val="clear" w:color="auto" w:fill="CCEEFF"/>
          </w:tcPr>
          <w:p>
            <w:pPr>
              <w:spacing w:after="0"/>
              <w:rPr>
                <w:sz w:val="17"/>
                <w:szCs w:val="17"/>
                <w:color w:val="auto"/>
              </w:rPr>
            </w:pPr>
          </w:p>
        </w:tc>
        <w:tc>
          <w:tcPr>
            <w:tcW w:w="24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6"/>
                <w:szCs w:val="16"/>
                <w:color w:val="auto"/>
              </w:rPr>
              <w:t>83</w:t>
            </w:r>
          </w:p>
        </w:tc>
        <w:tc>
          <w:tcPr>
            <w:tcW w:w="140" w:type="dxa"/>
            <w:vAlign w:val="bottom"/>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560" w:type="dxa"/>
            <w:vAlign w:val="bottom"/>
            <w:tcBorders>
              <w:bottom w:val="single" w:sz="8" w:color="auto"/>
            </w:tcBorders>
            <w:gridSpan w:val="2"/>
            <w:shd w:val="clear" w:color="auto" w:fill="CCEEFF"/>
          </w:tcPr>
          <w:p>
            <w:pPr>
              <w:jc w:val="right"/>
              <w:ind w:right="20"/>
              <w:spacing w:after="0"/>
              <w:rPr>
                <w:sz w:val="20"/>
                <w:szCs w:val="20"/>
                <w:color w:val="auto"/>
              </w:rPr>
            </w:pPr>
            <w:r>
              <w:rPr>
                <w:rFonts w:ascii="Arial" w:cs="Arial" w:eastAsia="Arial" w:hAnsi="Arial"/>
                <w:sz w:val="16"/>
                <w:szCs w:val="16"/>
                <w:color w:val="auto"/>
              </w:rPr>
              <w:t>(1,640)</w:t>
            </w:r>
          </w:p>
        </w:tc>
        <w:tc>
          <w:tcPr>
            <w:tcW w:w="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spacing w:after="0"/>
              <w:rPr>
                <w:sz w:val="17"/>
                <w:szCs w:val="17"/>
                <w:color w:val="auto"/>
              </w:rPr>
            </w:pPr>
          </w:p>
        </w:tc>
        <w:tc>
          <w:tcPr>
            <w:tcW w:w="600" w:type="dxa"/>
            <w:vAlign w:val="bottom"/>
            <w:tcBorders>
              <w:bottom w:val="single" w:sz="8" w:color="auto"/>
              <w:right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2,340</w:t>
            </w:r>
          </w:p>
        </w:tc>
        <w:tc>
          <w:tcPr>
            <w:tcW w:w="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3360" w:type="dxa"/>
            <w:vAlign w:val="bottom"/>
            <w:tcBorders>
              <w:bottom w:val="single" w:sz="8" w:color="CCEEFF"/>
            </w:tcBorders>
          </w:tcPr>
          <w:p>
            <w:pPr>
              <w:ind w:left="520"/>
              <w:spacing w:after="0"/>
              <w:rPr>
                <w:sz w:val="20"/>
                <w:szCs w:val="20"/>
                <w:color w:val="auto"/>
              </w:rPr>
            </w:pPr>
            <w:r>
              <w:rPr>
                <w:rFonts w:ascii="Arial" w:cs="Arial" w:eastAsia="Arial" w:hAnsi="Arial"/>
                <w:sz w:val="16"/>
                <w:szCs w:val="16"/>
                <w:color w:val="auto"/>
              </w:rPr>
              <w:t>Deferred income tax expense (benefit)</w:t>
            </w:r>
          </w:p>
        </w:tc>
        <w:tc>
          <w:tcPr>
            <w:tcW w:w="380" w:type="dxa"/>
            <w:vAlign w:val="bottom"/>
            <w:tcBorders>
              <w:bottom w:val="single" w:sz="8" w:color="CCEEFF"/>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gridSpan w:val="2"/>
          </w:tcPr>
          <w:p>
            <w:pPr>
              <w:jc w:val="right"/>
              <w:spacing w:after="0"/>
              <w:rPr>
                <w:sz w:val="20"/>
                <w:szCs w:val="20"/>
                <w:color w:val="auto"/>
              </w:rPr>
            </w:pPr>
            <w:r>
              <w:rPr>
                <w:rFonts w:ascii="Arial" w:cs="Arial" w:eastAsia="Arial" w:hAnsi="Arial"/>
                <w:sz w:val="16"/>
                <w:szCs w:val="16"/>
                <w:color w:val="auto"/>
              </w:rPr>
              <w:t>27,853</w:t>
            </w:r>
          </w:p>
        </w:tc>
        <w:tc>
          <w:tcPr>
            <w:tcW w:w="14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560" w:type="dxa"/>
            <w:vAlign w:val="bottom"/>
            <w:tcBorders>
              <w:bottom w:val="single" w:sz="8" w:color="auto"/>
            </w:tcBorders>
            <w:gridSpan w:val="2"/>
          </w:tcPr>
          <w:p>
            <w:pPr>
              <w:jc w:val="right"/>
              <w:ind w:right="60"/>
              <w:spacing w:after="0"/>
              <w:rPr>
                <w:sz w:val="20"/>
                <w:szCs w:val="20"/>
                <w:color w:val="auto"/>
              </w:rPr>
            </w:pPr>
            <w:r>
              <w:rPr>
                <w:rFonts w:ascii="Arial" w:cs="Arial" w:eastAsia="Arial" w:hAnsi="Arial"/>
                <w:sz w:val="16"/>
                <w:szCs w:val="16"/>
                <w:color w:val="auto"/>
              </w:rPr>
              <w:t>7,849</w:t>
            </w:r>
          </w:p>
        </w:tc>
        <w:tc>
          <w:tcPr>
            <w:tcW w:w="20" w:type="dxa"/>
            <w:vAlign w:val="bottom"/>
            <w:tcBorders>
              <w:bottom w:val="single" w:sz="8" w:color="CCEEFF"/>
            </w:tcBorders>
          </w:tcPr>
          <w:p>
            <w:pPr>
              <w:spacing w:after="0"/>
              <w:rPr>
                <w:sz w:val="17"/>
                <w:szCs w:val="17"/>
                <w:color w:val="auto"/>
              </w:rPr>
            </w:pPr>
          </w:p>
        </w:tc>
        <w:tc>
          <w:tcPr>
            <w:tcW w:w="20" w:type="dxa"/>
            <w:vAlign w:val="bottom"/>
            <w:tcBorders>
              <w:bottom w:val="single" w:sz="8" w:color="CCEEFF"/>
            </w:tcBorders>
          </w:tcPr>
          <w:p>
            <w:pPr>
              <w:spacing w:after="0"/>
              <w:rPr>
                <w:sz w:val="17"/>
                <w:szCs w:val="17"/>
                <w:color w:val="auto"/>
              </w:rPr>
            </w:pPr>
          </w:p>
        </w:tc>
        <w:tc>
          <w:tcPr>
            <w:tcW w:w="100" w:type="dxa"/>
            <w:vAlign w:val="bottom"/>
            <w:tcBorders>
              <w:bottom w:val="single" w:sz="8" w:color="CCEEFF"/>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600" w:type="dxa"/>
            <w:vAlign w:val="bottom"/>
            <w:tcBorders>
              <w:bottom w:val="single" w:sz="8" w:color="auto"/>
            </w:tcBorders>
          </w:tcPr>
          <w:p>
            <w:pPr>
              <w:jc w:val="right"/>
              <w:ind w:right="20"/>
              <w:spacing w:after="0"/>
              <w:rPr>
                <w:sz w:val="20"/>
                <w:szCs w:val="20"/>
                <w:color w:val="auto"/>
              </w:rPr>
            </w:pPr>
            <w:r>
              <w:rPr>
                <w:rFonts w:ascii="Arial" w:cs="Arial" w:eastAsia="Arial" w:hAnsi="Arial"/>
                <w:sz w:val="16"/>
                <w:szCs w:val="16"/>
                <w:color w:val="auto"/>
              </w:rPr>
              <w:t>2,188</w:t>
            </w:r>
          </w:p>
        </w:tc>
        <w:tc>
          <w:tcPr>
            <w:tcW w:w="20" w:type="dxa"/>
            <w:vAlign w:val="bottom"/>
            <w:tcBorders>
              <w:bottom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360" w:type="dxa"/>
            <w:vAlign w:val="bottom"/>
            <w:tcBorders>
              <w:bottom w:val="single" w:sz="8" w:color="CCEEFF"/>
            </w:tcBorders>
            <w:shd w:val="clear" w:color="auto" w:fill="CCEEFF"/>
          </w:tcPr>
          <w:p>
            <w:pPr>
              <w:ind w:left="520"/>
              <w:spacing w:after="0"/>
              <w:rPr>
                <w:sz w:val="20"/>
                <w:szCs w:val="20"/>
                <w:color w:val="auto"/>
              </w:rPr>
            </w:pPr>
            <w:r>
              <w:rPr>
                <w:rFonts w:ascii="Arial" w:cs="Arial" w:eastAsia="Arial" w:hAnsi="Arial"/>
                <w:sz w:val="16"/>
                <w:szCs w:val="16"/>
                <w:color w:val="auto"/>
              </w:rPr>
              <w:t>Total income tax expense</w:t>
            </w:r>
          </w:p>
        </w:tc>
        <w:tc>
          <w:tcPr>
            <w:tcW w:w="380" w:type="dxa"/>
            <w:vAlign w:val="bottom"/>
            <w:tcBorders>
              <w:bottom w:val="single" w:sz="8" w:color="CCEEFF"/>
            </w:tcBorders>
            <w:shd w:val="clear" w:color="auto" w:fill="CCEEFF"/>
          </w:tcPr>
          <w:p>
            <w:pPr>
              <w:spacing w:after="0"/>
              <w:rPr>
                <w:sz w:val="17"/>
                <w:szCs w:val="17"/>
                <w:color w:val="auto"/>
              </w:rPr>
            </w:pPr>
          </w:p>
        </w:tc>
        <w:tc>
          <w:tcPr>
            <w:tcW w:w="240" w:type="dxa"/>
            <w:vAlign w:val="bottom"/>
            <w:tcBorders>
              <w:bottom w:val="single" w:sz="8" w:color="auto"/>
            </w:tcBorders>
            <w:shd w:val="clear" w:color="auto" w:fill="CCEEFF"/>
          </w:tcPr>
          <w:p>
            <w:pPr>
              <w:jc w:val="right"/>
              <w:ind w:right="129"/>
              <w:spacing w:after="0"/>
              <w:rPr>
                <w:sz w:val="20"/>
                <w:szCs w:val="20"/>
                <w:color w:val="auto"/>
              </w:rPr>
            </w:pPr>
            <w:r>
              <w:rPr>
                <w:rFonts w:ascii="Arial" w:cs="Arial" w:eastAsia="Arial" w:hAnsi="Arial"/>
                <w:sz w:val="10"/>
                <w:szCs w:val="10"/>
                <w:color w:val="auto"/>
                <w:w w:val="71"/>
              </w:rPr>
              <w:t>$</w:t>
            </w:r>
          </w:p>
        </w:tc>
        <w:tc>
          <w:tcPr>
            <w:tcW w:w="92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6"/>
                <w:szCs w:val="16"/>
                <w:color w:val="auto"/>
              </w:rPr>
              <w:t>55,056</w:t>
            </w:r>
          </w:p>
        </w:tc>
        <w:tc>
          <w:tcPr>
            <w:tcW w:w="14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6"/>
                <w:szCs w:val="16"/>
                <w:color w:val="auto"/>
                <w:w w:val="89"/>
              </w:rPr>
              <w:t>$</w:t>
            </w:r>
          </w:p>
        </w:tc>
        <w:tc>
          <w:tcPr>
            <w:tcW w:w="560" w:type="dxa"/>
            <w:vAlign w:val="bottom"/>
            <w:tcBorders>
              <w:bottom w:val="single" w:sz="8" w:color="auto"/>
            </w:tcBorders>
            <w:gridSpan w:val="2"/>
            <w:shd w:val="clear" w:color="auto" w:fill="CCEEFF"/>
          </w:tcPr>
          <w:p>
            <w:pPr>
              <w:jc w:val="right"/>
              <w:ind w:right="60"/>
              <w:spacing w:after="0"/>
              <w:rPr>
                <w:sz w:val="20"/>
                <w:szCs w:val="20"/>
                <w:color w:val="auto"/>
              </w:rPr>
            </w:pPr>
            <w:r>
              <w:rPr>
                <w:rFonts w:ascii="Arial" w:cs="Arial" w:eastAsia="Arial" w:hAnsi="Arial"/>
                <w:sz w:val="16"/>
                <w:szCs w:val="16"/>
                <w:color w:val="auto"/>
                <w:w w:val="98"/>
              </w:rPr>
              <w:t>39,707</w:t>
            </w:r>
          </w:p>
        </w:tc>
        <w:tc>
          <w:tcPr>
            <w:tcW w:w="20" w:type="dxa"/>
            <w:vAlign w:val="bottom"/>
            <w:tcBorders>
              <w:bottom w:val="single" w:sz="8" w:color="CCEEFF"/>
            </w:tcBorders>
            <w:shd w:val="clear" w:color="auto" w:fill="CCEEFF"/>
          </w:tcPr>
          <w:p>
            <w:pPr>
              <w:spacing w:after="0"/>
              <w:rPr>
                <w:sz w:val="17"/>
                <w:szCs w:val="17"/>
                <w:color w:val="auto"/>
              </w:rPr>
            </w:pPr>
          </w:p>
        </w:tc>
        <w:tc>
          <w:tcPr>
            <w:tcW w:w="2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680" w:type="dxa"/>
            <w:vAlign w:val="bottom"/>
            <w:tcBorders>
              <w:bottom w:val="single" w:sz="8" w:color="auto"/>
              <w:right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6"/>
                <w:szCs w:val="16"/>
                <w:color w:val="auto"/>
                <w:w w:val="89"/>
              </w:rPr>
              <w:t>$ 27,994</w:t>
            </w:r>
          </w:p>
        </w:tc>
        <w:tc>
          <w:tcPr>
            <w:tcW w:w="20" w:type="dxa"/>
            <w:vAlign w:val="bottom"/>
            <w:tcBorders>
              <w:bottom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5720" w:type="dxa"/>
            <w:vAlign w:val="bottom"/>
            <w:gridSpan w:val="10"/>
          </w:tcPr>
          <w:p>
            <w:pPr>
              <w:ind w:left="620"/>
              <w:spacing w:after="0"/>
              <w:rPr>
                <w:sz w:val="20"/>
                <w:szCs w:val="20"/>
                <w:color w:val="auto"/>
              </w:rPr>
            </w:pPr>
            <w:r>
              <w:rPr>
                <w:rFonts w:ascii="Arial" w:cs="Arial" w:eastAsia="Arial" w:hAnsi="Arial"/>
                <w:sz w:val="18"/>
                <w:szCs w:val="18"/>
                <w:color w:val="auto"/>
                <w:w w:val="90"/>
              </w:rPr>
              <w:t>The components of net deferred tax assets (liabilities) were as follows:</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3380" w:type="dxa"/>
            <w:vAlign w:val="bottom"/>
            <w:gridSpan w:val="2"/>
            <w:vMerge w:val="restart"/>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3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gridSpan w:val="8"/>
          </w:tcPr>
          <w:p>
            <w:pPr>
              <w:jc w:val="right"/>
              <w:ind w:right="39"/>
              <w:spacing w:after="0"/>
              <w:rPr>
                <w:sz w:val="20"/>
                <w:szCs w:val="20"/>
                <w:color w:val="auto"/>
              </w:rPr>
            </w:pPr>
            <w:r>
              <w:rPr>
                <w:rFonts w:ascii="Arial" w:cs="Arial" w:eastAsia="Arial" w:hAnsi="Arial"/>
                <w:sz w:val="14"/>
                <w:szCs w:val="14"/>
                <w:b w:val="1"/>
                <w:bCs w:val="1"/>
                <w:color w:val="auto"/>
                <w:w w:val="96"/>
              </w:rPr>
              <w:t>December 31,</w:t>
            </w:r>
          </w:p>
        </w:tc>
        <w:tc>
          <w:tcPr>
            <w:tcW w:w="60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3380" w:type="dxa"/>
            <w:vAlign w:val="bottom"/>
            <w:gridSpan w:val="2"/>
            <w:vMerge w:val="continue"/>
          </w:tcPr>
          <w:p>
            <w:pPr>
              <w:spacing w:after="0"/>
              <w:rPr>
                <w:sz w:val="12"/>
                <w:szCs w:val="12"/>
                <w:color w:val="auto"/>
              </w:rPr>
            </w:pPr>
          </w:p>
        </w:tc>
        <w:tc>
          <w:tcPr>
            <w:tcW w:w="3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20" w:type="dxa"/>
            <w:vAlign w:val="bottom"/>
            <w:tcBorders>
              <w:bottom w:val="single" w:sz="8" w:color="auto"/>
            </w:tcBorders>
            <w:gridSpan w:val="3"/>
          </w:tcPr>
          <w:p>
            <w:pPr>
              <w:jc w:val="right"/>
              <w:spacing w:after="0" w:line="142" w:lineRule="exact"/>
              <w:rPr>
                <w:sz w:val="20"/>
                <w:szCs w:val="20"/>
                <w:color w:val="auto"/>
              </w:rPr>
            </w:pPr>
            <w:r>
              <w:rPr>
                <w:rFonts w:ascii="Arial" w:cs="Arial" w:eastAsia="Arial" w:hAnsi="Arial"/>
                <w:sz w:val="14"/>
                <w:szCs w:val="14"/>
                <w:b w:val="1"/>
                <w:bCs w:val="1"/>
                <w:color w:val="auto"/>
              </w:rPr>
              <w:t>2017</w:t>
            </w:r>
          </w:p>
        </w:tc>
        <w:tc>
          <w:tcPr>
            <w:tcW w:w="440" w:type="dxa"/>
            <w:vAlign w:val="bottom"/>
            <w:tcBorders>
              <w:bottom w:val="single" w:sz="8" w:color="auto"/>
            </w:tcBorders>
          </w:tcPr>
          <w:p>
            <w:pPr>
              <w:spacing w:after="0"/>
              <w:rPr>
                <w:sz w:val="12"/>
                <w:szCs w:val="12"/>
                <w:color w:val="auto"/>
              </w:rPr>
            </w:pPr>
          </w:p>
        </w:tc>
        <w:tc>
          <w:tcPr>
            <w:tcW w:w="1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600" w:type="dxa"/>
            <w:vAlign w:val="bottom"/>
            <w:tcBorders>
              <w:bottom w:val="single" w:sz="8" w:color="auto"/>
            </w:tcBorders>
          </w:tcPr>
          <w:p>
            <w:pPr>
              <w:jc w:val="right"/>
              <w:ind w:right="200"/>
              <w:spacing w:after="0" w:line="142" w:lineRule="exact"/>
              <w:rPr>
                <w:sz w:val="20"/>
                <w:szCs w:val="20"/>
                <w:color w:val="auto"/>
              </w:rPr>
            </w:pPr>
            <w:r>
              <w:rPr>
                <w:rFonts w:ascii="Arial" w:cs="Arial" w:eastAsia="Arial" w:hAnsi="Arial"/>
                <w:sz w:val="14"/>
                <w:szCs w:val="14"/>
                <w:b w:val="1"/>
                <w:bCs w:val="1"/>
                <w:color w:val="auto"/>
                <w:w w:val="96"/>
              </w:rPr>
              <w:t>2016</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20" w:type="dxa"/>
            <w:vAlign w:val="bottom"/>
            <w:vMerge w:val="restart"/>
          </w:tcPr>
          <w:p>
            <w:pPr>
              <w:spacing w:after="0"/>
              <w:rPr>
                <w:sz w:val="17"/>
                <w:szCs w:val="17"/>
                <w:color w:val="auto"/>
              </w:rPr>
            </w:pPr>
          </w:p>
        </w:tc>
        <w:tc>
          <w:tcPr>
            <w:tcW w:w="33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336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Deferred tax assets</w:t>
            </w:r>
          </w:p>
        </w:tc>
        <w:tc>
          <w:tcPr>
            <w:tcW w:w="3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00" w:type="dxa"/>
            <w:vAlign w:val="bottom"/>
            <w:tcBorders>
              <w:right w:val="single" w:sz="8" w:color="CCEEFF"/>
            </w:tcBorders>
            <w:shd w:val="clear" w:color="auto" w:fill="CCEEFF"/>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360" w:type="dxa"/>
            <w:vAlign w:val="bottom"/>
          </w:tcPr>
          <w:p>
            <w:pPr>
              <w:spacing w:after="0"/>
              <w:rPr>
                <w:sz w:val="20"/>
                <w:szCs w:val="20"/>
                <w:color w:val="auto"/>
              </w:rPr>
            </w:pPr>
            <w:r>
              <w:rPr>
                <w:rFonts w:ascii="Arial" w:cs="Arial" w:eastAsia="Arial" w:hAnsi="Arial"/>
                <w:sz w:val="16"/>
                <w:szCs w:val="16"/>
                <w:color w:val="auto"/>
              </w:rPr>
              <w:t>Compensation and benefits</w:t>
            </w:r>
          </w:p>
        </w:tc>
        <w:tc>
          <w:tcPr>
            <w:tcW w:w="3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20" w:type="dxa"/>
            <w:vAlign w:val="bottom"/>
            <w:gridSpan w:val="2"/>
          </w:tcPr>
          <w:p>
            <w:pPr>
              <w:jc w:val="right"/>
              <w:ind w:right="426"/>
              <w:spacing w:after="0"/>
              <w:rPr>
                <w:sz w:val="20"/>
                <w:szCs w:val="20"/>
                <w:color w:val="auto"/>
              </w:rPr>
            </w:pPr>
            <w:r>
              <w:rPr>
                <w:rFonts w:ascii="Arial" w:cs="Arial" w:eastAsia="Arial" w:hAnsi="Arial"/>
                <w:sz w:val="16"/>
                <w:szCs w:val="16"/>
                <w:color w:val="auto"/>
              </w:rPr>
              <w:t>$</w:t>
            </w:r>
          </w:p>
        </w:tc>
        <w:tc>
          <w:tcPr>
            <w:tcW w:w="680" w:type="dxa"/>
            <w:vAlign w:val="bottom"/>
            <w:gridSpan w:val="3"/>
          </w:tcPr>
          <w:p>
            <w:pPr>
              <w:jc w:val="right"/>
              <w:spacing w:after="0"/>
              <w:rPr>
                <w:sz w:val="20"/>
                <w:szCs w:val="20"/>
                <w:color w:val="auto"/>
              </w:rPr>
            </w:pPr>
            <w:r>
              <w:rPr>
                <w:rFonts w:ascii="Arial" w:cs="Arial" w:eastAsia="Arial" w:hAnsi="Arial"/>
                <w:sz w:val="16"/>
                <w:szCs w:val="16"/>
                <w:color w:val="auto"/>
              </w:rPr>
              <w:t>14,060</w:t>
            </w: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gridSpan w:val="2"/>
          </w:tcPr>
          <w:p>
            <w:pPr>
              <w:jc w:val="right"/>
              <w:spacing w:after="0"/>
              <w:rPr>
                <w:sz w:val="20"/>
                <w:szCs w:val="20"/>
                <w:color w:val="auto"/>
              </w:rPr>
            </w:pPr>
            <w:r>
              <w:rPr>
                <w:rFonts w:ascii="Arial" w:cs="Arial" w:eastAsia="Arial" w:hAnsi="Arial"/>
                <w:sz w:val="15"/>
                <w:szCs w:val="15"/>
                <w:color w:val="auto"/>
                <w:w w:val="71"/>
              </w:rPr>
              <w:t>$</w:t>
            </w:r>
          </w:p>
        </w:tc>
        <w:tc>
          <w:tcPr>
            <w:tcW w:w="80" w:type="dxa"/>
            <w:vAlign w:val="bottom"/>
          </w:tcPr>
          <w:p>
            <w:pPr>
              <w:spacing w:after="0"/>
              <w:rPr>
                <w:sz w:val="17"/>
                <w:szCs w:val="17"/>
                <w:color w:val="auto"/>
              </w:rPr>
            </w:pPr>
          </w:p>
        </w:tc>
        <w:tc>
          <w:tcPr>
            <w:tcW w:w="600" w:type="dxa"/>
            <w:vAlign w:val="bottom"/>
          </w:tcPr>
          <w:p>
            <w:pPr>
              <w:jc w:val="right"/>
              <w:ind w:right="20"/>
              <w:spacing w:after="0"/>
              <w:rPr>
                <w:sz w:val="20"/>
                <w:szCs w:val="20"/>
                <w:color w:val="auto"/>
              </w:rPr>
            </w:pPr>
            <w:r>
              <w:rPr>
                <w:rFonts w:ascii="Arial" w:cs="Arial" w:eastAsia="Arial" w:hAnsi="Arial"/>
                <w:sz w:val="16"/>
                <w:szCs w:val="16"/>
                <w:color w:val="auto"/>
                <w:w w:val="98"/>
              </w:rPr>
              <w:t>22,053</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360" w:type="dxa"/>
            <w:vAlign w:val="bottom"/>
            <w:shd w:val="clear" w:color="auto" w:fill="CCEEFF"/>
          </w:tcPr>
          <w:p>
            <w:pPr>
              <w:spacing w:after="0"/>
              <w:rPr>
                <w:sz w:val="20"/>
                <w:szCs w:val="20"/>
                <w:color w:val="auto"/>
              </w:rPr>
            </w:pPr>
            <w:r>
              <w:rPr>
                <w:rFonts w:ascii="Arial" w:cs="Arial" w:eastAsia="Arial" w:hAnsi="Arial"/>
                <w:sz w:val="16"/>
                <w:szCs w:val="16"/>
                <w:color w:val="auto"/>
              </w:rPr>
              <w:t>Share-based compensation</w:t>
            </w:r>
          </w:p>
        </w:tc>
        <w:tc>
          <w:tcPr>
            <w:tcW w:w="3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5,085</w:t>
            </w:r>
          </w:p>
        </w:tc>
        <w:tc>
          <w:tcPr>
            <w:tcW w:w="1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00" w:type="dxa"/>
            <w:vAlign w:val="bottom"/>
            <w:tcBorders>
              <w:right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5,474</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360" w:type="dxa"/>
            <w:vAlign w:val="bottom"/>
          </w:tcPr>
          <w:p>
            <w:pPr>
              <w:spacing w:after="0"/>
              <w:rPr>
                <w:sz w:val="20"/>
                <w:szCs w:val="20"/>
                <w:color w:val="auto"/>
              </w:rPr>
            </w:pPr>
            <w:r>
              <w:rPr>
                <w:rFonts w:ascii="Arial" w:cs="Arial" w:eastAsia="Arial" w:hAnsi="Arial"/>
                <w:sz w:val="16"/>
                <w:szCs w:val="16"/>
                <w:color w:val="auto"/>
              </w:rPr>
              <w:t>Equity appreciation rights</w:t>
            </w:r>
          </w:p>
        </w:tc>
        <w:tc>
          <w:tcPr>
            <w:tcW w:w="3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4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0" w:type="dxa"/>
            <w:vAlign w:val="bottom"/>
          </w:tcPr>
          <w:p>
            <w:pPr>
              <w:jc w:val="right"/>
              <w:ind w:right="20"/>
              <w:spacing w:after="0"/>
              <w:rPr>
                <w:sz w:val="20"/>
                <w:szCs w:val="20"/>
                <w:color w:val="auto"/>
              </w:rPr>
            </w:pPr>
            <w:r>
              <w:rPr>
                <w:rFonts w:ascii="Arial" w:cs="Arial" w:eastAsia="Arial" w:hAnsi="Arial"/>
                <w:sz w:val="16"/>
                <w:szCs w:val="16"/>
                <w:color w:val="auto"/>
                <w:w w:val="98"/>
              </w:rPr>
              <w:t>57,146</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360" w:type="dxa"/>
            <w:vAlign w:val="bottom"/>
            <w:shd w:val="clear" w:color="auto" w:fill="CCEEFF"/>
          </w:tcPr>
          <w:p>
            <w:pPr>
              <w:spacing w:after="0"/>
              <w:rPr>
                <w:sz w:val="20"/>
                <w:szCs w:val="20"/>
                <w:color w:val="auto"/>
              </w:rPr>
            </w:pPr>
            <w:r>
              <w:rPr>
                <w:rFonts w:ascii="Arial" w:cs="Arial" w:eastAsia="Arial" w:hAnsi="Arial"/>
                <w:sz w:val="16"/>
                <w:szCs w:val="16"/>
                <w:color w:val="auto"/>
              </w:rPr>
              <w:t>Pension and other postretirement benefits</w:t>
            </w:r>
          </w:p>
        </w:tc>
        <w:tc>
          <w:tcPr>
            <w:tcW w:w="3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680" w:type="dxa"/>
            <w:vAlign w:val="bottom"/>
            <w:gridSpan w:val="3"/>
            <w:shd w:val="clear" w:color="auto" w:fill="CCEEFF"/>
          </w:tcPr>
          <w:p>
            <w:pPr>
              <w:jc w:val="right"/>
              <w:spacing w:after="0"/>
              <w:rPr>
                <w:sz w:val="20"/>
                <w:szCs w:val="20"/>
                <w:color w:val="auto"/>
              </w:rPr>
            </w:pPr>
            <w:r>
              <w:rPr>
                <w:rFonts w:ascii="Arial" w:cs="Arial" w:eastAsia="Arial" w:hAnsi="Arial"/>
                <w:sz w:val="16"/>
                <w:szCs w:val="16"/>
                <w:color w:val="auto"/>
              </w:rPr>
              <w:t>30,564</w:t>
            </w:r>
          </w:p>
        </w:tc>
        <w:tc>
          <w:tcPr>
            <w:tcW w:w="1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00" w:type="dxa"/>
            <w:vAlign w:val="bottom"/>
            <w:tcBorders>
              <w:right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w w:val="98"/>
              </w:rPr>
              <w:t>45,926</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360" w:type="dxa"/>
            <w:vAlign w:val="bottom"/>
          </w:tcPr>
          <w:p>
            <w:pPr>
              <w:spacing w:after="0"/>
              <w:rPr>
                <w:sz w:val="20"/>
                <w:szCs w:val="20"/>
                <w:color w:val="auto"/>
              </w:rPr>
            </w:pPr>
            <w:r>
              <w:rPr>
                <w:rFonts w:ascii="Arial" w:cs="Arial" w:eastAsia="Arial" w:hAnsi="Arial"/>
                <w:sz w:val="16"/>
                <w:szCs w:val="16"/>
                <w:color w:val="auto"/>
              </w:rPr>
              <w:t>Inventories</w:t>
            </w:r>
          </w:p>
        </w:tc>
        <w:tc>
          <w:tcPr>
            <w:tcW w:w="3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680" w:type="dxa"/>
            <w:vAlign w:val="bottom"/>
            <w:gridSpan w:val="3"/>
          </w:tcPr>
          <w:p>
            <w:pPr>
              <w:jc w:val="right"/>
              <w:spacing w:after="0"/>
              <w:rPr>
                <w:sz w:val="20"/>
                <w:szCs w:val="20"/>
                <w:color w:val="auto"/>
              </w:rPr>
            </w:pPr>
            <w:r>
              <w:rPr>
                <w:rFonts w:ascii="Arial" w:cs="Arial" w:eastAsia="Arial" w:hAnsi="Arial"/>
                <w:sz w:val="16"/>
                <w:szCs w:val="16"/>
                <w:color w:val="auto"/>
              </w:rPr>
              <w:t>10,843</w:t>
            </w: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0" w:type="dxa"/>
            <w:vAlign w:val="bottom"/>
          </w:tcPr>
          <w:p>
            <w:pPr>
              <w:jc w:val="right"/>
              <w:ind w:right="20"/>
              <w:spacing w:after="0"/>
              <w:rPr>
                <w:sz w:val="20"/>
                <w:szCs w:val="20"/>
                <w:color w:val="auto"/>
              </w:rPr>
            </w:pPr>
            <w:r>
              <w:rPr>
                <w:rFonts w:ascii="Arial" w:cs="Arial" w:eastAsia="Arial" w:hAnsi="Arial"/>
                <w:sz w:val="16"/>
                <w:szCs w:val="16"/>
                <w:color w:val="auto"/>
              </w:rPr>
              <w:t>9,120</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360" w:type="dxa"/>
            <w:vAlign w:val="bottom"/>
            <w:shd w:val="clear" w:color="auto" w:fill="CCEEFF"/>
          </w:tcPr>
          <w:p>
            <w:pPr>
              <w:spacing w:after="0"/>
              <w:rPr>
                <w:sz w:val="20"/>
                <w:szCs w:val="20"/>
                <w:color w:val="auto"/>
              </w:rPr>
            </w:pPr>
            <w:r>
              <w:rPr>
                <w:rFonts w:ascii="Arial" w:cs="Arial" w:eastAsia="Arial" w:hAnsi="Arial"/>
                <w:sz w:val="16"/>
                <w:szCs w:val="16"/>
                <w:color w:val="auto"/>
              </w:rPr>
              <w:t>Accounts receivable</w:t>
            </w:r>
          </w:p>
        </w:tc>
        <w:tc>
          <w:tcPr>
            <w:tcW w:w="3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2,016</w:t>
            </w:r>
          </w:p>
        </w:tc>
        <w:tc>
          <w:tcPr>
            <w:tcW w:w="1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00" w:type="dxa"/>
            <w:vAlign w:val="bottom"/>
            <w:tcBorders>
              <w:right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2,942</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360" w:type="dxa"/>
            <w:vAlign w:val="bottom"/>
          </w:tcPr>
          <w:p>
            <w:pPr>
              <w:spacing w:after="0"/>
              <w:rPr>
                <w:sz w:val="20"/>
                <w:szCs w:val="20"/>
                <w:color w:val="auto"/>
              </w:rPr>
            </w:pPr>
            <w:r>
              <w:rPr>
                <w:rFonts w:ascii="Arial" w:cs="Arial" w:eastAsia="Arial" w:hAnsi="Arial"/>
                <w:sz w:val="16"/>
                <w:szCs w:val="16"/>
                <w:color w:val="auto"/>
              </w:rPr>
              <w:t>Customer sales incentives</w:t>
            </w:r>
          </w:p>
        </w:tc>
        <w:tc>
          <w:tcPr>
            <w:tcW w:w="3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w w:val="89"/>
              </w:rPr>
              <w:t>2,255</w:t>
            </w: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0" w:type="dxa"/>
            <w:vAlign w:val="bottom"/>
          </w:tcPr>
          <w:p>
            <w:pPr>
              <w:jc w:val="right"/>
              <w:ind w:right="20"/>
              <w:spacing w:after="0"/>
              <w:rPr>
                <w:sz w:val="20"/>
                <w:szCs w:val="20"/>
                <w:color w:val="auto"/>
              </w:rPr>
            </w:pPr>
            <w:r>
              <w:rPr>
                <w:rFonts w:ascii="Arial" w:cs="Arial" w:eastAsia="Arial" w:hAnsi="Arial"/>
                <w:sz w:val="16"/>
                <w:szCs w:val="16"/>
                <w:color w:val="auto"/>
              </w:rPr>
              <w:t>3,254</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360" w:type="dxa"/>
            <w:vAlign w:val="bottom"/>
            <w:shd w:val="clear" w:color="auto" w:fill="CCEEFF"/>
          </w:tcPr>
          <w:p>
            <w:pPr>
              <w:spacing w:after="0"/>
              <w:rPr>
                <w:sz w:val="20"/>
                <w:szCs w:val="20"/>
                <w:color w:val="auto"/>
              </w:rPr>
            </w:pPr>
            <w:r>
              <w:rPr>
                <w:rFonts w:ascii="Arial" w:cs="Arial" w:eastAsia="Arial" w:hAnsi="Arial"/>
                <w:sz w:val="16"/>
                <w:szCs w:val="16"/>
                <w:color w:val="auto"/>
              </w:rPr>
              <w:t>Transaction costs</w:t>
            </w:r>
          </w:p>
        </w:tc>
        <w:tc>
          <w:tcPr>
            <w:tcW w:w="3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1,804</w:t>
            </w:r>
          </w:p>
        </w:tc>
        <w:tc>
          <w:tcPr>
            <w:tcW w:w="1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00" w:type="dxa"/>
            <w:vAlign w:val="bottom"/>
            <w:tcBorders>
              <w:right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3,157</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360" w:type="dxa"/>
            <w:vAlign w:val="bottom"/>
          </w:tcPr>
          <w:p>
            <w:pPr>
              <w:spacing w:after="0"/>
              <w:rPr>
                <w:sz w:val="20"/>
                <w:szCs w:val="20"/>
                <w:color w:val="auto"/>
              </w:rPr>
            </w:pPr>
            <w:r>
              <w:rPr>
                <w:rFonts w:ascii="Arial" w:cs="Arial" w:eastAsia="Arial" w:hAnsi="Arial"/>
                <w:sz w:val="16"/>
                <w:szCs w:val="16"/>
                <w:color w:val="auto"/>
              </w:rPr>
              <w:t>Other reserves</w:t>
            </w:r>
          </w:p>
        </w:tc>
        <w:tc>
          <w:tcPr>
            <w:tcW w:w="3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w w:val="89"/>
              </w:rPr>
              <w:t>3,255</w:t>
            </w: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0" w:type="dxa"/>
            <w:vAlign w:val="bottom"/>
          </w:tcPr>
          <w:p>
            <w:pPr>
              <w:jc w:val="right"/>
              <w:ind w:right="20"/>
              <w:spacing w:after="0"/>
              <w:rPr>
                <w:sz w:val="20"/>
                <w:szCs w:val="20"/>
                <w:color w:val="auto"/>
              </w:rPr>
            </w:pPr>
            <w:r>
              <w:rPr>
                <w:rFonts w:ascii="Arial" w:cs="Arial" w:eastAsia="Arial" w:hAnsi="Arial"/>
                <w:sz w:val="16"/>
                <w:szCs w:val="16"/>
                <w:color w:val="auto"/>
              </w:rPr>
              <w:t>5,764</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360" w:type="dxa"/>
            <w:vAlign w:val="bottom"/>
            <w:shd w:val="clear" w:color="auto" w:fill="CCEEFF"/>
          </w:tcPr>
          <w:p>
            <w:pPr>
              <w:spacing w:after="0"/>
              <w:rPr>
                <w:sz w:val="20"/>
                <w:szCs w:val="20"/>
                <w:color w:val="auto"/>
              </w:rPr>
            </w:pPr>
            <w:r>
              <w:rPr>
                <w:rFonts w:ascii="Arial" w:cs="Arial" w:eastAsia="Arial" w:hAnsi="Arial"/>
                <w:sz w:val="16"/>
                <w:szCs w:val="16"/>
                <w:color w:val="auto"/>
              </w:rPr>
              <w:t>Interest</w:t>
            </w:r>
          </w:p>
        </w:tc>
        <w:tc>
          <w:tcPr>
            <w:tcW w:w="3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562</w:t>
            </w:r>
          </w:p>
        </w:tc>
        <w:tc>
          <w:tcPr>
            <w:tcW w:w="1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00" w:type="dxa"/>
            <w:vAlign w:val="bottom"/>
            <w:tcBorders>
              <w:right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2,260</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360" w:type="dxa"/>
            <w:vAlign w:val="bottom"/>
          </w:tcPr>
          <w:p>
            <w:pPr>
              <w:spacing w:after="0"/>
              <w:rPr>
                <w:sz w:val="20"/>
                <w:szCs w:val="20"/>
                <w:color w:val="auto"/>
              </w:rPr>
            </w:pPr>
            <w:r>
              <w:rPr>
                <w:rFonts w:ascii="Arial" w:cs="Arial" w:eastAsia="Arial" w:hAnsi="Arial"/>
                <w:sz w:val="16"/>
                <w:szCs w:val="16"/>
                <w:color w:val="auto"/>
              </w:rPr>
              <w:t>Miscellaneous</w:t>
            </w:r>
          </w:p>
        </w:tc>
        <w:tc>
          <w:tcPr>
            <w:tcW w:w="3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w w:val="89"/>
              </w:rPr>
              <w:t>1,224</w:t>
            </w: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0" w:type="dxa"/>
            <w:vAlign w:val="bottom"/>
          </w:tcPr>
          <w:p>
            <w:pPr>
              <w:jc w:val="right"/>
              <w:ind w:right="20"/>
              <w:spacing w:after="0"/>
              <w:rPr>
                <w:sz w:val="20"/>
                <w:szCs w:val="20"/>
                <w:color w:val="auto"/>
              </w:rPr>
            </w:pPr>
            <w:r>
              <w:rPr>
                <w:rFonts w:ascii="Arial" w:cs="Arial" w:eastAsia="Arial" w:hAnsi="Arial"/>
                <w:sz w:val="16"/>
                <w:szCs w:val="16"/>
                <w:color w:val="auto"/>
              </w:rPr>
              <w:t>1,076</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360" w:type="dxa"/>
            <w:vAlign w:val="bottom"/>
            <w:shd w:val="clear" w:color="auto" w:fill="CCEEFF"/>
          </w:tcPr>
          <w:p>
            <w:pPr>
              <w:spacing w:after="0"/>
              <w:rPr>
                <w:sz w:val="20"/>
                <w:szCs w:val="20"/>
                <w:color w:val="auto"/>
              </w:rPr>
            </w:pPr>
            <w:r>
              <w:rPr>
                <w:rFonts w:ascii="Arial" w:cs="Arial" w:eastAsia="Arial" w:hAnsi="Arial"/>
                <w:sz w:val="16"/>
                <w:szCs w:val="16"/>
                <w:color w:val="auto"/>
              </w:rPr>
              <w:t>Foreign exchange derivative instruments</w:t>
            </w:r>
          </w:p>
        </w:tc>
        <w:tc>
          <w:tcPr>
            <w:tcW w:w="3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730</w:t>
            </w:r>
          </w:p>
        </w:tc>
        <w:tc>
          <w:tcPr>
            <w:tcW w:w="1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00" w:type="dxa"/>
            <w:vAlign w:val="bottom"/>
            <w:tcBorders>
              <w:right w:val="single" w:sz="8" w:color="CCEEFF"/>
            </w:tcBorders>
            <w:shd w:val="clear" w:color="auto" w:fill="CCEEFF"/>
          </w:tcPr>
          <w:p>
            <w:pPr>
              <w:jc w:val="right"/>
              <w:ind w:right="100"/>
              <w:spacing w:after="0"/>
              <w:rPr>
                <w:sz w:val="20"/>
                <w:szCs w:val="20"/>
                <w:color w:val="auto"/>
              </w:rPr>
            </w:pPr>
            <w:r>
              <w:rPr>
                <w:rFonts w:ascii="Arial" w:cs="Arial" w:eastAsia="Arial" w:hAnsi="Arial"/>
                <w:sz w:val="16"/>
                <w:szCs w:val="16"/>
                <w:color w:val="auto"/>
              </w:rPr>
              <w:t>-</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360" w:type="dxa"/>
            <w:vAlign w:val="bottom"/>
            <w:tcBorders>
              <w:bottom w:val="single" w:sz="8" w:color="CCEEFF"/>
            </w:tcBorders>
          </w:tcPr>
          <w:p>
            <w:pPr>
              <w:spacing w:after="0"/>
              <w:rPr>
                <w:sz w:val="20"/>
                <w:szCs w:val="20"/>
                <w:color w:val="auto"/>
              </w:rPr>
            </w:pPr>
            <w:r>
              <w:rPr>
                <w:rFonts w:ascii="Arial" w:cs="Arial" w:eastAsia="Arial" w:hAnsi="Arial"/>
                <w:sz w:val="16"/>
                <w:szCs w:val="16"/>
                <w:color w:val="auto"/>
              </w:rPr>
              <w:t>Net operating loss and other tax carryforwards</w:t>
            </w:r>
          </w:p>
        </w:tc>
        <w:tc>
          <w:tcPr>
            <w:tcW w:w="380" w:type="dxa"/>
            <w:vAlign w:val="bottom"/>
            <w:tcBorders>
              <w:bottom w:val="single" w:sz="8" w:color="CCEEFF"/>
            </w:tcBorders>
          </w:tcPr>
          <w:p>
            <w:pPr>
              <w:spacing w:after="0"/>
              <w:rPr>
                <w:sz w:val="17"/>
                <w:szCs w:val="17"/>
                <w:color w:val="auto"/>
              </w:rPr>
            </w:pPr>
          </w:p>
        </w:tc>
        <w:tc>
          <w:tcPr>
            <w:tcW w:w="240" w:type="dxa"/>
            <w:vAlign w:val="bottom"/>
            <w:tcBorders>
              <w:bottom w:val="single" w:sz="8" w:color="CCEEFF"/>
            </w:tcBorders>
          </w:tcPr>
          <w:p>
            <w:pPr>
              <w:spacing w:after="0"/>
              <w:rPr>
                <w:sz w:val="17"/>
                <w:szCs w:val="17"/>
                <w:color w:val="auto"/>
              </w:rPr>
            </w:pPr>
          </w:p>
        </w:tc>
        <w:tc>
          <w:tcPr>
            <w:tcW w:w="340" w:type="dxa"/>
            <w:vAlign w:val="bottom"/>
            <w:tcBorders>
              <w:bottom w:val="single" w:sz="8" w:color="CCEEFF"/>
            </w:tcBorders>
          </w:tcPr>
          <w:p>
            <w:pPr>
              <w:spacing w:after="0"/>
              <w:rPr>
                <w:sz w:val="17"/>
                <w:szCs w:val="17"/>
                <w:color w:val="auto"/>
              </w:rPr>
            </w:pPr>
          </w:p>
        </w:tc>
        <w:tc>
          <w:tcPr>
            <w:tcW w:w="580" w:type="dxa"/>
            <w:vAlign w:val="bottom"/>
            <w:tcBorders>
              <w:bottom w:val="single" w:sz="8" w:color="auto"/>
            </w:tcBorders>
          </w:tcPr>
          <w:p>
            <w:pPr>
              <w:spacing w:after="0"/>
              <w:rPr>
                <w:sz w:val="17"/>
                <w:szCs w:val="17"/>
                <w:color w:val="auto"/>
              </w:rPr>
            </w:pPr>
          </w:p>
        </w:tc>
        <w:tc>
          <w:tcPr>
            <w:tcW w:w="680" w:type="dxa"/>
            <w:vAlign w:val="bottom"/>
            <w:tcBorders>
              <w:bottom w:val="single" w:sz="8" w:color="auto"/>
            </w:tcBorders>
            <w:gridSpan w:val="3"/>
          </w:tcPr>
          <w:p>
            <w:pPr>
              <w:jc w:val="right"/>
              <w:spacing w:after="0"/>
              <w:rPr>
                <w:sz w:val="20"/>
                <w:szCs w:val="20"/>
                <w:color w:val="auto"/>
              </w:rPr>
            </w:pPr>
            <w:r>
              <w:rPr>
                <w:rFonts w:ascii="Arial" w:cs="Arial" w:eastAsia="Arial" w:hAnsi="Arial"/>
                <w:sz w:val="16"/>
                <w:szCs w:val="16"/>
                <w:color w:val="auto"/>
              </w:rPr>
              <w:t>103,455</w:t>
            </w:r>
          </w:p>
        </w:tc>
        <w:tc>
          <w:tcPr>
            <w:tcW w:w="120" w:type="dxa"/>
            <w:vAlign w:val="bottom"/>
            <w:tcBorders>
              <w:bottom w:val="single" w:sz="8" w:color="CCEEFF"/>
            </w:tcBorders>
          </w:tcPr>
          <w:p>
            <w:pPr>
              <w:spacing w:after="0"/>
              <w:rPr>
                <w:sz w:val="17"/>
                <w:szCs w:val="17"/>
                <w:color w:val="auto"/>
              </w:rPr>
            </w:pPr>
          </w:p>
        </w:tc>
        <w:tc>
          <w:tcPr>
            <w:tcW w:w="20" w:type="dxa"/>
            <w:vAlign w:val="bottom"/>
            <w:tcBorders>
              <w:bottom w:val="single" w:sz="8" w:color="CCEEFF"/>
            </w:tcBorders>
          </w:tcPr>
          <w:p>
            <w:pPr>
              <w:spacing w:after="0"/>
              <w:rPr>
                <w:sz w:val="17"/>
                <w:szCs w:val="17"/>
                <w:color w:val="auto"/>
              </w:rPr>
            </w:pPr>
          </w:p>
        </w:tc>
        <w:tc>
          <w:tcPr>
            <w:tcW w:w="2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600" w:type="dxa"/>
            <w:vAlign w:val="bottom"/>
            <w:tcBorders>
              <w:bottom w:val="single" w:sz="8" w:color="auto"/>
            </w:tcBorders>
          </w:tcPr>
          <w:p>
            <w:pPr>
              <w:jc w:val="right"/>
              <w:ind w:right="20"/>
              <w:spacing w:after="0"/>
              <w:rPr>
                <w:sz w:val="20"/>
                <w:szCs w:val="20"/>
                <w:color w:val="auto"/>
              </w:rPr>
            </w:pPr>
            <w:r>
              <w:rPr>
                <w:rFonts w:ascii="Arial" w:cs="Arial" w:eastAsia="Arial" w:hAnsi="Arial"/>
                <w:sz w:val="16"/>
                <w:szCs w:val="16"/>
                <w:color w:val="auto"/>
                <w:w w:val="98"/>
              </w:rPr>
              <w:t>55,936</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3360" w:type="dxa"/>
            <w:vAlign w:val="bottom"/>
            <w:shd w:val="clear" w:color="auto" w:fill="CCEEFF"/>
          </w:tcPr>
          <w:p>
            <w:pPr>
              <w:ind w:left="400"/>
              <w:spacing w:after="0"/>
              <w:rPr>
                <w:sz w:val="20"/>
                <w:szCs w:val="20"/>
                <w:color w:val="auto"/>
              </w:rPr>
            </w:pPr>
            <w:r>
              <w:rPr>
                <w:rFonts w:ascii="Arial" w:cs="Arial" w:eastAsia="Arial" w:hAnsi="Arial"/>
                <w:sz w:val="16"/>
                <w:szCs w:val="16"/>
                <w:color w:val="auto"/>
              </w:rPr>
              <w:t>Gross deferred tax assets</w:t>
            </w:r>
          </w:p>
        </w:tc>
        <w:tc>
          <w:tcPr>
            <w:tcW w:w="3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580" w:type="dxa"/>
            <w:vAlign w:val="bottom"/>
            <w:tcBorders>
              <w:bottom w:val="single" w:sz="8" w:color="auto"/>
            </w:tcBorders>
            <w:shd w:val="clear" w:color="auto" w:fill="CCEEFF"/>
          </w:tcPr>
          <w:p>
            <w:pPr>
              <w:spacing w:after="0"/>
              <w:rPr>
                <w:sz w:val="17"/>
                <w:szCs w:val="17"/>
                <w:color w:val="auto"/>
              </w:rPr>
            </w:pPr>
          </w:p>
        </w:tc>
        <w:tc>
          <w:tcPr>
            <w:tcW w:w="680" w:type="dxa"/>
            <w:vAlign w:val="bottom"/>
            <w:tcBorders>
              <w:bottom w:val="single" w:sz="8" w:color="auto"/>
            </w:tcBorders>
            <w:gridSpan w:val="3"/>
            <w:shd w:val="clear" w:color="auto" w:fill="CCEEFF"/>
          </w:tcPr>
          <w:p>
            <w:pPr>
              <w:jc w:val="right"/>
              <w:spacing w:after="0"/>
              <w:rPr>
                <w:sz w:val="20"/>
                <w:szCs w:val="20"/>
                <w:color w:val="auto"/>
              </w:rPr>
            </w:pPr>
            <w:r>
              <w:rPr>
                <w:rFonts w:ascii="Arial" w:cs="Arial" w:eastAsia="Arial" w:hAnsi="Arial"/>
                <w:sz w:val="16"/>
                <w:szCs w:val="16"/>
                <w:color w:val="auto"/>
              </w:rPr>
              <w:t>175,853</w:t>
            </w:r>
          </w:p>
        </w:tc>
        <w:tc>
          <w:tcPr>
            <w:tcW w:w="1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780" w:type="dxa"/>
            <w:vAlign w:val="bottom"/>
            <w:tcBorders>
              <w:bottom w:val="single" w:sz="8" w:color="auto"/>
              <w:right w:val="single" w:sz="8" w:color="CCEEFF"/>
            </w:tcBorders>
            <w:gridSpan w:val="3"/>
            <w:shd w:val="clear" w:color="auto" w:fill="CCEEFF"/>
          </w:tcPr>
          <w:p>
            <w:pPr>
              <w:jc w:val="right"/>
              <w:ind w:right="20"/>
              <w:spacing w:after="0"/>
              <w:rPr>
                <w:sz w:val="20"/>
                <w:szCs w:val="20"/>
                <w:color w:val="auto"/>
              </w:rPr>
            </w:pPr>
            <w:r>
              <w:rPr>
                <w:rFonts w:ascii="Arial" w:cs="Arial" w:eastAsia="Arial" w:hAnsi="Arial"/>
                <w:sz w:val="16"/>
                <w:szCs w:val="16"/>
                <w:color w:val="auto"/>
              </w:rPr>
              <w:t>214,108</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3380" w:type="dxa"/>
            <w:vAlign w:val="bottom"/>
            <w:gridSpan w:val="2"/>
          </w:tcPr>
          <w:p>
            <w:pPr>
              <w:spacing w:after="0"/>
              <w:rPr>
                <w:sz w:val="20"/>
                <w:szCs w:val="20"/>
                <w:color w:val="auto"/>
              </w:rPr>
            </w:pPr>
            <w:r>
              <w:rPr>
                <w:rFonts w:ascii="Arial" w:cs="Arial" w:eastAsia="Arial" w:hAnsi="Arial"/>
                <w:sz w:val="16"/>
                <w:szCs w:val="16"/>
                <w:color w:val="auto"/>
              </w:rPr>
              <w:t>Valuation allowance</w:t>
            </w:r>
          </w:p>
        </w:tc>
        <w:tc>
          <w:tcPr>
            <w:tcW w:w="3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680" w:type="dxa"/>
            <w:vAlign w:val="bottom"/>
            <w:gridSpan w:val="3"/>
          </w:tcPr>
          <w:p>
            <w:pPr>
              <w:jc w:val="right"/>
              <w:spacing w:after="0"/>
              <w:rPr>
                <w:sz w:val="20"/>
                <w:szCs w:val="20"/>
                <w:color w:val="auto"/>
              </w:rPr>
            </w:pPr>
            <w:r>
              <w:rPr>
                <w:rFonts w:ascii="Arial" w:cs="Arial" w:eastAsia="Arial" w:hAnsi="Arial"/>
                <w:sz w:val="16"/>
                <w:szCs w:val="16"/>
                <w:color w:val="auto"/>
              </w:rPr>
              <w:t>(25,887)</w:t>
            </w: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0" w:type="dxa"/>
            <w:vAlign w:val="bottom"/>
          </w:tcPr>
          <w:p>
            <w:pPr>
              <w:jc w:val="right"/>
              <w:spacing w:after="0"/>
              <w:rPr>
                <w:sz w:val="20"/>
                <w:szCs w:val="20"/>
                <w:color w:val="auto"/>
              </w:rPr>
            </w:pPr>
            <w:r>
              <w:rPr>
                <w:rFonts w:ascii="Arial" w:cs="Arial" w:eastAsia="Arial" w:hAnsi="Arial"/>
                <w:sz w:val="16"/>
                <w:szCs w:val="16"/>
                <w:color w:val="auto"/>
                <w:w w:val="87"/>
              </w:rPr>
              <w:t>(21,726)</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3360" w:type="dxa"/>
            <w:vAlign w:val="bottom"/>
            <w:tcBorders>
              <w:top w:val="single" w:sz="8" w:color="CCEEFF"/>
            </w:tcBorders>
            <w:shd w:val="clear" w:color="auto" w:fill="CCEEFF"/>
          </w:tcPr>
          <w:p>
            <w:pPr>
              <w:ind w:left="400"/>
              <w:spacing w:after="0"/>
              <w:rPr>
                <w:sz w:val="20"/>
                <w:szCs w:val="20"/>
                <w:color w:val="auto"/>
              </w:rPr>
            </w:pPr>
            <w:r>
              <w:rPr>
                <w:rFonts w:ascii="Arial" w:cs="Arial" w:eastAsia="Arial" w:hAnsi="Arial"/>
                <w:sz w:val="16"/>
                <w:szCs w:val="16"/>
                <w:color w:val="auto"/>
              </w:rPr>
              <w:t>Total deferred tax assets</w:t>
            </w:r>
          </w:p>
        </w:tc>
        <w:tc>
          <w:tcPr>
            <w:tcW w:w="380" w:type="dxa"/>
            <w:vAlign w:val="bottom"/>
            <w:tcBorders>
              <w:top w:val="single" w:sz="8" w:color="CCEEFF"/>
            </w:tcBorders>
            <w:shd w:val="clear" w:color="auto" w:fill="CCEEFF"/>
          </w:tcPr>
          <w:p>
            <w:pPr>
              <w:spacing w:after="0"/>
              <w:rPr>
                <w:sz w:val="17"/>
                <w:szCs w:val="17"/>
                <w:color w:val="auto"/>
              </w:rPr>
            </w:pPr>
          </w:p>
        </w:tc>
        <w:tc>
          <w:tcPr>
            <w:tcW w:w="240" w:type="dxa"/>
            <w:vAlign w:val="bottom"/>
            <w:tcBorders>
              <w:top w:val="single" w:sz="8" w:color="CCEEFF"/>
            </w:tcBorders>
            <w:shd w:val="clear" w:color="auto" w:fill="CCEEFF"/>
          </w:tcPr>
          <w:p>
            <w:pPr>
              <w:spacing w:after="0"/>
              <w:rPr>
                <w:sz w:val="17"/>
                <w:szCs w:val="17"/>
                <w:color w:val="auto"/>
              </w:rPr>
            </w:pPr>
          </w:p>
        </w:tc>
        <w:tc>
          <w:tcPr>
            <w:tcW w:w="340" w:type="dxa"/>
            <w:vAlign w:val="bottom"/>
            <w:tcBorders>
              <w:top w:val="single" w:sz="8" w:color="CCEEFF"/>
            </w:tcBorders>
            <w:shd w:val="clear" w:color="auto" w:fill="CCEEFF"/>
          </w:tcPr>
          <w:p>
            <w:pPr>
              <w:spacing w:after="0"/>
              <w:rPr>
                <w:sz w:val="17"/>
                <w:szCs w:val="17"/>
                <w:color w:val="auto"/>
              </w:rPr>
            </w:pPr>
          </w:p>
        </w:tc>
        <w:tc>
          <w:tcPr>
            <w:tcW w:w="580" w:type="dxa"/>
            <w:vAlign w:val="bottom"/>
            <w:tcBorders>
              <w:top w:val="single" w:sz="8" w:color="auto"/>
              <w:bottom w:val="single" w:sz="8" w:color="auto"/>
            </w:tcBorders>
            <w:shd w:val="clear" w:color="auto" w:fill="CCEEFF"/>
          </w:tcPr>
          <w:p>
            <w:pPr>
              <w:spacing w:after="0"/>
              <w:rPr>
                <w:sz w:val="17"/>
                <w:szCs w:val="17"/>
                <w:color w:val="auto"/>
              </w:rPr>
            </w:pPr>
          </w:p>
        </w:tc>
        <w:tc>
          <w:tcPr>
            <w:tcW w:w="680" w:type="dxa"/>
            <w:vAlign w:val="bottom"/>
            <w:tcBorders>
              <w:top w:val="single" w:sz="8" w:color="auto"/>
              <w:bottom w:val="single" w:sz="8" w:color="auto"/>
            </w:tcBorders>
            <w:gridSpan w:val="3"/>
            <w:shd w:val="clear" w:color="auto" w:fill="CCEEFF"/>
          </w:tcPr>
          <w:p>
            <w:pPr>
              <w:jc w:val="right"/>
              <w:spacing w:after="0"/>
              <w:rPr>
                <w:sz w:val="20"/>
                <w:szCs w:val="20"/>
                <w:color w:val="auto"/>
              </w:rPr>
            </w:pPr>
            <w:r>
              <w:rPr>
                <w:rFonts w:ascii="Arial" w:cs="Arial" w:eastAsia="Arial" w:hAnsi="Arial"/>
                <w:sz w:val="16"/>
                <w:szCs w:val="16"/>
                <w:color w:val="auto"/>
              </w:rPr>
              <w:t>149,966</w:t>
            </w:r>
          </w:p>
        </w:tc>
        <w:tc>
          <w:tcPr>
            <w:tcW w:w="120" w:type="dxa"/>
            <w:vAlign w:val="bottom"/>
            <w:tcBorders>
              <w:top w:val="single" w:sz="8" w:color="CCEEFF"/>
            </w:tcBorders>
            <w:shd w:val="clear" w:color="auto" w:fill="CCEEFF"/>
          </w:tcPr>
          <w:p>
            <w:pPr>
              <w:spacing w:after="0"/>
              <w:rPr>
                <w:sz w:val="17"/>
                <w:szCs w:val="17"/>
                <w:color w:val="auto"/>
              </w:rPr>
            </w:pPr>
          </w:p>
        </w:tc>
        <w:tc>
          <w:tcPr>
            <w:tcW w:w="20" w:type="dxa"/>
            <w:vAlign w:val="bottom"/>
            <w:tcBorders>
              <w:top w:val="single" w:sz="8" w:color="CCEEFF"/>
            </w:tcBorders>
            <w:shd w:val="clear" w:color="auto" w:fill="CCEEFF"/>
          </w:tcPr>
          <w:p>
            <w:pPr>
              <w:spacing w:after="0"/>
              <w:rPr>
                <w:sz w:val="17"/>
                <w:szCs w:val="17"/>
                <w:color w:val="auto"/>
              </w:rPr>
            </w:pPr>
          </w:p>
        </w:tc>
        <w:tc>
          <w:tcPr>
            <w:tcW w:w="20" w:type="dxa"/>
            <w:vAlign w:val="bottom"/>
            <w:tcBorders>
              <w:top w:val="single" w:sz="8" w:color="CCEEFF"/>
            </w:tcBorders>
            <w:shd w:val="clear" w:color="auto" w:fill="CCEEFF"/>
          </w:tcPr>
          <w:p>
            <w:pPr>
              <w:spacing w:after="0"/>
              <w:rPr>
                <w:sz w:val="17"/>
                <w:szCs w:val="17"/>
                <w:color w:val="auto"/>
              </w:rPr>
            </w:pPr>
          </w:p>
        </w:tc>
        <w:tc>
          <w:tcPr>
            <w:tcW w:w="780" w:type="dxa"/>
            <w:vAlign w:val="bottom"/>
            <w:tcBorders>
              <w:top w:val="single" w:sz="8" w:color="auto"/>
              <w:bottom w:val="single" w:sz="8" w:color="auto"/>
              <w:right w:val="single" w:sz="8" w:color="CCEEFF"/>
            </w:tcBorders>
            <w:gridSpan w:val="3"/>
            <w:shd w:val="clear" w:color="auto" w:fill="CCEEFF"/>
          </w:tcPr>
          <w:p>
            <w:pPr>
              <w:jc w:val="right"/>
              <w:ind w:right="20"/>
              <w:spacing w:after="0"/>
              <w:rPr>
                <w:sz w:val="20"/>
                <w:szCs w:val="20"/>
                <w:color w:val="auto"/>
              </w:rPr>
            </w:pPr>
            <w:r>
              <w:rPr>
                <w:rFonts w:ascii="Arial" w:cs="Arial" w:eastAsia="Arial" w:hAnsi="Arial"/>
                <w:sz w:val="16"/>
                <w:szCs w:val="16"/>
                <w:color w:val="auto"/>
              </w:rPr>
              <w:t>192,382</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83"/>
        </w:trPr>
        <w:tc>
          <w:tcPr>
            <w:tcW w:w="20" w:type="dxa"/>
            <w:vAlign w:val="bottom"/>
          </w:tcPr>
          <w:p>
            <w:pPr>
              <w:spacing w:after="0"/>
              <w:rPr>
                <w:sz w:val="15"/>
                <w:szCs w:val="15"/>
                <w:color w:val="auto"/>
              </w:rPr>
            </w:pPr>
          </w:p>
        </w:tc>
        <w:tc>
          <w:tcPr>
            <w:tcW w:w="3360" w:type="dxa"/>
            <w:vAlign w:val="bottom"/>
          </w:tcPr>
          <w:p>
            <w:pPr>
              <w:spacing w:after="0" w:line="183" w:lineRule="exact"/>
              <w:rPr>
                <w:sz w:val="20"/>
                <w:szCs w:val="20"/>
                <w:color w:val="auto"/>
              </w:rPr>
            </w:pPr>
            <w:r>
              <w:rPr>
                <w:rFonts w:ascii="Arial" w:cs="Arial" w:eastAsia="Arial" w:hAnsi="Arial"/>
                <w:sz w:val="16"/>
                <w:szCs w:val="16"/>
                <w:b w:val="1"/>
                <w:bCs w:val="1"/>
                <w:color w:val="auto"/>
              </w:rPr>
              <w:t>Deferred tax liabilities</w:t>
            </w:r>
          </w:p>
        </w:tc>
        <w:tc>
          <w:tcPr>
            <w:tcW w:w="3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360" w:type="dxa"/>
            <w:vAlign w:val="bottom"/>
            <w:shd w:val="clear" w:color="auto" w:fill="CCEEFF"/>
          </w:tcPr>
          <w:p>
            <w:pPr>
              <w:spacing w:after="0"/>
              <w:rPr>
                <w:sz w:val="20"/>
                <w:szCs w:val="20"/>
                <w:color w:val="auto"/>
              </w:rPr>
            </w:pPr>
            <w:r>
              <w:rPr>
                <w:rFonts w:ascii="Arial" w:cs="Arial" w:eastAsia="Arial" w:hAnsi="Arial"/>
                <w:sz w:val="16"/>
                <w:szCs w:val="16"/>
                <w:color w:val="auto"/>
              </w:rPr>
              <w:t>Property, plant and equipment</w:t>
            </w:r>
          </w:p>
        </w:tc>
        <w:tc>
          <w:tcPr>
            <w:tcW w:w="3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680" w:type="dxa"/>
            <w:vAlign w:val="bottom"/>
            <w:gridSpan w:val="3"/>
            <w:shd w:val="clear" w:color="auto" w:fill="CCEEFF"/>
          </w:tcPr>
          <w:p>
            <w:pPr>
              <w:jc w:val="right"/>
              <w:spacing w:after="0"/>
              <w:rPr>
                <w:sz w:val="20"/>
                <w:szCs w:val="20"/>
                <w:color w:val="auto"/>
              </w:rPr>
            </w:pPr>
            <w:r>
              <w:rPr>
                <w:rFonts w:ascii="Arial" w:cs="Arial" w:eastAsia="Arial" w:hAnsi="Arial"/>
                <w:sz w:val="16"/>
                <w:szCs w:val="16"/>
                <w:color w:val="auto"/>
              </w:rPr>
              <w:t>(11,325)</w:t>
            </w:r>
          </w:p>
        </w:tc>
        <w:tc>
          <w:tcPr>
            <w:tcW w:w="1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7"/>
              </w:rPr>
              <w:t>(17,496)</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360" w:type="dxa"/>
            <w:vAlign w:val="bottom"/>
          </w:tcPr>
          <w:p>
            <w:pPr>
              <w:spacing w:after="0"/>
              <w:rPr>
                <w:sz w:val="20"/>
                <w:szCs w:val="20"/>
                <w:color w:val="auto"/>
              </w:rPr>
            </w:pPr>
            <w:r>
              <w:rPr>
                <w:rFonts w:ascii="Arial" w:cs="Arial" w:eastAsia="Arial" w:hAnsi="Arial"/>
                <w:sz w:val="16"/>
                <w:szCs w:val="16"/>
                <w:color w:val="auto"/>
              </w:rPr>
              <w:t>Identifiable intangible assets</w:t>
            </w:r>
          </w:p>
        </w:tc>
        <w:tc>
          <w:tcPr>
            <w:tcW w:w="3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680" w:type="dxa"/>
            <w:vAlign w:val="bottom"/>
            <w:gridSpan w:val="3"/>
          </w:tcPr>
          <w:p>
            <w:pPr>
              <w:jc w:val="right"/>
              <w:spacing w:after="0"/>
              <w:rPr>
                <w:sz w:val="20"/>
                <w:szCs w:val="20"/>
                <w:color w:val="auto"/>
              </w:rPr>
            </w:pPr>
            <w:r>
              <w:rPr>
                <w:rFonts w:ascii="Arial" w:cs="Arial" w:eastAsia="Arial" w:hAnsi="Arial"/>
                <w:sz w:val="16"/>
                <w:szCs w:val="16"/>
                <w:color w:val="auto"/>
              </w:rPr>
              <w:t>(36,687)</w:t>
            </w: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0" w:type="dxa"/>
            <w:vAlign w:val="bottom"/>
          </w:tcPr>
          <w:p>
            <w:pPr>
              <w:jc w:val="right"/>
              <w:spacing w:after="0"/>
              <w:rPr>
                <w:sz w:val="20"/>
                <w:szCs w:val="20"/>
                <w:color w:val="auto"/>
              </w:rPr>
            </w:pPr>
            <w:r>
              <w:rPr>
                <w:rFonts w:ascii="Arial" w:cs="Arial" w:eastAsia="Arial" w:hAnsi="Arial"/>
                <w:sz w:val="16"/>
                <w:szCs w:val="16"/>
                <w:color w:val="auto"/>
                <w:w w:val="87"/>
              </w:rPr>
              <w:t>(46,701)</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360" w:type="dxa"/>
            <w:vAlign w:val="bottom"/>
            <w:shd w:val="clear" w:color="auto" w:fill="CCEEFF"/>
          </w:tcPr>
          <w:p>
            <w:pPr>
              <w:spacing w:after="0"/>
              <w:rPr>
                <w:sz w:val="20"/>
                <w:szCs w:val="20"/>
                <w:color w:val="auto"/>
              </w:rPr>
            </w:pPr>
            <w:r>
              <w:rPr>
                <w:rFonts w:ascii="Arial" w:cs="Arial" w:eastAsia="Arial" w:hAnsi="Arial"/>
                <w:sz w:val="16"/>
                <w:szCs w:val="16"/>
                <w:color w:val="auto"/>
              </w:rPr>
              <w:t>Foreign exchange derivative instruments</w:t>
            </w:r>
          </w:p>
        </w:tc>
        <w:tc>
          <w:tcPr>
            <w:tcW w:w="3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40" w:type="dxa"/>
            <w:vAlign w:val="bottom"/>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1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(4,076)</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360" w:type="dxa"/>
            <w:vAlign w:val="bottom"/>
            <w:tcBorders>
              <w:bottom w:val="single" w:sz="8" w:color="CCEEFF"/>
            </w:tcBorders>
          </w:tcPr>
          <w:p>
            <w:pPr>
              <w:spacing w:after="0"/>
              <w:rPr>
                <w:sz w:val="20"/>
                <w:szCs w:val="20"/>
                <w:color w:val="auto"/>
              </w:rPr>
            </w:pPr>
            <w:r>
              <w:rPr>
                <w:rFonts w:ascii="Arial" w:cs="Arial" w:eastAsia="Arial" w:hAnsi="Arial"/>
                <w:sz w:val="16"/>
                <w:szCs w:val="16"/>
                <w:color w:val="auto"/>
              </w:rPr>
              <w:t>Miscellaneous</w:t>
            </w:r>
          </w:p>
        </w:tc>
        <w:tc>
          <w:tcPr>
            <w:tcW w:w="380" w:type="dxa"/>
            <w:vAlign w:val="bottom"/>
            <w:tcBorders>
              <w:bottom w:val="single" w:sz="8" w:color="CCEEFF"/>
            </w:tcBorders>
          </w:tcPr>
          <w:p>
            <w:pPr>
              <w:spacing w:after="0"/>
              <w:rPr>
                <w:sz w:val="17"/>
                <w:szCs w:val="17"/>
                <w:color w:val="auto"/>
              </w:rPr>
            </w:pPr>
          </w:p>
        </w:tc>
        <w:tc>
          <w:tcPr>
            <w:tcW w:w="240" w:type="dxa"/>
            <w:vAlign w:val="bottom"/>
            <w:tcBorders>
              <w:bottom w:val="single" w:sz="8" w:color="CCEEFF"/>
            </w:tcBorders>
          </w:tcPr>
          <w:p>
            <w:pPr>
              <w:spacing w:after="0"/>
              <w:rPr>
                <w:sz w:val="17"/>
                <w:szCs w:val="17"/>
                <w:color w:val="auto"/>
              </w:rPr>
            </w:pPr>
          </w:p>
        </w:tc>
        <w:tc>
          <w:tcPr>
            <w:tcW w:w="340" w:type="dxa"/>
            <w:vAlign w:val="bottom"/>
            <w:tcBorders>
              <w:bottom w:val="single" w:sz="8" w:color="CCEEFF"/>
            </w:tcBorders>
          </w:tcPr>
          <w:p>
            <w:pPr>
              <w:spacing w:after="0"/>
              <w:rPr>
                <w:sz w:val="17"/>
                <w:szCs w:val="17"/>
                <w:color w:val="auto"/>
              </w:rPr>
            </w:pPr>
          </w:p>
        </w:tc>
        <w:tc>
          <w:tcPr>
            <w:tcW w:w="580" w:type="dxa"/>
            <w:vAlign w:val="bottom"/>
            <w:tcBorders>
              <w:bottom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(954)</w:t>
            </w:r>
          </w:p>
        </w:tc>
        <w:tc>
          <w:tcPr>
            <w:tcW w:w="120" w:type="dxa"/>
            <w:vAlign w:val="bottom"/>
            <w:tcBorders>
              <w:bottom w:val="single" w:sz="8" w:color="CCEEFF"/>
            </w:tcBorders>
          </w:tcPr>
          <w:p>
            <w:pPr>
              <w:spacing w:after="0"/>
              <w:rPr>
                <w:sz w:val="17"/>
                <w:szCs w:val="17"/>
                <w:color w:val="auto"/>
              </w:rPr>
            </w:pPr>
          </w:p>
        </w:tc>
        <w:tc>
          <w:tcPr>
            <w:tcW w:w="20" w:type="dxa"/>
            <w:vAlign w:val="bottom"/>
            <w:tcBorders>
              <w:bottom w:val="single" w:sz="8" w:color="CCEEFF"/>
            </w:tcBorders>
          </w:tcPr>
          <w:p>
            <w:pPr>
              <w:spacing w:after="0"/>
              <w:rPr>
                <w:sz w:val="17"/>
                <w:szCs w:val="17"/>
                <w:color w:val="auto"/>
              </w:rPr>
            </w:pPr>
          </w:p>
        </w:tc>
        <w:tc>
          <w:tcPr>
            <w:tcW w:w="2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(1,145)</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3360" w:type="dxa"/>
            <w:vAlign w:val="bottom"/>
            <w:shd w:val="clear" w:color="auto" w:fill="CCEEFF"/>
          </w:tcPr>
          <w:p>
            <w:pPr>
              <w:ind w:left="520"/>
              <w:spacing w:after="0"/>
              <w:rPr>
                <w:sz w:val="20"/>
                <w:szCs w:val="20"/>
                <w:color w:val="auto"/>
              </w:rPr>
            </w:pPr>
            <w:r>
              <w:rPr>
                <w:rFonts w:ascii="Arial" w:cs="Arial" w:eastAsia="Arial" w:hAnsi="Arial"/>
                <w:sz w:val="16"/>
                <w:szCs w:val="16"/>
                <w:color w:val="auto"/>
              </w:rPr>
              <w:t>Total deferred tax liabilities</w:t>
            </w:r>
          </w:p>
        </w:tc>
        <w:tc>
          <w:tcPr>
            <w:tcW w:w="3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580" w:type="dxa"/>
            <w:vAlign w:val="bottom"/>
            <w:tcBorders>
              <w:bottom w:val="single" w:sz="8" w:color="auto"/>
            </w:tcBorders>
            <w:shd w:val="clear" w:color="auto" w:fill="CCEEFF"/>
          </w:tcPr>
          <w:p>
            <w:pPr>
              <w:spacing w:after="0"/>
              <w:rPr>
                <w:sz w:val="17"/>
                <w:szCs w:val="17"/>
                <w:color w:val="auto"/>
              </w:rPr>
            </w:pPr>
          </w:p>
        </w:tc>
        <w:tc>
          <w:tcPr>
            <w:tcW w:w="680" w:type="dxa"/>
            <w:vAlign w:val="bottom"/>
            <w:tcBorders>
              <w:bottom w:val="single" w:sz="8" w:color="auto"/>
            </w:tcBorders>
            <w:gridSpan w:val="3"/>
            <w:shd w:val="clear" w:color="auto" w:fill="CCEEFF"/>
          </w:tcPr>
          <w:p>
            <w:pPr>
              <w:jc w:val="right"/>
              <w:spacing w:after="0"/>
              <w:rPr>
                <w:sz w:val="20"/>
                <w:szCs w:val="20"/>
                <w:color w:val="auto"/>
              </w:rPr>
            </w:pPr>
            <w:r>
              <w:rPr>
                <w:rFonts w:ascii="Arial" w:cs="Arial" w:eastAsia="Arial" w:hAnsi="Arial"/>
                <w:sz w:val="16"/>
                <w:szCs w:val="16"/>
                <w:color w:val="auto"/>
              </w:rPr>
              <w:t>(48,966)</w:t>
            </w:r>
          </w:p>
        </w:tc>
        <w:tc>
          <w:tcPr>
            <w:tcW w:w="1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spacing w:after="0"/>
              <w:rPr>
                <w:sz w:val="17"/>
                <w:szCs w:val="17"/>
                <w:color w:val="auto"/>
              </w:rPr>
            </w:pPr>
          </w:p>
        </w:tc>
        <w:tc>
          <w:tcPr>
            <w:tcW w:w="600" w:type="dxa"/>
            <w:vAlign w:val="bottom"/>
            <w:tcBorders>
              <w:bottom w:val="single" w:sz="8" w:color="auto"/>
              <w:right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7"/>
              </w:rPr>
              <w:t>(69,418)</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360" w:type="dxa"/>
            <w:vAlign w:val="bottom"/>
          </w:tcPr>
          <w:p>
            <w:pPr>
              <w:ind w:left="520"/>
              <w:spacing w:after="0"/>
              <w:rPr>
                <w:sz w:val="20"/>
                <w:szCs w:val="20"/>
                <w:color w:val="auto"/>
              </w:rPr>
            </w:pPr>
            <w:r>
              <w:rPr>
                <w:rFonts w:ascii="Arial" w:cs="Arial" w:eastAsia="Arial" w:hAnsi="Arial"/>
                <w:sz w:val="16"/>
                <w:szCs w:val="16"/>
                <w:color w:val="auto"/>
              </w:rPr>
              <w:t>Net deferred tax asset</w:t>
            </w:r>
          </w:p>
        </w:tc>
        <w:tc>
          <w:tcPr>
            <w:tcW w:w="3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580" w:type="dxa"/>
            <w:vAlign w:val="bottom"/>
            <w:tcBorders>
              <w:bottom w:val="single" w:sz="8" w:color="auto"/>
            </w:tcBorders>
          </w:tcPr>
          <w:p>
            <w:pPr>
              <w:jc w:val="right"/>
              <w:ind w:right="426"/>
              <w:spacing w:after="0"/>
              <w:rPr>
                <w:sz w:val="20"/>
                <w:szCs w:val="20"/>
                <w:color w:val="auto"/>
              </w:rPr>
            </w:pPr>
            <w:r>
              <w:rPr>
                <w:rFonts w:ascii="Arial" w:cs="Arial" w:eastAsia="Arial" w:hAnsi="Arial"/>
                <w:sz w:val="15"/>
                <w:szCs w:val="15"/>
                <w:color w:val="auto"/>
                <w:w w:val="71"/>
              </w:rPr>
              <w:t>$</w:t>
            </w:r>
          </w:p>
        </w:tc>
        <w:tc>
          <w:tcPr>
            <w:tcW w:w="680" w:type="dxa"/>
            <w:vAlign w:val="bottom"/>
            <w:tcBorders>
              <w:bottom w:val="single" w:sz="8" w:color="auto"/>
            </w:tcBorders>
            <w:gridSpan w:val="3"/>
          </w:tcPr>
          <w:p>
            <w:pPr>
              <w:jc w:val="right"/>
              <w:spacing w:after="0"/>
              <w:rPr>
                <w:sz w:val="20"/>
                <w:szCs w:val="20"/>
                <w:color w:val="auto"/>
              </w:rPr>
            </w:pPr>
            <w:r>
              <w:rPr>
                <w:rFonts w:ascii="Arial" w:cs="Arial" w:eastAsia="Arial" w:hAnsi="Arial"/>
                <w:sz w:val="16"/>
                <w:szCs w:val="16"/>
                <w:color w:val="auto"/>
              </w:rPr>
              <w:t>101,000</w:t>
            </w: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gridSpan w:val="3"/>
          </w:tcPr>
          <w:p>
            <w:pPr>
              <w:jc w:val="right"/>
              <w:ind w:right="20"/>
              <w:spacing w:after="0"/>
              <w:rPr>
                <w:sz w:val="20"/>
                <w:szCs w:val="20"/>
                <w:color w:val="auto"/>
              </w:rPr>
            </w:pPr>
            <w:r>
              <w:rPr>
                <w:rFonts w:ascii="Arial" w:cs="Arial" w:eastAsia="Arial" w:hAnsi="Arial"/>
                <w:sz w:val="16"/>
                <w:szCs w:val="16"/>
                <w:color w:val="auto"/>
                <w:w w:val="92"/>
              </w:rPr>
              <w:t>$ 122,964</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1240" w:right="1379" w:firstLine="648"/>
        <w:spacing w:after="0" w:line="264" w:lineRule="auto"/>
        <w:rPr>
          <w:sz w:val="20"/>
          <w:szCs w:val="20"/>
          <w:color w:val="auto"/>
        </w:rPr>
      </w:pPr>
      <w:r>
        <w:rPr>
          <w:rFonts w:ascii="Arial" w:cs="Arial" w:eastAsia="Arial" w:hAnsi="Arial"/>
          <w:sz w:val="18"/>
          <w:szCs w:val="18"/>
          <w:color w:val="auto"/>
        </w:rPr>
        <w:t>Under U.S. tax law and regulations, certain changes in the ownership of the Company’s shares can limit the annual utilization of tax attributes (tax loss and tax credit carryforwards) that were generated prior to such ownership</w:t>
      </w:r>
    </w:p>
    <w:p>
      <w:pPr>
        <w:spacing w:after="0" w:line="397"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F-35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786765</wp:posOffset>
            </wp:positionH>
            <wp:positionV relativeFrom="paragraph">
              <wp:posOffset>83185</wp:posOffset>
            </wp:positionV>
            <wp:extent cx="4159250" cy="26035"/>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66">
                      <a:extLst>
                        <a:ext uri="{28A0092B-C50C-407E-A947-70E740481C1C}"/>
                      </a:extLst>
                    </a:blip>
                    <a:srcRect/>
                    <a:stretch>
                      <a:fillRect/>
                    </a:stretch>
                  </pic:blipFill>
                  <pic:spPr bwMode="auto">
                    <a:xfrm>
                      <a:off x="0" y="0"/>
                      <a:ext cx="415925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131" w:name="page132"/>
    <w:bookmarkEnd w:id="131"/>
    <w:p>
      <w:pPr>
        <w:ind w:left="124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1240" w:right="1259"/>
        <w:spacing w:after="0" w:line="254" w:lineRule="auto"/>
        <w:rPr>
          <w:sz w:val="20"/>
          <w:szCs w:val="20"/>
          <w:color w:val="auto"/>
        </w:rPr>
      </w:pPr>
      <w:r>
        <w:rPr>
          <w:rFonts w:ascii="Arial" w:cs="Arial" w:eastAsia="Arial" w:hAnsi="Arial"/>
          <w:sz w:val="18"/>
          <w:szCs w:val="18"/>
          <w:color w:val="auto"/>
        </w:rPr>
        <w:t>changes. The annual limitation could affect the realizability of the Company’s deferred tax assets recorded in the financial statement for its tax credit carryforwards because the carryforward periods have a finite duration. The 2016 Initial Public Offering, and associated share transfers, resulted in significant changes in the composition of the ownership of the Company’s shares. Based on its analysis of the change of ownership tax rules in conjunction with the estimated amount and source of its future earnings and related tax profile, the Company believes its existing tax attributes will be utilized prior to their expiration.</w:t>
      </w:r>
    </w:p>
    <w:p>
      <w:pPr>
        <w:spacing w:after="0" w:line="192" w:lineRule="exact"/>
        <w:rPr>
          <w:sz w:val="20"/>
          <w:szCs w:val="20"/>
          <w:color w:val="auto"/>
        </w:rPr>
      </w:pPr>
    </w:p>
    <w:p>
      <w:pPr>
        <w:ind w:left="1240" w:right="1259" w:firstLine="648"/>
        <w:spacing w:after="0" w:line="255" w:lineRule="auto"/>
        <w:rPr>
          <w:sz w:val="20"/>
          <w:szCs w:val="20"/>
          <w:color w:val="auto"/>
        </w:rPr>
      </w:pPr>
      <w:r>
        <w:rPr>
          <w:rFonts w:ascii="Arial" w:cs="Arial" w:eastAsia="Arial" w:hAnsi="Arial"/>
          <w:sz w:val="18"/>
          <w:szCs w:val="18"/>
          <w:color w:val="auto"/>
        </w:rPr>
        <w:t>As of December 31, 2017 and 2016, the Company had state net operating loss (“NOL”) carryforwards of $192.0 million and $117.2 million, respectively. These NOL carryforwards expire between 2018 and 2035. As of December 31, 2017 the Company had US Federal net operating loss (“NOL”) carryforwards of $26.4 million which will expire in 2037. As of December 31, 2017 and 2016, the Company had foreign tax credit carryforwards of $72.8 million and $46.0 million, respectively. These foreign tax credits will begin to expire in 2022.</w:t>
      </w:r>
    </w:p>
    <w:p>
      <w:pPr>
        <w:spacing w:after="0" w:line="189" w:lineRule="exact"/>
        <w:rPr>
          <w:sz w:val="20"/>
          <w:szCs w:val="20"/>
          <w:color w:val="auto"/>
        </w:rPr>
      </w:pPr>
    </w:p>
    <w:p>
      <w:pPr>
        <w:jc w:val="center"/>
        <w:ind w:right="-160"/>
        <w:spacing w:after="0"/>
        <w:rPr>
          <w:sz w:val="20"/>
          <w:szCs w:val="20"/>
          <w:color w:val="auto"/>
        </w:rPr>
      </w:pPr>
      <w:r>
        <w:rPr>
          <w:rFonts w:ascii="Arial" w:cs="Arial" w:eastAsia="Arial" w:hAnsi="Arial"/>
          <w:sz w:val="18"/>
          <w:szCs w:val="18"/>
          <w:color w:val="auto"/>
        </w:rPr>
        <w:t>Changes in the valuation allowance for deferred tax assets were as follows:</w:t>
      </w:r>
    </w:p>
    <w:p>
      <w:pPr>
        <w:spacing w:after="0" w:line="284" w:lineRule="exact"/>
        <w:rPr>
          <w:sz w:val="20"/>
          <w:szCs w:val="20"/>
          <w:color w:val="auto"/>
        </w:rPr>
      </w:pPr>
    </w:p>
    <w:tbl>
      <w:tblPr>
        <w:tblLayout w:type="fixed"/>
        <w:tblInd w:w="1240" w:type="dxa"/>
        <w:tblCellMar>
          <w:top w:w="0" w:type="dxa"/>
          <w:left w:w="0" w:type="dxa"/>
          <w:bottom w:w="0" w:type="dxa"/>
          <w:right w:w="0" w:type="dxa"/>
        </w:tblCellMar>
      </w:tblPr>
      <w:tr>
        <w:trPr>
          <w:trHeight w:val="171"/>
        </w:trPr>
        <w:tc>
          <w:tcPr>
            <w:tcW w:w="3880" w:type="dxa"/>
            <w:vAlign w:val="bottom"/>
            <w:gridSpan w:val="2"/>
            <w:vMerge w:val="restart"/>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34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200" w:type="dxa"/>
            <w:vAlign w:val="bottom"/>
            <w:tcBorders>
              <w:bottom w:val="single" w:sz="8" w:color="auto"/>
            </w:tcBorders>
            <w:gridSpan w:val="7"/>
          </w:tcPr>
          <w:p>
            <w:pPr>
              <w:jc w:val="right"/>
              <w:ind w:right="321"/>
              <w:spacing w:after="0"/>
              <w:rPr>
                <w:sz w:val="20"/>
                <w:szCs w:val="20"/>
                <w:color w:val="auto"/>
              </w:rPr>
            </w:pPr>
            <w:r>
              <w:rPr>
                <w:rFonts w:ascii="Arial" w:cs="Arial" w:eastAsia="Arial" w:hAnsi="Arial"/>
                <w:sz w:val="14"/>
                <w:szCs w:val="14"/>
                <w:b w:val="1"/>
                <w:bCs w:val="1"/>
                <w:color w:val="auto"/>
              </w:rPr>
              <w:t>Year ended December 31,</w:t>
            </w:r>
          </w:p>
        </w:tc>
        <w:tc>
          <w:tcPr>
            <w:tcW w:w="0" w:type="dxa"/>
            <w:vAlign w:val="bottom"/>
          </w:tcPr>
          <w:p>
            <w:pPr>
              <w:spacing w:after="0"/>
              <w:rPr>
                <w:sz w:val="1"/>
                <w:szCs w:val="1"/>
                <w:color w:val="auto"/>
              </w:rPr>
            </w:pPr>
          </w:p>
        </w:tc>
      </w:tr>
      <w:tr>
        <w:trPr>
          <w:trHeight w:val="142"/>
        </w:trPr>
        <w:tc>
          <w:tcPr>
            <w:tcW w:w="3880" w:type="dxa"/>
            <w:vAlign w:val="bottom"/>
            <w:gridSpan w:val="2"/>
            <w:vMerge w:val="continue"/>
          </w:tcPr>
          <w:p>
            <w:pPr>
              <w:spacing w:after="0"/>
              <w:rPr>
                <w:sz w:val="12"/>
                <w:szCs w:val="12"/>
                <w:color w:val="auto"/>
              </w:rPr>
            </w:pPr>
          </w:p>
        </w:tc>
        <w:tc>
          <w:tcPr>
            <w:tcW w:w="34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jc w:val="right"/>
              <w:ind w:right="123"/>
              <w:spacing w:after="0" w:line="142" w:lineRule="exact"/>
              <w:rPr>
                <w:sz w:val="20"/>
                <w:szCs w:val="20"/>
                <w:color w:val="auto"/>
              </w:rPr>
            </w:pPr>
            <w:r>
              <w:rPr>
                <w:rFonts w:ascii="Arial" w:cs="Arial" w:eastAsia="Arial" w:hAnsi="Arial"/>
                <w:sz w:val="14"/>
                <w:szCs w:val="14"/>
                <w:b w:val="1"/>
                <w:bCs w:val="1"/>
                <w:color w:val="auto"/>
              </w:rPr>
              <w:t>2017</w:t>
            </w:r>
          </w:p>
        </w:tc>
        <w:tc>
          <w:tcPr>
            <w:tcW w:w="14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ind w:right="121"/>
              <w:spacing w:after="0" w:line="142" w:lineRule="exact"/>
              <w:rPr>
                <w:sz w:val="20"/>
                <w:szCs w:val="20"/>
                <w:color w:val="auto"/>
              </w:rPr>
            </w:pPr>
            <w:r>
              <w:rPr>
                <w:rFonts w:ascii="Arial" w:cs="Arial" w:eastAsia="Arial" w:hAnsi="Arial"/>
                <w:sz w:val="14"/>
                <w:szCs w:val="14"/>
                <w:b w:val="1"/>
                <w:bCs w:val="1"/>
                <w:color w:val="auto"/>
              </w:rPr>
              <w:t>2016</w:t>
            </w:r>
          </w:p>
        </w:tc>
        <w:tc>
          <w:tcPr>
            <w:tcW w:w="1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ind w:right="121"/>
              <w:spacing w:after="0" w:line="142" w:lineRule="exact"/>
              <w:rPr>
                <w:sz w:val="20"/>
                <w:szCs w:val="20"/>
                <w:color w:val="auto"/>
              </w:rPr>
            </w:pPr>
            <w:r>
              <w:rPr>
                <w:rFonts w:ascii="Arial" w:cs="Arial" w:eastAsia="Arial" w:hAnsi="Arial"/>
                <w:sz w:val="14"/>
                <w:szCs w:val="14"/>
                <w:b w:val="1"/>
                <w:bCs w:val="1"/>
                <w:color w:val="auto"/>
              </w:rPr>
              <w:t>2015</w:t>
            </w:r>
          </w:p>
        </w:tc>
        <w:tc>
          <w:tcPr>
            <w:tcW w:w="0" w:type="dxa"/>
            <w:vAlign w:val="bottom"/>
          </w:tcPr>
          <w:p>
            <w:pPr>
              <w:spacing w:after="0"/>
              <w:rPr>
                <w:sz w:val="1"/>
                <w:szCs w:val="1"/>
                <w:color w:val="auto"/>
              </w:rPr>
            </w:pPr>
          </w:p>
        </w:tc>
      </w:tr>
      <w:tr>
        <w:trPr>
          <w:trHeight w:val="196"/>
        </w:trPr>
        <w:tc>
          <w:tcPr>
            <w:tcW w:w="20" w:type="dxa"/>
            <w:vAlign w:val="bottom"/>
            <w:vMerge w:val="restart"/>
          </w:tcPr>
          <w:p>
            <w:pPr>
              <w:spacing w:after="0"/>
              <w:rPr>
                <w:sz w:val="17"/>
                <w:szCs w:val="17"/>
                <w:color w:val="auto"/>
              </w:rPr>
            </w:pPr>
          </w:p>
        </w:tc>
        <w:tc>
          <w:tcPr>
            <w:tcW w:w="38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386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Valuation allowance at beginning of year</w:t>
            </w:r>
          </w:p>
        </w:tc>
        <w:tc>
          <w:tcPr>
            <w:tcW w:w="4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8"/>
              </w:rPr>
              <w:t>21,726</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3"/>
              </w:rPr>
              <w:t>20,771</w:t>
            </w:r>
          </w:p>
        </w:tc>
        <w:tc>
          <w:tcPr>
            <w:tcW w:w="280" w:type="dxa"/>
            <w:vAlign w:val="bottom"/>
            <w:gridSpan w:val="2"/>
            <w:shd w:val="clear" w:color="auto" w:fill="CCEEFF"/>
          </w:tcPr>
          <w:p>
            <w:pPr>
              <w:jc w:val="right"/>
              <w:ind w:right="9"/>
              <w:spacing w:after="0"/>
              <w:rPr>
                <w:sz w:val="20"/>
                <w:szCs w:val="20"/>
                <w:color w:val="auto"/>
              </w:rPr>
            </w:pPr>
            <w:r>
              <w:rPr>
                <w:rFonts w:ascii="Arial" w:cs="Arial" w:eastAsia="Arial" w:hAnsi="Arial"/>
                <w:sz w:val="16"/>
                <w:szCs w:val="16"/>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3"/>
              </w:rPr>
              <w:t>13,850</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860" w:type="dxa"/>
            <w:vAlign w:val="bottom"/>
            <w:tcBorders>
              <w:bottom w:val="single" w:sz="8" w:color="CCEEFF"/>
            </w:tcBorders>
          </w:tcPr>
          <w:p>
            <w:pPr>
              <w:spacing w:after="0"/>
              <w:rPr>
                <w:sz w:val="20"/>
                <w:szCs w:val="20"/>
                <w:color w:val="auto"/>
              </w:rPr>
            </w:pPr>
            <w:r>
              <w:rPr>
                <w:rFonts w:ascii="Arial" w:cs="Arial" w:eastAsia="Arial" w:hAnsi="Arial"/>
                <w:sz w:val="16"/>
                <w:szCs w:val="16"/>
                <w:color w:val="auto"/>
                <w:w w:val="97"/>
              </w:rPr>
              <w:t>Increases (decreases) recorded to income tax provision</w:t>
            </w:r>
          </w:p>
        </w:tc>
        <w:tc>
          <w:tcPr>
            <w:tcW w:w="34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4,161</w:t>
            </w:r>
          </w:p>
        </w:tc>
        <w:tc>
          <w:tcPr>
            <w:tcW w:w="14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955</w:t>
            </w:r>
          </w:p>
        </w:tc>
        <w:tc>
          <w:tcPr>
            <w:tcW w:w="16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6,921</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8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6"/>
                <w:szCs w:val="16"/>
                <w:b w:val="1"/>
                <w:bCs w:val="1"/>
                <w:color w:val="auto"/>
              </w:rPr>
              <w:t>Valuation allowance at end of year</w:t>
            </w:r>
          </w:p>
        </w:tc>
        <w:tc>
          <w:tcPr>
            <w:tcW w:w="34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98"/>
              </w:rPr>
              <w:t>25,887</w:t>
            </w:r>
          </w:p>
        </w:tc>
        <w:tc>
          <w:tcPr>
            <w:tcW w:w="14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93"/>
              </w:rPr>
              <w:t>21,726</w:t>
            </w:r>
          </w:p>
        </w:tc>
        <w:tc>
          <w:tcPr>
            <w:tcW w:w="16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0"/>
                <w:szCs w:val="10"/>
                <w:color w:val="auto"/>
                <w:w w:val="71"/>
              </w:rPr>
              <w:t>$</w:t>
            </w:r>
          </w:p>
        </w:tc>
        <w:tc>
          <w:tcPr>
            <w:tcW w:w="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93"/>
              </w:rPr>
              <w:t>20,771</w:t>
            </w:r>
          </w:p>
        </w:tc>
        <w:tc>
          <w:tcPr>
            <w:tcW w:w="0" w:type="dxa"/>
            <w:vAlign w:val="bottom"/>
          </w:tcPr>
          <w:p>
            <w:pPr>
              <w:spacing w:after="0"/>
              <w:rPr>
                <w:sz w:val="1"/>
                <w:szCs w:val="1"/>
                <w:color w:val="auto"/>
              </w:rPr>
            </w:pPr>
          </w:p>
        </w:tc>
      </w:tr>
    </w:tbl>
    <w:p>
      <w:pPr>
        <w:spacing w:after="0" w:line="188" w:lineRule="exact"/>
        <w:rPr>
          <w:sz w:val="20"/>
          <w:szCs w:val="20"/>
          <w:color w:val="auto"/>
        </w:rPr>
      </w:pPr>
    </w:p>
    <w:p>
      <w:pPr>
        <w:ind w:left="1240" w:right="1239" w:firstLine="648"/>
        <w:spacing w:after="0" w:line="290" w:lineRule="auto"/>
        <w:rPr>
          <w:sz w:val="20"/>
          <w:szCs w:val="20"/>
          <w:color w:val="auto"/>
        </w:rPr>
      </w:pPr>
      <w:r>
        <w:rPr>
          <w:rFonts w:ascii="Arial" w:cs="Arial" w:eastAsia="Arial" w:hAnsi="Arial"/>
          <w:sz w:val="16"/>
          <w:szCs w:val="16"/>
          <w:color w:val="auto"/>
        </w:rPr>
        <w:t>The changes in the valuation allowance were related to the increase in the U.S. state deferred tax assets and deferred tax assets in the Company’s Hong Kong subsidiary that the Company has determined are not more-likely-than-not realizable. In assessing the realizability of these assets, the Company considered numerous factors including historical profitability, the character and estimated future taxable income, prudent and feasible tax planning strategies, and the industry in which it operates. The utilization of the Company's net U.S. state and Hong Kong deferred tax assets is dependent on future taxable earnings, which cannot be projected with certainty at this time.</w:t>
      </w:r>
    </w:p>
    <w:p>
      <w:pPr>
        <w:spacing w:after="0" w:line="162"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14. Interest Expense and Other (Income) Expense, Net</w:t>
      </w:r>
    </w:p>
    <w:p>
      <w:pPr>
        <w:spacing w:after="0" w:line="229" w:lineRule="exact"/>
        <w:rPr>
          <w:sz w:val="20"/>
          <w:szCs w:val="20"/>
          <w:color w:val="auto"/>
        </w:rPr>
      </w:pPr>
    </w:p>
    <w:p>
      <w:pPr>
        <w:ind w:left="1880"/>
        <w:spacing w:after="0"/>
        <w:rPr>
          <w:sz w:val="20"/>
          <w:szCs w:val="20"/>
          <w:color w:val="auto"/>
        </w:rPr>
      </w:pPr>
      <w:r>
        <w:rPr>
          <w:rFonts w:ascii="Arial" w:cs="Arial" w:eastAsia="Arial" w:hAnsi="Arial"/>
          <w:sz w:val="18"/>
          <w:szCs w:val="18"/>
          <w:color w:val="auto"/>
        </w:rPr>
        <w:t>The components of interest expense, net were as follows:</w:t>
      </w:r>
    </w:p>
    <w:p>
      <w:pPr>
        <w:spacing w:after="0" w:line="284" w:lineRule="exact"/>
        <w:rPr>
          <w:sz w:val="20"/>
          <w:szCs w:val="20"/>
          <w:color w:val="auto"/>
        </w:rPr>
      </w:pPr>
    </w:p>
    <w:tbl>
      <w:tblPr>
        <w:tblLayout w:type="fixed"/>
        <w:tblInd w:w="1240" w:type="dxa"/>
        <w:tblCellMar>
          <w:top w:w="0" w:type="dxa"/>
          <w:left w:w="0" w:type="dxa"/>
          <w:bottom w:w="0" w:type="dxa"/>
          <w:right w:w="0" w:type="dxa"/>
        </w:tblCellMar>
      </w:tblPr>
      <w:tr>
        <w:trPr>
          <w:trHeight w:val="171"/>
        </w:trPr>
        <w:tc>
          <w:tcPr>
            <w:tcW w:w="3120" w:type="dxa"/>
            <w:vAlign w:val="bottom"/>
            <w:gridSpan w:val="2"/>
            <w:vMerge w:val="restart"/>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1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200" w:type="dxa"/>
            <w:vAlign w:val="bottom"/>
            <w:gridSpan w:val="9"/>
          </w:tcPr>
          <w:p>
            <w:pPr>
              <w:ind w:left="220"/>
              <w:spacing w:after="0"/>
              <w:rPr>
                <w:sz w:val="20"/>
                <w:szCs w:val="20"/>
                <w:color w:val="auto"/>
              </w:rPr>
            </w:pPr>
            <w:r>
              <w:rPr>
                <w:rFonts w:ascii="Arial" w:cs="Arial" w:eastAsia="Arial" w:hAnsi="Arial"/>
                <w:sz w:val="14"/>
                <w:szCs w:val="14"/>
                <w:b w:val="1"/>
                <w:bCs w:val="1"/>
                <w:color w:val="auto"/>
              </w:rPr>
              <w:t>Year ended December 31,</w:t>
            </w:r>
          </w:p>
        </w:tc>
        <w:tc>
          <w:tcPr>
            <w:tcW w:w="0" w:type="dxa"/>
            <w:vAlign w:val="bottom"/>
          </w:tcPr>
          <w:p>
            <w:pPr>
              <w:spacing w:after="0"/>
              <w:rPr>
                <w:sz w:val="1"/>
                <w:szCs w:val="1"/>
                <w:color w:val="auto"/>
              </w:rPr>
            </w:pPr>
          </w:p>
        </w:tc>
      </w:tr>
      <w:tr>
        <w:trPr>
          <w:trHeight w:val="156"/>
        </w:trPr>
        <w:tc>
          <w:tcPr>
            <w:tcW w:w="3120" w:type="dxa"/>
            <w:vAlign w:val="bottom"/>
            <w:gridSpan w:val="2"/>
            <w:vMerge w:val="continue"/>
          </w:tcPr>
          <w:p>
            <w:pPr>
              <w:spacing w:after="0"/>
              <w:rPr>
                <w:sz w:val="13"/>
                <w:szCs w:val="13"/>
                <w:color w:val="auto"/>
              </w:rPr>
            </w:pPr>
          </w:p>
        </w:tc>
        <w:tc>
          <w:tcPr>
            <w:tcW w:w="1100" w:type="dxa"/>
            <w:vAlign w:val="bottom"/>
          </w:tcPr>
          <w:p>
            <w:pPr>
              <w:spacing w:after="0"/>
              <w:rPr>
                <w:sz w:val="13"/>
                <w:szCs w:val="13"/>
                <w:color w:val="auto"/>
              </w:rPr>
            </w:pPr>
          </w:p>
        </w:tc>
        <w:tc>
          <w:tcPr>
            <w:tcW w:w="120" w:type="dxa"/>
            <w:vAlign w:val="bottom"/>
            <w:tcBorders>
              <w:top w:val="single" w:sz="8" w:color="auto"/>
              <w:bottom w:val="single" w:sz="8" w:color="auto"/>
            </w:tcBorders>
          </w:tcPr>
          <w:p>
            <w:pPr>
              <w:spacing w:after="0"/>
              <w:rPr>
                <w:sz w:val="13"/>
                <w:szCs w:val="13"/>
                <w:color w:val="auto"/>
              </w:rPr>
            </w:pPr>
          </w:p>
        </w:tc>
        <w:tc>
          <w:tcPr>
            <w:tcW w:w="560" w:type="dxa"/>
            <w:vAlign w:val="bottom"/>
            <w:tcBorders>
              <w:top w:val="single" w:sz="8" w:color="auto"/>
              <w:bottom w:val="single" w:sz="8" w:color="auto"/>
            </w:tcBorders>
          </w:tcPr>
          <w:p>
            <w:pPr>
              <w:jc w:val="right"/>
              <w:ind w:right="122"/>
              <w:spacing w:after="0" w:line="155" w:lineRule="exact"/>
              <w:rPr>
                <w:sz w:val="20"/>
                <w:szCs w:val="20"/>
                <w:color w:val="auto"/>
              </w:rPr>
            </w:pPr>
            <w:r>
              <w:rPr>
                <w:rFonts w:ascii="Arial" w:cs="Arial" w:eastAsia="Arial" w:hAnsi="Arial"/>
                <w:sz w:val="14"/>
                <w:szCs w:val="14"/>
                <w:b w:val="1"/>
                <w:bCs w:val="1"/>
                <w:color w:val="auto"/>
              </w:rPr>
              <w:t>2017</w:t>
            </w:r>
          </w:p>
        </w:tc>
        <w:tc>
          <w:tcPr>
            <w:tcW w:w="120" w:type="dxa"/>
            <w:vAlign w:val="bottom"/>
            <w:tcBorders>
              <w:top w:val="single" w:sz="8" w:color="auto"/>
            </w:tcBorders>
          </w:tcPr>
          <w:p>
            <w:pPr>
              <w:spacing w:after="0"/>
              <w:rPr>
                <w:sz w:val="13"/>
                <w:szCs w:val="13"/>
                <w:color w:val="auto"/>
              </w:rPr>
            </w:pPr>
          </w:p>
        </w:tc>
        <w:tc>
          <w:tcPr>
            <w:tcW w:w="120" w:type="dxa"/>
            <w:vAlign w:val="bottom"/>
            <w:tcBorders>
              <w:top w:val="single" w:sz="8" w:color="auto"/>
              <w:bottom w:val="single" w:sz="8" w:color="auto"/>
            </w:tcBorders>
          </w:tcPr>
          <w:p>
            <w:pPr>
              <w:spacing w:after="0"/>
              <w:rPr>
                <w:sz w:val="13"/>
                <w:szCs w:val="13"/>
                <w:color w:val="auto"/>
              </w:rPr>
            </w:pPr>
          </w:p>
        </w:tc>
        <w:tc>
          <w:tcPr>
            <w:tcW w:w="560" w:type="dxa"/>
            <w:vAlign w:val="bottom"/>
            <w:tcBorders>
              <w:top w:val="single" w:sz="8" w:color="auto"/>
              <w:bottom w:val="single" w:sz="8" w:color="auto"/>
            </w:tcBorders>
          </w:tcPr>
          <w:p>
            <w:pPr>
              <w:jc w:val="right"/>
              <w:ind w:right="121"/>
              <w:spacing w:after="0" w:line="155" w:lineRule="exact"/>
              <w:rPr>
                <w:sz w:val="20"/>
                <w:szCs w:val="20"/>
                <w:color w:val="auto"/>
              </w:rPr>
            </w:pPr>
            <w:r>
              <w:rPr>
                <w:rFonts w:ascii="Arial" w:cs="Arial" w:eastAsia="Arial" w:hAnsi="Arial"/>
                <w:sz w:val="14"/>
                <w:szCs w:val="14"/>
                <w:b w:val="1"/>
                <w:bCs w:val="1"/>
                <w:color w:val="auto"/>
              </w:rPr>
              <w:t>2016</w:t>
            </w:r>
          </w:p>
        </w:tc>
        <w:tc>
          <w:tcPr>
            <w:tcW w:w="120" w:type="dxa"/>
            <w:vAlign w:val="bottom"/>
            <w:tcBorders>
              <w:top w:val="single" w:sz="8" w:color="auto"/>
            </w:tcBorders>
          </w:tcPr>
          <w:p>
            <w:pPr>
              <w:spacing w:after="0"/>
              <w:rPr>
                <w:sz w:val="13"/>
                <w:szCs w:val="13"/>
                <w:color w:val="auto"/>
              </w:rPr>
            </w:pPr>
          </w:p>
        </w:tc>
        <w:tc>
          <w:tcPr>
            <w:tcW w:w="20" w:type="dxa"/>
            <w:vAlign w:val="bottom"/>
            <w:tcBorders>
              <w:top w:val="single" w:sz="8" w:color="auto"/>
            </w:tcBorders>
          </w:tcPr>
          <w:p>
            <w:pPr>
              <w:spacing w:after="0"/>
              <w:rPr>
                <w:sz w:val="13"/>
                <w:szCs w:val="13"/>
                <w:color w:val="auto"/>
              </w:rPr>
            </w:pPr>
          </w:p>
        </w:tc>
        <w:tc>
          <w:tcPr>
            <w:tcW w:w="100" w:type="dxa"/>
            <w:vAlign w:val="bottom"/>
            <w:tcBorders>
              <w:top w:val="single" w:sz="8" w:color="auto"/>
              <w:bottom w:val="single" w:sz="8" w:color="auto"/>
            </w:tcBorders>
          </w:tcPr>
          <w:p>
            <w:pPr>
              <w:spacing w:after="0"/>
              <w:rPr>
                <w:sz w:val="13"/>
                <w:szCs w:val="13"/>
                <w:color w:val="auto"/>
              </w:rPr>
            </w:pPr>
          </w:p>
        </w:tc>
        <w:tc>
          <w:tcPr>
            <w:tcW w:w="560" w:type="dxa"/>
            <w:vAlign w:val="bottom"/>
            <w:tcBorders>
              <w:top w:val="single" w:sz="8" w:color="auto"/>
              <w:bottom w:val="single" w:sz="8" w:color="auto"/>
            </w:tcBorders>
          </w:tcPr>
          <w:p>
            <w:pPr>
              <w:jc w:val="right"/>
              <w:ind w:right="121"/>
              <w:spacing w:after="0" w:line="155" w:lineRule="exact"/>
              <w:rPr>
                <w:sz w:val="20"/>
                <w:szCs w:val="20"/>
                <w:color w:val="auto"/>
              </w:rPr>
            </w:pPr>
            <w:r>
              <w:rPr>
                <w:rFonts w:ascii="Arial" w:cs="Arial" w:eastAsia="Arial" w:hAnsi="Arial"/>
                <w:sz w:val="14"/>
                <w:szCs w:val="14"/>
                <w:b w:val="1"/>
                <w:bCs w:val="1"/>
                <w:color w:val="auto"/>
              </w:rPr>
              <w:t>2015</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96"/>
        </w:trPr>
        <w:tc>
          <w:tcPr>
            <w:tcW w:w="20" w:type="dxa"/>
            <w:vAlign w:val="bottom"/>
            <w:vMerge w:val="restart"/>
          </w:tcPr>
          <w:p>
            <w:pPr>
              <w:spacing w:after="0"/>
              <w:rPr>
                <w:sz w:val="17"/>
                <w:szCs w:val="17"/>
                <w:color w:val="auto"/>
              </w:rPr>
            </w:pPr>
          </w:p>
        </w:tc>
        <w:tc>
          <w:tcPr>
            <w:tcW w:w="310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3100" w:type="dxa"/>
            <w:vAlign w:val="bottom"/>
            <w:shd w:val="clear" w:color="auto" w:fill="CCEEFF"/>
          </w:tcPr>
          <w:p>
            <w:pPr>
              <w:spacing w:after="0"/>
              <w:rPr>
                <w:sz w:val="20"/>
                <w:szCs w:val="20"/>
                <w:color w:val="auto"/>
              </w:rPr>
            </w:pPr>
            <w:r>
              <w:rPr>
                <w:rFonts w:ascii="Arial" w:cs="Arial" w:eastAsia="Arial" w:hAnsi="Arial"/>
                <w:sz w:val="16"/>
                <w:szCs w:val="16"/>
                <w:color w:val="auto"/>
              </w:rPr>
              <w:t>Interest expense - related party</w:t>
            </w:r>
          </w:p>
        </w:tc>
        <w:tc>
          <w:tcPr>
            <w:tcW w:w="122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8"/>
              </w:rPr>
              <w:t>28,146</w:t>
            </w:r>
          </w:p>
        </w:tc>
        <w:tc>
          <w:tcPr>
            <w:tcW w:w="120" w:type="dxa"/>
            <w:vAlign w:val="bottom"/>
            <w:shd w:val="clear" w:color="auto" w:fill="CCEEFF"/>
          </w:tcPr>
          <w:p>
            <w:pPr>
              <w:spacing w:after="0"/>
              <w:rPr>
                <w:sz w:val="17"/>
                <w:szCs w:val="17"/>
                <w:color w:val="auto"/>
              </w:rPr>
            </w:pP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8"/>
              </w:rPr>
              <w:t>35,420</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100" w:type="dxa"/>
            <w:vAlign w:val="bottom"/>
          </w:tcPr>
          <w:p>
            <w:pPr>
              <w:spacing w:after="0"/>
              <w:rPr>
                <w:sz w:val="20"/>
                <w:szCs w:val="20"/>
                <w:color w:val="auto"/>
              </w:rPr>
            </w:pPr>
            <w:r>
              <w:rPr>
                <w:rFonts w:ascii="Arial" w:cs="Arial" w:eastAsia="Arial" w:hAnsi="Arial"/>
                <w:sz w:val="16"/>
                <w:szCs w:val="16"/>
                <w:color w:val="auto"/>
              </w:rPr>
              <w:t>Interest expense - third party</w:t>
            </w:r>
          </w:p>
        </w:tc>
        <w:tc>
          <w:tcPr>
            <w:tcW w:w="1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60" w:type="dxa"/>
            <w:vAlign w:val="bottom"/>
          </w:tcPr>
          <w:p>
            <w:pPr>
              <w:jc w:val="right"/>
              <w:spacing w:after="0"/>
              <w:rPr>
                <w:sz w:val="20"/>
                <w:szCs w:val="20"/>
                <w:color w:val="auto"/>
              </w:rPr>
            </w:pPr>
            <w:r>
              <w:rPr>
                <w:rFonts w:ascii="Arial" w:cs="Arial" w:eastAsia="Arial" w:hAnsi="Arial"/>
                <w:sz w:val="16"/>
                <w:szCs w:val="16"/>
                <w:color w:val="auto"/>
                <w:w w:val="98"/>
              </w:rPr>
              <w:t>16,907</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60" w:type="dxa"/>
            <w:vAlign w:val="bottom"/>
          </w:tcPr>
          <w:p>
            <w:pPr>
              <w:jc w:val="right"/>
              <w:spacing w:after="0"/>
              <w:rPr>
                <w:sz w:val="20"/>
                <w:szCs w:val="20"/>
                <w:color w:val="auto"/>
              </w:rPr>
            </w:pPr>
            <w:r>
              <w:rPr>
                <w:rFonts w:ascii="Arial" w:cs="Arial" w:eastAsia="Arial" w:hAnsi="Arial"/>
                <w:sz w:val="16"/>
                <w:szCs w:val="16"/>
                <w:color w:val="auto"/>
                <w:w w:val="98"/>
              </w:rPr>
              <w:t>23,113</w:t>
            </w: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60" w:type="dxa"/>
            <w:vAlign w:val="bottom"/>
          </w:tcPr>
          <w:p>
            <w:pPr>
              <w:jc w:val="right"/>
              <w:spacing w:after="0"/>
              <w:rPr>
                <w:sz w:val="20"/>
                <w:szCs w:val="20"/>
                <w:color w:val="auto"/>
              </w:rPr>
            </w:pPr>
            <w:r>
              <w:rPr>
                <w:rFonts w:ascii="Arial" w:cs="Arial" w:eastAsia="Arial" w:hAnsi="Arial"/>
                <w:sz w:val="16"/>
                <w:szCs w:val="16"/>
                <w:color w:val="auto"/>
                <w:w w:val="98"/>
              </w:rPr>
              <w:t>26,567</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100" w:type="dxa"/>
            <w:vAlign w:val="bottom"/>
            <w:shd w:val="clear" w:color="auto" w:fill="CCEEFF"/>
          </w:tcPr>
          <w:p>
            <w:pPr>
              <w:spacing w:after="0"/>
              <w:rPr>
                <w:sz w:val="20"/>
                <w:szCs w:val="20"/>
                <w:color w:val="auto"/>
              </w:rPr>
            </w:pPr>
            <w:r>
              <w:rPr>
                <w:rFonts w:ascii="Arial" w:cs="Arial" w:eastAsia="Arial" w:hAnsi="Arial"/>
                <w:sz w:val="16"/>
                <w:szCs w:val="16"/>
                <w:color w:val="auto"/>
              </w:rPr>
              <w:t>Interest income - third party</w:t>
            </w:r>
          </w:p>
        </w:tc>
        <w:tc>
          <w:tcPr>
            <w:tcW w:w="110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(1,198)</w:t>
            </w:r>
          </w:p>
        </w:tc>
        <w:tc>
          <w:tcPr>
            <w:tcW w:w="12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(1,351)</w:t>
            </w:r>
          </w:p>
        </w:tc>
        <w:tc>
          <w:tcPr>
            <w:tcW w:w="1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(1,693)</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100" w:type="dxa"/>
            <w:vAlign w:val="bottom"/>
          </w:tcPr>
          <w:p>
            <w:pPr>
              <w:ind w:left="300"/>
              <w:spacing w:after="0"/>
              <w:rPr>
                <w:sz w:val="20"/>
                <w:szCs w:val="20"/>
                <w:color w:val="auto"/>
              </w:rPr>
            </w:pPr>
            <w:r>
              <w:rPr>
                <w:rFonts w:ascii="Arial" w:cs="Arial" w:eastAsia="Arial" w:hAnsi="Arial"/>
                <w:sz w:val="16"/>
                <w:szCs w:val="16"/>
                <w:color w:val="auto"/>
              </w:rPr>
              <w:t>Total interest expense, net</w:t>
            </w:r>
          </w:p>
        </w:tc>
        <w:tc>
          <w:tcPr>
            <w:tcW w:w="1100" w:type="dxa"/>
            <w:vAlign w:val="bottom"/>
          </w:tcPr>
          <w:p>
            <w:pPr>
              <w:spacing w:after="0"/>
              <w:rPr>
                <w:sz w:val="17"/>
                <w:szCs w:val="17"/>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98"/>
              </w:rPr>
              <w:t>15,709</w:t>
            </w:r>
          </w:p>
        </w:tc>
        <w:tc>
          <w:tcPr>
            <w:tcW w:w="120" w:type="dxa"/>
            <w:vAlign w:val="bottom"/>
          </w:tcPr>
          <w:p>
            <w:pPr>
              <w:spacing w:after="0"/>
              <w:rPr>
                <w:sz w:val="17"/>
                <w:szCs w:val="17"/>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98"/>
              </w:rPr>
              <w:t>49,908</w:t>
            </w:r>
          </w:p>
        </w:tc>
        <w:tc>
          <w:tcPr>
            <w:tcW w:w="120" w:type="dxa"/>
            <w:vAlign w:val="bottom"/>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98"/>
              </w:rPr>
              <w:t>60,294</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1880"/>
        <w:spacing w:after="0"/>
        <w:rPr>
          <w:sz w:val="20"/>
          <w:szCs w:val="20"/>
          <w:color w:val="auto"/>
        </w:rPr>
      </w:pPr>
      <w:r>
        <w:rPr>
          <w:rFonts w:ascii="Arial" w:cs="Arial" w:eastAsia="Arial" w:hAnsi="Arial"/>
          <w:sz w:val="18"/>
          <w:szCs w:val="18"/>
          <w:color w:val="auto"/>
        </w:rPr>
        <w:t>The components of other (income) expense, net were as follows:</w:t>
      </w:r>
    </w:p>
    <w:p>
      <w:pPr>
        <w:spacing w:after="0" w:line="284" w:lineRule="exact"/>
        <w:rPr>
          <w:sz w:val="20"/>
          <w:szCs w:val="20"/>
          <w:color w:val="auto"/>
        </w:rPr>
      </w:pPr>
    </w:p>
    <w:tbl>
      <w:tblPr>
        <w:tblLayout w:type="fixed"/>
        <w:tblInd w:w="1240" w:type="dxa"/>
        <w:tblCellMar>
          <w:top w:w="0" w:type="dxa"/>
          <w:left w:w="0" w:type="dxa"/>
          <w:bottom w:w="0" w:type="dxa"/>
          <w:right w:w="0" w:type="dxa"/>
        </w:tblCellMar>
      </w:tblPr>
      <w:tr>
        <w:trPr>
          <w:trHeight w:val="171"/>
        </w:trPr>
        <w:tc>
          <w:tcPr>
            <w:tcW w:w="3540" w:type="dxa"/>
            <w:vAlign w:val="bottom"/>
            <w:gridSpan w:val="2"/>
            <w:vMerge w:val="restart"/>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6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240" w:type="dxa"/>
            <w:vAlign w:val="bottom"/>
            <w:gridSpan w:val="9"/>
          </w:tcPr>
          <w:p>
            <w:pPr>
              <w:ind w:left="220"/>
              <w:spacing w:after="0"/>
              <w:rPr>
                <w:sz w:val="20"/>
                <w:szCs w:val="20"/>
                <w:color w:val="auto"/>
              </w:rPr>
            </w:pPr>
            <w:r>
              <w:rPr>
                <w:rFonts w:ascii="Arial" w:cs="Arial" w:eastAsia="Arial" w:hAnsi="Arial"/>
                <w:sz w:val="14"/>
                <w:szCs w:val="14"/>
                <w:b w:val="1"/>
                <w:bCs w:val="1"/>
                <w:color w:val="auto"/>
              </w:rPr>
              <w:t>Year ended December 31,</w:t>
            </w:r>
          </w:p>
        </w:tc>
        <w:tc>
          <w:tcPr>
            <w:tcW w:w="0" w:type="dxa"/>
            <w:vAlign w:val="bottom"/>
          </w:tcPr>
          <w:p>
            <w:pPr>
              <w:spacing w:after="0"/>
              <w:rPr>
                <w:sz w:val="1"/>
                <w:szCs w:val="1"/>
                <w:color w:val="auto"/>
              </w:rPr>
            </w:pPr>
          </w:p>
        </w:tc>
      </w:tr>
      <w:tr>
        <w:trPr>
          <w:trHeight w:val="142"/>
        </w:trPr>
        <w:tc>
          <w:tcPr>
            <w:tcW w:w="3540" w:type="dxa"/>
            <w:vAlign w:val="bottom"/>
            <w:gridSpan w:val="2"/>
            <w:vMerge w:val="continue"/>
          </w:tcPr>
          <w:p>
            <w:pPr>
              <w:spacing w:after="0"/>
              <w:rPr>
                <w:sz w:val="12"/>
                <w:szCs w:val="12"/>
                <w:color w:val="auto"/>
              </w:rPr>
            </w:pPr>
          </w:p>
        </w:tc>
        <w:tc>
          <w:tcPr>
            <w:tcW w:w="64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540" w:type="dxa"/>
            <w:vAlign w:val="bottom"/>
            <w:tcBorders>
              <w:top w:val="single" w:sz="8" w:color="auto"/>
              <w:bottom w:val="single" w:sz="8" w:color="auto"/>
            </w:tcBorders>
          </w:tcPr>
          <w:p>
            <w:pPr>
              <w:jc w:val="right"/>
              <w:ind w:right="122"/>
              <w:spacing w:after="0" w:line="142" w:lineRule="exact"/>
              <w:rPr>
                <w:sz w:val="20"/>
                <w:szCs w:val="20"/>
                <w:color w:val="auto"/>
              </w:rPr>
            </w:pPr>
            <w:r>
              <w:rPr>
                <w:rFonts w:ascii="Arial" w:cs="Arial" w:eastAsia="Arial" w:hAnsi="Arial"/>
                <w:sz w:val="14"/>
                <w:szCs w:val="14"/>
                <w:b w:val="1"/>
                <w:bCs w:val="1"/>
                <w:color w:val="auto"/>
              </w:rPr>
              <w:t>2017</w:t>
            </w:r>
          </w:p>
        </w:tc>
        <w:tc>
          <w:tcPr>
            <w:tcW w:w="160" w:type="dxa"/>
            <w:vAlign w:val="bottom"/>
            <w:tcBorders>
              <w:top w:val="single" w:sz="8" w:color="auto"/>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560" w:type="dxa"/>
            <w:vAlign w:val="bottom"/>
            <w:tcBorders>
              <w:top w:val="single" w:sz="8" w:color="auto"/>
              <w:bottom w:val="single" w:sz="8" w:color="auto"/>
            </w:tcBorders>
          </w:tcPr>
          <w:p>
            <w:pPr>
              <w:jc w:val="right"/>
              <w:ind w:right="121"/>
              <w:spacing w:after="0" w:line="142" w:lineRule="exact"/>
              <w:rPr>
                <w:sz w:val="20"/>
                <w:szCs w:val="20"/>
                <w:color w:val="auto"/>
              </w:rPr>
            </w:pPr>
            <w:r>
              <w:rPr>
                <w:rFonts w:ascii="Arial" w:cs="Arial" w:eastAsia="Arial" w:hAnsi="Arial"/>
                <w:sz w:val="14"/>
                <w:szCs w:val="14"/>
                <w:b w:val="1"/>
                <w:bCs w:val="1"/>
                <w:color w:val="auto"/>
              </w:rPr>
              <w:t>2016</w:t>
            </w:r>
          </w:p>
        </w:tc>
        <w:tc>
          <w:tcPr>
            <w:tcW w:w="14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560" w:type="dxa"/>
            <w:vAlign w:val="bottom"/>
            <w:tcBorders>
              <w:top w:val="single" w:sz="8" w:color="auto"/>
              <w:bottom w:val="single" w:sz="8" w:color="auto"/>
            </w:tcBorders>
          </w:tcPr>
          <w:p>
            <w:pPr>
              <w:jc w:val="right"/>
              <w:ind w:right="121"/>
              <w:spacing w:after="0" w:line="142" w:lineRule="exact"/>
              <w:rPr>
                <w:sz w:val="20"/>
                <w:szCs w:val="20"/>
                <w:color w:val="auto"/>
              </w:rPr>
            </w:pPr>
            <w:r>
              <w:rPr>
                <w:rFonts w:ascii="Arial" w:cs="Arial" w:eastAsia="Arial" w:hAnsi="Arial"/>
                <w:sz w:val="14"/>
                <w:szCs w:val="14"/>
                <w:b w:val="1"/>
                <w:bCs w:val="1"/>
                <w:color w:val="auto"/>
              </w:rPr>
              <w:t>2015</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20" w:type="dxa"/>
            <w:vAlign w:val="bottom"/>
            <w:vMerge w:val="restart"/>
          </w:tcPr>
          <w:p>
            <w:pPr>
              <w:spacing w:after="0"/>
              <w:rPr>
                <w:sz w:val="17"/>
                <w:szCs w:val="17"/>
                <w:color w:val="auto"/>
              </w:rPr>
            </w:pPr>
          </w:p>
        </w:tc>
        <w:tc>
          <w:tcPr>
            <w:tcW w:w="352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3520" w:type="dxa"/>
            <w:vAlign w:val="bottom"/>
            <w:shd w:val="clear" w:color="auto" w:fill="CCEEFF"/>
          </w:tcPr>
          <w:p>
            <w:pPr>
              <w:spacing w:after="0"/>
              <w:rPr>
                <w:sz w:val="20"/>
                <w:szCs w:val="20"/>
                <w:color w:val="auto"/>
              </w:rPr>
            </w:pPr>
            <w:r>
              <w:rPr>
                <w:rFonts w:ascii="Arial" w:cs="Arial" w:eastAsia="Arial" w:hAnsi="Arial"/>
                <w:sz w:val="16"/>
                <w:szCs w:val="16"/>
                <w:color w:val="auto"/>
              </w:rPr>
              <w:t>Loss on fair value of common stock warrants</w:t>
            </w:r>
          </w:p>
        </w:tc>
        <w:tc>
          <w:tcPr>
            <w:tcW w:w="760" w:type="dxa"/>
            <w:vAlign w:val="bottom"/>
            <w:gridSpan w:val="2"/>
            <w:shd w:val="clear" w:color="auto" w:fill="CCEEFF"/>
          </w:tcPr>
          <w:p>
            <w:pPr>
              <w:jc w:val="right"/>
              <w:ind w:right="9"/>
              <w:spacing w:after="0"/>
              <w:rPr>
                <w:sz w:val="20"/>
                <w:szCs w:val="20"/>
                <w:color w:val="auto"/>
              </w:rPr>
            </w:pPr>
            <w:r>
              <w:rPr>
                <w:rFonts w:ascii="Arial" w:cs="Arial" w:eastAsia="Arial" w:hAnsi="Arial"/>
                <w:sz w:val="16"/>
                <w:szCs w:val="16"/>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6,112</w:t>
            </w:r>
          </w:p>
        </w:tc>
        <w:tc>
          <w:tcPr>
            <w:tcW w:w="140" w:type="dxa"/>
            <w:vAlign w:val="bottom"/>
            <w:shd w:val="clear" w:color="auto" w:fill="CCEEFF"/>
          </w:tcPr>
          <w:p>
            <w:pPr>
              <w:spacing w:after="0"/>
              <w:rPr>
                <w:sz w:val="17"/>
                <w:szCs w:val="17"/>
                <w:color w:val="auto"/>
              </w:rPr>
            </w:pP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8"/>
              </w:rPr>
              <w:t>28,364</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20" w:type="dxa"/>
            <w:vAlign w:val="bottom"/>
          </w:tcPr>
          <w:p>
            <w:pPr>
              <w:spacing w:after="0"/>
              <w:rPr>
                <w:sz w:val="20"/>
                <w:szCs w:val="20"/>
                <w:color w:val="auto"/>
              </w:rPr>
            </w:pPr>
            <w:r>
              <w:rPr>
                <w:rFonts w:ascii="Arial" w:cs="Arial" w:eastAsia="Arial" w:hAnsi="Arial"/>
                <w:sz w:val="16"/>
                <w:szCs w:val="16"/>
                <w:color w:val="auto"/>
              </w:rPr>
              <w:t>Indemnification (gains) losses</w:t>
            </w:r>
          </w:p>
        </w:tc>
        <w:tc>
          <w:tcPr>
            <w:tcW w:w="6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40" w:type="dxa"/>
            <w:vAlign w:val="bottom"/>
          </w:tcPr>
          <w:p>
            <w:pPr>
              <w:jc w:val="right"/>
              <w:spacing w:after="0"/>
              <w:rPr>
                <w:sz w:val="20"/>
                <w:szCs w:val="20"/>
                <w:color w:val="auto"/>
              </w:rPr>
            </w:pPr>
            <w:r>
              <w:rPr>
                <w:rFonts w:ascii="Arial" w:cs="Arial" w:eastAsia="Arial" w:hAnsi="Arial"/>
                <w:sz w:val="16"/>
                <w:szCs w:val="16"/>
                <w:color w:val="auto"/>
              </w:rPr>
              <w:t>177</w:t>
            </w: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60" w:type="dxa"/>
            <w:vAlign w:val="bottom"/>
          </w:tcPr>
          <w:p>
            <w:pPr>
              <w:jc w:val="right"/>
              <w:spacing w:after="0"/>
              <w:rPr>
                <w:sz w:val="20"/>
                <w:szCs w:val="20"/>
                <w:color w:val="auto"/>
              </w:rPr>
            </w:pPr>
            <w:r>
              <w:rPr>
                <w:rFonts w:ascii="Arial" w:cs="Arial" w:eastAsia="Arial" w:hAnsi="Arial"/>
                <w:sz w:val="16"/>
                <w:szCs w:val="16"/>
                <w:color w:val="auto"/>
              </w:rPr>
              <w:t>(2,174)</w:t>
            </w: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60" w:type="dxa"/>
            <w:vAlign w:val="bottom"/>
          </w:tcPr>
          <w:p>
            <w:pPr>
              <w:jc w:val="right"/>
              <w:spacing w:after="0"/>
              <w:rPr>
                <w:sz w:val="20"/>
                <w:szCs w:val="20"/>
                <w:color w:val="auto"/>
              </w:rPr>
            </w:pPr>
            <w:r>
              <w:rPr>
                <w:rFonts w:ascii="Arial" w:cs="Arial" w:eastAsia="Arial" w:hAnsi="Arial"/>
                <w:sz w:val="16"/>
                <w:szCs w:val="16"/>
                <w:color w:val="auto"/>
              </w:rPr>
              <w:t>(3,007)</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20" w:type="dxa"/>
            <w:vAlign w:val="bottom"/>
            <w:shd w:val="clear" w:color="auto" w:fill="CCEEFF"/>
          </w:tcPr>
          <w:p>
            <w:pPr>
              <w:spacing w:after="0"/>
              <w:rPr>
                <w:sz w:val="20"/>
                <w:szCs w:val="20"/>
                <w:color w:val="auto"/>
              </w:rPr>
            </w:pPr>
            <w:r>
              <w:rPr>
                <w:rFonts w:ascii="Arial" w:cs="Arial" w:eastAsia="Arial" w:hAnsi="Arial"/>
                <w:sz w:val="16"/>
                <w:szCs w:val="16"/>
                <w:color w:val="auto"/>
              </w:rPr>
              <w:t>Other gains</w:t>
            </w:r>
          </w:p>
        </w:tc>
        <w:tc>
          <w:tcPr>
            <w:tcW w:w="64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(1,254)</w:t>
            </w:r>
          </w:p>
        </w:tc>
        <w:tc>
          <w:tcPr>
            <w:tcW w:w="16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(2,232)</w:t>
            </w:r>
          </w:p>
        </w:tc>
        <w:tc>
          <w:tcPr>
            <w:tcW w:w="1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(218)</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20" w:type="dxa"/>
            <w:vAlign w:val="bottom"/>
          </w:tcPr>
          <w:p>
            <w:pPr>
              <w:ind w:left="300"/>
              <w:spacing w:after="0"/>
              <w:rPr>
                <w:sz w:val="20"/>
                <w:szCs w:val="20"/>
                <w:color w:val="auto"/>
              </w:rPr>
            </w:pPr>
            <w:r>
              <w:rPr>
                <w:rFonts w:ascii="Arial" w:cs="Arial" w:eastAsia="Arial" w:hAnsi="Arial"/>
                <w:sz w:val="16"/>
                <w:szCs w:val="16"/>
                <w:color w:val="auto"/>
              </w:rPr>
              <w:t>Total other (income) expense, net</w:t>
            </w:r>
          </w:p>
        </w:tc>
        <w:tc>
          <w:tcPr>
            <w:tcW w:w="640" w:type="dxa"/>
            <w:vAlign w:val="bottom"/>
          </w:tcPr>
          <w:p>
            <w:pPr>
              <w:spacing w:after="0"/>
              <w:rPr>
                <w:sz w:val="17"/>
                <w:szCs w:val="17"/>
                <w:color w:val="auto"/>
              </w:rPr>
            </w:pPr>
          </w:p>
        </w:tc>
        <w:tc>
          <w:tcPr>
            <w:tcW w:w="120" w:type="dxa"/>
            <w:vAlign w:val="bottom"/>
            <w:tcBorders>
              <w:bottom w:val="single" w:sz="8" w:color="auto"/>
            </w:tcBorders>
          </w:tcPr>
          <w:p>
            <w:pPr>
              <w:jc w:val="right"/>
              <w:ind w:right="9"/>
              <w:spacing w:after="0"/>
              <w:rPr>
                <w:sz w:val="20"/>
                <w:szCs w:val="20"/>
                <w:color w:val="auto"/>
              </w:rPr>
            </w:pPr>
            <w:r>
              <w:rPr>
                <w:rFonts w:ascii="Arial" w:cs="Arial" w:eastAsia="Arial" w:hAnsi="Arial"/>
                <w:sz w:val="10"/>
                <w:szCs w:val="10"/>
                <w:color w:val="auto"/>
                <w:w w:val="71"/>
              </w:rPr>
              <w:t>$</w:t>
            </w: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(1,077)</w:t>
            </w:r>
          </w:p>
        </w:tc>
        <w:tc>
          <w:tcPr>
            <w:tcW w:w="160" w:type="dxa"/>
            <w:vAlign w:val="bottom"/>
          </w:tcPr>
          <w:p>
            <w:pPr>
              <w:spacing w:after="0"/>
              <w:rPr>
                <w:sz w:val="17"/>
                <w:szCs w:val="17"/>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1,706</w:t>
            </w:r>
          </w:p>
        </w:tc>
        <w:tc>
          <w:tcPr>
            <w:tcW w:w="140" w:type="dxa"/>
            <w:vAlign w:val="bottom"/>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98"/>
              </w:rPr>
              <w:t>25,139</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786765</wp:posOffset>
            </wp:positionH>
            <wp:positionV relativeFrom="paragraph">
              <wp:posOffset>83185</wp:posOffset>
            </wp:positionV>
            <wp:extent cx="4159250" cy="26035"/>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67">
                      <a:extLst>
                        <a:ext uri="{28A0092B-C50C-407E-A947-70E740481C1C}"/>
                      </a:extLst>
                    </a:blip>
                    <a:srcRect/>
                    <a:stretch>
                      <a:fillRect/>
                    </a:stretch>
                  </pic:blipFill>
                  <pic:spPr bwMode="auto">
                    <a:xfrm>
                      <a:off x="0" y="0"/>
                      <a:ext cx="415925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132" w:name="page133"/>
    <w:bookmarkEnd w:id="132"/>
    <w:p>
      <w:pPr>
        <w:ind w:left="124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15. Redeemable Convertible Preferred Stock</w:t>
      </w:r>
    </w:p>
    <w:p>
      <w:pPr>
        <w:spacing w:after="0" w:line="229" w:lineRule="exact"/>
        <w:rPr>
          <w:sz w:val="20"/>
          <w:szCs w:val="20"/>
          <w:color w:val="auto"/>
        </w:rPr>
      </w:pPr>
    </w:p>
    <w:p>
      <w:pPr>
        <w:ind w:left="1240" w:right="1239" w:firstLine="648"/>
        <w:spacing w:after="0" w:line="294" w:lineRule="auto"/>
        <w:rPr>
          <w:sz w:val="20"/>
          <w:szCs w:val="20"/>
          <w:color w:val="auto"/>
        </w:rPr>
      </w:pPr>
      <w:r>
        <w:rPr>
          <w:rFonts w:ascii="Arial" w:cs="Arial" w:eastAsia="Arial" w:hAnsi="Arial"/>
          <w:sz w:val="16"/>
          <w:szCs w:val="16"/>
          <w:color w:val="auto"/>
        </w:rPr>
        <w:t>Prior to the initial public offering, the Company had outstanding 1,838,027 shares of $0.001 par value Series A preferred stock. Given that certain redemption features of the Series A preferred stock were not solely within the control of the Company, the Series A preferred stock was classified outside of stockholders' equity. All outstanding Series A preferred stock were converted into common stock in conjunction with the Company’s initial public offering (Note 2). Upon conversion, all accrued but unpaid dividends on the shares of the Series A preferred stock were paid to each holder of the shares of the Series A preferred stock. The Company declared and paid dividends to the holders of the Series A preferred stock of $17.3 million and $13.7 million during the years ended December 31, 2016 and 2015, respectively. Shares of Series A preferred stock that are redeemed or converted were canceled and retired and cannot be reissued by the Company.</w:t>
      </w:r>
    </w:p>
    <w:p>
      <w:pPr>
        <w:spacing w:after="0" w:line="164"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16. Common Stock</w:t>
      </w:r>
    </w:p>
    <w:p>
      <w:pPr>
        <w:spacing w:after="0" w:line="229" w:lineRule="exact"/>
        <w:rPr>
          <w:sz w:val="20"/>
          <w:szCs w:val="20"/>
          <w:color w:val="auto"/>
        </w:rPr>
      </w:pPr>
    </w:p>
    <w:p>
      <w:pPr>
        <w:ind w:left="1240" w:right="1379" w:firstLine="648"/>
        <w:spacing w:after="0" w:line="272" w:lineRule="auto"/>
        <w:rPr>
          <w:sz w:val="20"/>
          <w:szCs w:val="20"/>
          <w:color w:val="auto"/>
        </w:rPr>
      </w:pPr>
      <w:r>
        <w:rPr>
          <w:rFonts w:ascii="Arial" w:cs="Arial" w:eastAsia="Arial" w:hAnsi="Arial"/>
          <w:sz w:val="17"/>
          <w:szCs w:val="17"/>
          <w:color w:val="auto"/>
        </w:rPr>
        <w:t>As of December 31, 2017 and 2016, the Company's certificate of incorporation, as amended and restated, authorized the Company to issue 500,000,000 shares of $0.001 par value common stock. Each share of common stock entitles the holder to one vote on all matters submitted to a vote of the Company's shareholders. Common shareholders are entitled to receive dividends whenever funds are legally available and when declared by the board of directors, subject to the prior rights of holders of all classes of stock outstanding.</w:t>
      </w:r>
    </w:p>
    <w:p>
      <w:pPr>
        <w:spacing w:after="0" w:line="178" w:lineRule="exact"/>
        <w:rPr>
          <w:sz w:val="20"/>
          <w:szCs w:val="20"/>
          <w:color w:val="auto"/>
        </w:rPr>
      </w:pPr>
    </w:p>
    <w:p>
      <w:pPr>
        <w:jc w:val="center"/>
        <w:ind w:right="-160"/>
        <w:spacing w:after="0"/>
        <w:rPr>
          <w:sz w:val="20"/>
          <w:szCs w:val="20"/>
          <w:color w:val="auto"/>
        </w:rPr>
      </w:pPr>
      <w:r>
        <w:rPr>
          <w:rFonts w:ascii="Arial" w:cs="Arial" w:eastAsia="Arial" w:hAnsi="Arial"/>
          <w:sz w:val="18"/>
          <w:szCs w:val="18"/>
          <w:color w:val="auto"/>
        </w:rPr>
        <w:t>The Company declared dividends per share during the periods presented as</w:t>
      </w:r>
    </w:p>
    <w:p>
      <w:pPr>
        <w:spacing w:after="0" w:line="23" w:lineRule="exact"/>
        <w:rPr>
          <w:sz w:val="20"/>
          <w:szCs w:val="20"/>
          <w:color w:val="auto"/>
        </w:rPr>
      </w:pPr>
    </w:p>
    <w:p>
      <w:pPr>
        <w:ind w:left="1240"/>
        <w:spacing w:after="0"/>
        <w:rPr>
          <w:sz w:val="20"/>
          <w:szCs w:val="20"/>
          <w:color w:val="auto"/>
        </w:rPr>
      </w:pPr>
      <w:r>
        <w:rPr>
          <w:rFonts w:ascii="Arial" w:cs="Arial" w:eastAsia="Arial" w:hAnsi="Arial"/>
          <w:sz w:val="18"/>
          <w:szCs w:val="18"/>
          <w:color w:val="auto"/>
        </w:rPr>
        <w:t>follows:</w:t>
      </w:r>
    </w:p>
    <w:p>
      <w:pPr>
        <w:spacing w:after="0" w:line="204" w:lineRule="exact"/>
        <w:rPr>
          <w:sz w:val="20"/>
          <w:szCs w:val="20"/>
          <w:color w:val="auto"/>
        </w:rPr>
      </w:pPr>
    </w:p>
    <w:tbl>
      <w:tblPr>
        <w:tblLayout w:type="fixed"/>
        <w:tblInd w:w="1240" w:type="dxa"/>
        <w:tblCellMar>
          <w:top w:w="0" w:type="dxa"/>
          <w:left w:w="0" w:type="dxa"/>
          <w:bottom w:w="0" w:type="dxa"/>
          <w:right w:w="0" w:type="dxa"/>
        </w:tblCellMar>
      </w:tblPr>
      <w:tr>
        <w:trPr>
          <w:trHeight w:val="161"/>
        </w:trPr>
        <w:tc>
          <w:tcPr>
            <w:tcW w:w="3400" w:type="dxa"/>
            <w:vAlign w:val="bottom"/>
          </w:tcPr>
          <w:p>
            <w:pPr>
              <w:spacing w:after="0"/>
              <w:rPr>
                <w:sz w:val="14"/>
                <w:szCs w:val="14"/>
                <w:color w:val="auto"/>
              </w:rPr>
            </w:pPr>
          </w:p>
        </w:tc>
        <w:tc>
          <w:tcPr>
            <w:tcW w:w="2340" w:type="dxa"/>
            <w:vAlign w:val="bottom"/>
            <w:gridSpan w:val="4"/>
            <w:vMerge w:val="restart"/>
          </w:tcPr>
          <w:p>
            <w:pPr>
              <w:ind w:left="1660"/>
              <w:spacing w:after="0"/>
              <w:rPr>
                <w:sz w:val="20"/>
                <w:szCs w:val="20"/>
                <w:color w:val="auto"/>
              </w:rPr>
            </w:pPr>
            <w:r>
              <w:rPr>
                <w:rFonts w:ascii="Arial" w:cs="Arial" w:eastAsia="Arial" w:hAnsi="Arial"/>
                <w:sz w:val="14"/>
                <w:szCs w:val="14"/>
                <w:b w:val="1"/>
                <w:bCs w:val="1"/>
                <w:color w:val="auto"/>
                <w:w w:val="98"/>
              </w:rPr>
              <w:t>Dividends</w:t>
            </w:r>
          </w:p>
        </w:tc>
        <w:tc>
          <w:tcPr>
            <w:tcW w:w="80" w:type="dxa"/>
            <w:vAlign w:val="bottom"/>
          </w:tcPr>
          <w:p>
            <w:pPr>
              <w:spacing w:after="0"/>
              <w:rPr>
                <w:sz w:val="14"/>
                <w:szCs w:val="14"/>
                <w:color w:val="auto"/>
              </w:rPr>
            </w:pPr>
          </w:p>
        </w:tc>
        <w:tc>
          <w:tcPr>
            <w:tcW w:w="720" w:type="dxa"/>
            <w:vAlign w:val="bottom"/>
            <w:gridSpan w:val="2"/>
          </w:tcPr>
          <w:p>
            <w:pPr>
              <w:jc w:val="center"/>
              <w:spacing w:after="0"/>
              <w:rPr>
                <w:sz w:val="20"/>
                <w:szCs w:val="20"/>
                <w:color w:val="auto"/>
              </w:rPr>
            </w:pPr>
            <w:r>
              <w:rPr>
                <w:rFonts w:ascii="Arial" w:cs="Arial" w:eastAsia="Arial" w:hAnsi="Arial"/>
                <w:sz w:val="14"/>
                <w:szCs w:val="14"/>
                <w:b w:val="1"/>
                <w:bCs w:val="1"/>
                <w:color w:val="auto"/>
                <w:w w:val="92"/>
              </w:rPr>
              <w:t>Amounts</w:t>
            </w:r>
          </w:p>
        </w:tc>
        <w:tc>
          <w:tcPr>
            <w:tcW w:w="0" w:type="dxa"/>
            <w:vAlign w:val="bottom"/>
          </w:tcPr>
          <w:p>
            <w:pPr>
              <w:spacing w:after="0"/>
              <w:rPr>
                <w:sz w:val="1"/>
                <w:szCs w:val="1"/>
                <w:color w:val="auto"/>
              </w:rPr>
            </w:pPr>
          </w:p>
        </w:tc>
      </w:tr>
      <w:tr>
        <w:trPr>
          <w:trHeight w:val="149"/>
        </w:trPr>
        <w:tc>
          <w:tcPr>
            <w:tcW w:w="3400" w:type="dxa"/>
            <w:vAlign w:val="bottom"/>
          </w:tcPr>
          <w:p>
            <w:pPr>
              <w:spacing w:after="0"/>
              <w:rPr>
                <w:sz w:val="12"/>
                <w:szCs w:val="12"/>
                <w:color w:val="auto"/>
              </w:rPr>
            </w:pPr>
          </w:p>
        </w:tc>
        <w:tc>
          <w:tcPr>
            <w:tcW w:w="2340" w:type="dxa"/>
            <w:vAlign w:val="bottom"/>
            <w:gridSpan w:val="4"/>
            <w:vMerge w:val="continue"/>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tcPr>
          <w:p>
            <w:pPr>
              <w:jc w:val="center"/>
              <w:ind w:right="33"/>
              <w:spacing w:after="0" w:line="149" w:lineRule="exact"/>
              <w:rPr>
                <w:sz w:val="20"/>
                <w:szCs w:val="20"/>
                <w:color w:val="auto"/>
              </w:rPr>
            </w:pPr>
            <w:r>
              <w:rPr>
                <w:rFonts w:ascii="Arial" w:cs="Arial" w:eastAsia="Arial" w:hAnsi="Arial"/>
                <w:sz w:val="14"/>
                <w:szCs w:val="14"/>
                <w:b w:val="1"/>
                <w:bCs w:val="1"/>
                <w:color w:val="auto"/>
                <w:w w:val="93"/>
              </w:rPr>
              <w:t>(in</w:t>
            </w:r>
          </w:p>
        </w:tc>
        <w:tc>
          <w:tcPr>
            <w:tcW w:w="0" w:type="dxa"/>
            <w:vAlign w:val="bottom"/>
          </w:tcPr>
          <w:p>
            <w:pPr>
              <w:spacing w:after="0"/>
              <w:rPr>
                <w:sz w:val="1"/>
                <w:szCs w:val="1"/>
                <w:color w:val="auto"/>
              </w:rPr>
            </w:pPr>
          </w:p>
        </w:tc>
      </w:tr>
      <w:tr>
        <w:trPr>
          <w:trHeight w:val="171"/>
        </w:trPr>
        <w:tc>
          <w:tcPr>
            <w:tcW w:w="3400" w:type="dxa"/>
            <w:vAlign w:val="bottom"/>
            <w:vMerge w:val="restart"/>
          </w:tcPr>
          <w:p>
            <w:pPr>
              <w:spacing w:after="0"/>
              <w:rPr>
                <w:sz w:val="20"/>
                <w:szCs w:val="20"/>
                <w:color w:val="auto"/>
              </w:rPr>
            </w:pPr>
            <w:r>
              <w:rPr>
                <w:rFonts w:ascii="Arial" w:cs="Arial" w:eastAsia="Arial" w:hAnsi="Arial"/>
                <w:sz w:val="18"/>
                <w:szCs w:val="18"/>
                <w:color w:val="auto"/>
              </w:rPr>
              <w:t>2017:</w:t>
            </w:r>
          </w:p>
        </w:tc>
        <w:tc>
          <w:tcPr>
            <w:tcW w:w="2340" w:type="dxa"/>
            <w:vAlign w:val="bottom"/>
            <w:gridSpan w:val="4"/>
          </w:tcPr>
          <w:p>
            <w:pPr>
              <w:ind w:left="1660"/>
              <w:spacing w:after="0"/>
              <w:rPr>
                <w:sz w:val="20"/>
                <w:szCs w:val="20"/>
                <w:color w:val="auto"/>
              </w:rPr>
            </w:pPr>
            <w:r>
              <w:rPr>
                <w:rFonts w:ascii="Arial" w:cs="Arial" w:eastAsia="Arial" w:hAnsi="Arial"/>
                <w:sz w:val="14"/>
                <w:szCs w:val="14"/>
                <w:b w:val="1"/>
                <w:bCs w:val="1"/>
                <w:color w:val="auto"/>
              </w:rPr>
              <w:t>per Share</w:t>
            </w:r>
          </w:p>
        </w:tc>
        <w:tc>
          <w:tcPr>
            <w:tcW w:w="80" w:type="dxa"/>
            <w:vAlign w:val="bottom"/>
          </w:tcPr>
          <w:p>
            <w:pPr>
              <w:spacing w:after="0"/>
              <w:rPr>
                <w:sz w:val="14"/>
                <w:szCs w:val="14"/>
                <w:color w:val="auto"/>
              </w:rPr>
            </w:pPr>
          </w:p>
        </w:tc>
        <w:tc>
          <w:tcPr>
            <w:tcW w:w="720" w:type="dxa"/>
            <w:vAlign w:val="bottom"/>
            <w:gridSpan w:val="2"/>
          </w:tcPr>
          <w:p>
            <w:pPr>
              <w:jc w:val="center"/>
              <w:spacing w:after="0"/>
              <w:rPr>
                <w:sz w:val="20"/>
                <w:szCs w:val="20"/>
                <w:color w:val="auto"/>
              </w:rPr>
            </w:pPr>
            <w:r>
              <w:rPr>
                <w:rFonts w:ascii="Arial" w:cs="Arial" w:eastAsia="Arial" w:hAnsi="Arial"/>
                <w:sz w:val="14"/>
                <w:szCs w:val="14"/>
                <w:b w:val="1"/>
                <w:bCs w:val="1"/>
                <w:color w:val="auto"/>
                <w:w w:val="90"/>
              </w:rPr>
              <w:t>thousands)</w:t>
            </w:r>
          </w:p>
        </w:tc>
        <w:tc>
          <w:tcPr>
            <w:tcW w:w="0" w:type="dxa"/>
            <w:vAlign w:val="bottom"/>
          </w:tcPr>
          <w:p>
            <w:pPr>
              <w:spacing w:after="0"/>
              <w:rPr>
                <w:sz w:val="1"/>
                <w:szCs w:val="1"/>
                <w:color w:val="auto"/>
              </w:rPr>
            </w:pPr>
          </w:p>
        </w:tc>
      </w:tr>
      <w:tr>
        <w:trPr>
          <w:trHeight w:val="196"/>
        </w:trPr>
        <w:tc>
          <w:tcPr>
            <w:tcW w:w="3400" w:type="dxa"/>
            <w:vAlign w:val="bottom"/>
            <w:vMerge w:val="continue"/>
          </w:tcPr>
          <w:p>
            <w:pPr>
              <w:spacing w:after="0"/>
              <w:rPr>
                <w:sz w:val="17"/>
                <w:szCs w:val="17"/>
                <w:color w:val="auto"/>
              </w:rPr>
            </w:pPr>
          </w:p>
        </w:tc>
        <w:tc>
          <w:tcPr>
            <w:tcW w:w="1660" w:type="dxa"/>
            <w:vAlign w:val="bottom"/>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460" w:type="dxa"/>
            <w:vAlign w:val="bottom"/>
            <w:tcBorders>
              <w:top w:val="single" w:sz="8" w:color="auto"/>
            </w:tcBorders>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600" w:type="dxa"/>
            <w:vAlign w:val="bottom"/>
            <w:tcBorders>
              <w:top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34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Fourth Quarter</w:t>
            </w:r>
          </w:p>
        </w:tc>
        <w:tc>
          <w:tcPr>
            <w:tcW w:w="1820" w:type="dxa"/>
            <w:vAlign w:val="bottom"/>
            <w:gridSpan w:val="2"/>
            <w:shd w:val="clear" w:color="auto" w:fill="CCEEFF"/>
          </w:tcPr>
          <w:p>
            <w:pPr>
              <w:ind w:left="1660"/>
              <w:spacing w:after="0"/>
              <w:rPr>
                <w:sz w:val="20"/>
                <w:szCs w:val="20"/>
                <w:color w:val="auto"/>
              </w:rPr>
            </w:pPr>
            <w:r>
              <w:rPr>
                <w:rFonts w:ascii="Arial" w:cs="Arial" w:eastAsia="Arial" w:hAnsi="Arial"/>
                <w:sz w:val="18"/>
                <w:szCs w:val="18"/>
                <w:color w:val="auto"/>
              </w:rPr>
              <w:t>$</w:t>
            </w: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0.12</w:t>
            </w:r>
          </w:p>
        </w:tc>
        <w:tc>
          <w:tcPr>
            <w:tcW w:w="6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9,098</w:t>
            </w:r>
          </w:p>
        </w:tc>
        <w:tc>
          <w:tcPr>
            <w:tcW w:w="0" w:type="dxa"/>
            <w:vAlign w:val="bottom"/>
          </w:tcPr>
          <w:p>
            <w:pPr>
              <w:spacing w:after="0"/>
              <w:rPr>
                <w:sz w:val="1"/>
                <w:szCs w:val="1"/>
                <w:color w:val="auto"/>
              </w:rPr>
            </w:pPr>
          </w:p>
        </w:tc>
      </w:tr>
      <w:tr>
        <w:trPr>
          <w:trHeight w:val="216"/>
        </w:trPr>
        <w:tc>
          <w:tcPr>
            <w:tcW w:w="3400" w:type="dxa"/>
            <w:vAlign w:val="bottom"/>
          </w:tcPr>
          <w:p>
            <w:pPr>
              <w:ind w:left="200"/>
              <w:spacing w:after="0"/>
              <w:rPr>
                <w:sz w:val="20"/>
                <w:szCs w:val="20"/>
                <w:color w:val="auto"/>
              </w:rPr>
            </w:pPr>
            <w:r>
              <w:rPr>
                <w:rFonts w:ascii="Arial" w:cs="Arial" w:eastAsia="Arial" w:hAnsi="Arial"/>
                <w:sz w:val="18"/>
                <w:szCs w:val="18"/>
                <w:color w:val="auto"/>
              </w:rPr>
              <w:t>Third Quarter</w:t>
            </w:r>
          </w:p>
        </w:tc>
        <w:tc>
          <w:tcPr>
            <w:tcW w:w="16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rPr>
              <w:t>0.12</w:t>
            </w: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9,146</w:t>
            </w:r>
          </w:p>
        </w:tc>
        <w:tc>
          <w:tcPr>
            <w:tcW w:w="0" w:type="dxa"/>
            <w:vAlign w:val="bottom"/>
          </w:tcPr>
          <w:p>
            <w:pPr>
              <w:spacing w:after="0"/>
              <w:rPr>
                <w:sz w:val="1"/>
                <w:szCs w:val="1"/>
                <w:color w:val="auto"/>
              </w:rPr>
            </w:pPr>
          </w:p>
        </w:tc>
      </w:tr>
      <w:tr>
        <w:trPr>
          <w:trHeight w:val="216"/>
        </w:trPr>
        <w:tc>
          <w:tcPr>
            <w:tcW w:w="34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Second Quarter</w:t>
            </w:r>
          </w:p>
        </w:tc>
        <w:tc>
          <w:tcPr>
            <w:tcW w:w="16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0.12</w:t>
            </w: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9,149</w:t>
            </w:r>
          </w:p>
        </w:tc>
        <w:tc>
          <w:tcPr>
            <w:tcW w:w="0" w:type="dxa"/>
            <w:vAlign w:val="bottom"/>
          </w:tcPr>
          <w:p>
            <w:pPr>
              <w:spacing w:after="0"/>
              <w:rPr>
                <w:sz w:val="1"/>
                <w:szCs w:val="1"/>
                <w:color w:val="auto"/>
              </w:rPr>
            </w:pPr>
          </w:p>
        </w:tc>
      </w:tr>
      <w:tr>
        <w:trPr>
          <w:trHeight w:val="216"/>
        </w:trPr>
        <w:tc>
          <w:tcPr>
            <w:tcW w:w="3400" w:type="dxa"/>
            <w:vAlign w:val="bottom"/>
            <w:tcBorders>
              <w:bottom w:val="single" w:sz="8" w:color="CCEEFF"/>
            </w:tcBorders>
          </w:tcPr>
          <w:p>
            <w:pPr>
              <w:ind w:left="200"/>
              <w:spacing w:after="0"/>
              <w:rPr>
                <w:sz w:val="20"/>
                <w:szCs w:val="20"/>
                <w:color w:val="auto"/>
              </w:rPr>
            </w:pPr>
            <w:r>
              <w:rPr>
                <w:rFonts w:ascii="Arial" w:cs="Arial" w:eastAsia="Arial" w:hAnsi="Arial"/>
                <w:sz w:val="18"/>
                <w:szCs w:val="18"/>
                <w:color w:val="auto"/>
              </w:rPr>
              <w:t>First Quarter</w:t>
            </w:r>
          </w:p>
        </w:tc>
        <w:tc>
          <w:tcPr>
            <w:tcW w:w="166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4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0.12</w:t>
            </w:r>
          </w:p>
        </w:tc>
        <w:tc>
          <w:tcPr>
            <w:tcW w:w="6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9,152</w:t>
            </w:r>
          </w:p>
        </w:tc>
        <w:tc>
          <w:tcPr>
            <w:tcW w:w="0" w:type="dxa"/>
            <w:vAlign w:val="bottom"/>
          </w:tcPr>
          <w:p>
            <w:pPr>
              <w:spacing w:after="0"/>
              <w:rPr>
                <w:sz w:val="1"/>
                <w:szCs w:val="1"/>
                <w:color w:val="auto"/>
              </w:rPr>
            </w:pPr>
          </w:p>
        </w:tc>
      </w:tr>
      <w:tr>
        <w:trPr>
          <w:trHeight w:val="217"/>
        </w:trPr>
        <w:tc>
          <w:tcPr>
            <w:tcW w:w="34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dividends declared</w:t>
            </w:r>
          </w:p>
        </w:tc>
        <w:tc>
          <w:tcPr>
            <w:tcW w:w="166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0.48</w:t>
            </w:r>
          </w:p>
        </w:tc>
        <w:tc>
          <w:tcPr>
            <w:tcW w:w="6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4"/>
              </w:rPr>
              <w:t>36,545</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1880"/>
        <w:spacing w:after="0"/>
        <w:rPr>
          <w:sz w:val="20"/>
          <w:szCs w:val="20"/>
          <w:color w:val="auto"/>
        </w:rPr>
      </w:pPr>
      <w:r>
        <w:rPr>
          <w:rFonts w:ascii="Arial" w:cs="Arial" w:eastAsia="Arial" w:hAnsi="Arial"/>
          <w:sz w:val="17"/>
          <w:szCs w:val="17"/>
          <w:color w:val="auto"/>
        </w:rPr>
        <w:t>During the first quarter of 2018, the board of directors declared a dividend of</w:t>
      </w:r>
    </w:p>
    <w:p>
      <w:pPr>
        <w:spacing w:after="0" w:line="35" w:lineRule="exact"/>
        <w:rPr>
          <w:sz w:val="20"/>
          <w:szCs w:val="20"/>
          <w:color w:val="auto"/>
        </w:rPr>
      </w:pPr>
    </w:p>
    <w:p>
      <w:pPr>
        <w:ind w:left="1240"/>
        <w:spacing w:after="0"/>
        <w:rPr>
          <w:sz w:val="20"/>
          <w:szCs w:val="20"/>
          <w:color w:val="auto"/>
        </w:rPr>
      </w:pPr>
      <w:r>
        <w:rPr>
          <w:rFonts w:ascii="Arial" w:cs="Arial" w:eastAsia="Arial" w:hAnsi="Arial"/>
          <w:sz w:val="16"/>
          <w:szCs w:val="16"/>
          <w:color w:val="auto"/>
        </w:rPr>
        <w:t>$0.13 per share to shareholders on record as of March 19, 2018 and payable on March 29,</w:t>
      </w:r>
    </w:p>
    <w:p>
      <w:pPr>
        <w:spacing w:after="0" w:line="43" w:lineRule="exact"/>
        <w:rPr>
          <w:sz w:val="20"/>
          <w:szCs w:val="20"/>
          <w:color w:val="auto"/>
        </w:rPr>
      </w:pPr>
    </w:p>
    <w:p>
      <w:pPr>
        <w:ind w:left="1240"/>
        <w:spacing w:after="0"/>
        <w:rPr>
          <w:sz w:val="20"/>
          <w:szCs w:val="20"/>
          <w:color w:val="auto"/>
        </w:rPr>
      </w:pPr>
      <w:r>
        <w:rPr>
          <w:rFonts w:ascii="Arial" w:cs="Arial" w:eastAsia="Arial" w:hAnsi="Arial"/>
          <w:sz w:val="18"/>
          <w:szCs w:val="18"/>
          <w:color w:val="auto"/>
        </w:rPr>
        <w:t>2018</w:t>
      </w:r>
      <w:r>
        <w:rPr>
          <w:rFonts w:ascii="Arial" w:cs="Arial" w:eastAsia="Arial" w:hAnsi="Arial"/>
          <w:sz w:val="21"/>
          <w:szCs w:val="21"/>
          <w:color w:val="auto"/>
        </w:rPr>
        <w:t>.</w:t>
      </w:r>
    </w:p>
    <w:p>
      <w:pPr>
        <w:spacing w:after="0" w:line="189"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17. Equity Incentive Plans</w:t>
      </w:r>
    </w:p>
    <w:p>
      <w:pPr>
        <w:spacing w:after="0" w:line="225"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Restricted Stock and Performance Stock Units</w:t>
      </w:r>
    </w:p>
    <w:p>
      <w:pPr>
        <w:spacing w:after="0" w:line="229" w:lineRule="exact"/>
        <w:rPr>
          <w:sz w:val="20"/>
          <w:szCs w:val="20"/>
          <w:color w:val="auto"/>
        </w:rPr>
      </w:pPr>
    </w:p>
    <w:p>
      <w:pPr>
        <w:ind w:left="1240" w:right="1659" w:firstLine="519"/>
        <w:spacing w:after="0" w:line="258" w:lineRule="auto"/>
        <w:rPr>
          <w:sz w:val="20"/>
          <w:szCs w:val="20"/>
          <w:color w:val="auto"/>
        </w:rPr>
      </w:pPr>
      <w:r>
        <w:rPr>
          <w:rFonts w:ascii="Arial" w:cs="Arial" w:eastAsia="Arial" w:hAnsi="Arial"/>
          <w:sz w:val="18"/>
          <w:szCs w:val="18"/>
          <w:color w:val="auto"/>
        </w:rPr>
        <w:t>On January 22, 2016, the Company’s board of directors adopted the Acushnet Holdings Corp. 2015</w:t>
      </w:r>
    </w:p>
    <w:p>
      <w:pPr>
        <w:spacing w:after="0" w:line="1" w:lineRule="exact"/>
        <w:rPr>
          <w:sz w:val="20"/>
          <w:szCs w:val="20"/>
          <w:color w:val="auto"/>
        </w:rPr>
      </w:pPr>
    </w:p>
    <w:p>
      <w:pPr>
        <w:ind w:left="1240" w:right="1279"/>
        <w:spacing w:after="0" w:line="284" w:lineRule="auto"/>
        <w:rPr>
          <w:sz w:val="20"/>
          <w:szCs w:val="20"/>
          <w:color w:val="auto"/>
        </w:rPr>
      </w:pPr>
      <w:r>
        <w:rPr>
          <w:rFonts w:ascii="Arial" w:cs="Arial" w:eastAsia="Arial" w:hAnsi="Arial"/>
          <w:sz w:val="16"/>
          <w:szCs w:val="16"/>
          <w:color w:val="auto"/>
        </w:rPr>
        <w:t>Omnibus Incentive Plan (“2015 Plan”) pursuant to which the Company may grant stock options, stock appreciation rights, restricted shares of common stock, RSUs, performance stock units (“PSUs”) and other share-based and cash-based awards to members of the board of directors, officers, employees, consultants and advisors of the Company. The 2015 Plan is administered by the compensation committee (the “Administrator”). The Administrator has the authority to establish the terms and conditions of any award issued or granted under the 2015 Plan. Each share issued with respect to RSUs and PSUs granted under the 2015 Plan reduces the number of shares available for grant. RSUs and PSUs forfeited and shares withheld to satisfy tax withholding obligations increase the number of shares available for grant. All RSUs and PSUs granted under the 2015 Plan have dividend equivalent rights (“DERs”), which entitle holders of RSUs and PSUs to the same dividend value per share as holders of common stock. DERs are subject to the same vesting and other terms and conditions as the corresponding unvested RSUs and PSUs. DERs are paid when the underlying shares vest. As of December 31, 2017, there were 7,804,279 remaining shares of common stock reserved for issuance under the 2015 Plan of which 4,557,513 remain available for future grants.</w:t>
      </w: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786765</wp:posOffset>
            </wp:positionH>
            <wp:positionV relativeFrom="paragraph">
              <wp:posOffset>83185</wp:posOffset>
            </wp:positionV>
            <wp:extent cx="4159250" cy="2603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68">
                      <a:extLst>
                        <a:ext uri="{28A0092B-C50C-407E-A947-70E740481C1C}"/>
                      </a:extLst>
                    </a:blip>
                    <a:srcRect/>
                    <a:stretch>
                      <a:fillRect/>
                    </a:stretch>
                  </pic:blipFill>
                  <pic:spPr bwMode="auto">
                    <a:xfrm>
                      <a:off x="0" y="0"/>
                      <a:ext cx="4159250" cy="26035"/>
                    </a:xfrm>
                    <a:prstGeom prst="rect">
                      <a:avLst/>
                    </a:prstGeom>
                    <a:noFill/>
                  </pic:spPr>
                </pic:pic>
              </a:graphicData>
            </a:graphic>
          </wp:anchor>
        </w:drawing>
      </w:r>
    </w:p>
    <w:p>
      <w:pPr>
        <w:sectPr>
          <w:pgSz w:w="11900" w:h="16838" w:orient="portrait"/>
          <w:cols w:equalWidth="0" w:num="1">
            <w:col w:w="9019"/>
          </w:cols>
          <w:pgMar w:left="1440" w:top="125" w:right="1440" w:bottom="761" w:gutter="0" w:footer="0" w:header="0"/>
        </w:sectPr>
      </w:pPr>
    </w:p>
    <w:bookmarkStart w:id="133" w:name="page134"/>
    <w:bookmarkEnd w:id="133"/>
    <w:p>
      <w:pPr>
        <w:ind w:left="124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1240" w:right="1419" w:firstLine="428"/>
        <w:spacing w:after="0" w:line="277" w:lineRule="auto"/>
        <w:rPr>
          <w:sz w:val="20"/>
          <w:szCs w:val="20"/>
          <w:color w:val="auto"/>
        </w:rPr>
      </w:pPr>
      <w:r>
        <w:rPr>
          <w:rFonts w:ascii="Arial" w:cs="Arial" w:eastAsia="Arial" w:hAnsi="Arial"/>
          <w:sz w:val="18"/>
          <w:szCs w:val="18"/>
          <w:color w:val="auto"/>
        </w:rPr>
        <w:t>A summary of the Company’s RSUs and PSUs as of December 31, 2017 and 2016 and changes during the years then ended is presented below:</w:t>
      </w:r>
    </w:p>
    <w:p>
      <w:pPr>
        <w:spacing w:after="0" w:line="189" w:lineRule="exact"/>
        <w:rPr>
          <w:sz w:val="20"/>
          <w:szCs w:val="20"/>
          <w:color w:val="auto"/>
        </w:rPr>
      </w:pPr>
    </w:p>
    <w:tbl>
      <w:tblPr>
        <w:tblLayout w:type="fixed"/>
        <w:tblInd w:w="1240" w:type="dxa"/>
        <w:tblCellMar>
          <w:top w:w="0" w:type="dxa"/>
          <w:left w:w="0" w:type="dxa"/>
          <w:bottom w:w="0" w:type="dxa"/>
          <w:right w:w="0" w:type="dxa"/>
        </w:tblCellMar>
      </w:tblPr>
      <w:tr>
        <w:trPr>
          <w:trHeight w:val="162"/>
        </w:trPr>
        <w:tc>
          <w:tcPr>
            <w:tcW w:w="486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60" w:type="dxa"/>
            <w:vAlign w:val="bottom"/>
            <w:gridSpan w:val="2"/>
          </w:tcPr>
          <w:p>
            <w:pPr>
              <w:jc w:val="center"/>
              <w:spacing w:after="0"/>
              <w:rPr>
                <w:sz w:val="20"/>
                <w:szCs w:val="20"/>
                <w:color w:val="auto"/>
              </w:rPr>
            </w:pPr>
            <w:r>
              <w:rPr>
                <w:rFonts w:ascii="Arial" w:cs="Arial" w:eastAsia="Arial" w:hAnsi="Arial"/>
                <w:sz w:val="14"/>
                <w:szCs w:val="14"/>
                <w:b w:val="1"/>
                <w:bCs w:val="1"/>
                <w:color w:val="auto"/>
                <w:w w:val="91"/>
              </w:rPr>
              <w:t>Weighted-</w:t>
            </w:r>
          </w:p>
        </w:tc>
        <w:tc>
          <w:tcPr>
            <w:tcW w:w="0" w:type="dxa"/>
            <w:vAlign w:val="bottom"/>
          </w:tcPr>
          <w:p>
            <w:pPr>
              <w:spacing w:after="0"/>
              <w:rPr>
                <w:sz w:val="1"/>
                <w:szCs w:val="1"/>
                <w:color w:val="auto"/>
              </w:rPr>
            </w:pPr>
          </w:p>
        </w:tc>
      </w:tr>
      <w:tr>
        <w:trPr>
          <w:trHeight w:val="162"/>
        </w:trPr>
        <w:tc>
          <w:tcPr>
            <w:tcW w:w="4860" w:type="dxa"/>
            <w:vAlign w:val="bottom"/>
          </w:tcPr>
          <w:p>
            <w:pPr>
              <w:spacing w:after="0"/>
              <w:rPr>
                <w:sz w:val="14"/>
                <w:szCs w:val="14"/>
                <w:color w:val="auto"/>
              </w:rPr>
            </w:pPr>
          </w:p>
        </w:tc>
        <w:tc>
          <w:tcPr>
            <w:tcW w:w="780" w:type="dxa"/>
            <w:vAlign w:val="bottom"/>
          </w:tcPr>
          <w:p>
            <w:pPr>
              <w:jc w:val="center"/>
              <w:spacing w:after="0"/>
              <w:rPr>
                <w:sz w:val="20"/>
                <w:szCs w:val="20"/>
                <w:color w:val="auto"/>
              </w:rPr>
            </w:pPr>
            <w:r>
              <w:rPr>
                <w:rFonts w:ascii="Arial" w:cs="Arial" w:eastAsia="Arial" w:hAnsi="Arial"/>
                <w:sz w:val="14"/>
                <w:szCs w:val="14"/>
                <w:b w:val="1"/>
                <w:bCs w:val="1"/>
                <w:color w:val="auto"/>
                <w:w w:val="94"/>
              </w:rPr>
              <w:t>Number</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tcPr>
          <w:p>
            <w:pPr>
              <w:jc w:val="center"/>
              <w:ind w:right="43"/>
              <w:spacing w:after="0"/>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49"/>
        </w:trPr>
        <w:tc>
          <w:tcPr>
            <w:tcW w:w="4860" w:type="dxa"/>
            <w:vAlign w:val="bottom"/>
          </w:tcPr>
          <w:p>
            <w:pPr>
              <w:spacing w:after="0"/>
              <w:rPr>
                <w:sz w:val="12"/>
                <w:szCs w:val="12"/>
                <w:color w:val="auto"/>
              </w:rPr>
            </w:pPr>
          </w:p>
        </w:tc>
        <w:tc>
          <w:tcPr>
            <w:tcW w:w="7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of</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tcPr>
          <w:p>
            <w:pPr>
              <w:jc w:val="center"/>
              <w:ind w:right="43"/>
              <w:spacing w:after="0" w:line="149" w:lineRule="exact"/>
              <w:rPr>
                <w:sz w:val="20"/>
                <w:szCs w:val="20"/>
                <w:color w:val="auto"/>
              </w:rPr>
            </w:pPr>
            <w:r>
              <w:rPr>
                <w:rFonts w:ascii="Arial" w:cs="Arial" w:eastAsia="Arial" w:hAnsi="Arial"/>
                <w:sz w:val="14"/>
                <w:szCs w:val="14"/>
                <w:b w:val="1"/>
                <w:bCs w:val="1"/>
                <w:color w:val="auto"/>
              </w:rPr>
              <w:t>Fair</w:t>
            </w:r>
          </w:p>
        </w:tc>
        <w:tc>
          <w:tcPr>
            <w:tcW w:w="0" w:type="dxa"/>
            <w:vAlign w:val="bottom"/>
          </w:tcPr>
          <w:p>
            <w:pPr>
              <w:spacing w:after="0"/>
              <w:rPr>
                <w:sz w:val="1"/>
                <w:szCs w:val="1"/>
                <w:color w:val="auto"/>
              </w:rPr>
            </w:pPr>
          </w:p>
        </w:tc>
      </w:tr>
      <w:tr>
        <w:trPr>
          <w:trHeight w:val="149"/>
        </w:trPr>
        <w:tc>
          <w:tcPr>
            <w:tcW w:w="4860" w:type="dxa"/>
            <w:vAlign w:val="bottom"/>
          </w:tcPr>
          <w:p>
            <w:pPr>
              <w:spacing w:after="0"/>
              <w:rPr>
                <w:sz w:val="12"/>
                <w:szCs w:val="12"/>
                <w:color w:val="auto"/>
              </w:rPr>
            </w:pPr>
          </w:p>
        </w:tc>
        <w:tc>
          <w:tcPr>
            <w:tcW w:w="7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3"/>
              </w:rPr>
              <w:t>RSUs and</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vMerge w:val="restart"/>
          </w:tcPr>
          <w:p>
            <w:pPr>
              <w:jc w:val="center"/>
              <w:ind w:right="43"/>
              <w:spacing w:after="0"/>
              <w:rPr>
                <w:sz w:val="20"/>
                <w:szCs w:val="20"/>
                <w:color w:val="auto"/>
              </w:rPr>
            </w:pPr>
            <w:r>
              <w:rPr>
                <w:rFonts w:ascii="Arial" w:cs="Arial" w:eastAsia="Arial" w:hAnsi="Arial"/>
                <w:sz w:val="14"/>
                <w:szCs w:val="14"/>
                <w:b w:val="1"/>
                <w:bCs w:val="1"/>
                <w:color w:val="auto"/>
                <w:w w:val="90"/>
              </w:rPr>
              <w:t>Value</w:t>
            </w:r>
          </w:p>
        </w:tc>
        <w:tc>
          <w:tcPr>
            <w:tcW w:w="0" w:type="dxa"/>
            <w:vAlign w:val="bottom"/>
          </w:tcPr>
          <w:p>
            <w:pPr>
              <w:spacing w:after="0"/>
              <w:rPr>
                <w:sz w:val="1"/>
                <w:szCs w:val="1"/>
                <w:color w:val="auto"/>
              </w:rPr>
            </w:pPr>
          </w:p>
        </w:tc>
      </w:tr>
      <w:tr>
        <w:trPr>
          <w:trHeight w:val="171"/>
        </w:trPr>
        <w:tc>
          <w:tcPr>
            <w:tcW w:w="4860" w:type="dxa"/>
            <w:vAlign w:val="bottom"/>
          </w:tcPr>
          <w:p>
            <w:pPr>
              <w:spacing w:after="0"/>
              <w:rPr>
                <w:sz w:val="14"/>
                <w:szCs w:val="14"/>
                <w:color w:val="auto"/>
              </w:rPr>
            </w:pPr>
          </w:p>
        </w:tc>
        <w:tc>
          <w:tcPr>
            <w:tcW w:w="7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PSUs</w:t>
            </w: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308"/>
        </w:trPr>
        <w:tc>
          <w:tcPr>
            <w:tcW w:w="4860" w:type="dxa"/>
            <w:vAlign w:val="bottom"/>
          </w:tcPr>
          <w:p>
            <w:pPr>
              <w:spacing w:after="0"/>
              <w:rPr>
                <w:sz w:val="20"/>
                <w:szCs w:val="20"/>
                <w:color w:val="auto"/>
              </w:rPr>
            </w:pPr>
            <w:r>
              <w:rPr>
                <w:rFonts w:ascii="Arial" w:cs="Arial" w:eastAsia="Arial" w:hAnsi="Arial"/>
                <w:sz w:val="14"/>
                <w:szCs w:val="14"/>
                <w:b w:val="1"/>
                <w:bCs w:val="1"/>
                <w:color w:val="auto"/>
              </w:rPr>
              <w:t>Outstanding at December 31, 2015</w:t>
            </w:r>
          </w:p>
        </w:tc>
        <w:tc>
          <w:tcPr>
            <w:tcW w:w="780" w:type="dxa"/>
            <w:vAlign w:val="bottom"/>
          </w:tcPr>
          <w:p>
            <w:pPr>
              <w:jc w:val="right"/>
              <w:spacing w:after="0"/>
              <w:rPr>
                <w:sz w:val="20"/>
                <w:szCs w:val="20"/>
                <w:color w:val="auto"/>
              </w:rPr>
            </w:pPr>
            <w:r>
              <w:rPr>
                <w:rFonts w:ascii="Arial" w:cs="Arial" w:eastAsia="Arial" w:hAnsi="Arial"/>
                <w:sz w:val="14"/>
                <w:szCs w:val="14"/>
                <w:color w:val="auto"/>
              </w:rPr>
              <w:t>—</w:t>
            </w:r>
          </w:p>
        </w:tc>
        <w:tc>
          <w:tcPr>
            <w:tcW w:w="260" w:type="dxa"/>
            <w:vAlign w:val="bottom"/>
            <w:gridSpan w:val="2"/>
          </w:tcPr>
          <w:p>
            <w:pPr>
              <w:ind w:left="140"/>
              <w:spacing w:after="0"/>
              <w:rPr>
                <w:sz w:val="20"/>
                <w:szCs w:val="20"/>
                <w:color w:val="auto"/>
              </w:rPr>
            </w:pPr>
            <w:r>
              <w:rPr>
                <w:rFonts w:ascii="Arial" w:cs="Arial" w:eastAsia="Arial" w:hAnsi="Arial"/>
                <w:sz w:val="14"/>
                <w:szCs w:val="14"/>
                <w:color w:val="auto"/>
              </w:rPr>
              <w:t>$</w:t>
            </w:r>
          </w:p>
        </w:tc>
        <w:tc>
          <w:tcPr>
            <w:tcW w:w="660" w:type="dxa"/>
            <w:vAlign w:val="bottom"/>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12"/>
        </w:trPr>
        <w:tc>
          <w:tcPr>
            <w:tcW w:w="4860" w:type="dxa"/>
            <w:vAlign w:val="bottom"/>
            <w:tcBorders>
              <w:bottom w:val="single" w:sz="8" w:color="CCEEFF"/>
            </w:tcBorders>
          </w:tcPr>
          <w:p>
            <w:pPr>
              <w:ind w:left="100"/>
              <w:spacing w:after="0"/>
              <w:rPr>
                <w:sz w:val="20"/>
                <w:szCs w:val="20"/>
                <w:color w:val="auto"/>
              </w:rPr>
            </w:pPr>
            <w:r>
              <w:rPr>
                <w:rFonts w:ascii="Arial" w:cs="Arial" w:eastAsia="Arial" w:hAnsi="Arial"/>
                <w:sz w:val="14"/>
                <w:szCs w:val="14"/>
                <w:color w:val="auto"/>
              </w:rPr>
              <w:t>Granted</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98"/>
              </w:rPr>
              <w:t>2,459,166</w:t>
            </w:r>
          </w:p>
        </w:tc>
        <w:tc>
          <w:tcPr>
            <w:tcW w:w="16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660" w:type="dxa"/>
            <w:vAlign w:val="bottom"/>
            <w:tcBorders>
              <w:bottom w:val="single" w:sz="8" w:color="CCEEFF"/>
            </w:tcBorders>
          </w:tcPr>
          <w:p>
            <w:pPr>
              <w:jc w:val="right"/>
              <w:spacing w:after="0"/>
              <w:rPr>
                <w:sz w:val="20"/>
                <w:szCs w:val="20"/>
                <w:color w:val="auto"/>
              </w:rPr>
            </w:pPr>
            <w:r>
              <w:rPr>
                <w:rFonts w:ascii="Arial" w:cs="Arial" w:eastAsia="Arial" w:hAnsi="Arial"/>
                <w:sz w:val="16"/>
                <w:szCs w:val="16"/>
                <w:color w:val="auto"/>
              </w:rPr>
              <w:t>20.40</w:t>
            </w:r>
          </w:p>
        </w:tc>
        <w:tc>
          <w:tcPr>
            <w:tcW w:w="0" w:type="dxa"/>
            <w:vAlign w:val="bottom"/>
          </w:tcPr>
          <w:p>
            <w:pPr>
              <w:spacing w:after="0"/>
              <w:rPr>
                <w:sz w:val="1"/>
                <w:szCs w:val="1"/>
                <w:color w:val="auto"/>
              </w:rPr>
            </w:pPr>
          </w:p>
        </w:tc>
      </w:tr>
      <w:tr>
        <w:trPr>
          <w:trHeight w:val="196"/>
        </w:trPr>
        <w:tc>
          <w:tcPr>
            <w:tcW w:w="4860" w:type="dxa"/>
            <w:vAlign w:val="bottom"/>
            <w:shd w:val="clear" w:color="auto" w:fill="CCEEFF"/>
          </w:tcPr>
          <w:p>
            <w:pPr>
              <w:spacing w:after="0"/>
              <w:rPr>
                <w:sz w:val="20"/>
                <w:szCs w:val="20"/>
                <w:color w:val="auto"/>
              </w:rPr>
            </w:pPr>
            <w:r>
              <w:rPr>
                <w:rFonts w:ascii="Arial" w:cs="Arial" w:eastAsia="Arial" w:hAnsi="Arial"/>
                <w:sz w:val="14"/>
                <w:szCs w:val="14"/>
                <w:b w:val="1"/>
                <w:bCs w:val="1"/>
                <w:color w:val="auto"/>
              </w:rPr>
              <w:t>Outstanding at December 31, 2016</w:t>
            </w:r>
          </w:p>
        </w:tc>
        <w:tc>
          <w:tcPr>
            <w:tcW w:w="78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8"/>
              </w:rPr>
              <w:t>2,459,166</w:t>
            </w:r>
          </w:p>
        </w:tc>
        <w:tc>
          <w:tcPr>
            <w:tcW w:w="260" w:type="dxa"/>
            <w:vAlign w:val="bottom"/>
            <w:gridSpan w:val="2"/>
            <w:shd w:val="clear" w:color="auto" w:fill="CCEEFF"/>
          </w:tcPr>
          <w:p>
            <w:pPr>
              <w:ind w:left="140"/>
              <w:spacing w:after="0"/>
              <w:rPr>
                <w:sz w:val="20"/>
                <w:szCs w:val="20"/>
                <w:color w:val="auto"/>
              </w:rPr>
            </w:pPr>
            <w:r>
              <w:rPr>
                <w:rFonts w:ascii="Arial" w:cs="Arial" w:eastAsia="Arial" w:hAnsi="Arial"/>
                <w:sz w:val="16"/>
                <w:szCs w:val="16"/>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20.40</w:t>
            </w:r>
          </w:p>
        </w:tc>
        <w:tc>
          <w:tcPr>
            <w:tcW w:w="0" w:type="dxa"/>
            <w:vAlign w:val="bottom"/>
          </w:tcPr>
          <w:p>
            <w:pPr>
              <w:spacing w:after="0"/>
              <w:rPr>
                <w:sz w:val="1"/>
                <w:szCs w:val="1"/>
                <w:color w:val="auto"/>
              </w:rPr>
            </w:pPr>
          </w:p>
        </w:tc>
      </w:tr>
      <w:tr>
        <w:trPr>
          <w:trHeight w:val="203"/>
        </w:trPr>
        <w:tc>
          <w:tcPr>
            <w:tcW w:w="4860" w:type="dxa"/>
            <w:vAlign w:val="bottom"/>
          </w:tcPr>
          <w:p>
            <w:pPr>
              <w:ind w:left="100"/>
              <w:spacing w:after="0"/>
              <w:rPr>
                <w:sz w:val="20"/>
                <w:szCs w:val="20"/>
                <w:color w:val="auto"/>
              </w:rPr>
            </w:pPr>
            <w:r>
              <w:rPr>
                <w:rFonts w:ascii="Arial" w:cs="Arial" w:eastAsia="Arial" w:hAnsi="Arial"/>
                <w:sz w:val="14"/>
                <w:szCs w:val="14"/>
                <w:color w:val="auto"/>
              </w:rPr>
              <w:t>Granted</w:t>
            </w:r>
          </w:p>
        </w:tc>
        <w:tc>
          <w:tcPr>
            <w:tcW w:w="780" w:type="dxa"/>
            <w:vAlign w:val="bottom"/>
          </w:tcPr>
          <w:p>
            <w:pPr>
              <w:jc w:val="right"/>
              <w:spacing w:after="0"/>
              <w:rPr>
                <w:sz w:val="20"/>
                <w:szCs w:val="20"/>
                <w:color w:val="auto"/>
              </w:rPr>
            </w:pPr>
            <w:r>
              <w:rPr>
                <w:rFonts w:ascii="Arial" w:cs="Arial" w:eastAsia="Arial" w:hAnsi="Arial"/>
                <w:sz w:val="16"/>
                <w:szCs w:val="16"/>
                <w:color w:val="auto"/>
              </w:rPr>
              <w:t>238,196</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6"/>
                <w:szCs w:val="16"/>
                <w:color w:val="auto"/>
              </w:rPr>
              <w:t>18.82</w:t>
            </w:r>
          </w:p>
        </w:tc>
        <w:tc>
          <w:tcPr>
            <w:tcW w:w="0" w:type="dxa"/>
            <w:vAlign w:val="bottom"/>
          </w:tcPr>
          <w:p>
            <w:pPr>
              <w:spacing w:after="0"/>
              <w:rPr>
                <w:sz w:val="1"/>
                <w:szCs w:val="1"/>
                <w:color w:val="auto"/>
              </w:rPr>
            </w:pPr>
          </w:p>
        </w:tc>
      </w:tr>
      <w:tr>
        <w:trPr>
          <w:trHeight w:val="203"/>
        </w:trPr>
        <w:tc>
          <w:tcPr>
            <w:tcW w:w="4860" w:type="dxa"/>
            <w:vAlign w:val="bottom"/>
            <w:shd w:val="clear" w:color="auto" w:fill="CCEEFF"/>
          </w:tcPr>
          <w:p>
            <w:pPr>
              <w:ind w:left="100"/>
              <w:spacing w:after="0"/>
              <w:rPr>
                <w:sz w:val="20"/>
                <w:szCs w:val="20"/>
                <w:color w:val="auto"/>
              </w:rPr>
            </w:pPr>
            <w:r>
              <w:rPr>
                <w:rFonts w:ascii="Arial" w:cs="Arial" w:eastAsia="Arial" w:hAnsi="Arial"/>
                <w:sz w:val="14"/>
                <w:szCs w:val="14"/>
                <w:color w:val="auto"/>
              </w:rPr>
              <w:t>Vested</w:t>
            </w:r>
          </w:p>
        </w:tc>
        <w:tc>
          <w:tcPr>
            <w:tcW w:w="7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(437,188)</w:t>
            </w: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20.33</w:t>
            </w:r>
          </w:p>
        </w:tc>
        <w:tc>
          <w:tcPr>
            <w:tcW w:w="0" w:type="dxa"/>
            <w:vAlign w:val="bottom"/>
          </w:tcPr>
          <w:p>
            <w:pPr>
              <w:spacing w:after="0"/>
              <w:rPr>
                <w:sz w:val="1"/>
                <w:szCs w:val="1"/>
                <w:color w:val="auto"/>
              </w:rPr>
            </w:pPr>
          </w:p>
        </w:tc>
      </w:tr>
      <w:tr>
        <w:trPr>
          <w:trHeight w:val="203"/>
        </w:trPr>
        <w:tc>
          <w:tcPr>
            <w:tcW w:w="4860" w:type="dxa"/>
            <w:vAlign w:val="bottom"/>
            <w:tcBorders>
              <w:bottom w:val="single" w:sz="8" w:color="CCEEFF"/>
            </w:tcBorders>
          </w:tcPr>
          <w:p>
            <w:pPr>
              <w:ind w:left="100"/>
              <w:spacing w:after="0"/>
              <w:rPr>
                <w:sz w:val="20"/>
                <w:szCs w:val="20"/>
                <w:color w:val="auto"/>
              </w:rPr>
            </w:pPr>
            <w:r>
              <w:rPr>
                <w:rFonts w:ascii="Arial" w:cs="Arial" w:eastAsia="Arial" w:hAnsi="Arial"/>
                <w:sz w:val="14"/>
                <w:szCs w:val="14"/>
                <w:color w:val="auto"/>
              </w:rPr>
              <w:t>Forfeited</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(199,320)</w:t>
            </w:r>
          </w:p>
        </w:tc>
        <w:tc>
          <w:tcPr>
            <w:tcW w:w="160" w:type="dxa"/>
            <w:vAlign w:val="bottom"/>
            <w:tcBorders>
              <w:bottom w:val="single" w:sz="8" w:color="CCEEFF"/>
            </w:tcBorders>
          </w:tcPr>
          <w:p>
            <w:pPr>
              <w:spacing w:after="0"/>
              <w:rPr>
                <w:sz w:val="17"/>
                <w:szCs w:val="17"/>
                <w:color w:val="auto"/>
              </w:rPr>
            </w:pPr>
          </w:p>
        </w:tc>
        <w:tc>
          <w:tcPr>
            <w:tcW w:w="100" w:type="dxa"/>
            <w:vAlign w:val="bottom"/>
            <w:tcBorders>
              <w:bottom w:val="single" w:sz="8" w:color="CCEEFF"/>
            </w:tcBorders>
          </w:tcPr>
          <w:p>
            <w:pPr>
              <w:spacing w:after="0"/>
              <w:rPr>
                <w:sz w:val="17"/>
                <w:szCs w:val="17"/>
                <w:color w:val="auto"/>
              </w:rPr>
            </w:pPr>
          </w:p>
        </w:tc>
        <w:tc>
          <w:tcPr>
            <w:tcW w:w="660" w:type="dxa"/>
            <w:vAlign w:val="bottom"/>
            <w:tcBorders>
              <w:bottom w:val="single" w:sz="8" w:color="CCEEFF"/>
            </w:tcBorders>
          </w:tcPr>
          <w:p>
            <w:pPr>
              <w:jc w:val="right"/>
              <w:spacing w:after="0"/>
              <w:rPr>
                <w:sz w:val="20"/>
                <w:szCs w:val="20"/>
                <w:color w:val="auto"/>
              </w:rPr>
            </w:pPr>
            <w:r>
              <w:rPr>
                <w:rFonts w:ascii="Arial" w:cs="Arial" w:eastAsia="Arial" w:hAnsi="Arial"/>
                <w:sz w:val="16"/>
                <w:szCs w:val="16"/>
                <w:color w:val="auto"/>
              </w:rPr>
              <w:t>20.45</w:t>
            </w:r>
          </w:p>
        </w:tc>
        <w:tc>
          <w:tcPr>
            <w:tcW w:w="0" w:type="dxa"/>
            <w:vAlign w:val="bottom"/>
          </w:tcPr>
          <w:p>
            <w:pPr>
              <w:spacing w:after="0"/>
              <w:rPr>
                <w:sz w:val="1"/>
                <w:szCs w:val="1"/>
                <w:color w:val="auto"/>
              </w:rPr>
            </w:pPr>
          </w:p>
        </w:tc>
      </w:tr>
      <w:tr>
        <w:trPr>
          <w:trHeight w:val="203"/>
        </w:trPr>
        <w:tc>
          <w:tcPr>
            <w:tcW w:w="48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4"/>
                <w:szCs w:val="14"/>
                <w:b w:val="1"/>
                <w:bCs w:val="1"/>
                <w:color w:val="auto"/>
              </w:rPr>
              <w:t>Outstanding at December 31, 2017</w:t>
            </w: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98"/>
              </w:rPr>
              <w:t>2,060,854</w:t>
            </w:r>
          </w:p>
        </w:tc>
        <w:tc>
          <w:tcPr>
            <w:tcW w:w="260" w:type="dxa"/>
            <w:vAlign w:val="bottom"/>
            <w:tcBorders>
              <w:bottom w:val="single" w:sz="8" w:color="CCEEFF"/>
            </w:tcBorders>
            <w:gridSpan w:val="2"/>
            <w:shd w:val="clear" w:color="auto" w:fill="CCEEFF"/>
          </w:tcPr>
          <w:p>
            <w:pPr>
              <w:ind w:left="140"/>
              <w:spacing w:after="0"/>
              <w:rPr>
                <w:sz w:val="20"/>
                <w:szCs w:val="20"/>
                <w:color w:val="auto"/>
              </w:rPr>
            </w:pPr>
            <w:r>
              <w:rPr>
                <w:rFonts w:ascii="Arial" w:cs="Arial" w:eastAsia="Arial" w:hAnsi="Arial"/>
                <w:sz w:val="16"/>
                <w:szCs w:val="16"/>
                <w:color w:val="auto"/>
              </w:rPr>
              <w:t>$</w:t>
            </w:r>
          </w:p>
        </w:tc>
        <w:tc>
          <w:tcPr>
            <w:tcW w:w="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20.23</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1240" w:right="1219" w:firstLine="648"/>
        <w:spacing w:after="0" w:line="276" w:lineRule="auto"/>
        <w:rPr>
          <w:sz w:val="20"/>
          <w:szCs w:val="20"/>
          <w:color w:val="auto"/>
        </w:rPr>
      </w:pPr>
      <w:r>
        <w:rPr>
          <w:rFonts w:ascii="Arial" w:cs="Arial" w:eastAsia="Arial" w:hAnsi="Arial"/>
          <w:sz w:val="17"/>
          <w:szCs w:val="17"/>
          <w:color w:val="auto"/>
        </w:rPr>
        <w:t>During 2017, RSUs settled resulting in the issuance of 437,188 shares of common stock, of which 51,467 shares of common stock were delivered to the Company as payment by employees in lieu of cash to satisfy tax withholding obligations. As of December 31, 2017 no PSUs have vested. The aggregate fair value of RSUs vesting during the year ended December 31, 2017 was $7.7 million.</w:t>
      </w:r>
    </w:p>
    <w:p>
      <w:pPr>
        <w:spacing w:after="0" w:line="173" w:lineRule="exact"/>
        <w:rPr>
          <w:sz w:val="20"/>
          <w:szCs w:val="20"/>
          <w:color w:val="auto"/>
        </w:rPr>
      </w:pPr>
    </w:p>
    <w:p>
      <w:pPr>
        <w:ind w:left="1240" w:right="1259" w:firstLine="648"/>
        <w:spacing w:after="0" w:line="217" w:lineRule="exact"/>
        <w:rPr>
          <w:sz w:val="20"/>
          <w:szCs w:val="20"/>
          <w:color w:val="auto"/>
        </w:rPr>
      </w:pPr>
      <w:r>
        <w:rPr>
          <w:rFonts w:ascii="Arial" w:cs="Arial" w:eastAsia="Arial" w:hAnsi="Arial"/>
          <w:sz w:val="17"/>
          <w:szCs w:val="17"/>
          <w:color w:val="auto"/>
        </w:rPr>
        <w:t>The Company’s board of directors in accordance with the 2015 Plan have granted RSUs and PSUs to certain key members of management. RSUs vest in accordance with the terms of the grant subject to the employee’s continued employment with the Company. The PSUs cliff</w:t>
      </w:r>
      <w:r>
        <w:rPr>
          <w:rFonts w:ascii="MS PGothic" w:cs="MS PGothic" w:eastAsia="MS PGothic" w:hAnsi="MS PGothic"/>
          <w:sz w:val="17"/>
          <w:szCs w:val="17"/>
          <w:color w:val="auto"/>
        </w:rPr>
        <w:t>‑</w:t>
      </w:r>
      <w:r>
        <w:rPr>
          <w:rFonts w:ascii="Arial" w:cs="Arial" w:eastAsia="Arial" w:hAnsi="Arial"/>
          <w:sz w:val="17"/>
          <w:szCs w:val="17"/>
          <w:color w:val="auto"/>
        </w:rPr>
        <w:t>vest on December 31, 2018, subject to the employee’s continued employment with the Company and the Company’s level of achievement of the applicable cumulative Adjusted EBITDA performance metrics (as defined in the applicable award agreements) measured over the three-year performance period. Each PSU reflects the right to receive between 0% and 200% of the target number of shares based on the actual three-year cumulative Adjusted EBITDA. The determination of the target value gave consideration to executive performance, potential future contributions and peer group analysis.</w:t>
      </w:r>
    </w:p>
    <w:p>
      <w:pPr>
        <w:spacing w:after="0" w:line="210" w:lineRule="exact"/>
        <w:rPr>
          <w:sz w:val="20"/>
          <w:szCs w:val="20"/>
          <w:color w:val="auto"/>
        </w:rPr>
      </w:pPr>
    </w:p>
    <w:p>
      <w:pPr>
        <w:ind w:left="1240" w:right="1339" w:firstLine="648"/>
        <w:spacing w:after="0" w:line="279" w:lineRule="auto"/>
        <w:rPr>
          <w:sz w:val="20"/>
          <w:szCs w:val="20"/>
          <w:color w:val="auto"/>
        </w:rPr>
      </w:pPr>
      <w:r>
        <w:rPr>
          <w:rFonts w:ascii="Arial" w:cs="Arial" w:eastAsia="Arial" w:hAnsi="Arial"/>
          <w:sz w:val="17"/>
          <w:szCs w:val="17"/>
          <w:color w:val="auto"/>
        </w:rPr>
        <w:t>The Company’s board of directors in accordance with the 2015 Plan have approved grants of RSUs to members of the board of directors. The remaining grants vest on the earlier of June 12, 2018 or the next annual stockholders’ meeting, subject to continued service on the board of directors through the vesting date.</w:t>
      </w:r>
    </w:p>
    <w:p>
      <w:pPr>
        <w:spacing w:after="0" w:line="171" w:lineRule="exact"/>
        <w:rPr>
          <w:sz w:val="20"/>
          <w:szCs w:val="20"/>
          <w:color w:val="auto"/>
        </w:rPr>
      </w:pPr>
    </w:p>
    <w:p>
      <w:pPr>
        <w:ind w:left="1240" w:right="1339" w:firstLine="648"/>
        <w:spacing w:after="0" w:line="290" w:lineRule="auto"/>
        <w:rPr>
          <w:sz w:val="20"/>
          <w:szCs w:val="20"/>
          <w:color w:val="auto"/>
        </w:rPr>
      </w:pPr>
      <w:r>
        <w:rPr>
          <w:rFonts w:ascii="Arial" w:cs="Arial" w:eastAsia="Arial" w:hAnsi="Arial"/>
          <w:sz w:val="16"/>
          <w:szCs w:val="16"/>
          <w:color w:val="auto"/>
        </w:rPr>
        <w:t>In September of 2017, the Company announced its Chief Operating Officer (“COO”) would succeed the current President and Chief Executive Officer effective January 1, 2018, and in conjunction with this succession, the current COO received an equity grant. The equity grant has a grant date fair value of $3.0 million, which will vest one third on each of the first three anniversaries of the grant date. The expense associated with this equity grant is being recorded over the vesting period commencing on the date the grant was announced. Until the equity grant is awarded and the terms of the equity grant are known, the related liability has been recorded to other non-current liabilities.</w:t>
      </w:r>
    </w:p>
    <w:p>
      <w:pPr>
        <w:spacing w:after="0" w:line="166" w:lineRule="exact"/>
        <w:rPr>
          <w:sz w:val="20"/>
          <w:szCs w:val="20"/>
          <w:color w:val="auto"/>
        </w:rPr>
      </w:pPr>
    </w:p>
    <w:p>
      <w:pPr>
        <w:ind w:left="1240" w:right="1239" w:firstLine="648"/>
        <w:spacing w:after="0" w:line="218" w:lineRule="exact"/>
        <w:rPr>
          <w:sz w:val="20"/>
          <w:szCs w:val="20"/>
          <w:color w:val="auto"/>
        </w:rPr>
      </w:pPr>
      <w:r>
        <w:rPr>
          <w:rFonts w:ascii="Arial" w:cs="Arial" w:eastAsia="Arial" w:hAnsi="Arial"/>
          <w:sz w:val="16"/>
          <w:szCs w:val="16"/>
          <w:color w:val="auto"/>
        </w:rPr>
        <w:t>The compensation expense recorded for the year ended December 31, 2017 related to the PSUs was based on the Company’s best estimate of the three-year cumulative Adjusted EBITDA forecast as of December 31, 2017. The Company reassesses the estimate of the three</w:t>
      </w:r>
      <w:r>
        <w:rPr>
          <w:rFonts w:ascii="MS PGothic" w:cs="MS PGothic" w:eastAsia="MS PGothic" w:hAnsi="MS PGothic"/>
          <w:sz w:val="16"/>
          <w:szCs w:val="16"/>
          <w:color w:val="auto"/>
        </w:rPr>
        <w:t>‑</w:t>
      </w:r>
      <w:r>
        <w:rPr>
          <w:rFonts w:ascii="Arial" w:cs="Arial" w:eastAsia="Arial" w:hAnsi="Arial"/>
          <w:sz w:val="16"/>
          <w:szCs w:val="16"/>
          <w:color w:val="auto"/>
        </w:rPr>
        <w:t>year cumulative Adjusted EBITDA forecast at the end of each reporting period. The Company recorded compensation expense for the RSUs and PSUs of $9.3 million and $6.0 million, respectively, during the year ended December 31, 2017. The Company recorded compensation expense for the RSUs and PSUs of $8.4 million and $6.1 million, respectively, during the year ended December 31, 2016.</w:t>
      </w:r>
    </w:p>
    <w:p>
      <w:pPr>
        <w:spacing w:after="0" w:line="203" w:lineRule="exact"/>
        <w:rPr>
          <w:sz w:val="20"/>
          <w:szCs w:val="20"/>
          <w:color w:val="auto"/>
        </w:rPr>
      </w:pPr>
    </w:p>
    <w:p>
      <w:pPr>
        <w:ind w:left="1240" w:right="1379" w:firstLine="648"/>
        <w:spacing w:after="0" w:line="220" w:lineRule="exact"/>
        <w:rPr>
          <w:sz w:val="20"/>
          <w:szCs w:val="20"/>
          <w:color w:val="auto"/>
        </w:rPr>
      </w:pPr>
      <w:r>
        <w:rPr>
          <w:rFonts w:ascii="Arial" w:cs="Arial" w:eastAsia="Arial" w:hAnsi="Arial"/>
          <w:sz w:val="18"/>
          <w:szCs w:val="18"/>
          <w:color w:val="auto"/>
        </w:rPr>
        <w:t>The remaining unrecognized compensation expense related to non</w:t>
      </w:r>
      <w:r>
        <w:rPr>
          <w:rFonts w:ascii="MS PGothic" w:cs="MS PGothic" w:eastAsia="MS PGothic" w:hAnsi="MS PGothic"/>
          <w:sz w:val="18"/>
          <w:szCs w:val="18"/>
          <w:color w:val="auto"/>
        </w:rPr>
        <w:t>‑</w:t>
      </w:r>
      <w:r>
        <w:rPr>
          <w:rFonts w:ascii="Arial" w:cs="Arial" w:eastAsia="Arial" w:hAnsi="Arial"/>
          <w:sz w:val="18"/>
          <w:szCs w:val="18"/>
          <w:color w:val="auto"/>
        </w:rPr>
        <w:t>vested RSUs and non</w:t>
      </w:r>
      <w:r>
        <w:rPr>
          <w:rFonts w:ascii="MS PGothic" w:cs="MS PGothic" w:eastAsia="MS PGothic" w:hAnsi="MS PGothic"/>
          <w:sz w:val="18"/>
          <w:szCs w:val="18"/>
          <w:color w:val="auto"/>
        </w:rPr>
        <w:t>‑</w:t>
      </w:r>
      <w:r>
        <w:rPr>
          <w:rFonts w:ascii="Arial" w:cs="Arial" w:eastAsia="Arial" w:hAnsi="Arial"/>
          <w:sz w:val="18"/>
          <w:szCs w:val="18"/>
          <w:color w:val="auto"/>
        </w:rPr>
        <w:t>vested PSUs granted was $11.8 million and $6.1 million, respectively, as of December 31, 2017 and is expected to be recognized over the related weighted average period of 1.4 years.</w:t>
      </w:r>
    </w:p>
    <w:p>
      <w:pPr>
        <w:spacing w:after="0" w:line="200"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Equity Appreciation Rights</w:t>
      </w:r>
    </w:p>
    <w:p>
      <w:pPr>
        <w:spacing w:after="0" w:line="229" w:lineRule="exact"/>
        <w:rPr>
          <w:sz w:val="20"/>
          <w:szCs w:val="20"/>
          <w:color w:val="auto"/>
        </w:rPr>
      </w:pPr>
    </w:p>
    <w:p>
      <w:pPr>
        <w:ind w:left="1240" w:right="1279" w:firstLine="648"/>
        <w:spacing w:after="0" w:line="257" w:lineRule="auto"/>
        <w:rPr>
          <w:sz w:val="20"/>
          <w:szCs w:val="20"/>
          <w:color w:val="auto"/>
        </w:rPr>
      </w:pPr>
      <w:r>
        <w:rPr>
          <w:rFonts w:ascii="Arial" w:cs="Arial" w:eastAsia="Arial" w:hAnsi="Arial"/>
          <w:sz w:val="18"/>
          <w:szCs w:val="18"/>
          <w:color w:val="auto"/>
        </w:rPr>
        <w:t>Effective January 1, 2012, the Company's board of directors adopted the equity appreciation rights plan (“EAR Plan”) in order to compensate certain key employees. During the first quarter of 2017, the Company’s outstanding equity appreciation rights (“EAR”) liability was settled in full by a cash payment to the participants. The Company’s liability</w:t>
      </w:r>
    </w:p>
    <w:p>
      <w:pPr>
        <w:sectPr>
          <w:pgSz w:w="11900" w:h="16838" w:orient="portrait"/>
          <w:cols w:equalWidth="0" w:num="1">
            <w:col w:w="9019"/>
          </w:cols>
          <w:pgMar w:left="1440" w:top="125" w:right="1440" w:bottom="55" w:gutter="0" w:footer="0" w:header="0"/>
        </w:sectPr>
      </w:pP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F-38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786765</wp:posOffset>
            </wp:positionH>
            <wp:positionV relativeFrom="paragraph">
              <wp:posOffset>97790</wp:posOffset>
            </wp:positionV>
            <wp:extent cx="4159250" cy="26035"/>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69">
                      <a:extLst>
                        <a:ext uri="{28A0092B-C50C-407E-A947-70E740481C1C}"/>
                      </a:extLst>
                    </a:blip>
                    <a:srcRect/>
                    <a:stretch>
                      <a:fillRect/>
                    </a:stretch>
                  </pic:blipFill>
                  <pic:spPr bwMode="auto">
                    <a:xfrm>
                      <a:off x="0" y="0"/>
                      <a:ext cx="4159250" cy="26035"/>
                    </a:xfrm>
                    <a:prstGeom prst="rect">
                      <a:avLst/>
                    </a:prstGeom>
                    <a:noFill/>
                  </pic:spPr>
                </pic:pic>
              </a:graphicData>
            </a:graphic>
          </wp:anchor>
        </w:drawing>
      </w:r>
    </w:p>
    <w:p>
      <w:pPr>
        <w:sectPr>
          <w:pgSz w:w="11900" w:h="16838" w:orient="portrait"/>
          <w:cols w:equalWidth="0" w:num="1">
            <w:col w:w="9019"/>
          </w:cols>
          <w:pgMar w:left="1440" w:top="125" w:right="1440" w:bottom="55" w:gutter="0" w:footer="0" w:header="0"/>
          <w:type w:val="continuous"/>
        </w:sectPr>
      </w:pPr>
    </w:p>
    <w:bookmarkStart w:id="134" w:name="page135"/>
    <w:bookmarkEnd w:id="134"/>
    <w:p>
      <w:pPr>
        <w:spacing w:after="0" w:line="20" w:lineRule="exact"/>
        <w:rPr>
          <w:sz w:val="20"/>
          <w:szCs w:val="20"/>
          <w:color w:val="auto"/>
        </w:rPr>
      </w:pPr>
    </w:p>
    <w:p>
      <w:pPr>
        <w:sectPr>
          <w:pgSz w:w="11900" w:h="16838" w:orient="portrait"/>
          <w:cols w:equalWidth="1" w:num="1" w:space="0"/>
          <w:pgMar w:left="1440" w:top="1440" w:right="1440" w:bottom="875" w:gutter="0" w:footer="0" w:header="0"/>
        </w:sectPr>
      </w:pPr>
    </w:p>
    <w:bookmarkStart w:id="135" w:name="page136"/>
    <w:bookmarkEnd w:id="135"/>
    <w:p>
      <w:pPr>
        <w:ind w:left="124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1240" w:right="1499"/>
        <w:spacing w:after="0" w:line="342" w:lineRule="auto"/>
        <w:rPr>
          <w:sz w:val="20"/>
          <w:szCs w:val="20"/>
          <w:color w:val="auto"/>
        </w:rPr>
      </w:pPr>
      <w:r>
        <w:rPr>
          <w:rFonts w:ascii="Arial" w:cs="Arial" w:eastAsia="Arial" w:hAnsi="Arial"/>
          <w:sz w:val="16"/>
          <w:szCs w:val="16"/>
          <w:color w:val="auto"/>
        </w:rPr>
        <w:t>related to the EAR Plan was $151.5 million as of December 31, 2016 and was recorded within accrued compensation and benefits on the consolidated balance sheet.</w:t>
      </w:r>
    </w:p>
    <w:p>
      <w:pPr>
        <w:spacing w:after="0" w:line="124" w:lineRule="exact"/>
        <w:rPr>
          <w:sz w:val="20"/>
          <w:szCs w:val="20"/>
          <w:color w:val="auto"/>
        </w:rPr>
      </w:pPr>
    </w:p>
    <w:p>
      <w:pPr>
        <w:ind w:left="1240" w:right="1339" w:firstLine="648"/>
        <w:spacing w:after="0" w:line="268" w:lineRule="auto"/>
        <w:rPr>
          <w:sz w:val="20"/>
          <w:szCs w:val="20"/>
          <w:color w:val="auto"/>
        </w:rPr>
      </w:pPr>
      <w:r>
        <w:rPr>
          <w:rFonts w:ascii="Arial" w:cs="Arial" w:eastAsia="Arial" w:hAnsi="Arial"/>
          <w:sz w:val="17"/>
          <w:szCs w:val="17"/>
          <w:color w:val="auto"/>
        </w:rPr>
        <w:t>Prior to settlement, the EAR awards were re-measured using the intrinsic value method at each reporting period based on a projection of the Company's future common stock equivalent value. The common stock equivalent value was based on an estimate of the Company's EBITDA multiplied by a defined multiple, and divided by the expected number of common shares outstanding. The intrinsic value was the calculated common stock equivalent value per share compared to the per share exercise price. Effective October 17, 2014, the Company amended the EAR Plan such that (i) payments for vested awards resulting from a qualified termination of the award recipient are generally determined based on the Company's EBITDA for the fiscal year prior to such termination and (ii) payments for vested awards resulting from an expiration of the award are determined based on the greater of the Company's EBITDA for the year ended December 31, 2015, the Company's EBITDA for the year ending December 31, 2016, or the value of the Company's publicly-traded common stock for the three trading days following the initial public offering.</w:t>
      </w:r>
    </w:p>
    <w:p>
      <w:pPr>
        <w:spacing w:after="0" w:line="185" w:lineRule="exact"/>
        <w:rPr>
          <w:sz w:val="20"/>
          <w:szCs w:val="20"/>
          <w:color w:val="auto"/>
        </w:rPr>
      </w:pPr>
    </w:p>
    <w:p>
      <w:pPr>
        <w:ind w:left="1880"/>
        <w:spacing w:after="0"/>
        <w:rPr>
          <w:sz w:val="20"/>
          <w:szCs w:val="20"/>
          <w:color w:val="auto"/>
        </w:rPr>
      </w:pPr>
      <w:r>
        <w:rPr>
          <w:rFonts w:ascii="Arial" w:cs="Arial" w:eastAsia="Arial" w:hAnsi="Arial"/>
          <w:sz w:val="16"/>
          <w:szCs w:val="16"/>
          <w:color w:val="auto"/>
        </w:rPr>
        <w:t>The following table summarizes the Company's EAR activity since December 31,</w:t>
      </w:r>
    </w:p>
    <w:p>
      <w:pPr>
        <w:spacing w:after="0" w:line="46" w:lineRule="exact"/>
        <w:rPr>
          <w:sz w:val="20"/>
          <w:szCs w:val="20"/>
          <w:color w:val="auto"/>
        </w:rPr>
      </w:pPr>
    </w:p>
    <w:p>
      <w:pPr>
        <w:ind w:left="1240"/>
        <w:spacing w:after="0"/>
        <w:rPr>
          <w:sz w:val="20"/>
          <w:szCs w:val="20"/>
          <w:color w:val="auto"/>
        </w:rPr>
      </w:pPr>
      <w:r>
        <w:rPr>
          <w:rFonts w:ascii="Arial" w:cs="Arial" w:eastAsia="Arial" w:hAnsi="Arial"/>
          <w:sz w:val="18"/>
          <w:szCs w:val="18"/>
          <w:color w:val="auto"/>
        </w:rPr>
        <w:t>2015:</w:t>
      </w:r>
    </w:p>
    <w:p>
      <w:pPr>
        <w:spacing w:after="0" w:line="229" w:lineRule="exact"/>
        <w:rPr>
          <w:sz w:val="20"/>
          <w:szCs w:val="20"/>
          <w:color w:val="auto"/>
        </w:rPr>
      </w:pPr>
    </w:p>
    <w:tbl>
      <w:tblPr>
        <w:tblLayout w:type="fixed"/>
        <w:tblInd w:w="1240" w:type="dxa"/>
        <w:tblCellMar>
          <w:top w:w="0" w:type="dxa"/>
          <w:left w:w="0" w:type="dxa"/>
          <w:bottom w:w="0" w:type="dxa"/>
          <w:right w:w="0" w:type="dxa"/>
        </w:tblCellMar>
      </w:tblPr>
      <w:tr>
        <w:trPr>
          <w:trHeight w:val="162"/>
        </w:trPr>
        <w:tc>
          <w:tcPr>
            <w:tcW w:w="20" w:type="dxa"/>
            <w:vAlign w:val="bottom"/>
          </w:tcPr>
          <w:p>
            <w:pPr>
              <w:spacing w:after="0"/>
              <w:rPr>
                <w:sz w:val="14"/>
                <w:szCs w:val="14"/>
                <w:color w:val="auto"/>
              </w:rPr>
            </w:pPr>
          </w:p>
        </w:tc>
        <w:tc>
          <w:tcPr>
            <w:tcW w:w="32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94"/>
              </w:rPr>
              <w:t>Weighted-</w:t>
            </w:r>
          </w:p>
        </w:tc>
        <w:tc>
          <w:tcPr>
            <w:tcW w:w="820" w:type="dxa"/>
            <w:vAlign w:val="bottom"/>
          </w:tcPr>
          <w:p>
            <w:pPr>
              <w:jc w:val="center"/>
              <w:spacing w:after="0"/>
              <w:rPr>
                <w:sz w:val="20"/>
                <w:szCs w:val="20"/>
                <w:color w:val="auto"/>
              </w:rPr>
            </w:pPr>
            <w:r>
              <w:rPr>
                <w:rFonts w:ascii="Arial" w:cs="Arial" w:eastAsia="Arial" w:hAnsi="Arial"/>
                <w:sz w:val="14"/>
                <w:szCs w:val="14"/>
                <w:b w:val="1"/>
                <w:bCs w:val="1"/>
                <w:color w:val="auto"/>
                <w:w w:val="94"/>
              </w:rPr>
              <w:t>Weighted-</w:t>
            </w: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3240" w:type="dxa"/>
            <w:vAlign w:val="bottom"/>
          </w:tcPr>
          <w:p>
            <w:pPr>
              <w:spacing w:after="0"/>
              <w:rPr>
                <w:sz w:val="14"/>
                <w:szCs w:val="14"/>
                <w:color w:val="auto"/>
              </w:rPr>
            </w:pPr>
          </w:p>
        </w:tc>
        <w:tc>
          <w:tcPr>
            <w:tcW w:w="740" w:type="dxa"/>
            <w:vAlign w:val="bottom"/>
          </w:tcPr>
          <w:p>
            <w:pPr>
              <w:jc w:val="center"/>
              <w:spacing w:after="0"/>
              <w:rPr>
                <w:sz w:val="20"/>
                <w:szCs w:val="20"/>
                <w:color w:val="auto"/>
              </w:rPr>
            </w:pPr>
            <w:r>
              <w:rPr>
                <w:rFonts w:ascii="Arial" w:cs="Arial" w:eastAsia="Arial" w:hAnsi="Arial"/>
                <w:sz w:val="14"/>
                <w:szCs w:val="14"/>
                <w:b w:val="1"/>
                <w:bCs w:val="1"/>
                <w:color w:val="auto"/>
                <w:w w:val="94"/>
              </w:rPr>
              <w:t>Number</w:t>
            </w:r>
          </w:p>
        </w:tc>
        <w:tc>
          <w:tcPr>
            <w:tcW w:w="140" w:type="dxa"/>
            <w:vAlign w:val="bottom"/>
          </w:tcPr>
          <w:p>
            <w:pPr>
              <w:spacing w:after="0"/>
              <w:rPr>
                <w:sz w:val="14"/>
                <w:szCs w:val="14"/>
                <w:color w:val="auto"/>
              </w:rPr>
            </w:pPr>
          </w:p>
        </w:tc>
        <w:tc>
          <w:tcPr>
            <w:tcW w:w="80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0"/>
              </w:rPr>
              <w:t>Average</w:t>
            </w:r>
          </w:p>
        </w:tc>
        <w:tc>
          <w:tcPr>
            <w:tcW w:w="820" w:type="dxa"/>
            <w:vAlign w:val="bottom"/>
          </w:tcPr>
          <w:p>
            <w:pPr>
              <w:jc w:val="center"/>
              <w:spacing w:after="0"/>
              <w:rPr>
                <w:sz w:val="20"/>
                <w:szCs w:val="20"/>
                <w:color w:val="auto"/>
              </w:rPr>
            </w:pPr>
            <w:r>
              <w:rPr>
                <w:rFonts w:ascii="Arial" w:cs="Arial" w:eastAsia="Arial" w:hAnsi="Arial"/>
                <w:sz w:val="14"/>
                <w:szCs w:val="14"/>
                <w:b w:val="1"/>
                <w:bCs w:val="1"/>
                <w:color w:val="auto"/>
                <w:w w:val="90"/>
              </w:rPr>
              <w:t>Average</w:t>
            </w:r>
          </w:p>
        </w:tc>
        <w:tc>
          <w:tcPr>
            <w:tcW w:w="140" w:type="dxa"/>
            <w:vAlign w:val="bottom"/>
          </w:tcPr>
          <w:p>
            <w:pPr>
              <w:spacing w:after="0"/>
              <w:rPr>
                <w:sz w:val="14"/>
                <w:szCs w:val="14"/>
                <w:color w:val="auto"/>
              </w:rPr>
            </w:pPr>
          </w:p>
        </w:tc>
        <w:tc>
          <w:tcPr>
            <w:tcW w:w="640" w:type="dxa"/>
            <w:vAlign w:val="bottom"/>
          </w:tcPr>
          <w:p>
            <w:pPr>
              <w:jc w:val="center"/>
              <w:spacing w:after="0"/>
              <w:rPr>
                <w:sz w:val="20"/>
                <w:szCs w:val="20"/>
                <w:color w:val="auto"/>
              </w:rPr>
            </w:pPr>
            <w:r>
              <w:rPr>
                <w:rFonts w:ascii="Arial" w:cs="Arial" w:eastAsia="Arial" w:hAnsi="Arial"/>
                <w:sz w:val="14"/>
                <w:szCs w:val="14"/>
                <w:b w:val="1"/>
                <w:bCs w:val="1"/>
                <w:color w:val="auto"/>
                <w:w w:val="92"/>
              </w:rPr>
              <w:t>Aggregate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240" w:type="dxa"/>
            <w:vAlign w:val="bottom"/>
          </w:tcPr>
          <w:p>
            <w:pPr>
              <w:spacing w:after="0"/>
              <w:rPr>
                <w:sz w:val="12"/>
                <w:szCs w:val="12"/>
                <w:color w:val="auto"/>
              </w:rPr>
            </w:pPr>
          </w:p>
        </w:tc>
        <w:tc>
          <w:tcPr>
            <w:tcW w:w="7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of</w:t>
            </w:r>
          </w:p>
        </w:tc>
        <w:tc>
          <w:tcPr>
            <w:tcW w:w="140" w:type="dxa"/>
            <w:vAlign w:val="bottom"/>
          </w:tcPr>
          <w:p>
            <w:pPr>
              <w:spacing w:after="0"/>
              <w:rPr>
                <w:sz w:val="12"/>
                <w:szCs w:val="12"/>
                <w:color w:val="auto"/>
              </w:rPr>
            </w:pPr>
          </w:p>
        </w:tc>
        <w:tc>
          <w:tcPr>
            <w:tcW w:w="80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90"/>
              </w:rPr>
              <w:t>Exercise</w:t>
            </w:r>
          </w:p>
        </w:tc>
        <w:tc>
          <w:tcPr>
            <w:tcW w:w="8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4"/>
              </w:rPr>
              <w:t>Remaining</w:t>
            </w:r>
          </w:p>
        </w:tc>
        <w:tc>
          <w:tcPr>
            <w:tcW w:w="140" w:type="dxa"/>
            <w:vAlign w:val="bottom"/>
          </w:tcPr>
          <w:p>
            <w:pPr>
              <w:spacing w:after="0"/>
              <w:rPr>
                <w:sz w:val="12"/>
                <w:szCs w:val="12"/>
                <w:color w:val="auto"/>
              </w:rPr>
            </w:pPr>
          </w:p>
        </w:tc>
        <w:tc>
          <w:tcPr>
            <w:tcW w:w="6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5"/>
              </w:rPr>
              <w:t>Intrinsic</w:t>
            </w:r>
          </w:p>
        </w:tc>
        <w:tc>
          <w:tcPr>
            <w:tcW w:w="0" w:type="dxa"/>
            <w:vAlign w:val="bottom"/>
          </w:tcPr>
          <w:p>
            <w:pPr>
              <w:spacing w:after="0"/>
              <w:rPr>
                <w:sz w:val="1"/>
                <w:szCs w:val="1"/>
                <w:color w:val="auto"/>
              </w:rPr>
            </w:pPr>
          </w:p>
        </w:tc>
      </w:tr>
      <w:tr>
        <w:trPr>
          <w:trHeight w:val="149"/>
        </w:trPr>
        <w:tc>
          <w:tcPr>
            <w:tcW w:w="3260" w:type="dxa"/>
            <w:vAlign w:val="bottom"/>
            <w:gridSpan w:val="2"/>
            <w:vMerge w:val="restart"/>
          </w:tcPr>
          <w:p>
            <w:pPr>
              <w:spacing w:after="0"/>
              <w:rPr>
                <w:sz w:val="20"/>
                <w:szCs w:val="20"/>
                <w:color w:val="auto"/>
              </w:rPr>
            </w:pPr>
            <w:r>
              <w:rPr>
                <w:rFonts w:ascii="Arial" w:cs="Arial" w:eastAsia="Arial" w:hAnsi="Arial"/>
                <w:sz w:val="14"/>
                <w:szCs w:val="14"/>
                <w:b w:val="1"/>
                <w:bCs w:val="1"/>
                <w:i w:val="1"/>
                <w:iCs w:val="1"/>
                <w:color w:val="auto"/>
                <w:w w:val="93"/>
              </w:rPr>
              <w:t>(in thousands, except share and per share amounts)</w:t>
            </w:r>
          </w:p>
        </w:tc>
        <w:tc>
          <w:tcPr>
            <w:tcW w:w="7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7"/>
              </w:rPr>
              <w:t>Contractual</w:t>
            </w: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5"/>
        </w:trPr>
        <w:tc>
          <w:tcPr>
            <w:tcW w:w="3260" w:type="dxa"/>
            <w:vAlign w:val="bottom"/>
            <w:gridSpan w:val="2"/>
            <w:vMerge w:val="continue"/>
          </w:tcPr>
          <w:p>
            <w:pPr>
              <w:spacing w:after="0"/>
              <w:rPr>
                <w:sz w:val="9"/>
                <w:szCs w:val="9"/>
                <w:color w:val="auto"/>
              </w:rPr>
            </w:pPr>
          </w:p>
        </w:tc>
        <w:tc>
          <w:tcPr>
            <w:tcW w:w="7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0"/>
              </w:rPr>
              <w:t>Awards</w:t>
            </w:r>
          </w:p>
        </w:tc>
        <w:tc>
          <w:tcPr>
            <w:tcW w:w="140" w:type="dxa"/>
            <w:vAlign w:val="bottom"/>
          </w:tcPr>
          <w:p>
            <w:pPr>
              <w:spacing w:after="0"/>
              <w:rPr>
                <w:sz w:val="9"/>
                <w:szCs w:val="9"/>
                <w:color w:val="auto"/>
              </w:rPr>
            </w:pPr>
          </w:p>
        </w:tc>
        <w:tc>
          <w:tcPr>
            <w:tcW w:w="800" w:type="dxa"/>
            <w:vAlign w:val="bottom"/>
            <w:gridSpan w:val="2"/>
            <w:vMerge w:val="restart"/>
          </w:tcPr>
          <w:p>
            <w:pPr>
              <w:jc w:val="center"/>
              <w:ind w:right="160"/>
              <w:spacing w:after="0"/>
              <w:rPr>
                <w:sz w:val="20"/>
                <w:szCs w:val="20"/>
                <w:color w:val="auto"/>
              </w:rPr>
            </w:pPr>
            <w:r>
              <w:rPr>
                <w:rFonts w:ascii="Arial" w:cs="Arial" w:eastAsia="Arial" w:hAnsi="Arial"/>
                <w:sz w:val="14"/>
                <w:szCs w:val="14"/>
                <w:b w:val="1"/>
                <w:bCs w:val="1"/>
                <w:color w:val="auto"/>
                <w:w w:val="93"/>
              </w:rPr>
              <w:t>Price</w:t>
            </w:r>
          </w:p>
        </w:tc>
        <w:tc>
          <w:tcPr>
            <w:tcW w:w="8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3"/>
              </w:rPr>
              <w:t>Term</w:t>
            </w:r>
          </w:p>
        </w:tc>
        <w:tc>
          <w:tcPr>
            <w:tcW w:w="140" w:type="dxa"/>
            <w:vAlign w:val="bottom"/>
          </w:tcPr>
          <w:p>
            <w:pPr>
              <w:spacing w:after="0"/>
              <w:rPr>
                <w:sz w:val="9"/>
                <w:szCs w:val="9"/>
                <w:color w:val="auto"/>
              </w:rPr>
            </w:pPr>
          </w:p>
        </w:tc>
        <w:tc>
          <w:tcPr>
            <w:tcW w:w="6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6"/>
              </w:rPr>
              <w:t>Value</w:t>
            </w: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3240" w:type="dxa"/>
            <w:vAlign w:val="bottom"/>
          </w:tcPr>
          <w:p>
            <w:pPr>
              <w:spacing w:after="0"/>
              <w:rPr>
                <w:sz w:val="5"/>
                <w:szCs w:val="5"/>
                <w:color w:val="auto"/>
              </w:rPr>
            </w:pPr>
          </w:p>
        </w:tc>
        <w:tc>
          <w:tcPr>
            <w:tcW w:w="740" w:type="dxa"/>
            <w:vAlign w:val="bottom"/>
            <w:vMerge w:val="continue"/>
          </w:tcPr>
          <w:p>
            <w:pPr>
              <w:spacing w:after="0"/>
              <w:rPr>
                <w:sz w:val="5"/>
                <w:szCs w:val="5"/>
                <w:color w:val="auto"/>
              </w:rPr>
            </w:pPr>
          </w:p>
        </w:tc>
        <w:tc>
          <w:tcPr>
            <w:tcW w:w="140" w:type="dxa"/>
            <w:vAlign w:val="bottom"/>
          </w:tcPr>
          <w:p>
            <w:pPr>
              <w:spacing w:after="0"/>
              <w:rPr>
                <w:sz w:val="5"/>
                <w:szCs w:val="5"/>
                <w:color w:val="auto"/>
              </w:rPr>
            </w:pPr>
          </w:p>
        </w:tc>
        <w:tc>
          <w:tcPr>
            <w:tcW w:w="800" w:type="dxa"/>
            <w:vAlign w:val="bottom"/>
            <w:gridSpan w:val="2"/>
            <w:vMerge w:val="continue"/>
          </w:tcPr>
          <w:p>
            <w:pPr>
              <w:spacing w:after="0"/>
              <w:rPr>
                <w:sz w:val="5"/>
                <w:szCs w:val="5"/>
                <w:color w:val="auto"/>
              </w:rPr>
            </w:pPr>
          </w:p>
        </w:tc>
        <w:tc>
          <w:tcPr>
            <w:tcW w:w="820" w:type="dxa"/>
            <w:vAlign w:val="bottom"/>
            <w:vMerge w:val="continue"/>
          </w:tcPr>
          <w:p>
            <w:pPr>
              <w:spacing w:after="0"/>
              <w:rPr>
                <w:sz w:val="5"/>
                <w:szCs w:val="5"/>
                <w:color w:val="auto"/>
              </w:rPr>
            </w:pPr>
          </w:p>
        </w:tc>
        <w:tc>
          <w:tcPr>
            <w:tcW w:w="140" w:type="dxa"/>
            <w:vAlign w:val="bottom"/>
          </w:tcPr>
          <w:p>
            <w:pPr>
              <w:spacing w:after="0"/>
              <w:rPr>
                <w:sz w:val="5"/>
                <w:szCs w:val="5"/>
                <w:color w:val="auto"/>
              </w:rPr>
            </w:pPr>
          </w:p>
        </w:tc>
        <w:tc>
          <w:tcPr>
            <w:tcW w:w="64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96"/>
        </w:trPr>
        <w:tc>
          <w:tcPr>
            <w:tcW w:w="20" w:type="dxa"/>
            <w:vAlign w:val="bottom"/>
            <w:vMerge w:val="restart"/>
          </w:tcPr>
          <w:p>
            <w:pPr>
              <w:spacing w:after="0"/>
              <w:rPr>
                <w:sz w:val="17"/>
                <w:szCs w:val="17"/>
                <w:color w:val="auto"/>
              </w:rPr>
            </w:pPr>
          </w:p>
        </w:tc>
        <w:tc>
          <w:tcPr>
            <w:tcW w:w="3240" w:type="dxa"/>
            <w:vAlign w:val="bottom"/>
          </w:tcPr>
          <w:p>
            <w:pPr>
              <w:spacing w:after="0"/>
              <w:rPr>
                <w:sz w:val="17"/>
                <w:szCs w:val="17"/>
                <w:color w:val="auto"/>
              </w:rPr>
            </w:pPr>
          </w:p>
        </w:tc>
        <w:tc>
          <w:tcPr>
            <w:tcW w:w="740" w:type="dxa"/>
            <w:vAlign w:val="bottom"/>
            <w:tcBorders>
              <w:top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660" w:type="dxa"/>
            <w:vAlign w:val="bottom"/>
            <w:tcBorders>
              <w:top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820" w:type="dxa"/>
            <w:vAlign w:val="bottom"/>
            <w:tcBorders>
              <w:top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640" w:type="dxa"/>
            <w:vAlign w:val="bottom"/>
            <w:tcBorders>
              <w:top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62"/>
        </w:trPr>
        <w:tc>
          <w:tcPr>
            <w:tcW w:w="20" w:type="dxa"/>
            <w:vAlign w:val="bottom"/>
            <w:vMerge w:val="continue"/>
          </w:tcPr>
          <w:p>
            <w:pPr>
              <w:spacing w:after="0"/>
              <w:rPr>
                <w:sz w:val="14"/>
                <w:szCs w:val="14"/>
                <w:color w:val="auto"/>
              </w:rPr>
            </w:pPr>
          </w:p>
        </w:tc>
        <w:tc>
          <w:tcPr>
            <w:tcW w:w="3240" w:type="dxa"/>
            <w:vAlign w:val="bottom"/>
            <w:shd w:val="clear" w:color="auto" w:fill="CCEEFF"/>
          </w:tcPr>
          <w:p>
            <w:pPr>
              <w:spacing w:after="0"/>
              <w:rPr>
                <w:sz w:val="20"/>
                <w:szCs w:val="20"/>
                <w:color w:val="auto"/>
              </w:rPr>
            </w:pPr>
            <w:r>
              <w:rPr>
                <w:rFonts w:ascii="Arial" w:cs="Arial" w:eastAsia="Arial" w:hAnsi="Arial"/>
                <w:sz w:val="14"/>
                <w:szCs w:val="14"/>
                <w:b w:val="1"/>
                <w:bCs w:val="1"/>
                <w:color w:val="auto"/>
              </w:rPr>
              <w:t>Outstanding at December 31, 2015</w:t>
            </w: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9,180,000</w:t>
            </w: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   11.40</w:t>
            </w:r>
          </w:p>
        </w:tc>
        <w:tc>
          <w:tcPr>
            <w:tcW w:w="140" w:type="dxa"/>
            <w:vAlign w:val="bottom"/>
            <w:shd w:val="clear" w:color="auto" w:fill="CCEEFF"/>
          </w:tcPr>
          <w:p>
            <w:pPr>
              <w:spacing w:after="0"/>
              <w:rPr>
                <w:sz w:val="14"/>
                <w:szCs w:val="14"/>
                <w:color w:val="auto"/>
              </w:rPr>
            </w:pPr>
          </w:p>
        </w:tc>
        <w:tc>
          <w:tcPr>
            <w:tcW w:w="820" w:type="dxa"/>
            <w:vAlign w:val="bottom"/>
            <w:shd w:val="clear" w:color="auto" w:fill="CCEEFF"/>
          </w:tcPr>
          <w:p>
            <w:pPr>
              <w:ind w:left="280"/>
              <w:spacing w:after="0"/>
              <w:rPr>
                <w:sz w:val="20"/>
                <w:szCs w:val="20"/>
                <w:color w:val="auto"/>
              </w:rPr>
            </w:pPr>
            <w:r>
              <w:rPr>
                <w:rFonts w:ascii="Arial" w:cs="Arial" w:eastAsia="Arial" w:hAnsi="Arial"/>
                <w:sz w:val="14"/>
                <w:szCs w:val="14"/>
                <w:color w:val="auto"/>
              </w:rPr>
              <w:t>1 year</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$ 171,712</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3240" w:type="dxa"/>
            <w:vAlign w:val="bottom"/>
            <w:tcBorders>
              <w:bottom w:val="single" w:sz="8" w:color="CCEEFF"/>
            </w:tcBorders>
          </w:tcPr>
          <w:p>
            <w:pPr>
              <w:ind w:left="80"/>
              <w:spacing w:after="0"/>
              <w:rPr>
                <w:sz w:val="20"/>
                <w:szCs w:val="20"/>
                <w:color w:val="auto"/>
              </w:rPr>
            </w:pPr>
            <w:r>
              <w:rPr>
                <w:rFonts w:ascii="Arial" w:cs="Arial" w:eastAsia="Arial" w:hAnsi="Arial"/>
                <w:sz w:val="14"/>
                <w:szCs w:val="14"/>
                <w:color w:val="auto"/>
              </w:rPr>
              <w:t>Settled</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(1,566,000)</w:t>
            </w:r>
          </w:p>
        </w:tc>
        <w:tc>
          <w:tcPr>
            <w:tcW w:w="800" w:type="dxa"/>
            <w:vAlign w:val="bottom"/>
            <w:tcBorders>
              <w:bottom w:val="single" w:sz="8" w:color="CCEEFF"/>
            </w:tcBorders>
            <w:gridSpan w:val="2"/>
          </w:tcPr>
          <w:p>
            <w:pPr>
              <w:jc w:val="right"/>
              <w:spacing w:after="0"/>
              <w:rPr>
                <w:sz w:val="20"/>
                <w:szCs w:val="20"/>
                <w:color w:val="auto"/>
              </w:rPr>
            </w:pPr>
            <w:r>
              <w:rPr>
                <w:rFonts w:ascii="Arial" w:cs="Arial" w:eastAsia="Arial" w:hAnsi="Arial"/>
                <w:sz w:val="14"/>
                <w:szCs w:val="14"/>
                <w:color w:val="auto"/>
              </w:rPr>
              <w:t>11.12</w:t>
            </w:r>
          </w:p>
        </w:tc>
        <w:tc>
          <w:tcPr>
            <w:tcW w:w="140" w:type="dxa"/>
            <w:vAlign w:val="bottom"/>
            <w:tcBorders>
              <w:bottom w:val="single" w:sz="8" w:color="CCEEFF"/>
            </w:tcBorders>
          </w:tcPr>
          <w:p>
            <w:pPr>
              <w:spacing w:after="0"/>
              <w:rPr>
                <w:sz w:val="14"/>
                <w:szCs w:val="14"/>
                <w:color w:val="auto"/>
              </w:rPr>
            </w:pPr>
          </w:p>
        </w:tc>
        <w:tc>
          <w:tcPr>
            <w:tcW w:w="820" w:type="dxa"/>
            <w:vAlign w:val="bottom"/>
            <w:tcBorders>
              <w:bottom w:val="single" w:sz="8" w:color="CCEEFF"/>
            </w:tcBorders>
          </w:tcPr>
          <w:p>
            <w:pPr>
              <w:spacing w:after="0"/>
              <w:rPr>
                <w:sz w:val="14"/>
                <w:szCs w:val="14"/>
                <w:color w:val="auto"/>
              </w:rPr>
            </w:pPr>
          </w:p>
        </w:tc>
        <w:tc>
          <w:tcPr>
            <w:tcW w:w="140" w:type="dxa"/>
            <w:vAlign w:val="bottom"/>
            <w:tcBorders>
              <w:bottom w:val="single" w:sz="8" w:color="CCEEFF"/>
            </w:tcBorders>
          </w:tcPr>
          <w:p>
            <w:pPr>
              <w:spacing w:after="0"/>
              <w:rPr>
                <w:sz w:val="14"/>
                <w:szCs w:val="14"/>
                <w:color w:val="auto"/>
              </w:rPr>
            </w:pPr>
          </w:p>
        </w:tc>
        <w:tc>
          <w:tcPr>
            <w:tcW w:w="640" w:type="dxa"/>
            <w:vAlign w:val="bottom"/>
            <w:tcBorders>
              <w:bottom w:val="single" w:sz="8" w:color="CCEEFF"/>
            </w:tcBorders>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3"/>
        </w:trPr>
        <w:tc>
          <w:tcPr>
            <w:tcW w:w="20" w:type="dxa"/>
            <w:vAlign w:val="bottom"/>
          </w:tcPr>
          <w:p>
            <w:pPr>
              <w:spacing w:after="0"/>
              <w:rPr>
                <w:sz w:val="15"/>
                <w:szCs w:val="15"/>
                <w:color w:val="auto"/>
              </w:rPr>
            </w:pPr>
          </w:p>
        </w:tc>
        <w:tc>
          <w:tcPr>
            <w:tcW w:w="3240" w:type="dxa"/>
            <w:vAlign w:val="bottom"/>
            <w:shd w:val="clear" w:color="auto" w:fill="CCEEFF"/>
          </w:tcPr>
          <w:p>
            <w:pPr>
              <w:spacing w:after="0"/>
              <w:rPr>
                <w:sz w:val="20"/>
                <w:szCs w:val="20"/>
                <w:color w:val="auto"/>
              </w:rPr>
            </w:pPr>
            <w:r>
              <w:rPr>
                <w:rFonts w:ascii="Arial" w:cs="Arial" w:eastAsia="Arial" w:hAnsi="Arial"/>
                <w:sz w:val="14"/>
                <w:szCs w:val="14"/>
                <w:b w:val="1"/>
                <w:bCs w:val="1"/>
                <w:color w:val="auto"/>
              </w:rPr>
              <w:t>Outstanding at December 31, 2016</w:t>
            </w: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7,614,000</w:t>
            </w: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19.90</w:t>
            </w:r>
          </w:p>
        </w:tc>
        <w:tc>
          <w:tcPr>
            <w:tcW w:w="140" w:type="dxa"/>
            <w:vAlign w:val="bottom"/>
            <w:shd w:val="clear" w:color="auto" w:fill="CCEEFF"/>
          </w:tcPr>
          <w:p>
            <w:pPr>
              <w:spacing w:after="0"/>
              <w:rPr>
                <w:sz w:val="15"/>
                <w:szCs w:val="15"/>
                <w:color w:val="auto"/>
              </w:rPr>
            </w:pPr>
          </w:p>
        </w:tc>
        <w:tc>
          <w:tcPr>
            <w:tcW w:w="820" w:type="dxa"/>
            <w:vAlign w:val="bottom"/>
            <w:shd w:val="clear" w:color="auto" w:fill="CCEEFF"/>
          </w:tcPr>
          <w:p>
            <w:pPr>
              <w:spacing w:after="0"/>
              <w:rPr>
                <w:sz w:val="15"/>
                <w:szCs w:val="15"/>
                <w:color w:val="auto"/>
              </w:rPr>
            </w:pP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151,511</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3240" w:type="dxa"/>
            <w:vAlign w:val="bottom"/>
            <w:tcBorders>
              <w:bottom w:val="single" w:sz="8" w:color="CCEEFF"/>
            </w:tcBorders>
          </w:tcPr>
          <w:p>
            <w:pPr>
              <w:ind w:left="80"/>
              <w:spacing w:after="0"/>
              <w:rPr>
                <w:sz w:val="20"/>
                <w:szCs w:val="20"/>
                <w:color w:val="auto"/>
              </w:rPr>
            </w:pPr>
            <w:r>
              <w:rPr>
                <w:rFonts w:ascii="Arial" w:cs="Arial" w:eastAsia="Arial" w:hAnsi="Arial"/>
                <w:sz w:val="14"/>
                <w:szCs w:val="14"/>
                <w:color w:val="auto"/>
              </w:rPr>
              <w:t>Settled</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(7,614,000)</w:t>
            </w:r>
          </w:p>
        </w:tc>
        <w:tc>
          <w:tcPr>
            <w:tcW w:w="800" w:type="dxa"/>
            <w:vAlign w:val="bottom"/>
            <w:tcBorders>
              <w:bottom w:val="single" w:sz="8" w:color="CCEEFF"/>
            </w:tcBorders>
            <w:gridSpan w:val="2"/>
          </w:tcPr>
          <w:p>
            <w:pPr>
              <w:jc w:val="right"/>
              <w:spacing w:after="0"/>
              <w:rPr>
                <w:sz w:val="20"/>
                <w:szCs w:val="20"/>
                <w:color w:val="auto"/>
              </w:rPr>
            </w:pPr>
            <w:r>
              <w:rPr>
                <w:rFonts w:ascii="Arial" w:cs="Arial" w:eastAsia="Arial" w:hAnsi="Arial"/>
                <w:sz w:val="14"/>
                <w:szCs w:val="14"/>
                <w:color w:val="auto"/>
              </w:rPr>
              <w:t>(19.90)</w:t>
            </w:r>
          </w:p>
        </w:tc>
        <w:tc>
          <w:tcPr>
            <w:tcW w:w="140" w:type="dxa"/>
            <w:vAlign w:val="bottom"/>
            <w:tcBorders>
              <w:bottom w:val="single" w:sz="8" w:color="CCEEFF"/>
            </w:tcBorders>
          </w:tcPr>
          <w:p>
            <w:pPr>
              <w:spacing w:after="0"/>
              <w:rPr>
                <w:sz w:val="14"/>
                <w:szCs w:val="14"/>
                <w:color w:val="auto"/>
              </w:rPr>
            </w:pPr>
          </w:p>
        </w:tc>
        <w:tc>
          <w:tcPr>
            <w:tcW w:w="820" w:type="dxa"/>
            <w:vAlign w:val="bottom"/>
            <w:tcBorders>
              <w:bottom w:val="single" w:sz="8" w:color="CCEEFF"/>
            </w:tcBorders>
          </w:tcPr>
          <w:p>
            <w:pPr>
              <w:spacing w:after="0"/>
              <w:rPr>
                <w:sz w:val="14"/>
                <w:szCs w:val="14"/>
                <w:color w:val="auto"/>
              </w:rPr>
            </w:pPr>
          </w:p>
        </w:tc>
        <w:tc>
          <w:tcPr>
            <w:tcW w:w="140" w:type="dxa"/>
            <w:vAlign w:val="bottom"/>
            <w:tcBorders>
              <w:bottom w:val="single" w:sz="8" w:color="CCEEFF"/>
            </w:tcBorders>
          </w:tcPr>
          <w:p>
            <w:pPr>
              <w:spacing w:after="0"/>
              <w:rPr>
                <w:sz w:val="14"/>
                <w:szCs w:val="14"/>
                <w:color w:val="auto"/>
              </w:rPr>
            </w:pPr>
          </w:p>
        </w:tc>
        <w:tc>
          <w:tcPr>
            <w:tcW w:w="640" w:type="dxa"/>
            <w:vAlign w:val="bottom"/>
            <w:tcBorders>
              <w:bottom w:val="single" w:sz="8" w:color="CCEEFF"/>
            </w:tcBorders>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3240" w:type="dxa"/>
            <w:vAlign w:val="bottom"/>
            <w:tcBorders>
              <w:bottom w:val="single" w:sz="8" w:color="CCEEFF"/>
            </w:tcBorders>
            <w:shd w:val="clear" w:color="auto" w:fill="CCEEFF"/>
          </w:tcPr>
          <w:p>
            <w:pPr>
              <w:spacing w:after="0" w:line="155" w:lineRule="exact"/>
              <w:rPr>
                <w:sz w:val="20"/>
                <w:szCs w:val="20"/>
                <w:color w:val="auto"/>
              </w:rPr>
            </w:pPr>
            <w:r>
              <w:rPr>
                <w:rFonts w:ascii="Arial" w:cs="Arial" w:eastAsia="Arial" w:hAnsi="Arial"/>
                <w:sz w:val="14"/>
                <w:szCs w:val="14"/>
                <w:b w:val="1"/>
                <w:bCs w:val="1"/>
                <w:color w:val="auto"/>
              </w:rPr>
              <w:t>Outstanding at December 31, 2017</w:t>
            </w:r>
          </w:p>
        </w:tc>
        <w:tc>
          <w:tcPr>
            <w:tcW w:w="740" w:type="dxa"/>
            <w:vAlign w:val="bottom"/>
            <w:tcBorders>
              <w:bottom w:val="single" w:sz="8" w:color="auto"/>
            </w:tcBorders>
            <w:shd w:val="clear" w:color="auto" w:fill="CCEEFF"/>
          </w:tcPr>
          <w:p>
            <w:pPr>
              <w:jc w:val="right"/>
              <w:spacing w:after="0" w:line="155" w:lineRule="exact"/>
              <w:rPr>
                <w:sz w:val="20"/>
                <w:szCs w:val="20"/>
                <w:color w:val="auto"/>
              </w:rPr>
            </w:pPr>
            <w:r>
              <w:rPr>
                <w:rFonts w:ascii="Arial" w:cs="Arial" w:eastAsia="Arial" w:hAnsi="Arial"/>
                <w:sz w:val="14"/>
                <w:szCs w:val="14"/>
                <w:color w:val="auto"/>
              </w:rPr>
              <w:t>—</w:t>
            </w:r>
          </w:p>
        </w:tc>
        <w:tc>
          <w:tcPr>
            <w:tcW w:w="140" w:type="dxa"/>
            <w:vAlign w:val="bottom"/>
            <w:tcBorders>
              <w:bottom w:val="single" w:sz="8" w:color="CCEEFF"/>
            </w:tcBorders>
            <w:shd w:val="clear" w:color="auto" w:fill="CCEEFF"/>
          </w:tcPr>
          <w:p>
            <w:pPr>
              <w:spacing w:after="0"/>
              <w:rPr>
                <w:sz w:val="14"/>
                <w:szCs w:val="14"/>
                <w:color w:val="auto"/>
              </w:rPr>
            </w:pPr>
          </w:p>
        </w:tc>
        <w:tc>
          <w:tcPr>
            <w:tcW w:w="800" w:type="dxa"/>
            <w:vAlign w:val="bottom"/>
            <w:tcBorders>
              <w:bottom w:val="single" w:sz="8" w:color="CCEEFF"/>
            </w:tcBorders>
            <w:gridSpan w:val="2"/>
            <w:shd w:val="clear" w:color="auto" w:fill="CCEEFF"/>
          </w:tcPr>
          <w:p>
            <w:pPr>
              <w:jc w:val="right"/>
              <w:ind w:right="200"/>
              <w:spacing w:after="0" w:line="155" w:lineRule="exact"/>
              <w:rPr>
                <w:sz w:val="20"/>
                <w:szCs w:val="20"/>
                <w:color w:val="auto"/>
              </w:rPr>
            </w:pPr>
            <w:r>
              <w:rPr>
                <w:rFonts w:ascii="Arial" w:cs="Arial" w:eastAsia="Arial" w:hAnsi="Arial"/>
                <w:sz w:val="14"/>
                <w:szCs w:val="14"/>
                <w:color w:val="auto"/>
              </w:rPr>
              <w:t>—</w:t>
            </w:r>
          </w:p>
        </w:tc>
        <w:tc>
          <w:tcPr>
            <w:tcW w:w="820" w:type="dxa"/>
            <w:vAlign w:val="bottom"/>
            <w:tcBorders>
              <w:bottom w:val="single" w:sz="8" w:color="CCEEFF"/>
            </w:tcBorders>
            <w:shd w:val="clear" w:color="auto" w:fill="CCEEFF"/>
          </w:tcPr>
          <w:p>
            <w:pPr>
              <w:spacing w:after="0"/>
              <w:rPr>
                <w:sz w:val="14"/>
                <w:szCs w:val="14"/>
                <w:color w:val="auto"/>
              </w:rPr>
            </w:pPr>
          </w:p>
        </w:tc>
        <w:tc>
          <w:tcPr>
            <w:tcW w:w="140" w:type="dxa"/>
            <w:vAlign w:val="bottom"/>
            <w:tcBorders>
              <w:bottom w:val="single" w:sz="8" w:color="CCEEFF"/>
            </w:tcBorders>
            <w:shd w:val="clear" w:color="auto" w:fill="CCEEFF"/>
          </w:tcPr>
          <w:p>
            <w:pPr>
              <w:spacing w:after="0"/>
              <w:rPr>
                <w:sz w:val="14"/>
                <w:szCs w:val="14"/>
                <w:color w:val="auto"/>
              </w:rPr>
            </w:pPr>
          </w:p>
        </w:tc>
        <w:tc>
          <w:tcPr>
            <w:tcW w:w="640" w:type="dxa"/>
            <w:vAlign w:val="bottom"/>
            <w:tcBorders>
              <w:bottom w:val="single" w:sz="8" w:color="CCEEFF"/>
            </w:tcBorders>
            <w:shd w:val="clear" w:color="auto" w:fill="CCEEFF"/>
          </w:tcPr>
          <w:p>
            <w:pPr>
              <w:jc w:val="right"/>
              <w:spacing w:after="0" w:line="155"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bl>
    <w:p>
      <w:pPr>
        <w:spacing w:after="0" w:line="229" w:lineRule="exact"/>
        <w:rPr>
          <w:sz w:val="20"/>
          <w:szCs w:val="20"/>
          <w:color w:val="auto"/>
        </w:rPr>
      </w:pPr>
    </w:p>
    <w:p>
      <w:pPr>
        <w:ind w:left="1240" w:right="1819" w:firstLine="648"/>
        <w:spacing w:after="0" w:line="264" w:lineRule="auto"/>
        <w:rPr>
          <w:sz w:val="20"/>
          <w:szCs w:val="20"/>
          <w:color w:val="auto"/>
        </w:rPr>
      </w:pPr>
      <w:r>
        <w:rPr>
          <w:rFonts w:ascii="Arial" w:cs="Arial" w:eastAsia="Arial" w:hAnsi="Arial"/>
          <w:sz w:val="18"/>
          <w:szCs w:val="18"/>
          <w:color w:val="auto"/>
        </w:rPr>
        <w:t>For the years ended December 31, 2016 and 2015, the Company recorded compensation expense of $6.0 million and $45.8 million, respectively, related to outstanding EARs.</w:t>
      </w:r>
    </w:p>
    <w:p>
      <w:pPr>
        <w:spacing w:after="0" w:line="177"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Compensation Expense</w:t>
      </w:r>
    </w:p>
    <w:p>
      <w:pPr>
        <w:spacing w:after="0" w:line="229" w:lineRule="exact"/>
        <w:rPr>
          <w:sz w:val="20"/>
          <w:szCs w:val="20"/>
          <w:color w:val="auto"/>
        </w:rPr>
      </w:pPr>
    </w:p>
    <w:p>
      <w:pPr>
        <w:ind w:left="1240" w:right="1439" w:firstLine="648"/>
        <w:spacing w:after="0" w:line="277" w:lineRule="auto"/>
        <w:rPr>
          <w:sz w:val="20"/>
          <w:szCs w:val="20"/>
          <w:color w:val="auto"/>
        </w:rPr>
      </w:pPr>
      <w:r>
        <w:rPr>
          <w:rFonts w:ascii="Arial" w:cs="Arial" w:eastAsia="Arial" w:hAnsi="Arial"/>
          <w:sz w:val="18"/>
          <w:szCs w:val="18"/>
          <w:color w:val="auto"/>
        </w:rPr>
        <w:t>The allocation of compensation expense related to equity incentive plans in the consolidated statement of operations was as follows:</w:t>
      </w:r>
    </w:p>
    <w:p>
      <w:pPr>
        <w:spacing w:after="0" w:line="230" w:lineRule="exact"/>
        <w:rPr>
          <w:sz w:val="20"/>
          <w:szCs w:val="20"/>
          <w:color w:val="auto"/>
        </w:rPr>
      </w:pPr>
    </w:p>
    <w:tbl>
      <w:tblPr>
        <w:tblLayout w:type="fixed"/>
        <w:tblInd w:w="1240" w:type="dxa"/>
        <w:tblCellMar>
          <w:top w:w="0" w:type="dxa"/>
          <w:left w:w="0" w:type="dxa"/>
          <w:bottom w:w="0" w:type="dxa"/>
          <w:right w:w="0" w:type="dxa"/>
        </w:tblCellMar>
      </w:tblPr>
      <w:tr>
        <w:trPr>
          <w:trHeight w:val="171"/>
        </w:trPr>
        <w:tc>
          <w:tcPr>
            <w:tcW w:w="3900" w:type="dxa"/>
            <w:vAlign w:val="bottom"/>
            <w:gridSpan w:val="2"/>
            <w:vMerge w:val="restart"/>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34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180" w:type="dxa"/>
            <w:vAlign w:val="bottom"/>
            <w:tcBorders>
              <w:bottom w:val="single" w:sz="8" w:color="auto"/>
            </w:tcBorders>
            <w:gridSpan w:val="8"/>
          </w:tcPr>
          <w:p>
            <w:pPr>
              <w:jc w:val="right"/>
              <w:ind w:right="300"/>
              <w:spacing w:after="0"/>
              <w:rPr>
                <w:sz w:val="20"/>
                <w:szCs w:val="20"/>
                <w:color w:val="auto"/>
              </w:rPr>
            </w:pPr>
            <w:r>
              <w:rPr>
                <w:rFonts w:ascii="Arial" w:cs="Arial" w:eastAsia="Arial" w:hAnsi="Arial"/>
                <w:sz w:val="14"/>
                <w:szCs w:val="14"/>
                <w:b w:val="1"/>
                <w:bCs w:val="1"/>
                <w:color w:val="auto"/>
              </w:rPr>
              <w:t>Year ended December 31,</w:t>
            </w:r>
          </w:p>
        </w:tc>
        <w:tc>
          <w:tcPr>
            <w:tcW w:w="0" w:type="dxa"/>
            <w:vAlign w:val="bottom"/>
          </w:tcPr>
          <w:p>
            <w:pPr>
              <w:spacing w:after="0"/>
              <w:rPr>
                <w:sz w:val="1"/>
                <w:szCs w:val="1"/>
                <w:color w:val="auto"/>
              </w:rPr>
            </w:pPr>
          </w:p>
        </w:tc>
      </w:tr>
      <w:tr>
        <w:trPr>
          <w:trHeight w:val="142"/>
        </w:trPr>
        <w:tc>
          <w:tcPr>
            <w:tcW w:w="3900" w:type="dxa"/>
            <w:vAlign w:val="bottom"/>
            <w:gridSpan w:val="2"/>
            <w:vMerge w:val="continue"/>
          </w:tcPr>
          <w:p>
            <w:pPr>
              <w:spacing w:after="0"/>
              <w:rPr>
                <w:sz w:val="12"/>
                <w:szCs w:val="12"/>
                <w:color w:val="auto"/>
              </w:rPr>
            </w:pPr>
          </w:p>
        </w:tc>
        <w:tc>
          <w:tcPr>
            <w:tcW w:w="34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jc w:val="right"/>
              <w:ind w:right="121"/>
              <w:spacing w:after="0" w:line="142" w:lineRule="exact"/>
              <w:rPr>
                <w:sz w:val="20"/>
                <w:szCs w:val="20"/>
                <w:color w:val="auto"/>
              </w:rPr>
            </w:pPr>
            <w:r>
              <w:rPr>
                <w:rFonts w:ascii="Arial" w:cs="Arial" w:eastAsia="Arial" w:hAnsi="Arial"/>
                <w:sz w:val="14"/>
                <w:szCs w:val="14"/>
                <w:b w:val="1"/>
                <w:bCs w:val="1"/>
                <w:color w:val="auto"/>
              </w:rPr>
              <w:t>2017</w:t>
            </w:r>
          </w:p>
        </w:tc>
        <w:tc>
          <w:tcPr>
            <w:tcW w:w="14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jc w:val="right"/>
              <w:ind w:right="120"/>
              <w:spacing w:after="0" w:line="142" w:lineRule="exact"/>
              <w:rPr>
                <w:sz w:val="20"/>
                <w:szCs w:val="20"/>
                <w:color w:val="auto"/>
              </w:rPr>
            </w:pPr>
            <w:r>
              <w:rPr>
                <w:rFonts w:ascii="Arial" w:cs="Arial" w:eastAsia="Arial" w:hAnsi="Arial"/>
                <w:sz w:val="14"/>
                <w:szCs w:val="14"/>
                <w:b w:val="1"/>
                <w:bCs w:val="1"/>
                <w:color w:val="auto"/>
              </w:rPr>
              <w:t>2016</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ind w:right="100"/>
              <w:spacing w:after="0" w:line="142" w:lineRule="exact"/>
              <w:rPr>
                <w:sz w:val="20"/>
                <w:szCs w:val="20"/>
                <w:color w:val="auto"/>
              </w:rPr>
            </w:pPr>
            <w:r>
              <w:rPr>
                <w:rFonts w:ascii="Arial" w:cs="Arial" w:eastAsia="Arial" w:hAnsi="Arial"/>
                <w:sz w:val="14"/>
                <w:szCs w:val="14"/>
                <w:b w:val="1"/>
                <w:bCs w:val="1"/>
                <w:color w:val="auto"/>
              </w:rPr>
              <w:t>2015</w:t>
            </w:r>
          </w:p>
        </w:tc>
        <w:tc>
          <w:tcPr>
            <w:tcW w:w="0" w:type="dxa"/>
            <w:vAlign w:val="bottom"/>
          </w:tcPr>
          <w:p>
            <w:pPr>
              <w:spacing w:after="0"/>
              <w:rPr>
                <w:sz w:val="1"/>
                <w:szCs w:val="1"/>
                <w:color w:val="auto"/>
              </w:rPr>
            </w:pPr>
          </w:p>
        </w:tc>
      </w:tr>
      <w:tr>
        <w:trPr>
          <w:trHeight w:val="196"/>
        </w:trPr>
        <w:tc>
          <w:tcPr>
            <w:tcW w:w="20" w:type="dxa"/>
            <w:vAlign w:val="bottom"/>
            <w:vMerge w:val="restart"/>
          </w:tcPr>
          <w:p>
            <w:pPr>
              <w:spacing w:after="0"/>
              <w:rPr>
                <w:sz w:val="17"/>
                <w:szCs w:val="17"/>
                <w:color w:val="auto"/>
              </w:rPr>
            </w:pPr>
          </w:p>
        </w:tc>
        <w:tc>
          <w:tcPr>
            <w:tcW w:w="38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3880" w:type="dxa"/>
            <w:vAlign w:val="bottom"/>
            <w:shd w:val="clear" w:color="auto" w:fill="CCEEFF"/>
          </w:tcPr>
          <w:p>
            <w:pPr>
              <w:spacing w:after="0"/>
              <w:rPr>
                <w:sz w:val="20"/>
                <w:szCs w:val="20"/>
                <w:color w:val="auto"/>
              </w:rPr>
            </w:pPr>
            <w:r>
              <w:rPr>
                <w:rFonts w:ascii="Arial" w:cs="Arial" w:eastAsia="Arial" w:hAnsi="Arial"/>
                <w:sz w:val="16"/>
                <w:szCs w:val="16"/>
                <w:color w:val="auto"/>
              </w:rPr>
              <w:t>Cost of goods sold</w:t>
            </w:r>
          </w:p>
        </w:tc>
        <w:tc>
          <w:tcPr>
            <w:tcW w:w="4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408</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434</w:t>
            </w:r>
          </w:p>
        </w:tc>
        <w:tc>
          <w:tcPr>
            <w:tcW w:w="140" w:type="dxa"/>
            <w:vAlign w:val="bottom"/>
            <w:shd w:val="clear" w:color="auto" w:fill="CCEEFF"/>
          </w:tcPr>
          <w:p>
            <w:pPr>
              <w:spacing w:after="0"/>
              <w:rPr>
                <w:sz w:val="17"/>
                <w:szCs w:val="17"/>
                <w:color w:val="auto"/>
              </w:rPr>
            </w:pP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670</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880" w:type="dxa"/>
            <w:vAlign w:val="bottom"/>
          </w:tcPr>
          <w:p>
            <w:pPr>
              <w:spacing w:after="0"/>
              <w:rPr>
                <w:sz w:val="20"/>
                <w:szCs w:val="20"/>
                <w:color w:val="auto"/>
              </w:rPr>
            </w:pPr>
            <w:r>
              <w:rPr>
                <w:rFonts w:ascii="Arial" w:cs="Arial" w:eastAsia="Arial" w:hAnsi="Arial"/>
                <w:sz w:val="16"/>
                <w:szCs w:val="16"/>
                <w:color w:val="auto"/>
              </w:rPr>
              <w:t>Selling, general and administrative expense</w:t>
            </w:r>
          </w:p>
        </w:tc>
        <w:tc>
          <w:tcPr>
            <w:tcW w:w="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60" w:type="dxa"/>
            <w:vAlign w:val="bottom"/>
          </w:tcPr>
          <w:p>
            <w:pPr>
              <w:jc w:val="right"/>
              <w:spacing w:after="0"/>
              <w:rPr>
                <w:sz w:val="20"/>
                <w:szCs w:val="20"/>
                <w:color w:val="auto"/>
              </w:rPr>
            </w:pPr>
            <w:r>
              <w:rPr>
                <w:rFonts w:ascii="Arial" w:cs="Arial" w:eastAsia="Arial" w:hAnsi="Arial"/>
                <w:sz w:val="16"/>
                <w:szCs w:val="16"/>
                <w:color w:val="auto"/>
                <w:w w:val="98"/>
              </w:rPr>
              <w:t>13,687</w:t>
            </w: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60" w:type="dxa"/>
            <w:vAlign w:val="bottom"/>
          </w:tcPr>
          <w:p>
            <w:pPr>
              <w:jc w:val="right"/>
              <w:spacing w:after="0"/>
              <w:rPr>
                <w:sz w:val="20"/>
                <w:szCs w:val="20"/>
                <w:color w:val="auto"/>
              </w:rPr>
            </w:pPr>
            <w:r>
              <w:rPr>
                <w:rFonts w:ascii="Arial" w:cs="Arial" w:eastAsia="Arial" w:hAnsi="Arial"/>
                <w:sz w:val="16"/>
                <w:szCs w:val="16"/>
                <w:color w:val="auto"/>
                <w:w w:val="98"/>
              </w:rPr>
              <w:t>18,622</w:t>
            </w: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40" w:type="dxa"/>
            <w:vAlign w:val="bottom"/>
          </w:tcPr>
          <w:p>
            <w:pPr>
              <w:jc w:val="right"/>
              <w:spacing w:after="0"/>
              <w:rPr>
                <w:sz w:val="20"/>
                <w:szCs w:val="20"/>
                <w:color w:val="auto"/>
              </w:rPr>
            </w:pPr>
            <w:r>
              <w:rPr>
                <w:rFonts w:ascii="Arial" w:cs="Arial" w:eastAsia="Arial" w:hAnsi="Arial"/>
                <w:sz w:val="16"/>
                <w:szCs w:val="16"/>
                <w:color w:val="auto"/>
                <w:w w:val="93"/>
              </w:rPr>
              <w:t>48,377</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880" w:type="dxa"/>
            <w:vAlign w:val="bottom"/>
            <w:shd w:val="clear" w:color="auto" w:fill="CCEEFF"/>
          </w:tcPr>
          <w:p>
            <w:pPr>
              <w:spacing w:after="0"/>
              <w:rPr>
                <w:sz w:val="20"/>
                <w:szCs w:val="20"/>
                <w:color w:val="auto"/>
              </w:rPr>
            </w:pPr>
            <w:r>
              <w:rPr>
                <w:rFonts w:ascii="Arial" w:cs="Arial" w:eastAsia="Arial" w:hAnsi="Arial"/>
                <w:sz w:val="16"/>
                <w:szCs w:val="16"/>
                <w:color w:val="auto"/>
              </w:rPr>
              <w:t>Research and development</w:t>
            </w:r>
          </w:p>
        </w:tc>
        <w:tc>
          <w:tcPr>
            <w:tcW w:w="34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1,190</w:t>
            </w:r>
          </w:p>
        </w:tc>
        <w:tc>
          <w:tcPr>
            <w:tcW w:w="14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1,485</w:t>
            </w:r>
          </w:p>
        </w:tc>
        <w:tc>
          <w:tcPr>
            <w:tcW w:w="1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2,556</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3880" w:type="dxa"/>
            <w:vAlign w:val="bottom"/>
          </w:tcPr>
          <w:p>
            <w:pPr>
              <w:ind w:left="520"/>
              <w:spacing w:after="0"/>
              <w:rPr>
                <w:sz w:val="20"/>
                <w:szCs w:val="20"/>
                <w:color w:val="auto"/>
              </w:rPr>
            </w:pPr>
            <w:r>
              <w:rPr>
                <w:rFonts w:ascii="Arial" w:cs="Arial" w:eastAsia="Arial" w:hAnsi="Arial"/>
                <w:sz w:val="16"/>
                <w:szCs w:val="16"/>
                <w:color w:val="auto"/>
                <w:w w:val="99"/>
              </w:rPr>
              <w:t>Total compensation expense before income tax</w:t>
            </w:r>
          </w:p>
        </w:tc>
        <w:tc>
          <w:tcPr>
            <w:tcW w:w="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60" w:type="dxa"/>
            <w:vAlign w:val="bottom"/>
          </w:tcPr>
          <w:p>
            <w:pPr>
              <w:jc w:val="right"/>
              <w:spacing w:after="0"/>
              <w:rPr>
                <w:sz w:val="20"/>
                <w:szCs w:val="20"/>
                <w:color w:val="auto"/>
              </w:rPr>
            </w:pPr>
            <w:r>
              <w:rPr>
                <w:rFonts w:ascii="Arial" w:cs="Arial" w:eastAsia="Arial" w:hAnsi="Arial"/>
                <w:sz w:val="16"/>
                <w:szCs w:val="16"/>
                <w:color w:val="auto"/>
                <w:w w:val="98"/>
              </w:rPr>
              <w:t>15,285</w:t>
            </w: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60" w:type="dxa"/>
            <w:vAlign w:val="bottom"/>
          </w:tcPr>
          <w:p>
            <w:pPr>
              <w:jc w:val="right"/>
              <w:spacing w:after="0"/>
              <w:rPr>
                <w:sz w:val="20"/>
                <w:szCs w:val="20"/>
                <w:color w:val="auto"/>
              </w:rPr>
            </w:pPr>
            <w:r>
              <w:rPr>
                <w:rFonts w:ascii="Arial" w:cs="Arial" w:eastAsia="Arial" w:hAnsi="Arial"/>
                <w:sz w:val="16"/>
                <w:szCs w:val="16"/>
                <w:color w:val="auto"/>
                <w:w w:val="98"/>
              </w:rPr>
              <w:t>20,541</w:t>
            </w: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40" w:type="dxa"/>
            <w:vAlign w:val="bottom"/>
          </w:tcPr>
          <w:p>
            <w:pPr>
              <w:jc w:val="right"/>
              <w:spacing w:after="0"/>
              <w:rPr>
                <w:sz w:val="20"/>
                <w:szCs w:val="20"/>
                <w:color w:val="auto"/>
              </w:rPr>
            </w:pPr>
            <w:r>
              <w:rPr>
                <w:rFonts w:ascii="Arial" w:cs="Arial" w:eastAsia="Arial" w:hAnsi="Arial"/>
                <w:sz w:val="16"/>
                <w:szCs w:val="16"/>
                <w:color w:val="auto"/>
                <w:w w:val="93"/>
              </w:rPr>
              <w:t>51,603</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880" w:type="dxa"/>
            <w:vAlign w:val="bottom"/>
            <w:shd w:val="clear" w:color="auto" w:fill="CCEEFF"/>
          </w:tcPr>
          <w:p>
            <w:pPr>
              <w:spacing w:after="0"/>
              <w:rPr>
                <w:sz w:val="20"/>
                <w:szCs w:val="20"/>
                <w:color w:val="auto"/>
              </w:rPr>
            </w:pPr>
            <w:r>
              <w:rPr>
                <w:rFonts w:ascii="Arial" w:cs="Arial" w:eastAsia="Arial" w:hAnsi="Arial"/>
                <w:sz w:val="16"/>
                <w:szCs w:val="16"/>
                <w:color w:val="auto"/>
              </w:rPr>
              <w:t>Income tax benefit</w:t>
            </w:r>
          </w:p>
        </w:tc>
        <w:tc>
          <w:tcPr>
            <w:tcW w:w="34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3,158</w:t>
            </w:r>
          </w:p>
        </w:tc>
        <w:tc>
          <w:tcPr>
            <w:tcW w:w="14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6,481</w:t>
            </w:r>
          </w:p>
        </w:tc>
        <w:tc>
          <w:tcPr>
            <w:tcW w:w="1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93"/>
              </w:rPr>
              <w:t>17,821</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880" w:type="dxa"/>
            <w:vAlign w:val="bottom"/>
          </w:tcPr>
          <w:p>
            <w:pPr>
              <w:ind w:left="520"/>
              <w:spacing w:after="0"/>
              <w:rPr>
                <w:sz w:val="20"/>
                <w:szCs w:val="20"/>
                <w:color w:val="auto"/>
              </w:rPr>
            </w:pPr>
            <w:r>
              <w:rPr>
                <w:rFonts w:ascii="Arial" w:cs="Arial" w:eastAsia="Arial" w:hAnsi="Arial"/>
                <w:sz w:val="16"/>
                <w:szCs w:val="16"/>
                <w:color w:val="auto"/>
              </w:rPr>
              <w:t>Total compensation expense, net of tax</w:t>
            </w:r>
          </w:p>
        </w:tc>
        <w:tc>
          <w:tcPr>
            <w:tcW w:w="340" w:type="dxa"/>
            <w:vAlign w:val="bottom"/>
          </w:tcPr>
          <w:p>
            <w:pPr>
              <w:spacing w:after="0"/>
              <w:rPr>
                <w:sz w:val="17"/>
                <w:szCs w:val="17"/>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98"/>
              </w:rPr>
              <w:t>12,127</w:t>
            </w:r>
          </w:p>
        </w:tc>
        <w:tc>
          <w:tcPr>
            <w:tcW w:w="140" w:type="dxa"/>
            <w:vAlign w:val="bottom"/>
          </w:tcPr>
          <w:p>
            <w:pPr>
              <w:spacing w:after="0"/>
              <w:rPr>
                <w:sz w:val="17"/>
                <w:szCs w:val="17"/>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98"/>
              </w:rPr>
              <w:t>14,060</w:t>
            </w:r>
          </w:p>
        </w:tc>
        <w:tc>
          <w:tcPr>
            <w:tcW w:w="140" w:type="dxa"/>
            <w:vAlign w:val="bottom"/>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93"/>
              </w:rPr>
              <w:t>33,782</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3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786765</wp:posOffset>
            </wp:positionH>
            <wp:positionV relativeFrom="paragraph">
              <wp:posOffset>83185</wp:posOffset>
            </wp:positionV>
            <wp:extent cx="4159250" cy="26035"/>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70">
                      <a:extLst>
                        <a:ext uri="{28A0092B-C50C-407E-A947-70E740481C1C}"/>
                      </a:extLst>
                    </a:blip>
                    <a:srcRect/>
                    <a:stretch>
                      <a:fillRect/>
                    </a:stretch>
                  </pic:blipFill>
                  <pic:spPr bwMode="auto">
                    <a:xfrm>
                      <a:off x="0" y="0"/>
                      <a:ext cx="415925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136" w:name="page137"/>
    <w:bookmarkEnd w:id="136"/>
    <w:p>
      <w:pPr>
        <w:ind w:left="124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18. Accumulated Other Comprehensive Income (Loss), Net of Tax</w:t>
      </w:r>
    </w:p>
    <w:p>
      <w:pPr>
        <w:spacing w:after="0" w:line="229" w:lineRule="exact"/>
        <w:rPr>
          <w:sz w:val="20"/>
          <w:szCs w:val="20"/>
          <w:color w:val="auto"/>
        </w:rPr>
      </w:pPr>
    </w:p>
    <w:p>
      <w:pPr>
        <w:ind w:left="1240" w:right="1319" w:firstLine="648"/>
        <w:spacing w:after="0" w:line="219" w:lineRule="exact"/>
        <w:rPr>
          <w:sz w:val="20"/>
          <w:szCs w:val="20"/>
          <w:color w:val="auto"/>
        </w:rPr>
      </w:pPr>
      <w:r>
        <w:rPr>
          <w:rFonts w:ascii="Arial" w:cs="Arial" w:eastAsia="Arial" w:hAnsi="Arial"/>
          <w:sz w:val="18"/>
          <w:szCs w:val="18"/>
          <w:color w:val="auto"/>
        </w:rPr>
        <w:t>Accumulated other comprehensive income (loss), net of tax consists of foreign currency translation adjustments, unrealized gains and losses from foreign exchange derivative instruments designated as cash flow hedges (Note 10), unrealized gains and losses from available</w:t>
      </w:r>
      <w:r>
        <w:rPr>
          <w:rFonts w:ascii="MS PGothic" w:cs="MS PGothic" w:eastAsia="MS PGothic" w:hAnsi="MS PGothic"/>
          <w:sz w:val="18"/>
          <w:szCs w:val="18"/>
          <w:color w:val="auto"/>
        </w:rPr>
        <w:t>‑</w:t>
      </w:r>
      <w:r>
        <w:rPr>
          <w:rFonts w:ascii="Arial" w:cs="Arial" w:eastAsia="Arial" w:hAnsi="Arial"/>
          <w:sz w:val="18"/>
          <w:szCs w:val="18"/>
          <w:color w:val="auto"/>
        </w:rPr>
        <w:t>for</w:t>
      </w:r>
      <w:r>
        <w:rPr>
          <w:rFonts w:ascii="MS PGothic" w:cs="MS PGothic" w:eastAsia="MS PGothic" w:hAnsi="MS PGothic"/>
          <w:sz w:val="18"/>
          <w:szCs w:val="18"/>
          <w:color w:val="auto"/>
        </w:rPr>
        <w:t>‑</w:t>
      </w:r>
      <w:r>
        <w:rPr>
          <w:rFonts w:ascii="Arial" w:cs="Arial" w:eastAsia="Arial" w:hAnsi="Arial"/>
          <w:sz w:val="18"/>
          <w:szCs w:val="18"/>
          <w:color w:val="auto"/>
        </w:rPr>
        <w:t>sale securities and pension and other postretirement adjustments (Note 12).</w:t>
      </w:r>
    </w:p>
    <w:p>
      <w:pPr>
        <w:spacing w:after="0" w:line="206" w:lineRule="exact"/>
        <w:rPr>
          <w:sz w:val="20"/>
          <w:szCs w:val="20"/>
          <w:color w:val="auto"/>
        </w:rPr>
      </w:pPr>
    </w:p>
    <w:p>
      <w:pPr>
        <w:ind w:left="1240" w:right="1559" w:firstLine="648"/>
        <w:spacing w:after="0" w:line="277" w:lineRule="auto"/>
        <w:rPr>
          <w:sz w:val="20"/>
          <w:szCs w:val="20"/>
          <w:color w:val="auto"/>
        </w:rPr>
      </w:pPr>
      <w:r>
        <w:rPr>
          <w:rFonts w:ascii="Arial" w:cs="Arial" w:eastAsia="Arial" w:hAnsi="Arial"/>
          <w:sz w:val="18"/>
          <w:szCs w:val="18"/>
          <w:color w:val="auto"/>
        </w:rPr>
        <w:t>The components of and changes in accumulated other comprehensive income (loss), net of tax, were as follows:</w:t>
      </w:r>
    </w:p>
    <w:p>
      <w:pPr>
        <w:spacing w:after="0" w:line="163" w:lineRule="exact"/>
        <w:rPr>
          <w:sz w:val="20"/>
          <w:szCs w:val="20"/>
          <w:color w:val="auto"/>
        </w:rPr>
      </w:pPr>
    </w:p>
    <w:tbl>
      <w:tblPr>
        <w:tblLayout w:type="fixed"/>
        <w:tblInd w:w="12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6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80" w:type="dxa"/>
            <w:vAlign w:val="bottom"/>
            <w:vMerge w:val="restart"/>
          </w:tcPr>
          <w:p>
            <w:pPr>
              <w:jc w:val="center"/>
              <w:ind w:right="48"/>
              <w:spacing w:after="0"/>
              <w:rPr>
                <w:sz w:val="20"/>
                <w:szCs w:val="20"/>
                <w:color w:val="auto"/>
              </w:rPr>
            </w:pPr>
            <w:r>
              <w:rPr>
                <w:rFonts w:ascii="Arial" w:cs="Arial" w:eastAsia="Arial" w:hAnsi="Arial"/>
                <w:sz w:val="14"/>
                <w:szCs w:val="14"/>
                <w:b w:val="1"/>
                <w:bCs w:val="1"/>
                <w:color w:val="auto"/>
                <w:w w:val="93"/>
              </w:rPr>
              <w:t>Foreign</w:t>
            </w:r>
          </w:p>
        </w:tc>
        <w:tc>
          <w:tcPr>
            <w:tcW w:w="240" w:type="dxa"/>
            <w:vAlign w:val="bottom"/>
          </w:tcPr>
          <w:p>
            <w:pPr>
              <w:spacing w:after="0"/>
              <w:rPr>
                <w:sz w:val="14"/>
                <w:szCs w:val="14"/>
                <w:color w:val="auto"/>
              </w:rPr>
            </w:pPr>
          </w:p>
        </w:tc>
        <w:tc>
          <w:tcPr>
            <w:tcW w:w="720" w:type="dxa"/>
            <w:vAlign w:val="bottom"/>
          </w:tcPr>
          <w:p>
            <w:pPr>
              <w:jc w:val="center"/>
              <w:ind w:right="48"/>
              <w:spacing w:after="0"/>
              <w:rPr>
                <w:sz w:val="20"/>
                <w:szCs w:val="20"/>
                <w:color w:val="auto"/>
              </w:rPr>
            </w:pPr>
            <w:r>
              <w:rPr>
                <w:rFonts w:ascii="Arial" w:cs="Arial" w:eastAsia="Arial" w:hAnsi="Arial"/>
                <w:sz w:val="14"/>
                <w:szCs w:val="14"/>
                <w:b w:val="1"/>
                <w:bCs w:val="1"/>
                <w:color w:val="auto"/>
                <w:w w:val="92"/>
              </w:rPr>
              <w:t>Gains</w:t>
            </w:r>
          </w:p>
        </w:tc>
        <w:tc>
          <w:tcPr>
            <w:tcW w:w="220" w:type="dxa"/>
            <w:vAlign w:val="bottom"/>
          </w:tcPr>
          <w:p>
            <w:pPr>
              <w:spacing w:after="0"/>
              <w:rPr>
                <w:sz w:val="14"/>
                <w:szCs w:val="14"/>
                <w:color w:val="auto"/>
              </w:rPr>
            </w:pPr>
          </w:p>
        </w:tc>
        <w:tc>
          <w:tcPr>
            <w:tcW w:w="560" w:type="dxa"/>
            <w:vAlign w:val="bottom"/>
          </w:tcPr>
          <w:p>
            <w:pPr>
              <w:jc w:val="center"/>
              <w:ind w:right="8"/>
              <w:spacing w:after="0"/>
              <w:rPr>
                <w:sz w:val="20"/>
                <w:szCs w:val="20"/>
                <w:color w:val="auto"/>
              </w:rPr>
            </w:pPr>
            <w:r>
              <w:rPr>
                <w:rFonts w:ascii="Arial" w:cs="Arial" w:eastAsia="Arial" w:hAnsi="Arial"/>
                <w:sz w:val="14"/>
                <w:szCs w:val="14"/>
                <w:b w:val="1"/>
                <w:bCs w:val="1"/>
                <w:color w:val="auto"/>
                <w:w w:val="92"/>
              </w:rPr>
              <w:t>Gains</w:t>
            </w:r>
          </w:p>
        </w:tc>
        <w:tc>
          <w:tcPr>
            <w:tcW w:w="260" w:type="dxa"/>
            <w:vAlign w:val="bottom"/>
          </w:tcPr>
          <w:p>
            <w:pPr>
              <w:spacing w:after="0"/>
              <w:rPr>
                <w:sz w:val="14"/>
                <w:szCs w:val="14"/>
                <w:color w:val="auto"/>
              </w:rPr>
            </w:pPr>
          </w:p>
        </w:tc>
        <w:tc>
          <w:tcPr>
            <w:tcW w:w="94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86"/>
              </w:rPr>
              <w:t>Pension and</w:t>
            </w:r>
          </w:p>
        </w:tc>
        <w:tc>
          <w:tcPr>
            <w:tcW w:w="1000" w:type="dxa"/>
            <w:vAlign w:val="bottom"/>
            <w:gridSpan w:val="2"/>
            <w:vMerge w:val="restart"/>
          </w:tcPr>
          <w:p>
            <w:pPr>
              <w:jc w:val="center"/>
              <w:spacing w:after="0"/>
              <w:rPr>
                <w:sz w:val="20"/>
                <w:szCs w:val="20"/>
                <w:color w:val="auto"/>
              </w:rPr>
            </w:pPr>
            <w:r>
              <w:rPr>
                <w:rFonts w:ascii="Arial" w:cs="Arial" w:eastAsia="Arial" w:hAnsi="Arial"/>
                <w:sz w:val="14"/>
                <w:szCs w:val="14"/>
                <w:b w:val="1"/>
                <w:bCs w:val="1"/>
                <w:color w:val="auto"/>
                <w:w w:val="93"/>
              </w:rPr>
              <w:t>Accumulated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80" w:type="dxa"/>
            <w:vAlign w:val="bottom"/>
            <w:vMerge w:val="continue"/>
          </w:tcPr>
          <w:p>
            <w:pPr>
              <w:spacing w:after="0"/>
              <w:rPr>
                <w:sz w:val="12"/>
                <w:szCs w:val="12"/>
                <w:color w:val="auto"/>
              </w:rPr>
            </w:pPr>
          </w:p>
        </w:tc>
        <w:tc>
          <w:tcPr>
            <w:tcW w:w="240" w:type="dxa"/>
            <w:vAlign w:val="bottom"/>
          </w:tcPr>
          <w:p>
            <w:pPr>
              <w:spacing w:after="0"/>
              <w:rPr>
                <w:sz w:val="12"/>
                <w:szCs w:val="12"/>
                <w:color w:val="auto"/>
              </w:rPr>
            </w:pPr>
          </w:p>
        </w:tc>
        <w:tc>
          <w:tcPr>
            <w:tcW w:w="720" w:type="dxa"/>
            <w:vAlign w:val="bottom"/>
          </w:tcPr>
          <w:p>
            <w:pPr>
              <w:jc w:val="center"/>
              <w:ind w:right="8"/>
              <w:spacing w:after="0" w:line="149" w:lineRule="exact"/>
              <w:rPr>
                <w:sz w:val="20"/>
                <w:szCs w:val="20"/>
                <w:color w:val="auto"/>
              </w:rPr>
            </w:pPr>
            <w:r>
              <w:rPr>
                <w:rFonts w:ascii="Arial" w:cs="Arial" w:eastAsia="Arial" w:hAnsi="Arial"/>
                <w:sz w:val="14"/>
                <w:szCs w:val="14"/>
                <w:b w:val="1"/>
                <w:bCs w:val="1"/>
                <w:color w:val="auto"/>
                <w:w w:val="81"/>
              </w:rPr>
              <w:t>(Losses) on</w:t>
            </w:r>
          </w:p>
        </w:tc>
        <w:tc>
          <w:tcPr>
            <w:tcW w:w="220" w:type="dxa"/>
            <w:vAlign w:val="bottom"/>
          </w:tcPr>
          <w:p>
            <w:pPr>
              <w:spacing w:after="0"/>
              <w:rPr>
                <w:sz w:val="12"/>
                <w:szCs w:val="12"/>
                <w:color w:val="auto"/>
              </w:rPr>
            </w:pPr>
          </w:p>
        </w:tc>
        <w:tc>
          <w:tcPr>
            <w:tcW w:w="560" w:type="dxa"/>
            <w:vAlign w:val="bottom"/>
          </w:tcPr>
          <w:p>
            <w:pPr>
              <w:jc w:val="center"/>
              <w:ind w:right="8"/>
              <w:spacing w:after="0" w:line="149" w:lineRule="exact"/>
              <w:rPr>
                <w:sz w:val="20"/>
                <w:szCs w:val="20"/>
                <w:color w:val="auto"/>
              </w:rPr>
            </w:pPr>
            <w:r>
              <w:rPr>
                <w:rFonts w:ascii="Arial" w:cs="Arial" w:eastAsia="Arial" w:hAnsi="Arial"/>
                <w:sz w:val="14"/>
                <w:szCs w:val="14"/>
                <w:b w:val="1"/>
                <w:bCs w:val="1"/>
                <w:color w:val="auto"/>
                <w:w w:val="83"/>
              </w:rPr>
              <w:t>(Losses)</w:t>
            </w:r>
          </w:p>
        </w:tc>
        <w:tc>
          <w:tcPr>
            <w:tcW w:w="260" w:type="dxa"/>
            <w:vAlign w:val="bottom"/>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100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gridSpan w:val="2"/>
            <w:vMerge w:val="restart"/>
          </w:tcPr>
          <w:p>
            <w:pPr>
              <w:jc w:val="center"/>
              <w:ind w:right="8"/>
              <w:spacing w:after="0"/>
              <w:rPr>
                <w:sz w:val="20"/>
                <w:szCs w:val="20"/>
                <w:color w:val="auto"/>
              </w:rPr>
            </w:pPr>
            <w:r>
              <w:rPr>
                <w:rFonts w:ascii="Arial" w:cs="Arial" w:eastAsia="Arial" w:hAnsi="Arial"/>
                <w:sz w:val="14"/>
                <w:szCs w:val="14"/>
                <w:b w:val="1"/>
                <w:bCs w:val="1"/>
                <w:color w:val="auto"/>
                <w:w w:val="94"/>
              </w:rPr>
              <w:t>Currency</w:t>
            </w:r>
          </w:p>
        </w:tc>
        <w:tc>
          <w:tcPr>
            <w:tcW w:w="240" w:type="dxa"/>
            <w:vAlign w:val="bottom"/>
          </w:tcPr>
          <w:p>
            <w:pPr>
              <w:spacing w:after="0"/>
              <w:rPr>
                <w:sz w:val="12"/>
                <w:szCs w:val="12"/>
                <w:color w:val="auto"/>
              </w:rPr>
            </w:pPr>
          </w:p>
        </w:tc>
        <w:tc>
          <w:tcPr>
            <w:tcW w:w="720" w:type="dxa"/>
            <w:vAlign w:val="bottom"/>
          </w:tcPr>
          <w:p>
            <w:pPr>
              <w:jc w:val="center"/>
              <w:ind w:right="48"/>
              <w:spacing w:after="0" w:line="149" w:lineRule="exact"/>
              <w:rPr>
                <w:sz w:val="20"/>
                <w:szCs w:val="20"/>
                <w:color w:val="auto"/>
              </w:rPr>
            </w:pPr>
            <w:r>
              <w:rPr>
                <w:rFonts w:ascii="Arial" w:cs="Arial" w:eastAsia="Arial" w:hAnsi="Arial"/>
                <w:sz w:val="14"/>
                <w:szCs w:val="14"/>
                <w:b w:val="1"/>
                <w:bCs w:val="1"/>
                <w:color w:val="auto"/>
                <w:w w:val="93"/>
              </w:rPr>
              <w:t>Foreign</w:t>
            </w:r>
          </w:p>
        </w:tc>
        <w:tc>
          <w:tcPr>
            <w:tcW w:w="220" w:type="dxa"/>
            <w:vAlign w:val="bottom"/>
          </w:tcPr>
          <w:p>
            <w:pPr>
              <w:spacing w:after="0"/>
              <w:rPr>
                <w:sz w:val="12"/>
                <w:szCs w:val="12"/>
                <w:color w:val="auto"/>
              </w:rPr>
            </w:pPr>
          </w:p>
        </w:tc>
        <w:tc>
          <w:tcPr>
            <w:tcW w:w="560" w:type="dxa"/>
            <w:vAlign w:val="bottom"/>
          </w:tcPr>
          <w:p>
            <w:pPr>
              <w:jc w:val="center"/>
              <w:ind w:right="8"/>
              <w:spacing w:after="0" w:line="149" w:lineRule="exact"/>
              <w:rPr>
                <w:sz w:val="20"/>
                <w:szCs w:val="20"/>
                <w:color w:val="auto"/>
              </w:rPr>
            </w:pPr>
            <w:r>
              <w:rPr>
                <w:rFonts w:ascii="Arial" w:cs="Arial" w:eastAsia="Arial" w:hAnsi="Arial"/>
                <w:sz w:val="14"/>
                <w:szCs w:val="14"/>
                <w:b w:val="1"/>
                <w:bCs w:val="1"/>
                <w:color w:val="auto"/>
                <w:w w:val="93"/>
              </w:rPr>
              <w:t>on</w:t>
            </w:r>
          </w:p>
        </w:tc>
        <w:tc>
          <w:tcPr>
            <w:tcW w:w="260" w:type="dxa"/>
            <w:vAlign w:val="bottom"/>
          </w:tcPr>
          <w:p>
            <w:pPr>
              <w:spacing w:after="0"/>
              <w:rPr>
                <w:sz w:val="12"/>
                <w:szCs w:val="12"/>
                <w:color w:val="auto"/>
              </w:rPr>
            </w:pPr>
          </w:p>
        </w:tc>
        <w:tc>
          <w:tcPr>
            <w:tcW w:w="94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6"/>
              </w:rPr>
              <w:t>Other</w:t>
            </w:r>
          </w:p>
        </w:tc>
        <w:tc>
          <w:tcPr>
            <w:tcW w:w="120" w:type="dxa"/>
            <w:vAlign w:val="bottom"/>
          </w:tcPr>
          <w:p>
            <w:pPr>
              <w:spacing w:after="0"/>
              <w:rPr>
                <w:sz w:val="12"/>
                <w:szCs w:val="12"/>
                <w:color w:val="auto"/>
              </w:rPr>
            </w:pPr>
          </w:p>
        </w:tc>
        <w:tc>
          <w:tcPr>
            <w:tcW w:w="880" w:type="dxa"/>
            <w:vAlign w:val="bottom"/>
            <w:vMerge w:val="restart"/>
          </w:tcPr>
          <w:p>
            <w:pPr>
              <w:jc w:val="center"/>
              <w:ind w:right="88"/>
              <w:spacing w:after="0"/>
              <w:rPr>
                <w:sz w:val="20"/>
                <w:szCs w:val="20"/>
                <w:color w:val="auto"/>
              </w:rPr>
            </w:pPr>
            <w:r>
              <w:rPr>
                <w:rFonts w:ascii="Arial" w:cs="Arial" w:eastAsia="Arial" w:hAnsi="Arial"/>
                <w:sz w:val="14"/>
                <w:szCs w:val="14"/>
                <w:b w:val="1"/>
                <w:bCs w:val="1"/>
                <w:color w:val="auto"/>
                <w:w w:val="96"/>
              </w:rPr>
              <w:t>Other</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16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00" w:type="dxa"/>
            <w:vAlign w:val="bottom"/>
            <w:gridSpan w:val="2"/>
            <w:vMerge w:val="continue"/>
          </w:tcPr>
          <w:p>
            <w:pPr>
              <w:spacing w:after="0"/>
              <w:rPr>
                <w:sz w:val="14"/>
                <w:szCs w:val="14"/>
                <w:color w:val="auto"/>
              </w:rPr>
            </w:pPr>
          </w:p>
        </w:tc>
        <w:tc>
          <w:tcPr>
            <w:tcW w:w="240" w:type="dxa"/>
            <w:vAlign w:val="bottom"/>
          </w:tcPr>
          <w:p>
            <w:pPr>
              <w:spacing w:after="0"/>
              <w:rPr>
                <w:sz w:val="14"/>
                <w:szCs w:val="14"/>
                <w:color w:val="auto"/>
              </w:rPr>
            </w:pPr>
          </w:p>
        </w:tc>
        <w:tc>
          <w:tcPr>
            <w:tcW w:w="720" w:type="dxa"/>
            <w:vAlign w:val="bottom"/>
          </w:tcPr>
          <w:p>
            <w:pPr>
              <w:jc w:val="center"/>
              <w:ind w:right="48"/>
              <w:spacing w:after="0"/>
              <w:rPr>
                <w:sz w:val="20"/>
                <w:szCs w:val="20"/>
                <w:color w:val="auto"/>
              </w:rPr>
            </w:pPr>
            <w:r>
              <w:rPr>
                <w:rFonts w:ascii="Arial" w:cs="Arial" w:eastAsia="Arial" w:hAnsi="Arial"/>
                <w:sz w:val="14"/>
                <w:szCs w:val="14"/>
                <w:b w:val="1"/>
                <w:bCs w:val="1"/>
                <w:color w:val="auto"/>
                <w:w w:val="90"/>
              </w:rPr>
              <w:t>Exchange</w:t>
            </w:r>
          </w:p>
        </w:tc>
        <w:tc>
          <w:tcPr>
            <w:tcW w:w="220" w:type="dxa"/>
            <w:vAlign w:val="bottom"/>
          </w:tcPr>
          <w:p>
            <w:pPr>
              <w:spacing w:after="0"/>
              <w:rPr>
                <w:sz w:val="14"/>
                <w:szCs w:val="14"/>
                <w:color w:val="auto"/>
              </w:rPr>
            </w:pPr>
          </w:p>
        </w:tc>
        <w:tc>
          <w:tcPr>
            <w:tcW w:w="560" w:type="dxa"/>
            <w:vAlign w:val="bottom"/>
          </w:tcPr>
          <w:p>
            <w:pPr>
              <w:jc w:val="center"/>
              <w:spacing w:after="0"/>
              <w:rPr>
                <w:sz w:val="20"/>
                <w:szCs w:val="20"/>
                <w:color w:val="auto"/>
              </w:rPr>
            </w:pPr>
            <w:r>
              <w:rPr>
                <w:rFonts w:ascii="Arial" w:cs="Arial" w:eastAsia="Arial" w:hAnsi="Arial"/>
                <w:sz w:val="14"/>
                <w:szCs w:val="14"/>
                <w:b w:val="1"/>
                <w:bCs w:val="1"/>
                <w:color w:val="auto"/>
                <w:w w:val="81"/>
              </w:rPr>
              <w:t>Available-</w:t>
            </w:r>
          </w:p>
        </w:tc>
        <w:tc>
          <w:tcPr>
            <w:tcW w:w="260" w:type="dxa"/>
            <w:vAlign w:val="bottom"/>
          </w:tcPr>
          <w:p>
            <w:pPr>
              <w:spacing w:after="0"/>
              <w:rPr>
                <w:sz w:val="14"/>
                <w:szCs w:val="14"/>
                <w:color w:val="auto"/>
              </w:rPr>
            </w:pPr>
          </w:p>
        </w:tc>
        <w:tc>
          <w:tcPr>
            <w:tcW w:w="94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88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80" w:type="dxa"/>
            <w:vAlign w:val="bottom"/>
            <w:gridSpan w:val="3"/>
          </w:tcPr>
          <w:p>
            <w:pPr>
              <w:jc w:val="center"/>
              <w:spacing w:after="0" w:line="149" w:lineRule="exact"/>
              <w:rPr>
                <w:sz w:val="20"/>
                <w:szCs w:val="20"/>
                <w:color w:val="auto"/>
              </w:rPr>
            </w:pPr>
            <w:r>
              <w:rPr>
                <w:rFonts w:ascii="Arial" w:cs="Arial" w:eastAsia="Arial" w:hAnsi="Arial"/>
                <w:sz w:val="14"/>
                <w:szCs w:val="14"/>
                <w:b w:val="1"/>
                <w:bCs w:val="1"/>
                <w:color w:val="auto"/>
                <w:w w:val="92"/>
              </w:rPr>
              <w:t>Translation</w:t>
            </w:r>
          </w:p>
        </w:tc>
        <w:tc>
          <w:tcPr>
            <w:tcW w:w="240" w:type="dxa"/>
            <w:vAlign w:val="bottom"/>
          </w:tcPr>
          <w:p>
            <w:pPr>
              <w:spacing w:after="0"/>
              <w:rPr>
                <w:sz w:val="12"/>
                <w:szCs w:val="12"/>
                <w:color w:val="auto"/>
              </w:rPr>
            </w:pPr>
          </w:p>
        </w:tc>
        <w:tc>
          <w:tcPr>
            <w:tcW w:w="720" w:type="dxa"/>
            <w:vAlign w:val="bottom"/>
          </w:tcPr>
          <w:p>
            <w:pPr>
              <w:jc w:val="center"/>
              <w:ind w:right="28"/>
              <w:spacing w:after="0" w:line="149" w:lineRule="exact"/>
              <w:rPr>
                <w:sz w:val="20"/>
                <w:szCs w:val="20"/>
                <w:color w:val="auto"/>
              </w:rPr>
            </w:pPr>
            <w:r>
              <w:rPr>
                <w:rFonts w:ascii="Arial" w:cs="Arial" w:eastAsia="Arial" w:hAnsi="Arial"/>
                <w:sz w:val="14"/>
                <w:szCs w:val="14"/>
                <w:b w:val="1"/>
                <w:bCs w:val="1"/>
                <w:color w:val="auto"/>
                <w:w w:val="92"/>
              </w:rPr>
              <w:t>Derivative</w:t>
            </w:r>
          </w:p>
        </w:tc>
        <w:tc>
          <w:tcPr>
            <w:tcW w:w="220" w:type="dxa"/>
            <w:vAlign w:val="bottom"/>
          </w:tcPr>
          <w:p>
            <w:pPr>
              <w:spacing w:after="0"/>
              <w:rPr>
                <w:sz w:val="12"/>
                <w:szCs w:val="12"/>
                <w:color w:val="auto"/>
              </w:rPr>
            </w:pPr>
          </w:p>
        </w:tc>
        <w:tc>
          <w:tcPr>
            <w:tcW w:w="560" w:type="dxa"/>
            <w:vAlign w:val="bottom"/>
          </w:tcPr>
          <w:p>
            <w:pPr>
              <w:jc w:val="center"/>
              <w:ind w:right="8"/>
              <w:spacing w:after="0" w:line="149" w:lineRule="exact"/>
              <w:rPr>
                <w:sz w:val="20"/>
                <w:szCs w:val="20"/>
                <w:color w:val="auto"/>
              </w:rPr>
            </w:pPr>
            <w:r>
              <w:rPr>
                <w:rFonts w:ascii="Arial" w:cs="Arial" w:eastAsia="Arial" w:hAnsi="Arial"/>
                <w:sz w:val="14"/>
                <w:szCs w:val="14"/>
                <w:b w:val="1"/>
                <w:bCs w:val="1"/>
                <w:color w:val="auto"/>
                <w:w w:val="91"/>
              </w:rPr>
              <w:t>for-Sale</w:t>
            </w:r>
          </w:p>
        </w:tc>
        <w:tc>
          <w:tcPr>
            <w:tcW w:w="1200" w:type="dxa"/>
            <w:vAlign w:val="bottom"/>
            <w:gridSpan w:val="3"/>
          </w:tcPr>
          <w:p>
            <w:pPr>
              <w:ind w:left="160"/>
              <w:spacing w:after="0" w:line="149" w:lineRule="exact"/>
              <w:rPr>
                <w:sz w:val="20"/>
                <w:szCs w:val="20"/>
                <w:color w:val="auto"/>
              </w:rPr>
            </w:pPr>
            <w:r>
              <w:rPr>
                <w:rFonts w:ascii="Arial" w:cs="Arial" w:eastAsia="Arial" w:hAnsi="Arial"/>
                <w:sz w:val="14"/>
                <w:szCs w:val="14"/>
                <w:b w:val="1"/>
                <w:bCs w:val="1"/>
                <w:color w:val="auto"/>
              </w:rPr>
              <w:t>Postretirement</w:t>
            </w:r>
          </w:p>
        </w:tc>
        <w:tc>
          <w:tcPr>
            <w:tcW w:w="100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w w:val="91"/>
              </w:rPr>
              <w:t>Comprehensive</w:t>
            </w:r>
          </w:p>
        </w:tc>
        <w:tc>
          <w:tcPr>
            <w:tcW w:w="0" w:type="dxa"/>
            <w:vAlign w:val="bottom"/>
          </w:tcPr>
          <w:p>
            <w:pPr>
              <w:spacing w:after="0"/>
              <w:rPr>
                <w:sz w:val="1"/>
                <w:szCs w:val="1"/>
                <w:color w:val="auto"/>
              </w:rPr>
            </w:pPr>
          </w:p>
        </w:tc>
      </w:tr>
      <w:tr>
        <w:trPr>
          <w:trHeight w:val="171"/>
        </w:trPr>
        <w:tc>
          <w:tcPr>
            <w:tcW w:w="1680" w:type="dxa"/>
            <w:vAlign w:val="bottom"/>
            <w:gridSpan w:val="2"/>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920" w:type="dxa"/>
            <w:vAlign w:val="bottom"/>
            <w:gridSpan w:val="4"/>
          </w:tcPr>
          <w:p>
            <w:pPr>
              <w:ind w:left="140"/>
              <w:spacing w:after="0"/>
              <w:rPr>
                <w:sz w:val="20"/>
                <w:szCs w:val="20"/>
                <w:color w:val="auto"/>
              </w:rPr>
            </w:pPr>
            <w:r>
              <w:rPr>
                <w:rFonts w:ascii="Arial" w:cs="Arial" w:eastAsia="Arial" w:hAnsi="Arial"/>
                <w:sz w:val="14"/>
                <w:szCs w:val="14"/>
                <w:b w:val="1"/>
                <w:bCs w:val="1"/>
                <w:color w:val="auto"/>
                <w:w w:val="89"/>
              </w:rPr>
              <w:t>Adjustments</w:t>
            </w:r>
          </w:p>
        </w:tc>
        <w:tc>
          <w:tcPr>
            <w:tcW w:w="240" w:type="dxa"/>
            <w:vAlign w:val="bottom"/>
          </w:tcPr>
          <w:p>
            <w:pPr>
              <w:spacing w:after="0"/>
              <w:rPr>
                <w:sz w:val="14"/>
                <w:szCs w:val="14"/>
                <w:color w:val="auto"/>
              </w:rPr>
            </w:pPr>
          </w:p>
        </w:tc>
        <w:tc>
          <w:tcPr>
            <w:tcW w:w="720" w:type="dxa"/>
            <w:vAlign w:val="bottom"/>
          </w:tcPr>
          <w:p>
            <w:pPr>
              <w:jc w:val="center"/>
              <w:spacing w:after="0"/>
              <w:rPr>
                <w:sz w:val="20"/>
                <w:szCs w:val="20"/>
                <w:color w:val="auto"/>
              </w:rPr>
            </w:pPr>
            <w:r>
              <w:rPr>
                <w:rFonts w:ascii="Arial" w:cs="Arial" w:eastAsia="Arial" w:hAnsi="Arial"/>
                <w:sz w:val="14"/>
                <w:szCs w:val="14"/>
                <w:b w:val="1"/>
                <w:bCs w:val="1"/>
                <w:color w:val="auto"/>
                <w:w w:val="84"/>
              </w:rPr>
              <w:t>Instruments</w:t>
            </w:r>
          </w:p>
        </w:tc>
        <w:tc>
          <w:tcPr>
            <w:tcW w:w="220" w:type="dxa"/>
            <w:vAlign w:val="bottom"/>
          </w:tcPr>
          <w:p>
            <w:pPr>
              <w:spacing w:after="0"/>
              <w:rPr>
                <w:sz w:val="14"/>
                <w:szCs w:val="14"/>
                <w:color w:val="auto"/>
              </w:rPr>
            </w:pPr>
          </w:p>
        </w:tc>
        <w:tc>
          <w:tcPr>
            <w:tcW w:w="560" w:type="dxa"/>
            <w:vAlign w:val="bottom"/>
          </w:tcPr>
          <w:p>
            <w:pPr>
              <w:jc w:val="center"/>
              <w:spacing w:after="0"/>
              <w:rPr>
                <w:sz w:val="20"/>
                <w:szCs w:val="20"/>
                <w:color w:val="auto"/>
              </w:rPr>
            </w:pPr>
            <w:r>
              <w:rPr>
                <w:rFonts w:ascii="Arial" w:cs="Arial" w:eastAsia="Arial" w:hAnsi="Arial"/>
                <w:sz w:val="14"/>
                <w:szCs w:val="14"/>
                <w:b w:val="1"/>
                <w:bCs w:val="1"/>
                <w:color w:val="auto"/>
                <w:w w:val="80"/>
              </w:rPr>
              <w:t>Securities</w:t>
            </w:r>
          </w:p>
        </w:tc>
        <w:tc>
          <w:tcPr>
            <w:tcW w:w="260" w:type="dxa"/>
            <w:vAlign w:val="bottom"/>
          </w:tcPr>
          <w:p>
            <w:pPr>
              <w:spacing w:after="0"/>
              <w:rPr>
                <w:sz w:val="14"/>
                <w:szCs w:val="14"/>
                <w:color w:val="auto"/>
              </w:rPr>
            </w:pPr>
          </w:p>
        </w:tc>
        <w:tc>
          <w:tcPr>
            <w:tcW w:w="94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87"/>
              </w:rPr>
              <w:t>Adjustments</w:t>
            </w:r>
          </w:p>
        </w:tc>
        <w:tc>
          <w:tcPr>
            <w:tcW w:w="120" w:type="dxa"/>
            <w:vAlign w:val="bottom"/>
          </w:tcPr>
          <w:p>
            <w:pPr>
              <w:spacing w:after="0"/>
              <w:rPr>
                <w:sz w:val="14"/>
                <w:szCs w:val="14"/>
                <w:color w:val="auto"/>
              </w:rPr>
            </w:pPr>
          </w:p>
        </w:tc>
        <w:tc>
          <w:tcPr>
            <w:tcW w:w="880" w:type="dxa"/>
            <w:vAlign w:val="bottom"/>
          </w:tcPr>
          <w:p>
            <w:pPr>
              <w:jc w:val="center"/>
              <w:ind w:right="88"/>
              <w:spacing w:after="0"/>
              <w:rPr>
                <w:sz w:val="20"/>
                <w:szCs w:val="20"/>
                <w:color w:val="auto"/>
              </w:rPr>
            </w:pPr>
            <w:r>
              <w:rPr>
                <w:rFonts w:ascii="Arial" w:cs="Arial" w:eastAsia="Arial" w:hAnsi="Arial"/>
                <w:sz w:val="14"/>
                <w:szCs w:val="14"/>
                <w:b w:val="1"/>
                <w:bCs w:val="1"/>
                <w:color w:val="auto"/>
                <w:w w:val="85"/>
              </w:rPr>
              <w:t>Loss</w:t>
            </w:r>
          </w:p>
        </w:tc>
        <w:tc>
          <w:tcPr>
            <w:tcW w:w="0" w:type="dxa"/>
            <w:vAlign w:val="bottom"/>
          </w:tcPr>
          <w:p>
            <w:pPr>
              <w:spacing w:after="0"/>
              <w:rPr>
                <w:sz w:val="1"/>
                <w:szCs w:val="1"/>
                <w:color w:val="auto"/>
              </w:rPr>
            </w:pPr>
          </w:p>
        </w:tc>
      </w:tr>
      <w:tr>
        <w:trPr>
          <w:trHeight w:val="183"/>
        </w:trPr>
        <w:tc>
          <w:tcPr>
            <w:tcW w:w="20" w:type="dxa"/>
            <w:vAlign w:val="bottom"/>
            <w:vMerge w:val="restart"/>
          </w:tcPr>
          <w:p>
            <w:pPr>
              <w:spacing w:after="0"/>
              <w:rPr>
                <w:sz w:val="15"/>
                <w:szCs w:val="15"/>
                <w:color w:val="auto"/>
              </w:rPr>
            </w:pPr>
          </w:p>
        </w:tc>
        <w:tc>
          <w:tcPr>
            <w:tcW w:w="16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0" w:type="dxa"/>
            <w:vAlign w:val="bottom"/>
            <w:tcBorders>
              <w:top w:val="single" w:sz="8" w:color="auto"/>
            </w:tcBorders>
          </w:tcPr>
          <w:p>
            <w:pPr>
              <w:spacing w:after="0"/>
              <w:rPr>
                <w:sz w:val="15"/>
                <w:szCs w:val="15"/>
                <w:color w:val="auto"/>
              </w:rPr>
            </w:pPr>
          </w:p>
        </w:tc>
        <w:tc>
          <w:tcPr>
            <w:tcW w:w="20" w:type="dxa"/>
            <w:vAlign w:val="bottom"/>
            <w:tcBorders>
              <w:top w:val="single" w:sz="8" w:color="auto"/>
            </w:tcBorders>
          </w:tcPr>
          <w:p>
            <w:pPr>
              <w:spacing w:after="0"/>
              <w:rPr>
                <w:sz w:val="15"/>
                <w:szCs w:val="15"/>
                <w:color w:val="auto"/>
              </w:rPr>
            </w:pPr>
          </w:p>
        </w:tc>
        <w:tc>
          <w:tcPr>
            <w:tcW w:w="680" w:type="dxa"/>
            <w:vAlign w:val="bottom"/>
            <w:tcBorders>
              <w:top w:val="single" w:sz="8" w:color="auto"/>
            </w:tcBorders>
          </w:tcPr>
          <w:p>
            <w:pPr>
              <w:spacing w:after="0"/>
              <w:rPr>
                <w:sz w:val="15"/>
                <w:szCs w:val="15"/>
                <w:color w:val="auto"/>
              </w:rPr>
            </w:pPr>
          </w:p>
        </w:tc>
        <w:tc>
          <w:tcPr>
            <w:tcW w:w="240" w:type="dxa"/>
            <w:vAlign w:val="bottom"/>
          </w:tcPr>
          <w:p>
            <w:pPr>
              <w:spacing w:after="0"/>
              <w:rPr>
                <w:sz w:val="15"/>
                <w:szCs w:val="15"/>
                <w:color w:val="auto"/>
              </w:rPr>
            </w:pPr>
          </w:p>
        </w:tc>
        <w:tc>
          <w:tcPr>
            <w:tcW w:w="720" w:type="dxa"/>
            <w:vAlign w:val="bottom"/>
            <w:tcBorders>
              <w:top w:val="single" w:sz="8" w:color="auto"/>
            </w:tcBorders>
          </w:tcPr>
          <w:p>
            <w:pPr>
              <w:spacing w:after="0"/>
              <w:rPr>
                <w:sz w:val="15"/>
                <w:szCs w:val="15"/>
                <w:color w:val="auto"/>
              </w:rPr>
            </w:pPr>
          </w:p>
        </w:tc>
        <w:tc>
          <w:tcPr>
            <w:tcW w:w="220" w:type="dxa"/>
            <w:vAlign w:val="bottom"/>
          </w:tcPr>
          <w:p>
            <w:pPr>
              <w:spacing w:after="0"/>
              <w:rPr>
                <w:sz w:val="15"/>
                <w:szCs w:val="15"/>
                <w:color w:val="auto"/>
              </w:rPr>
            </w:pPr>
          </w:p>
        </w:tc>
        <w:tc>
          <w:tcPr>
            <w:tcW w:w="560" w:type="dxa"/>
            <w:vAlign w:val="bottom"/>
            <w:tcBorders>
              <w:top w:val="single" w:sz="8" w:color="auto"/>
            </w:tcBorders>
          </w:tcPr>
          <w:p>
            <w:pPr>
              <w:spacing w:after="0"/>
              <w:rPr>
                <w:sz w:val="15"/>
                <w:szCs w:val="15"/>
                <w:color w:val="auto"/>
              </w:rPr>
            </w:pPr>
          </w:p>
        </w:tc>
        <w:tc>
          <w:tcPr>
            <w:tcW w:w="260" w:type="dxa"/>
            <w:vAlign w:val="bottom"/>
          </w:tcPr>
          <w:p>
            <w:pPr>
              <w:spacing w:after="0"/>
              <w:rPr>
                <w:sz w:val="15"/>
                <w:szCs w:val="15"/>
                <w:color w:val="auto"/>
              </w:rPr>
            </w:pPr>
          </w:p>
        </w:tc>
        <w:tc>
          <w:tcPr>
            <w:tcW w:w="800" w:type="dxa"/>
            <w:vAlign w:val="bottom"/>
            <w:tcBorders>
              <w:top w:val="single" w:sz="8" w:color="auto"/>
            </w:tcBorders>
          </w:tcPr>
          <w:p>
            <w:pPr>
              <w:spacing w:after="0"/>
              <w:rPr>
                <w:sz w:val="15"/>
                <w:szCs w:val="15"/>
                <w:color w:val="auto"/>
              </w:rPr>
            </w:pPr>
          </w:p>
        </w:tc>
        <w:tc>
          <w:tcPr>
            <w:tcW w:w="140" w:type="dxa"/>
            <w:vAlign w:val="bottom"/>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880" w:type="dxa"/>
            <w:vAlign w:val="bottom"/>
            <w:tcBorders>
              <w:top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30"/>
        </w:trPr>
        <w:tc>
          <w:tcPr>
            <w:tcW w:w="20" w:type="dxa"/>
            <w:vAlign w:val="bottom"/>
            <w:vMerge w:val="continue"/>
          </w:tcPr>
          <w:p>
            <w:pPr>
              <w:spacing w:after="0"/>
              <w:rPr>
                <w:sz w:val="11"/>
                <w:szCs w:val="11"/>
                <w:color w:val="auto"/>
              </w:rPr>
            </w:pPr>
          </w:p>
        </w:tc>
        <w:tc>
          <w:tcPr>
            <w:tcW w:w="1660" w:type="dxa"/>
            <w:vAlign w:val="bottom"/>
            <w:shd w:val="clear" w:color="auto" w:fill="CCEEFF"/>
          </w:tcPr>
          <w:p>
            <w:pPr>
              <w:spacing w:after="0" w:line="130" w:lineRule="exact"/>
              <w:rPr>
                <w:sz w:val="20"/>
                <w:szCs w:val="20"/>
                <w:color w:val="auto"/>
              </w:rPr>
            </w:pPr>
            <w:r>
              <w:rPr>
                <w:rFonts w:ascii="Arial" w:cs="Arial" w:eastAsia="Arial" w:hAnsi="Arial"/>
                <w:sz w:val="14"/>
                <w:szCs w:val="14"/>
                <w:color w:val="auto"/>
              </w:rPr>
              <w:t>Balances at</w:t>
            </w: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240" w:type="dxa"/>
            <w:vAlign w:val="bottom"/>
            <w:tcBorders>
              <w:right w:val="single" w:sz="8" w:color="CCEEFF"/>
            </w:tcBorders>
            <w:shd w:val="clear" w:color="auto" w:fill="CCEEFF"/>
          </w:tcPr>
          <w:p>
            <w:pPr>
              <w:spacing w:after="0"/>
              <w:rPr>
                <w:sz w:val="11"/>
                <w:szCs w:val="11"/>
                <w:color w:val="auto"/>
              </w:rPr>
            </w:pPr>
          </w:p>
        </w:tc>
        <w:tc>
          <w:tcPr>
            <w:tcW w:w="720" w:type="dxa"/>
            <w:vAlign w:val="bottom"/>
            <w:shd w:val="clear" w:color="auto" w:fill="CCEEFF"/>
          </w:tcPr>
          <w:p>
            <w:pPr>
              <w:spacing w:after="0"/>
              <w:rPr>
                <w:sz w:val="11"/>
                <w:szCs w:val="11"/>
                <w:color w:val="auto"/>
              </w:rPr>
            </w:pPr>
          </w:p>
        </w:tc>
        <w:tc>
          <w:tcPr>
            <w:tcW w:w="220" w:type="dxa"/>
            <w:vAlign w:val="bottom"/>
            <w:tcBorders>
              <w:right w:val="single" w:sz="8" w:color="CCEEFF"/>
            </w:tcBorders>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260" w:type="dxa"/>
            <w:vAlign w:val="bottom"/>
            <w:tcBorders>
              <w:right w:val="single" w:sz="8" w:color="CCEEFF"/>
            </w:tcBorders>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140" w:type="dxa"/>
            <w:vAlign w:val="bottom"/>
            <w:tcBorders>
              <w:right w:val="single" w:sz="8" w:color="CCEEFF"/>
            </w:tcBorders>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880" w:type="dxa"/>
            <w:vAlign w:val="bottom"/>
            <w:tcBorders>
              <w:right w:val="single" w:sz="8" w:color="CCEEFF"/>
            </w:tcBorders>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1660" w:type="dxa"/>
            <w:vAlign w:val="bottom"/>
            <w:shd w:val="clear" w:color="auto" w:fill="CCEEFF"/>
          </w:tcPr>
          <w:p>
            <w:pPr>
              <w:spacing w:after="0"/>
              <w:rPr>
                <w:sz w:val="20"/>
                <w:szCs w:val="20"/>
                <w:color w:val="auto"/>
              </w:rPr>
            </w:pPr>
            <w:r>
              <w:rPr>
                <w:rFonts w:ascii="Arial" w:cs="Arial" w:eastAsia="Arial" w:hAnsi="Arial"/>
                <w:sz w:val="14"/>
                <w:szCs w:val="14"/>
                <w:color w:val="auto"/>
              </w:rPr>
              <w:t>December 31, 2015</w:t>
            </w:r>
          </w:p>
        </w:tc>
        <w:tc>
          <w:tcPr>
            <w:tcW w:w="220" w:type="dxa"/>
            <w:vAlign w:val="bottom"/>
            <w:gridSpan w:val="2"/>
            <w:shd w:val="clear" w:color="auto" w:fill="CCEEFF"/>
          </w:tcPr>
          <w:p>
            <w:pPr>
              <w:ind w:left="140"/>
              <w:spacing w:after="0"/>
              <w:rPr>
                <w:sz w:val="20"/>
                <w:szCs w:val="20"/>
                <w:color w:val="auto"/>
              </w:rPr>
            </w:pPr>
            <w:r>
              <w:rPr>
                <w:rFonts w:ascii="Arial" w:cs="Arial" w:eastAsia="Arial" w:hAnsi="Arial"/>
                <w:sz w:val="14"/>
                <w:szCs w:val="14"/>
                <w:color w:val="auto"/>
                <w:w w:val="76"/>
              </w:rPr>
              <w:t>$</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(70,019)</w:t>
            </w:r>
          </w:p>
        </w:tc>
        <w:tc>
          <w:tcPr>
            <w:tcW w:w="2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9,166</w:t>
            </w:r>
          </w:p>
        </w:tc>
        <w:tc>
          <w:tcPr>
            <w:tcW w:w="22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1,504</w:t>
            </w:r>
          </w:p>
        </w:tc>
        <w:tc>
          <w:tcPr>
            <w:tcW w:w="260" w:type="dxa"/>
            <w:vAlign w:val="bottom"/>
            <w:tcBorders>
              <w:right w:val="single" w:sz="8" w:color="CCEEFF"/>
            </w:tcBorders>
            <w:shd w:val="clear" w:color="auto" w:fill="CCEEFF"/>
          </w:tcPr>
          <w:p>
            <w:pPr>
              <w:ind w:left="160"/>
              <w:spacing w:after="0"/>
              <w:rPr>
                <w:sz w:val="20"/>
                <w:szCs w:val="20"/>
                <w:color w:val="auto"/>
              </w:rPr>
            </w:pPr>
            <w:r>
              <w:rPr>
                <w:rFonts w:ascii="Arial" w:cs="Arial" w:eastAsia="Arial" w:hAnsi="Arial"/>
                <w:sz w:val="14"/>
                <w:szCs w:val="14"/>
                <w:color w:val="auto"/>
                <w:w w:val="76"/>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(7,885)</w:t>
            </w:r>
          </w:p>
        </w:tc>
        <w:tc>
          <w:tcPr>
            <w:tcW w:w="140" w:type="dxa"/>
            <w:vAlign w:val="bottom"/>
            <w:tcBorders>
              <w:right w:val="single" w:sz="8" w:color="CCEEFF"/>
            </w:tcBorders>
            <w:shd w:val="clear" w:color="auto" w:fill="CCEEFF"/>
          </w:tcPr>
          <w:p>
            <w:pPr>
              <w:spacing w:after="0"/>
              <w:rPr>
                <w:sz w:val="14"/>
                <w:szCs w:val="14"/>
                <w:color w:val="auto"/>
              </w:rPr>
            </w:pPr>
          </w:p>
        </w:tc>
        <w:tc>
          <w:tcPr>
            <w:tcW w:w="120" w:type="dxa"/>
            <w:vAlign w:val="bottom"/>
            <w:shd w:val="clear" w:color="auto" w:fill="CCEEFF"/>
          </w:tcPr>
          <w:p>
            <w:pPr>
              <w:spacing w:after="0"/>
              <w:rPr>
                <w:sz w:val="20"/>
                <w:szCs w:val="20"/>
                <w:color w:val="auto"/>
              </w:rPr>
            </w:pPr>
            <w:r>
              <w:rPr>
                <w:rFonts w:ascii="Arial" w:cs="Arial" w:eastAsia="Arial" w:hAnsi="Arial"/>
                <w:sz w:val="14"/>
                <w:szCs w:val="14"/>
                <w:color w:val="auto"/>
              </w:rPr>
              <w:t>$</w:t>
            </w:r>
          </w:p>
        </w:tc>
        <w:tc>
          <w:tcPr>
            <w:tcW w:w="88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(67,234)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1660" w:type="dxa"/>
            <w:vAlign w:val="bottom"/>
          </w:tcPr>
          <w:p>
            <w:pPr>
              <w:spacing w:after="0" w:line="130" w:lineRule="exact"/>
              <w:rPr>
                <w:sz w:val="20"/>
                <w:szCs w:val="20"/>
                <w:color w:val="auto"/>
              </w:rPr>
            </w:pPr>
            <w:r>
              <w:rPr>
                <w:rFonts w:ascii="Arial" w:cs="Arial" w:eastAsia="Arial" w:hAnsi="Arial"/>
                <w:sz w:val="14"/>
                <w:szCs w:val="14"/>
                <w:color w:val="auto"/>
              </w:rPr>
              <w:t>Other comprehensive</w:t>
            </w: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1680" w:type="dxa"/>
            <w:vAlign w:val="bottom"/>
            <w:gridSpan w:val="2"/>
          </w:tcPr>
          <w:p>
            <w:pPr>
              <w:spacing w:after="0" w:line="149" w:lineRule="exact"/>
              <w:rPr>
                <w:sz w:val="20"/>
                <w:szCs w:val="20"/>
                <w:color w:val="auto"/>
              </w:rPr>
            </w:pPr>
            <w:r>
              <w:rPr>
                <w:rFonts w:ascii="Arial" w:cs="Arial" w:eastAsia="Arial" w:hAnsi="Arial"/>
                <w:sz w:val="14"/>
                <w:szCs w:val="14"/>
                <w:color w:val="auto"/>
              </w:rPr>
              <w:t>income (loss) before</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1680" w:type="dxa"/>
            <w:vAlign w:val="bottom"/>
            <w:gridSpan w:val="2"/>
          </w:tcPr>
          <w:p>
            <w:pPr>
              <w:spacing w:after="0"/>
              <w:rPr>
                <w:sz w:val="20"/>
                <w:szCs w:val="20"/>
                <w:color w:val="auto"/>
              </w:rPr>
            </w:pPr>
            <w:r>
              <w:rPr>
                <w:rFonts w:ascii="Arial" w:cs="Arial" w:eastAsia="Arial" w:hAnsi="Arial"/>
                <w:sz w:val="14"/>
                <w:szCs w:val="14"/>
                <w:color w:val="auto"/>
              </w:rPr>
              <w:t>reclassifications</w:t>
            </w: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00" w:type="dxa"/>
            <w:vAlign w:val="bottom"/>
            <w:gridSpan w:val="2"/>
          </w:tcPr>
          <w:p>
            <w:pPr>
              <w:jc w:val="right"/>
              <w:spacing w:after="0"/>
              <w:rPr>
                <w:sz w:val="20"/>
                <w:szCs w:val="20"/>
                <w:color w:val="auto"/>
              </w:rPr>
            </w:pPr>
            <w:r>
              <w:rPr>
                <w:rFonts w:ascii="Arial" w:cs="Arial" w:eastAsia="Arial" w:hAnsi="Arial"/>
                <w:sz w:val="14"/>
                <w:szCs w:val="14"/>
                <w:color w:val="auto"/>
              </w:rPr>
              <w:t>(14,656)</w:t>
            </w:r>
          </w:p>
        </w:tc>
        <w:tc>
          <w:tcPr>
            <w:tcW w:w="240" w:type="dxa"/>
            <w:vAlign w:val="bottom"/>
          </w:tcPr>
          <w:p>
            <w:pPr>
              <w:spacing w:after="0"/>
              <w:rPr>
                <w:sz w:val="14"/>
                <w:szCs w:val="14"/>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7,014</w:t>
            </w:r>
          </w:p>
        </w:tc>
        <w:tc>
          <w:tcPr>
            <w:tcW w:w="22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51</w:t>
            </w:r>
          </w:p>
        </w:tc>
        <w:tc>
          <w:tcPr>
            <w:tcW w:w="26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(16,781)</w:t>
            </w:r>
          </w:p>
        </w:tc>
        <w:tc>
          <w:tcPr>
            <w:tcW w:w="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(24,372)</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1660" w:type="dxa"/>
            <w:vAlign w:val="bottom"/>
            <w:shd w:val="clear" w:color="auto" w:fill="CCEEFF"/>
          </w:tcPr>
          <w:p>
            <w:pPr>
              <w:spacing w:after="0" w:line="130" w:lineRule="exact"/>
              <w:rPr>
                <w:sz w:val="20"/>
                <w:szCs w:val="20"/>
                <w:color w:val="auto"/>
              </w:rPr>
            </w:pPr>
            <w:r>
              <w:rPr>
                <w:rFonts w:ascii="Arial" w:cs="Arial" w:eastAsia="Arial" w:hAnsi="Arial"/>
                <w:sz w:val="14"/>
                <w:szCs w:val="14"/>
                <w:color w:val="auto"/>
              </w:rPr>
              <w:t>Amounts reclassified from</w:t>
            </w: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240" w:type="dxa"/>
            <w:vAlign w:val="bottom"/>
            <w:tcBorders>
              <w:right w:val="single" w:sz="8" w:color="CCEEFF"/>
            </w:tcBorders>
            <w:shd w:val="clear" w:color="auto" w:fill="CCEEFF"/>
          </w:tcPr>
          <w:p>
            <w:pPr>
              <w:spacing w:after="0"/>
              <w:rPr>
                <w:sz w:val="11"/>
                <w:szCs w:val="11"/>
                <w:color w:val="auto"/>
              </w:rPr>
            </w:pPr>
          </w:p>
        </w:tc>
        <w:tc>
          <w:tcPr>
            <w:tcW w:w="720" w:type="dxa"/>
            <w:vAlign w:val="bottom"/>
            <w:shd w:val="clear" w:color="auto" w:fill="CCEEFF"/>
          </w:tcPr>
          <w:p>
            <w:pPr>
              <w:spacing w:after="0"/>
              <w:rPr>
                <w:sz w:val="11"/>
                <w:szCs w:val="11"/>
                <w:color w:val="auto"/>
              </w:rPr>
            </w:pPr>
          </w:p>
        </w:tc>
        <w:tc>
          <w:tcPr>
            <w:tcW w:w="220" w:type="dxa"/>
            <w:vAlign w:val="bottom"/>
            <w:tcBorders>
              <w:right w:val="single" w:sz="8" w:color="CCEEFF"/>
            </w:tcBorders>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260" w:type="dxa"/>
            <w:vAlign w:val="bottom"/>
            <w:tcBorders>
              <w:right w:val="single" w:sz="8" w:color="CCEEFF"/>
            </w:tcBorders>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140" w:type="dxa"/>
            <w:vAlign w:val="bottom"/>
            <w:tcBorders>
              <w:right w:val="single" w:sz="8" w:color="CCEEFF"/>
            </w:tcBorders>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880" w:type="dxa"/>
            <w:vAlign w:val="bottom"/>
            <w:tcBorders>
              <w:right w:val="single" w:sz="8" w:color="CCEEFF"/>
            </w:tcBorders>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accumulated other</w:t>
            </w:r>
          </w:p>
        </w:tc>
        <w:tc>
          <w:tcPr>
            <w:tcW w:w="1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240" w:type="dxa"/>
            <w:vAlign w:val="bottom"/>
            <w:tcBorders>
              <w:right w:val="single" w:sz="8" w:color="CCEEFF"/>
            </w:tcBorders>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220" w:type="dxa"/>
            <w:vAlign w:val="bottom"/>
            <w:tcBorders>
              <w:right w:val="single" w:sz="8" w:color="CCEEFF"/>
            </w:tcBorders>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260" w:type="dxa"/>
            <w:vAlign w:val="bottom"/>
            <w:tcBorders>
              <w:right w:val="single" w:sz="8" w:color="CCEEFF"/>
            </w:tcBorders>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40" w:type="dxa"/>
            <w:vAlign w:val="bottom"/>
            <w:tcBorders>
              <w:right w:val="single" w:sz="8" w:color="CCEEFF"/>
            </w:tcBorders>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80" w:type="dxa"/>
            <w:vAlign w:val="bottom"/>
            <w:tcBorders>
              <w:right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1660" w:type="dxa"/>
            <w:vAlign w:val="bottom"/>
            <w:shd w:val="clear" w:color="auto" w:fill="CCEEFF"/>
          </w:tcPr>
          <w:p>
            <w:pPr>
              <w:spacing w:after="0"/>
              <w:rPr>
                <w:sz w:val="20"/>
                <w:szCs w:val="20"/>
                <w:color w:val="auto"/>
              </w:rPr>
            </w:pPr>
            <w:r>
              <w:rPr>
                <w:rFonts w:ascii="Arial" w:cs="Arial" w:eastAsia="Arial" w:hAnsi="Arial"/>
                <w:sz w:val="14"/>
                <w:szCs w:val="14"/>
                <w:color w:val="auto"/>
              </w:rPr>
              <w:t>comprehensive loss</w:t>
            </w:r>
          </w:p>
        </w:tc>
        <w:tc>
          <w:tcPr>
            <w:tcW w:w="1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700" w:type="dxa"/>
            <w:vAlign w:val="bottom"/>
            <w:gridSpan w:val="2"/>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240" w:type="dxa"/>
            <w:vAlign w:val="bottom"/>
            <w:tcBorders>
              <w:right w:val="single" w:sz="8" w:color="CCEEFF"/>
            </w:tcBorders>
            <w:shd w:val="clear" w:color="auto" w:fill="CCEEFF"/>
          </w:tcPr>
          <w:p>
            <w:pPr>
              <w:spacing w:after="0"/>
              <w:rPr>
                <w:sz w:val="14"/>
                <w:szCs w:val="14"/>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(5,194)</w:t>
            </w:r>
          </w:p>
        </w:tc>
        <w:tc>
          <w:tcPr>
            <w:tcW w:w="220" w:type="dxa"/>
            <w:vAlign w:val="bottom"/>
            <w:tcBorders>
              <w:right w:val="single" w:sz="8" w:color="CCEEFF"/>
            </w:tcBorders>
            <w:shd w:val="clear" w:color="auto" w:fill="CCEEFF"/>
          </w:tcPr>
          <w:p>
            <w:pPr>
              <w:spacing w:after="0"/>
              <w:rPr>
                <w:sz w:val="14"/>
                <w:szCs w:val="14"/>
                <w:color w:val="auto"/>
              </w:rPr>
            </w:pPr>
          </w:p>
        </w:tc>
        <w:tc>
          <w:tcPr>
            <w:tcW w:w="5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260" w:type="dxa"/>
            <w:vAlign w:val="bottom"/>
            <w:tcBorders>
              <w:right w:val="single" w:sz="8" w:color="CCEEFF"/>
            </w:tcBorders>
            <w:shd w:val="clear" w:color="auto" w:fill="CCEEFF"/>
          </w:tcPr>
          <w:p>
            <w:pPr>
              <w:spacing w:after="0"/>
              <w:rPr>
                <w:sz w:val="14"/>
                <w:szCs w:val="14"/>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709</w:t>
            </w:r>
          </w:p>
        </w:tc>
        <w:tc>
          <w:tcPr>
            <w:tcW w:w="140" w:type="dxa"/>
            <w:vAlign w:val="bottom"/>
            <w:tcBorders>
              <w:right w:val="single" w:sz="8" w:color="CCEEFF"/>
            </w:tcBorders>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8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(4,485)</w:t>
            </w:r>
          </w:p>
        </w:tc>
        <w:tc>
          <w:tcPr>
            <w:tcW w:w="0" w:type="dxa"/>
            <w:vAlign w:val="bottom"/>
          </w:tcPr>
          <w:p>
            <w:pPr>
              <w:spacing w:after="0"/>
              <w:rPr>
                <w:sz w:val="1"/>
                <w:szCs w:val="1"/>
                <w:color w:val="auto"/>
              </w:rPr>
            </w:pPr>
          </w:p>
        </w:tc>
      </w:tr>
      <w:tr>
        <w:trPr>
          <w:trHeight w:val="203"/>
        </w:trPr>
        <w:tc>
          <w:tcPr>
            <w:tcW w:w="1680" w:type="dxa"/>
            <w:vAlign w:val="bottom"/>
            <w:gridSpan w:val="2"/>
          </w:tcPr>
          <w:p>
            <w:pPr>
              <w:spacing w:after="0"/>
              <w:rPr>
                <w:sz w:val="20"/>
                <w:szCs w:val="20"/>
                <w:color w:val="auto"/>
              </w:rPr>
            </w:pPr>
            <w:r>
              <w:rPr>
                <w:rFonts w:ascii="Arial" w:cs="Arial" w:eastAsia="Arial" w:hAnsi="Arial"/>
                <w:sz w:val="14"/>
                <w:szCs w:val="14"/>
                <w:color w:val="auto"/>
              </w:rPr>
              <w:t>Tax benefit (expense)</w:t>
            </w: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00" w:type="dxa"/>
            <w:vAlign w:val="bottom"/>
            <w:gridSpan w:val="2"/>
          </w:tcPr>
          <w:p>
            <w:pPr>
              <w:jc w:val="right"/>
              <w:ind w:right="48"/>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(451)</w:t>
            </w:r>
          </w:p>
        </w:tc>
        <w:tc>
          <w:tcPr>
            <w:tcW w:w="220" w:type="dxa"/>
            <w:vAlign w:val="bottom"/>
          </w:tcPr>
          <w:p>
            <w:pPr>
              <w:spacing w:after="0"/>
              <w:rPr>
                <w:sz w:val="17"/>
                <w:szCs w:val="17"/>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(19)</w:t>
            </w:r>
          </w:p>
        </w:tc>
        <w:tc>
          <w:tcPr>
            <w:tcW w:w="26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5,727</w:t>
            </w: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5,257</w:t>
            </w:r>
          </w:p>
        </w:tc>
        <w:tc>
          <w:tcPr>
            <w:tcW w:w="0" w:type="dxa"/>
            <w:vAlign w:val="bottom"/>
          </w:tcPr>
          <w:p>
            <w:pPr>
              <w:spacing w:after="0"/>
              <w:rPr>
                <w:sz w:val="1"/>
                <w:szCs w:val="1"/>
                <w:color w:val="auto"/>
              </w:rPr>
            </w:pPr>
          </w:p>
        </w:tc>
      </w:tr>
      <w:tr>
        <w:trPr>
          <w:trHeight w:val="110"/>
        </w:trPr>
        <w:tc>
          <w:tcPr>
            <w:tcW w:w="20" w:type="dxa"/>
            <w:vAlign w:val="bottom"/>
          </w:tcPr>
          <w:p>
            <w:pPr>
              <w:spacing w:after="0"/>
              <w:rPr>
                <w:sz w:val="9"/>
                <w:szCs w:val="9"/>
                <w:color w:val="auto"/>
              </w:rPr>
            </w:pPr>
          </w:p>
        </w:tc>
        <w:tc>
          <w:tcPr>
            <w:tcW w:w="1660" w:type="dxa"/>
            <w:vAlign w:val="bottom"/>
            <w:tcBorders>
              <w:top w:val="single" w:sz="8" w:color="CCEEFF"/>
            </w:tcBorders>
            <w:shd w:val="clear" w:color="auto" w:fill="CCEEFF"/>
          </w:tcPr>
          <w:p>
            <w:pPr>
              <w:spacing w:after="0" w:line="110" w:lineRule="exact"/>
              <w:rPr>
                <w:sz w:val="20"/>
                <w:szCs w:val="20"/>
                <w:color w:val="auto"/>
              </w:rPr>
            </w:pPr>
            <w:r>
              <w:rPr>
                <w:rFonts w:ascii="Arial" w:cs="Arial" w:eastAsia="Arial" w:hAnsi="Arial"/>
                <w:sz w:val="12"/>
                <w:szCs w:val="12"/>
                <w:color w:val="auto"/>
              </w:rPr>
              <w:t>Balances at</w:t>
            </w:r>
          </w:p>
        </w:tc>
        <w:tc>
          <w:tcPr>
            <w:tcW w:w="140" w:type="dxa"/>
            <w:vAlign w:val="bottom"/>
            <w:tcBorders>
              <w:top w:val="single" w:sz="8" w:color="CCEEFF"/>
            </w:tcBorders>
            <w:shd w:val="clear" w:color="auto" w:fill="CCEEFF"/>
          </w:tcPr>
          <w:p>
            <w:pPr>
              <w:spacing w:after="0"/>
              <w:rPr>
                <w:sz w:val="9"/>
                <w:szCs w:val="9"/>
                <w:color w:val="auto"/>
              </w:rPr>
            </w:pPr>
          </w:p>
        </w:tc>
        <w:tc>
          <w:tcPr>
            <w:tcW w:w="80" w:type="dxa"/>
            <w:vAlign w:val="bottom"/>
            <w:tcBorders>
              <w:top w:val="single" w:sz="8" w:color="CCEEFF"/>
            </w:tcBorders>
            <w:shd w:val="clear" w:color="auto" w:fill="CCEEFF"/>
          </w:tcPr>
          <w:p>
            <w:pPr>
              <w:spacing w:after="0"/>
              <w:rPr>
                <w:sz w:val="9"/>
                <w:szCs w:val="9"/>
                <w:color w:val="auto"/>
              </w:rPr>
            </w:pPr>
          </w:p>
        </w:tc>
        <w:tc>
          <w:tcPr>
            <w:tcW w:w="20" w:type="dxa"/>
            <w:vAlign w:val="bottom"/>
            <w:tcBorders>
              <w:top w:val="single" w:sz="8" w:color="CCEEFF"/>
            </w:tcBorders>
            <w:shd w:val="clear" w:color="auto" w:fill="CCEEFF"/>
          </w:tcPr>
          <w:p>
            <w:pPr>
              <w:spacing w:after="0"/>
              <w:rPr>
                <w:sz w:val="9"/>
                <w:szCs w:val="9"/>
                <w:color w:val="auto"/>
              </w:rPr>
            </w:pPr>
          </w:p>
        </w:tc>
        <w:tc>
          <w:tcPr>
            <w:tcW w:w="680" w:type="dxa"/>
            <w:vAlign w:val="bottom"/>
            <w:tcBorders>
              <w:top w:val="single" w:sz="8" w:color="auto"/>
            </w:tcBorders>
            <w:shd w:val="clear" w:color="auto" w:fill="CCEEFF"/>
          </w:tcPr>
          <w:p>
            <w:pPr>
              <w:spacing w:after="0"/>
              <w:rPr>
                <w:sz w:val="9"/>
                <w:szCs w:val="9"/>
                <w:color w:val="auto"/>
              </w:rPr>
            </w:pPr>
          </w:p>
        </w:tc>
        <w:tc>
          <w:tcPr>
            <w:tcW w:w="240" w:type="dxa"/>
            <w:vAlign w:val="bottom"/>
            <w:tcBorders>
              <w:top w:val="single" w:sz="8" w:color="CCEEFF"/>
              <w:right w:val="single" w:sz="8" w:color="CCEEFF"/>
            </w:tcBorders>
            <w:shd w:val="clear" w:color="auto" w:fill="CCEEFF"/>
          </w:tcPr>
          <w:p>
            <w:pPr>
              <w:spacing w:after="0"/>
              <w:rPr>
                <w:sz w:val="9"/>
                <w:szCs w:val="9"/>
                <w:color w:val="auto"/>
              </w:rPr>
            </w:pPr>
          </w:p>
        </w:tc>
        <w:tc>
          <w:tcPr>
            <w:tcW w:w="720" w:type="dxa"/>
            <w:vAlign w:val="bottom"/>
            <w:tcBorders>
              <w:top w:val="single" w:sz="8" w:color="auto"/>
            </w:tcBorders>
            <w:shd w:val="clear" w:color="auto" w:fill="CCEEFF"/>
          </w:tcPr>
          <w:p>
            <w:pPr>
              <w:spacing w:after="0"/>
              <w:rPr>
                <w:sz w:val="9"/>
                <w:szCs w:val="9"/>
                <w:color w:val="auto"/>
              </w:rPr>
            </w:pPr>
          </w:p>
        </w:tc>
        <w:tc>
          <w:tcPr>
            <w:tcW w:w="220" w:type="dxa"/>
            <w:vAlign w:val="bottom"/>
            <w:tcBorders>
              <w:top w:val="single" w:sz="8" w:color="CCEEFF"/>
              <w:right w:val="single" w:sz="8" w:color="CCEEFF"/>
            </w:tcBorders>
            <w:shd w:val="clear" w:color="auto" w:fill="CCEEFF"/>
          </w:tcPr>
          <w:p>
            <w:pPr>
              <w:spacing w:after="0"/>
              <w:rPr>
                <w:sz w:val="9"/>
                <w:szCs w:val="9"/>
                <w:color w:val="auto"/>
              </w:rPr>
            </w:pPr>
          </w:p>
        </w:tc>
        <w:tc>
          <w:tcPr>
            <w:tcW w:w="560" w:type="dxa"/>
            <w:vAlign w:val="bottom"/>
            <w:tcBorders>
              <w:top w:val="single" w:sz="8" w:color="auto"/>
            </w:tcBorders>
            <w:shd w:val="clear" w:color="auto" w:fill="CCEEFF"/>
          </w:tcPr>
          <w:p>
            <w:pPr>
              <w:spacing w:after="0"/>
              <w:rPr>
                <w:sz w:val="9"/>
                <w:szCs w:val="9"/>
                <w:color w:val="auto"/>
              </w:rPr>
            </w:pPr>
          </w:p>
        </w:tc>
        <w:tc>
          <w:tcPr>
            <w:tcW w:w="260" w:type="dxa"/>
            <w:vAlign w:val="bottom"/>
            <w:tcBorders>
              <w:top w:val="single" w:sz="8" w:color="CCEEFF"/>
              <w:right w:val="single" w:sz="8" w:color="CCEEFF"/>
            </w:tcBorders>
            <w:shd w:val="clear" w:color="auto" w:fill="CCEEFF"/>
          </w:tcPr>
          <w:p>
            <w:pPr>
              <w:spacing w:after="0"/>
              <w:rPr>
                <w:sz w:val="9"/>
                <w:szCs w:val="9"/>
                <w:color w:val="auto"/>
              </w:rPr>
            </w:pPr>
          </w:p>
        </w:tc>
        <w:tc>
          <w:tcPr>
            <w:tcW w:w="800" w:type="dxa"/>
            <w:vAlign w:val="bottom"/>
            <w:tcBorders>
              <w:top w:val="single" w:sz="8" w:color="auto"/>
            </w:tcBorders>
            <w:shd w:val="clear" w:color="auto" w:fill="CCEEFF"/>
          </w:tcPr>
          <w:p>
            <w:pPr>
              <w:spacing w:after="0"/>
              <w:rPr>
                <w:sz w:val="9"/>
                <w:szCs w:val="9"/>
                <w:color w:val="auto"/>
              </w:rPr>
            </w:pPr>
          </w:p>
        </w:tc>
        <w:tc>
          <w:tcPr>
            <w:tcW w:w="140" w:type="dxa"/>
            <w:vAlign w:val="bottom"/>
            <w:tcBorders>
              <w:top w:val="single" w:sz="8" w:color="CCEEFF"/>
              <w:right w:val="single" w:sz="8" w:color="CCEEFF"/>
            </w:tcBorders>
            <w:shd w:val="clear" w:color="auto" w:fill="CCEEFF"/>
          </w:tcPr>
          <w:p>
            <w:pPr>
              <w:spacing w:after="0"/>
              <w:rPr>
                <w:sz w:val="9"/>
                <w:szCs w:val="9"/>
                <w:color w:val="auto"/>
              </w:rPr>
            </w:pPr>
          </w:p>
        </w:tc>
        <w:tc>
          <w:tcPr>
            <w:tcW w:w="120" w:type="dxa"/>
            <w:vAlign w:val="bottom"/>
            <w:tcBorders>
              <w:top w:val="single" w:sz="8" w:color="CCEEFF"/>
            </w:tcBorders>
            <w:shd w:val="clear" w:color="auto" w:fill="CCEEFF"/>
          </w:tcPr>
          <w:p>
            <w:pPr>
              <w:spacing w:after="0"/>
              <w:rPr>
                <w:sz w:val="9"/>
                <w:szCs w:val="9"/>
                <w:color w:val="auto"/>
              </w:rPr>
            </w:pPr>
          </w:p>
        </w:tc>
        <w:tc>
          <w:tcPr>
            <w:tcW w:w="880" w:type="dxa"/>
            <w:vAlign w:val="bottom"/>
            <w:tcBorders>
              <w:top w:val="single" w:sz="8" w:color="auto"/>
              <w:right w:val="single" w:sz="8" w:color="CCEEFF"/>
            </w:tcBorders>
            <w:shd w:val="clear" w:color="auto" w:fill="CCEEFF"/>
          </w:tcPr>
          <w:p>
            <w:pPr>
              <w:spacing w:after="0"/>
              <w:rPr>
                <w:sz w:val="9"/>
                <w:szCs w:val="9"/>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1660" w:type="dxa"/>
            <w:vAlign w:val="bottom"/>
            <w:shd w:val="clear" w:color="auto" w:fill="CCEEFF"/>
          </w:tcPr>
          <w:p>
            <w:pPr>
              <w:spacing w:after="0"/>
              <w:rPr>
                <w:sz w:val="20"/>
                <w:szCs w:val="20"/>
                <w:color w:val="auto"/>
              </w:rPr>
            </w:pPr>
            <w:r>
              <w:rPr>
                <w:rFonts w:ascii="Arial" w:cs="Arial" w:eastAsia="Arial" w:hAnsi="Arial"/>
                <w:sz w:val="14"/>
                <w:szCs w:val="14"/>
                <w:color w:val="auto"/>
              </w:rPr>
              <w:t>December 31, 2016</w:t>
            </w:r>
          </w:p>
        </w:tc>
        <w:tc>
          <w:tcPr>
            <w:tcW w:w="220" w:type="dxa"/>
            <w:vAlign w:val="bottom"/>
            <w:gridSpan w:val="2"/>
            <w:shd w:val="clear" w:color="auto" w:fill="CCEEFF"/>
          </w:tcPr>
          <w:p>
            <w:pPr>
              <w:ind w:left="140"/>
              <w:spacing w:after="0"/>
              <w:rPr>
                <w:sz w:val="20"/>
                <w:szCs w:val="20"/>
                <w:color w:val="auto"/>
              </w:rPr>
            </w:pPr>
            <w:r>
              <w:rPr>
                <w:rFonts w:ascii="Arial" w:cs="Arial" w:eastAsia="Arial" w:hAnsi="Arial"/>
                <w:sz w:val="14"/>
                <w:szCs w:val="14"/>
                <w:color w:val="auto"/>
                <w:w w:val="76"/>
              </w:rPr>
              <w:t>$</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(84,675)</w:t>
            </w:r>
          </w:p>
        </w:tc>
        <w:tc>
          <w:tcPr>
            <w:tcW w:w="2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10,535</w:t>
            </w:r>
          </w:p>
        </w:tc>
        <w:tc>
          <w:tcPr>
            <w:tcW w:w="22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1,536</w:t>
            </w:r>
          </w:p>
        </w:tc>
        <w:tc>
          <w:tcPr>
            <w:tcW w:w="260" w:type="dxa"/>
            <w:vAlign w:val="bottom"/>
            <w:tcBorders>
              <w:right w:val="single" w:sz="8" w:color="CCEEFF"/>
            </w:tcBorders>
            <w:shd w:val="clear" w:color="auto" w:fill="CCEEFF"/>
          </w:tcPr>
          <w:p>
            <w:pPr>
              <w:ind w:left="160"/>
              <w:spacing w:after="0"/>
              <w:rPr>
                <w:sz w:val="20"/>
                <w:szCs w:val="20"/>
                <w:color w:val="auto"/>
              </w:rPr>
            </w:pPr>
            <w:r>
              <w:rPr>
                <w:rFonts w:ascii="Arial" w:cs="Arial" w:eastAsia="Arial" w:hAnsi="Arial"/>
                <w:sz w:val="14"/>
                <w:szCs w:val="14"/>
                <w:color w:val="auto"/>
                <w:w w:val="76"/>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(18,230)</w:t>
            </w:r>
          </w:p>
        </w:tc>
        <w:tc>
          <w:tcPr>
            <w:tcW w:w="140" w:type="dxa"/>
            <w:vAlign w:val="bottom"/>
            <w:tcBorders>
              <w:right w:val="single" w:sz="8" w:color="CCEEFF"/>
            </w:tcBorders>
            <w:shd w:val="clear" w:color="auto" w:fill="CCEEFF"/>
          </w:tcPr>
          <w:p>
            <w:pPr>
              <w:spacing w:after="0"/>
              <w:rPr>
                <w:sz w:val="14"/>
                <w:szCs w:val="14"/>
                <w:color w:val="auto"/>
              </w:rPr>
            </w:pPr>
          </w:p>
        </w:tc>
        <w:tc>
          <w:tcPr>
            <w:tcW w:w="120" w:type="dxa"/>
            <w:vAlign w:val="bottom"/>
            <w:shd w:val="clear" w:color="auto" w:fill="CCEEFF"/>
          </w:tcPr>
          <w:p>
            <w:pPr>
              <w:spacing w:after="0"/>
              <w:rPr>
                <w:sz w:val="20"/>
                <w:szCs w:val="20"/>
                <w:color w:val="auto"/>
              </w:rPr>
            </w:pPr>
            <w:r>
              <w:rPr>
                <w:rFonts w:ascii="Arial" w:cs="Arial" w:eastAsia="Arial" w:hAnsi="Arial"/>
                <w:sz w:val="14"/>
                <w:szCs w:val="14"/>
                <w:color w:val="auto"/>
              </w:rPr>
              <w:t>$</w:t>
            </w:r>
          </w:p>
        </w:tc>
        <w:tc>
          <w:tcPr>
            <w:tcW w:w="88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(90,834)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1660" w:type="dxa"/>
            <w:vAlign w:val="bottom"/>
          </w:tcPr>
          <w:p>
            <w:pPr>
              <w:spacing w:after="0" w:line="130" w:lineRule="exact"/>
              <w:rPr>
                <w:sz w:val="20"/>
                <w:szCs w:val="20"/>
                <w:color w:val="auto"/>
              </w:rPr>
            </w:pPr>
            <w:r>
              <w:rPr>
                <w:rFonts w:ascii="Arial" w:cs="Arial" w:eastAsia="Arial" w:hAnsi="Arial"/>
                <w:sz w:val="14"/>
                <w:szCs w:val="14"/>
                <w:color w:val="auto"/>
              </w:rPr>
              <w:t>Other comprehensive</w:t>
            </w: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1680" w:type="dxa"/>
            <w:vAlign w:val="bottom"/>
            <w:gridSpan w:val="2"/>
          </w:tcPr>
          <w:p>
            <w:pPr>
              <w:spacing w:after="0" w:line="149" w:lineRule="exact"/>
              <w:rPr>
                <w:sz w:val="20"/>
                <w:szCs w:val="20"/>
                <w:color w:val="auto"/>
              </w:rPr>
            </w:pPr>
            <w:r>
              <w:rPr>
                <w:rFonts w:ascii="Arial" w:cs="Arial" w:eastAsia="Arial" w:hAnsi="Arial"/>
                <w:sz w:val="14"/>
                <w:szCs w:val="14"/>
                <w:color w:val="auto"/>
              </w:rPr>
              <w:t>income (loss) before</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1680" w:type="dxa"/>
            <w:vAlign w:val="bottom"/>
            <w:gridSpan w:val="2"/>
          </w:tcPr>
          <w:p>
            <w:pPr>
              <w:spacing w:after="0"/>
              <w:rPr>
                <w:sz w:val="20"/>
                <w:szCs w:val="20"/>
                <w:color w:val="auto"/>
              </w:rPr>
            </w:pPr>
            <w:r>
              <w:rPr>
                <w:rFonts w:ascii="Arial" w:cs="Arial" w:eastAsia="Arial" w:hAnsi="Arial"/>
                <w:sz w:val="14"/>
                <w:szCs w:val="14"/>
                <w:color w:val="auto"/>
              </w:rPr>
              <w:t>reclassifications</w:t>
            </w: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00" w:type="dxa"/>
            <w:vAlign w:val="bottom"/>
            <w:gridSpan w:val="2"/>
          </w:tcPr>
          <w:p>
            <w:pPr>
              <w:jc w:val="right"/>
              <w:spacing w:after="0"/>
              <w:rPr>
                <w:sz w:val="20"/>
                <w:szCs w:val="20"/>
                <w:color w:val="auto"/>
              </w:rPr>
            </w:pPr>
            <w:r>
              <w:rPr>
                <w:rFonts w:ascii="Arial" w:cs="Arial" w:eastAsia="Arial" w:hAnsi="Arial"/>
                <w:sz w:val="14"/>
                <w:szCs w:val="14"/>
                <w:color w:val="auto"/>
              </w:rPr>
              <w:t>26,964</w:t>
            </w:r>
          </w:p>
        </w:tc>
        <w:tc>
          <w:tcPr>
            <w:tcW w:w="240" w:type="dxa"/>
            <w:vAlign w:val="bottom"/>
          </w:tcPr>
          <w:p>
            <w:pPr>
              <w:spacing w:after="0"/>
              <w:rPr>
                <w:sz w:val="14"/>
                <w:szCs w:val="14"/>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(15,558)</w:t>
            </w:r>
          </w:p>
        </w:tc>
        <w:tc>
          <w:tcPr>
            <w:tcW w:w="22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150</w:t>
            </w:r>
          </w:p>
        </w:tc>
        <w:tc>
          <w:tcPr>
            <w:tcW w:w="26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(9,870)</w:t>
            </w:r>
          </w:p>
        </w:tc>
        <w:tc>
          <w:tcPr>
            <w:tcW w:w="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1,686</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1660" w:type="dxa"/>
            <w:vAlign w:val="bottom"/>
            <w:shd w:val="clear" w:color="auto" w:fill="CCEEFF"/>
          </w:tcPr>
          <w:p>
            <w:pPr>
              <w:spacing w:after="0" w:line="130" w:lineRule="exact"/>
              <w:rPr>
                <w:sz w:val="20"/>
                <w:szCs w:val="20"/>
                <w:color w:val="auto"/>
              </w:rPr>
            </w:pPr>
            <w:r>
              <w:rPr>
                <w:rFonts w:ascii="Arial" w:cs="Arial" w:eastAsia="Arial" w:hAnsi="Arial"/>
                <w:sz w:val="14"/>
                <w:szCs w:val="14"/>
                <w:color w:val="auto"/>
              </w:rPr>
              <w:t>Amounts reclassified from</w:t>
            </w: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240" w:type="dxa"/>
            <w:vAlign w:val="bottom"/>
            <w:tcBorders>
              <w:right w:val="single" w:sz="8" w:color="CCEEFF"/>
            </w:tcBorders>
            <w:shd w:val="clear" w:color="auto" w:fill="CCEEFF"/>
          </w:tcPr>
          <w:p>
            <w:pPr>
              <w:spacing w:after="0"/>
              <w:rPr>
                <w:sz w:val="11"/>
                <w:szCs w:val="11"/>
                <w:color w:val="auto"/>
              </w:rPr>
            </w:pPr>
          </w:p>
        </w:tc>
        <w:tc>
          <w:tcPr>
            <w:tcW w:w="720" w:type="dxa"/>
            <w:vAlign w:val="bottom"/>
            <w:shd w:val="clear" w:color="auto" w:fill="CCEEFF"/>
          </w:tcPr>
          <w:p>
            <w:pPr>
              <w:spacing w:after="0"/>
              <w:rPr>
                <w:sz w:val="11"/>
                <w:szCs w:val="11"/>
                <w:color w:val="auto"/>
              </w:rPr>
            </w:pPr>
          </w:p>
        </w:tc>
        <w:tc>
          <w:tcPr>
            <w:tcW w:w="220" w:type="dxa"/>
            <w:vAlign w:val="bottom"/>
            <w:tcBorders>
              <w:right w:val="single" w:sz="8" w:color="CCEEFF"/>
            </w:tcBorders>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260" w:type="dxa"/>
            <w:vAlign w:val="bottom"/>
            <w:tcBorders>
              <w:right w:val="single" w:sz="8" w:color="CCEEFF"/>
            </w:tcBorders>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140" w:type="dxa"/>
            <w:vAlign w:val="bottom"/>
            <w:tcBorders>
              <w:right w:val="single" w:sz="8" w:color="CCEEFF"/>
            </w:tcBorders>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880" w:type="dxa"/>
            <w:vAlign w:val="bottom"/>
            <w:tcBorders>
              <w:right w:val="single" w:sz="8" w:color="CCEEFF"/>
            </w:tcBorders>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accumulated other</w:t>
            </w:r>
          </w:p>
        </w:tc>
        <w:tc>
          <w:tcPr>
            <w:tcW w:w="1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240" w:type="dxa"/>
            <w:vAlign w:val="bottom"/>
            <w:tcBorders>
              <w:right w:val="single" w:sz="8" w:color="CCEEFF"/>
            </w:tcBorders>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220" w:type="dxa"/>
            <w:vAlign w:val="bottom"/>
            <w:tcBorders>
              <w:right w:val="single" w:sz="8" w:color="CCEEFF"/>
            </w:tcBorders>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260" w:type="dxa"/>
            <w:vAlign w:val="bottom"/>
            <w:tcBorders>
              <w:right w:val="single" w:sz="8" w:color="CCEEFF"/>
            </w:tcBorders>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40" w:type="dxa"/>
            <w:vAlign w:val="bottom"/>
            <w:tcBorders>
              <w:right w:val="single" w:sz="8" w:color="CCEEFF"/>
            </w:tcBorders>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80" w:type="dxa"/>
            <w:vAlign w:val="bottom"/>
            <w:tcBorders>
              <w:right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1660" w:type="dxa"/>
            <w:vAlign w:val="bottom"/>
            <w:shd w:val="clear" w:color="auto" w:fill="CCEEFF"/>
          </w:tcPr>
          <w:p>
            <w:pPr>
              <w:spacing w:after="0"/>
              <w:rPr>
                <w:sz w:val="20"/>
                <w:szCs w:val="20"/>
                <w:color w:val="auto"/>
              </w:rPr>
            </w:pPr>
            <w:r>
              <w:rPr>
                <w:rFonts w:ascii="Arial" w:cs="Arial" w:eastAsia="Arial" w:hAnsi="Arial"/>
                <w:sz w:val="14"/>
                <w:szCs w:val="14"/>
                <w:color w:val="auto"/>
              </w:rPr>
              <w:t>comprehensive loss</w:t>
            </w:r>
          </w:p>
        </w:tc>
        <w:tc>
          <w:tcPr>
            <w:tcW w:w="1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700" w:type="dxa"/>
            <w:vAlign w:val="bottom"/>
            <w:gridSpan w:val="2"/>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240" w:type="dxa"/>
            <w:vAlign w:val="bottom"/>
            <w:tcBorders>
              <w:right w:val="single" w:sz="8" w:color="CCEEFF"/>
            </w:tcBorders>
            <w:shd w:val="clear" w:color="auto" w:fill="CCEEFF"/>
          </w:tcPr>
          <w:p>
            <w:pPr>
              <w:spacing w:after="0"/>
              <w:rPr>
                <w:sz w:val="14"/>
                <w:szCs w:val="14"/>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(1,329)</w:t>
            </w:r>
          </w:p>
        </w:tc>
        <w:tc>
          <w:tcPr>
            <w:tcW w:w="220" w:type="dxa"/>
            <w:vAlign w:val="bottom"/>
            <w:tcBorders>
              <w:right w:val="single" w:sz="8" w:color="CCEEFF"/>
            </w:tcBorders>
            <w:shd w:val="clear" w:color="auto" w:fill="CCEEFF"/>
          </w:tcPr>
          <w:p>
            <w:pPr>
              <w:spacing w:after="0"/>
              <w:rPr>
                <w:sz w:val="14"/>
                <w:szCs w:val="14"/>
                <w:color w:val="auto"/>
              </w:rPr>
            </w:pPr>
          </w:p>
        </w:tc>
        <w:tc>
          <w:tcPr>
            <w:tcW w:w="5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260" w:type="dxa"/>
            <w:vAlign w:val="bottom"/>
            <w:tcBorders>
              <w:right w:val="single" w:sz="8" w:color="CCEEFF"/>
            </w:tcBorders>
            <w:shd w:val="clear" w:color="auto" w:fill="CCEEFF"/>
          </w:tcPr>
          <w:p>
            <w:pPr>
              <w:spacing w:after="0"/>
              <w:rPr>
                <w:sz w:val="14"/>
                <w:szCs w:val="14"/>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2,981</w:t>
            </w:r>
          </w:p>
        </w:tc>
        <w:tc>
          <w:tcPr>
            <w:tcW w:w="140" w:type="dxa"/>
            <w:vAlign w:val="bottom"/>
            <w:tcBorders>
              <w:right w:val="single" w:sz="8" w:color="CCEEFF"/>
            </w:tcBorders>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80" w:type="dxa"/>
            <w:vAlign w:val="bottom"/>
            <w:tcBorders>
              <w:right w:val="single" w:sz="8" w:color="CCEEFF"/>
            </w:tcBorders>
            <w:shd w:val="clear" w:color="auto" w:fill="CCEEFF"/>
          </w:tcPr>
          <w:p>
            <w:pPr>
              <w:jc w:val="right"/>
              <w:ind w:right="28"/>
              <w:spacing w:after="0"/>
              <w:rPr>
                <w:sz w:val="20"/>
                <w:szCs w:val="20"/>
                <w:color w:val="auto"/>
              </w:rPr>
            </w:pPr>
            <w:r>
              <w:rPr>
                <w:rFonts w:ascii="Arial" w:cs="Arial" w:eastAsia="Arial" w:hAnsi="Arial"/>
                <w:sz w:val="14"/>
                <w:szCs w:val="14"/>
                <w:color w:val="auto"/>
              </w:rPr>
              <w:t>1,652</w:t>
            </w:r>
          </w:p>
        </w:tc>
        <w:tc>
          <w:tcPr>
            <w:tcW w:w="0" w:type="dxa"/>
            <w:vAlign w:val="bottom"/>
          </w:tcPr>
          <w:p>
            <w:pPr>
              <w:spacing w:after="0"/>
              <w:rPr>
                <w:sz w:val="1"/>
                <w:szCs w:val="1"/>
                <w:color w:val="auto"/>
              </w:rPr>
            </w:pPr>
          </w:p>
        </w:tc>
      </w:tr>
      <w:tr>
        <w:trPr>
          <w:trHeight w:val="203"/>
        </w:trPr>
        <w:tc>
          <w:tcPr>
            <w:tcW w:w="1680" w:type="dxa"/>
            <w:vAlign w:val="bottom"/>
            <w:gridSpan w:val="2"/>
          </w:tcPr>
          <w:p>
            <w:pPr>
              <w:spacing w:after="0"/>
              <w:rPr>
                <w:sz w:val="20"/>
                <w:szCs w:val="20"/>
                <w:color w:val="auto"/>
              </w:rPr>
            </w:pPr>
            <w:r>
              <w:rPr>
                <w:rFonts w:ascii="Arial" w:cs="Arial" w:eastAsia="Arial" w:hAnsi="Arial"/>
                <w:sz w:val="14"/>
                <w:szCs w:val="14"/>
                <w:color w:val="auto"/>
              </w:rPr>
              <w:t>Tax benefit</w:t>
            </w: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00" w:type="dxa"/>
            <w:vAlign w:val="bottom"/>
            <w:gridSpan w:val="2"/>
          </w:tcPr>
          <w:p>
            <w:pPr>
              <w:jc w:val="right"/>
              <w:ind w:right="48"/>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4,072</w:t>
            </w:r>
          </w:p>
        </w:tc>
        <w:tc>
          <w:tcPr>
            <w:tcW w:w="220" w:type="dxa"/>
            <w:vAlign w:val="bottom"/>
          </w:tcPr>
          <w:p>
            <w:pPr>
              <w:spacing w:after="0"/>
              <w:rPr>
                <w:sz w:val="17"/>
                <w:szCs w:val="17"/>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35</w:t>
            </w:r>
          </w:p>
        </w:tc>
        <w:tc>
          <w:tcPr>
            <w:tcW w:w="26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1,698</w:t>
            </w: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5,805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660" w:type="dxa"/>
            <w:vAlign w:val="bottom"/>
            <w:vMerge w:val="restart"/>
            <w:shd w:val="clear" w:color="auto" w:fill="CCEEFF"/>
          </w:tcPr>
          <w:p>
            <w:pPr>
              <w:spacing w:after="0" w:line="130" w:lineRule="exact"/>
              <w:rPr>
                <w:sz w:val="20"/>
                <w:szCs w:val="20"/>
                <w:color w:val="auto"/>
              </w:rPr>
            </w:pPr>
            <w:r>
              <w:rPr>
                <w:rFonts w:ascii="Arial" w:cs="Arial" w:eastAsia="Arial" w:hAnsi="Arial"/>
                <w:sz w:val="14"/>
                <w:szCs w:val="14"/>
                <w:color w:val="auto"/>
              </w:rPr>
              <w:t>Balances at</w:t>
            </w:r>
          </w:p>
        </w:tc>
        <w:tc>
          <w:tcPr>
            <w:tcW w:w="14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40" w:type="dxa"/>
            <w:vAlign w:val="bottom"/>
            <w:tcBorders>
              <w:right w:val="single" w:sz="8" w:color="auto"/>
            </w:tcBorders>
            <w:shd w:val="clear" w:color="auto" w:fill="CCEEFF"/>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220" w:type="dxa"/>
            <w:vAlign w:val="bottom"/>
            <w:tcBorders>
              <w:right w:val="single" w:sz="8" w:color="auto"/>
            </w:tcBorders>
            <w:shd w:val="clear" w:color="auto" w:fill="CCEEFF"/>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60" w:type="dxa"/>
            <w:vAlign w:val="bottom"/>
            <w:tcBorders>
              <w:right w:val="single" w:sz="8" w:color="auto"/>
            </w:tcBorders>
            <w:shd w:val="clear" w:color="auto" w:fill="CCEEFF"/>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40" w:type="dxa"/>
            <w:vAlign w:val="bottom"/>
            <w:tcBorders>
              <w:right w:val="single" w:sz="8" w:color="CCEEFF"/>
            </w:tcBorders>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80" w:type="dxa"/>
            <w:vAlign w:val="bottom"/>
            <w:tcBorders>
              <w:right w:val="single" w:sz="8" w:color="CCEEFF"/>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0"/>
        </w:trPr>
        <w:tc>
          <w:tcPr>
            <w:tcW w:w="20" w:type="dxa"/>
            <w:vAlign w:val="bottom"/>
          </w:tcPr>
          <w:p>
            <w:pPr>
              <w:spacing w:after="0"/>
              <w:rPr>
                <w:sz w:val="9"/>
                <w:szCs w:val="9"/>
                <w:color w:val="auto"/>
              </w:rPr>
            </w:pPr>
          </w:p>
        </w:tc>
        <w:tc>
          <w:tcPr>
            <w:tcW w:w="1660" w:type="dxa"/>
            <w:vAlign w:val="bottom"/>
            <w:vMerge w:val="continue"/>
            <w:shd w:val="clear" w:color="auto" w:fill="CCEEFF"/>
          </w:tcPr>
          <w:p>
            <w:pPr>
              <w:spacing w:after="0"/>
              <w:rPr>
                <w:sz w:val="9"/>
                <w:szCs w:val="9"/>
                <w:color w:val="auto"/>
              </w:rPr>
            </w:pPr>
          </w:p>
        </w:tc>
        <w:tc>
          <w:tcPr>
            <w:tcW w:w="220" w:type="dxa"/>
            <w:vAlign w:val="bottom"/>
            <w:gridSpan w:val="2"/>
            <w:vMerge w:val="restart"/>
            <w:shd w:val="clear" w:color="auto" w:fill="CCEEFF"/>
          </w:tcPr>
          <w:p>
            <w:pPr>
              <w:ind w:left="140"/>
              <w:spacing w:after="0"/>
              <w:rPr>
                <w:sz w:val="20"/>
                <w:szCs w:val="20"/>
                <w:color w:val="auto"/>
              </w:rPr>
            </w:pPr>
            <w:r>
              <w:rPr>
                <w:rFonts w:ascii="Arial" w:cs="Arial" w:eastAsia="Arial" w:hAnsi="Arial"/>
                <w:sz w:val="14"/>
                <w:szCs w:val="14"/>
                <w:color w:val="auto"/>
                <w:w w:val="76"/>
              </w:rPr>
              <w:t>$</w:t>
            </w:r>
          </w:p>
        </w:tc>
        <w:tc>
          <w:tcPr>
            <w:tcW w:w="700" w:type="dxa"/>
            <w:vAlign w:val="bottom"/>
            <w:gridSpan w:val="2"/>
            <w:vMerge w:val="restart"/>
            <w:shd w:val="clear" w:color="auto" w:fill="CCEEFF"/>
          </w:tcPr>
          <w:p>
            <w:pPr>
              <w:jc w:val="right"/>
              <w:spacing w:after="0"/>
              <w:rPr>
                <w:sz w:val="20"/>
                <w:szCs w:val="20"/>
                <w:color w:val="auto"/>
              </w:rPr>
            </w:pPr>
            <w:r>
              <w:rPr>
                <w:rFonts w:ascii="Arial" w:cs="Arial" w:eastAsia="Arial" w:hAnsi="Arial"/>
                <w:sz w:val="14"/>
                <w:szCs w:val="14"/>
                <w:color w:val="auto"/>
              </w:rPr>
              <w:t>(57,711)</w:t>
            </w:r>
          </w:p>
        </w:tc>
        <w:tc>
          <w:tcPr>
            <w:tcW w:w="240" w:type="dxa"/>
            <w:vAlign w:val="bottom"/>
            <w:tcBorders>
              <w:right w:val="single" w:sz="8" w:color="CCEEFF"/>
            </w:tcBorders>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(2,280)</w:t>
            </w:r>
          </w:p>
        </w:tc>
        <w:tc>
          <w:tcPr>
            <w:tcW w:w="220" w:type="dxa"/>
            <w:vAlign w:val="bottom"/>
            <w:tcBorders>
              <w:right w:val="single" w:sz="8" w:color="CCEEFF"/>
            </w:tcBorders>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5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1,721</w:t>
            </w:r>
          </w:p>
        </w:tc>
        <w:tc>
          <w:tcPr>
            <w:tcW w:w="260" w:type="dxa"/>
            <w:vAlign w:val="bottom"/>
            <w:tcBorders>
              <w:right w:val="single" w:sz="8" w:color="CCEEFF"/>
            </w:tcBorders>
            <w:vMerge w:val="restart"/>
            <w:shd w:val="clear" w:color="auto" w:fill="CCEEFF"/>
          </w:tcPr>
          <w:p>
            <w:pPr>
              <w:ind w:left="160"/>
              <w:spacing w:after="0"/>
              <w:rPr>
                <w:sz w:val="20"/>
                <w:szCs w:val="20"/>
                <w:color w:val="auto"/>
              </w:rPr>
            </w:pPr>
            <w:r>
              <w:rPr>
                <w:rFonts w:ascii="Arial" w:cs="Arial" w:eastAsia="Arial" w:hAnsi="Arial"/>
                <w:sz w:val="14"/>
                <w:szCs w:val="14"/>
                <w:color w:val="auto"/>
                <w:w w:val="76"/>
              </w:rPr>
              <w:t>$</w:t>
            </w:r>
          </w:p>
        </w:tc>
        <w:tc>
          <w:tcPr>
            <w:tcW w:w="8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(23,421)</w:t>
            </w:r>
          </w:p>
        </w:tc>
        <w:tc>
          <w:tcPr>
            <w:tcW w:w="140" w:type="dxa"/>
            <w:vAlign w:val="bottom"/>
            <w:tcBorders>
              <w:right w:val="single" w:sz="8" w:color="CCEEFF"/>
            </w:tcBorders>
            <w:shd w:val="clear" w:color="auto" w:fill="CCEEFF"/>
          </w:tcPr>
          <w:p>
            <w:pPr>
              <w:spacing w:after="0"/>
              <w:rPr>
                <w:sz w:val="9"/>
                <w:szCs w:val="9"/>
                <w:color w:val="auto"/>
              </w:rPr>
            </w:pPr>
          </w:p>
        </w:tc>
        <w:tc>
          <w:tcPr>
            <w:tcW w:w="120" w:type="dxa"/>
            <w:vAlign w:val="bottom"/>
            <w:vMerge w:val="restart"/>
            <w:shd w:val="clear" w:color="auto" w:fill="CCEEFF"/>
          </w:tcPr>
          <w:p>
            <w:pPr>
              <w:spacing w:after="0"/>
              <w:rPr>
                <w:sz w:val="20"/>
                <w:szCs w:val="20"/>
                <w:color w:val="auto"/>
              </w:rPr>
            </w:pPr>
            <w:r>
              <w:rPr>
                <w:rFonts w:ascii="Arial" w:cs="Arial" w:eastAsia="Arial" w:hAnsi="Arial"/>
                <w:sz w:val="14"/>
                <w:szCs w:val="14"/>
                <w:color w:val="auto"/>
              </w:rPr>
              <w:t>$</w:t>
            </w:r>
          </w:p>
        </w:tc>
        <w:tc>
          <w:tcPr>
            <w:tcW w:w="880" w:type="dxa"/>
            <w:vAlign w:val="bottom"/>
            <w:tcBorders>
              <w:right w:val="single" w:sz="8" w:color="CCEEFF"/>
            </w:tcBorders>
            <w:vMerge w:val="restart"/>
            <w:shd w:val="clear" w:color="auto" w:fill="CCEEFF"/>
          </w:tcPr>
          <w:p>
            <w:pPr>
              <w:jc w:val="right"/>
              <w:spacing w:after="0"/>
              <w:rPr>
                <w:sz w:val="20"/>
                <w:szCs w:val="20"/>
                <w:color w:val="auto"/>
              </w:rPr>
            </w:pPr>
            <w:r>
              <w:rPr>
                <w:rFonts w:ascii="Arial" w:cs="Arial" w:eastAsia="Arial" w:hAnsi="Arial"/>
                <w:sz w:val="14"/>
                <w:szCs w:val="14"/>
                <w:color w:val="auto"/>
              </w:rPr>
              <w:t>(81,691)</w:t>
            </w: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1660" w:type="dxa"/>
            <w:vAlign w:val="bottom"/>
            <w:shd w:val="clear" w:color="auto" w:fill="CCEEFF"/>
          </w:tcPr>
          <w:p>
            <w:pPr>
              <w:spacing w:after="0" w:line="154" w:lineRule="exact"/>
              <w:rPr>
                <w:sz w:val="20"/>
                <w:szCs w:val="20"/>
                <w:color w:val="auto"/>
              </w:rPr>
            </w:pPr>
            <w:r>
              <w:rPr>
                <w:rFonts w:ascii="Arial" w:cs="Arial" w:eastAsia="Arial" w:hAnsi="Arial"/>
                <w:sz w:val="14"/>
                <w:szCs w:val="14"/>
                <w:color w:val="auto"/>
              </w:rPr>
              <w:t>December 31, 2017</w:t>
            </w:r>
          </w:p>
        </w:tc>
        <w:tc>
          <w:tcPr>
            <w:tcW w:w="220" w:type="dxa"/>
            <w:vAlign w:val="bottom"/>
            <w:gridSpan w:val="2"/>
            <w:vMerge w:val="continue"/>
            <w:shd w:val="clear" w:color="auto" w:fill="CCEEFF"/>
          </w:tcPr>
          <w:p>
            <w:pPr>
              <w:spacing w:after="0"/>
              <w:rPr>
                <w:sz w:val="13"/>
                <w:szCs w:val="13"/>
                <w:color w:val="auto"/>
              </w:rPr>
            </w:pPr>
          </w:p>
        </w:tc>
        <w:tc>
          <w:tcPr>
            <w:tcW w:w="700" w:type="dxa"/>
            <w:vAlign w:val="bottom"/>
            <w:gridSpan w:val="2"/>
            <w:vMerge w:val="continue"/>
            <w:shd w:val="clear" w:color="auto" w:fill="CCEEFF"/>
          </w:tcPr>
          <w:p>
            <w:pPr>
              <w:spacing w:after="0"/>
              <w:rPr>
                <w:sz w:val="13"/>
                <w:szCs w:val="13"/>
                <w:color w:val="auto"/>
              </w:rPr>
            </w:pPr>
          </w:p>
        </w:tc>
        <w:tc>
          <w:tcPr>
            <w:tcW w:w="240" w:type="dxa"/>
            <w:vAlign w:val="bottom"/>
            <w:tcBorders>
              <w:right w:val="single" w:sz="8" w:color="CCEEFF"/>
            </w:tcBorders>
            <w:vMerge w:val="continue"/>
            <w:shd w:val="clear" w:color="auto" w:fill="CCEEFF"/>
          </w:tcPr>
          <w:p>
            <w:pPr>
              <w:spacing w:after="0"/>
              <w:rPr>
                <w:sz w:val="13"/>
                <w:szCs w:val="13"/>
                <w:color w:val="auto"/>
              </w:rPr>
            </w:pPr>
          </w:p>
        </w:tc>
        <w:tc>
          <w:tcPr>
            <w:tcW w:w="720" w:type="dxa"/>
            <w:vAlign w:val="bottom"/>
            <w:vMerge w:val="continue"/>
            <w:shd w:val="clear" w:color="auto" w:fill="CCEEFF"/>
          </w:tcPr>
          <w:p>
            <w:pPr>
              <w:spacing w:after="0"/>
              <w:rPr>
                <w:sz w:val="13"/>
                <w:szCs w:val="13"/>
                <w:color w:val="auto"/>
              </w:rPr>
            </w:pPr>
          </w:p>
        </w:tc>
        <w:tc>
          <w:tcPr>
            <w:tcW w:w="220" w:type="dxa"/>
            <w:vAlign w:val="bottom"/>
            <w:tcBorders>
              <w:right w:val="single" w:sz="8" w:color="CCEEFF"/>
            </w:tcBorders>
            <w:vMerge w:val="continue"/>
            <w:shd w:val="clear" w:color="auto" w:fill="CCEEFF"/>
          </w:tcPr>
          <w:p>
            <w:pPr>
              <w:spacing w:after="0"/>
              <w:rPr>
                <w:sz w:val="13"/>
                <w:szCs w:val="13"/>
                <w:color w:val="auto"/>
              </w:rPr>
            </w:pPr>
          </w:p>
        </w:tc>
        <w:tc>
          <w:tcPr>
            <w:tcW w:w="560" w:type="dxa"/>
            <w:vAlign w:val="bottom"/>
            <w:vMerge w:val="continue"/>
            <w:shd w:val="clear" w:color="auto" w:fill="CCEEFF"/>
          </w:tcPr>
          <w:p>
            <w:pPr>
              <w:spacing w:after="0"/>
              <w:rPr>
                <w:sz w:val="13"/>
                <w:szCs w:val="13"/>
                <w:color w:val="auto"/>
              </w:rPr>
            </w:pPr>
          </w:p>
        </w:tc>
        <w:tc>
          <w:tcPr>
            <w:tcW w:w="260" w:type="dxa"/>
            <w:vAlign w:val="bottom"/>
            <w:tcBorders>
              <w:right w:val="single" w:sz="8" w:color="CCEEFF"/>
            </w:tcBorders>
            <w:vMerge w:val="continue"/>
            <w:shd w:val="clear" w:color="auto" w:fill="CCEEFF"/>
          </w:tcPr>
          <w:p>
            <w:pPr>
              <w:spacing w:after="0"/>
              <w:rPr>
                <w:sz w:val="13"/>
                <w:szCs w:val="13"/>
                <w:color w:val="auto"/>
              </w:rPr>
            </w:pPr>
          </w:p>
        </w:tc>
        <w:tc>
          <w:tcPr>
            <w:tcW w:w="800" w:type="dxa"/>
            <w:vAlign w:val="bottom"/>
            <w:vMerge w:val="continue"/>
            <w:shd w:val="clear" w:color="auto" w:fill="CCEEFF"/>
          </w:tcPr>
          <w:p>
            <w:pPr>
              <w:spacing w:after="0"/>
              <w:rPr>
                <w:sz w:val="13"/>
                <w:szCs w:val="13"/>
                <w:color w:val="auto"/>
              </w:rPr>
            </w:pPr>
          </w:p>
        </w:tc>
        <w:tc>
          <w:tcPr>
            <w:tcW w:w="140" w:type="dxa"/>
            <w:vAlign w:val="bottom"/>
            <w:tcBorders>
              <w:right w:val="single" w:sz="8" w:color="CCEEFF"/>
            </w:tcBorders>
            <w:shd w:val="clear" w:color="auto" w:fill="CCEEFF"/>
          </w:tcPr>
          <w:p>
            <w:pPr>
              <w:spacing w:after="0"/>
              <w:rPr>
                <w:sz w:val="13"/>
                <w:szCs w:val="13"/>
                <w:color w:val="auto"/>
              </w:rPr>
            </w:pPr>
          </w:p>
        </w:tc>
        <w:tc>
          <w:tcPr>
            <w:tcW w:w="120" w:type="dxa"/>
            <w:vAlign w:val="bottom"/>
            <w:vMerge w:val="continue"/>
            <w:shd w:val="clear" w:color="auto" w:fill="CCEEFF"/>
          </w:tcPr>
          <w:p>
            <w:pPr>
              <w:spacing w:after="0"/>
              <w:rPr>
                <w:sz w:val="13"/>
                <w:szCs w:val="13"/>
                <w:color w:val="auto"/>
              </w:rPr>
            </w:pPr>
          </w:p>
        </w:tc>
        <w:tc>
          <w:tcPr>
            <w:tcW w:w="880" w:type="dxa"/>
            <w:vAlign w:val="bottom"/>
            <w:tcBorders>
              <w:right w:val="single" w:sz="8" w:color="CCEEFF"/>
            </w:tcBorders>
            <w:vMerge w:val="continue"/>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660" w:type="dxa"/>
            <w:vAlign w:val="bottom"/>
            <w:shd w:val="clear" w:color="auto" w:fill="CCEEFF"/>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0" w:type="dxa"/>
            <w:vAlign w:val="bottom"/>
            <w:shd w:val="clear" w:color="auto" w:fill="000000"/>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240" w:type="dxa"/>
            <w:vAlign w:val="bottom"/>
            <w:tcBorders>
              <w:right w:val="single" w:sz="8" w:color="auto"/>
            </w:tcBorders>
            <w:shd w:val="clear" w:color="auto" w:fill="CCEEFF"/>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220" w:type="dxa"/>
            <w:vAlign w:val="bottom"/>
            <w:tcBorders>
              <w:right w:val="single" w:sz="8" w:color="auto"/>
            </w:tcBorders>
            <w:shd w:val="clear" w:color="auto" w:fill="CCEEFF"/>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260" w:type="dxa"/>
            <w:vAlign w:val="bottom"/>
            <w:tcBorders>
              <w:right w:val="single" w:sz="8" w:color="auto"/>
            </w:tcBorders>
            <w:shd w:val="clear" w:color="auto" w:fill="CCEEFF"/>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140" w:type="dxa"/>
            <w:vAlign w:val="bottom"/>
            <w:tcBorders>
              <w:right w:val="single" w:sz="8" w:color="CCEEFF"/>
            </w:tcBorders>
            <w:shd w:val="clear" w:color="auto" w:fill="CCEEFF"/>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880" w:type="dxa"/>
            <w:vAlign w:val="bottom"/>
            <w:tcBorders>
              <w:right w:val="single" w:sz="8" w:color="CCEEFF"/>
            </w:tcBorders>
            <w:shd w:val="clear" w:color="auto" w:fill="000000"/>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306"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19. Net Income per Common Share</w:t>
      </w:r>
    </w:p>
    <w:p>
      <w:pPr>
        <w:spacing w:after="0" w:line="229" w:lineRule="exact"/>
        <w:rPr>
          <w:sz w:val="20"/>
          <w:szCs w:val="20"/>
          <w:color w:val="auto"/>
        </w:rPr>
      </w:pPr>
    </w:p>
    <w:p>
      <w:pPr>
        <w:ind w:left="1240" w:right="1639" w:firstLine="648"/>
        <w:spacing w:after="0" w:line="277" w:lineRule="auto"/>
        <w:rPr>
          <w:sz w:val="20"/>
          <w:szCs w:val="20"/>
          <w:color w:val="auto"/>
        </w:rPr>
      </w:pPr>
      <w:r>
        <w:rPr>
          <w:rFonts w:ascii="Arial" w:cs="Arial" w:eastAsia="Arial" w:hAnsi="Arial"/>
          <w:sz w:val="18"/>
          <w:szCs w:val="18"/>
          <w:color w:val="auto"/>
        </w:rPr>
        <w:t>The following is a computation of basic and diluted net income per common share attributable to Acushnet Holdings Corp.:</w:t>
      </w:r>
    </w:p>
    <w:p>
      <w:pPr>
        <w:spacing w:after="0" w:line="189" w:lineRule="exact"/>
        <w:rPr>
          <w:sz w:val="20"/>
          <w:szCs w:val="20"/>
          <w:color w:val="auto"/>
        </w:rPr>
      </w:pPr>
    </w:p>
    <w:tbl>
      <w:tblPr>
        <w:tblLayout w:type="fixed"/>
        <w:tblInd w:w="1240" w:type="dxa"/>
        <w:tblCellMar>
          <w:top w:w="0" w:type="dxa"/>
          <w:left w:w="0" w:type="dxa"/>
          <w:bottom w:w="0" w:type="dxa"/>
          <w:right w:w="0" w:type="dxa"/>
        </w:tblCellMar>
      </w:tblPr>
      <w:tr>
        <w:trPr>
          <w:trHeight w:val="162"/>
        </w:trPr>
        <w:tc>
          <w:tcPr>
            <w:tcW w:w="20" w:type="dxa"/>
            <w:vAlign w:val="bottom"/>
          </w:tcPr>
          <w:p>
            <w:pPr>
              <w:spacing w:after="0"/>
              <w:rPr>
                <w:sz w:val="14"/>
                <w:szCs w:val="14"/>
                <w:color w:val="auto"/>
              </w:rPr>
            </w:pPr>
          </w:p>
        </w:tc>
        <w:tc>
          <w:tcPr>
            <w:tcW w:w="37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8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w w:val="92"/>
              </w:rPr>
              <w:t>Year ended</w:t>
            </w: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3800" w:type="dxa"/>
            <w:vAlign w:val="bottom"/>
            <w:gridSpan w:val="2"/>
            <w:vMerge w:val="restart"/>
          </w:tcPr>
          <w:p>
            <w:pPr>
              <w:spacing w:after="0"/>
              <w:rPr>
                <w:sz w:val="20"/>
                <w:szCs w:val="20"/>
                <w:color w:val="auto"/>
              </w:rPr>
            </w:pPr>
            <w:r>
              <w:rPr>
                <w:rFonts w:ascii="Arial" w:cs="Arial" w:eastAsia="Arial" w:hAnsi="Arial"/>
                <w:sz w:val="14"/>
                <w:szCs w:val="14"/>
                <w:b w:val="1"/>
                <w:bCs w:val="1"/>
                <w:i w:val="1"/>
                <w:iCs w:val="1"/>
                <w:color w:val="auto"/>
              </w:rPr>
              <w:t>(in thousands, except share and per share amounts)</w:t>
            </w:r>
          </w:p>
        </w:tc>
        <w:tc>
          <w:tcPr>
            <w:tcW w:w="12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92"/>
              </w:rPr>
              <w:t>December 31,</w:t>
            </w:r>
          </w:p>
        </w:tc>
        <w:tc>
          <w:tcPr>
            <w:tcW w:w="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3800" w:type="dxa"/>
            <w:vAlign w:val="bottom"/>
            <w:gridSpan w:val="2"/>
            <w:vMerge w:val="continue"/>
          </w:tcPr>
          <w:p>
            <w:pPr>
              <w:spacing w:after="0"/>
              <w:rPr>
                <w:sz w:val="13"/>
                <w:szCs w:val="13"/>
                <w:color w:val="auto"/>
              </w:rPr>
            </w:pPr>
          </w:p>
        </w:tc>
        <w:tc>
          <w:tcPr>
            <w:tcW w:w="12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720" w:type="dxa"/>
            <w:vAlign w:val="bottom"/>
            <w:tcBorders>
              <w:bottom w:val="single" w:sz="8" w:color="auto"/>
            </w:tcBorders>
          </w:tcPr>
          <w:p>
            <w:pPr>
              <w:jc w:val="right"/>
              <w:ind w:right="188"/>
              <w:spacing w:after="0" w:line="155" w:lineRule="exact"/>
              <w:rPr>
                <w:sz w:val="20"/>
                <w:szCs w:val="20"/>
                <w:color w:val="auto"/>
              </w:rPr>
            </w:pPr>
            <w:r>
              <w:rPr>
                <w:rFonts w:ascii="Arial" w:cs="Arial" w:eastAsia="Arial" w:hAnsi="Arial"/>
                <w:sz w:val="14"/>
                <w:szCs w:val="14"/>
                <w:b w:val="1"/>
                <w:bCs w:val="1"/>
                <w:color w:val="auto"/>
              </w:rPr>
              <w:t>2017</w:t>
            </w:r>
          </w:p>
        </w:tc>
        <w:tc>
          <w:tcPr>
            <w:tcW w:w="100" w:type="dxa"/>
            <w:vAlign w:val="bottom"/>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720" w:type="dxa"/>
            <w:vAlign w:val="bottom"/>
            <w:tcBorders>
              <w:bottom w:val="single" w:sz="8" w:color="auto"/>
            </w:tcBorders>
          </w:tcPr>
          <w:p>
            <w:pPr>
              <w:jc w:val="center"/>
              <w:ind w:right="8"/>
              <w:spacing w:after="0" w:line="155" w:lineRule="exact"/>
              <w:rPr>
                <w:sz w:val="20"/>
                <w:szCs w:val="20"/>
                <w:color w:val="auto"/>
              </w:rPr>
            </w:pPr>
            <w:r>
              <w:rPr>
                <w:rFonts w:ascii="Arial" w:cs="Arial" w:eastAsia="Arial" w:hAnsi="Arial"/>
                <w:sz w:val="14"/>
                <w:szCs w:val="14"/>
                <w:b w:val="1"/>
                <w:bCs w:val="1"/>
                <w:color w:val="auto"/>
                <w:w w:val="89"/>
              </w:rPr>
              <w:t>2016</w:t>
            </w: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720" w:type="dxa"/>
            <w:vAlign w:val="bottom"/>
            <w:tcBorders>
              <w:bottom w:val="single" w:sz="8" w:color="auto"/>
            </w:tcBorders>
          </w:tcPr>
          <w:p>
            <w:pPr>
              <w:jc w:val="right"/>
              <w:ind w:right="208"/>
              <w:spacing w:after="0" w:line="155" w:lineRule="exact"/>
              <w:rPr>
                <w:sz w:val="20"/>
                <w:szCs w:val="20"/>
                <w:color w:val="auto"/>
              </w:rPr>
            </w:pPr>
            <w:r>
              <w:rPr>
                <w:rFonts w:ascii="Arial" w:cs="Arial" w:eastAsia="Arial" w:hAnsi="Arial"/>
                <w:sz w:val="14"/>
                <w:szCs w:val="14"/>
                <w:b w:val="1"/>
                <w:bCs w:val="1"/>
                <w:color w:val="auto"/>
              </w:rPr>
              <w:t>2015</w:t>
            </w:r>
          </w:p>
        </w:tc>
        <w:tc>
          <w:tcPr>
            <w:tcW w:w="0" w:type="dxa"/>
            <w:vAlign w:val="bottom"/>
          </w:tcPr>
          <w:p>
            <w:pPr>
              <w:spacing w:after="0"/>
              <w:rPr>
                <w:sz w:val="1"/>
                <w:szCs w:val="1"/>
                <w:color w:val="auto"/>
              </w:rPr>
            </w:pPr>
          </w:p>
        </w:tc>
      </w:tr>
      <w:tr>
        <w:trPr>
          <w:trHeight w:val="156"/>
        </w:trPr>
        <w:tc>
          <w:tcPr>
            <w:tcW w:w="20" w:type="dxa"/>
            <w:vAlign w:val="bottom"/>
            <w:vMerge w:val="restart"/>
          </w:tcPr>
          <w:p>
            <w:pPr>
              <w:spacing w:after="0"/>
              <w:rPr>
                <w:sz w:val="13"/>
                <w:szCs w:val="13"/>
                <w:color w:val="auto"/>
              </w:rPr>
            </w:pPr>
          </w:p>
        </w:tc>
        <w:tc>
          <w:tcPr>
            <w:tcW w:w="37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20" w:type="dxa"/>
            <w:vAlign w:val="bottom"/>
            <w:vMerge w:val="continue"/>
          </w:tcPr>
          <w:p>
            <w:pPr>
              <w:spacing w:after="0"/>
              <w:rPr>
                <w:sz w:val="14"/>
                <w:szCs w:val="14"/>
                <w:color w:val="auto"/>
              </w:rPr>
            </w:pPr>
          </w:p>
        </w:tc>
        <w:tc>
          <w:tcPr>
            <w:tcW w:w="3780" w:type="dxa"/>
            <w:vAlign w:val="bottom"/>
            <w:shd w:val="clear" w:color="auto" w:fill="CCEEFF"/>
          </w:tcPr>
          <w:p>
            <w:pPr>
              <w:spacing w:after="0"/>
              <w:rPr>
                <w:sz w:val="20"/>
                <w:szCs w:val="20"/>
                <w:color w:val="auto"/>
              </w:rPr>
            </w:pPr>
            <w:r>
              <w:rPr>
                <w:rFonts w:ascii="Arial" w:cs="Arial" w:eastAsia="Arial" w:hAnsi="Arial"/>
                <w:sz w:val="14"/>
                <w:szCs w:val="14"/>
                <w:color w:val="auto"/>
              </w:rPr>
              <w:t>Net income (loss) attributable to Acushnet Holdings Corp.</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92,114</w:t>
            </w: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45,012</w:t>
            </w:r>
          </w:p>
        </w:tc>
        <w:tc>
          <w:tcPr>
            <w:tcW w:w="60" w:type="dxa"/>
            <w:vAlign w:val="bottom"/>
            <w:shd w:val="clear" w:color="auto" w:fill="CCEEFF"/>
          </w:tcPr>
          <w:p>
            <w:pPr>
              <w:spacing w:after="0"/>
              <w:rPr>
                <w:sz w:val="14"/>
                <w:szCs w:val="14"/>
                <w:color w:val="auto"/>
              </w:rPr>
            </w:pP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(966)</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3780" w:type="dxa"/>
            <w:vAlign w:val="bottom"/>
          </w:tcPr>
          <w:p>
            <w:pPr>
              <w:ind w:left="80"/>
              <w:spacing w:after="0"/>
              <w:rPr>
                <w:sz w:val="20"/>
                <w:szCs w:val="20"/>
                <w:color w:val="auto"/>
              </w:rPr>
            </w:pPr>
            <w:r>
              <w:rPr>
                <w:rFonts w:ascii="Arial" w:cs="Arial" w:eastAsia="Arial" w:hAnsi="Arial"/>
                <w:sz w:val="14"/>
                <w:szCs w:val="14"/>
                <w:color w:val="auto"/>
              </w:rPr>
              <w:t>Less: dividends earned by preferred shareholders</w:t>
            </w: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2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(11,576)</w:t>
            </w: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(13,785)</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3780" w:type="dxa"/>
            <w:vAlign w:val="bottom"/>
            <w:shd w:val="clear" w:color="auto" w:fill="CCEEFF"/>
          </w:tcPr>
          <w:p>
            <w:pPr>
              <w:ind w:left="80"/>
              <w:spacing w:after="0" w:line="130" w:lineRule="exact"/>
              <w:rPr>
                <w:sz w:val="20"/>
                <w:szCs w:val="20"/>
                <w:color w:val="auto"/>
              </w:rPr>
            </w:pPr>
            <w:r>
              <w:rPr>
                <w:rFonts w:ascii="Arial" w:cs="Arial" w:eastAsia="Arial" w:hAnsi="Arial"/>
                <w:sz w:val="14"/>
                <w:szCs w:val="14"/>
                <w:color w:val="auto"/>
              </w:rPr>
              <w:t>Less: allocation of undistributed earnings to preferred</w:t>
            </w:r>
          </w:p>
        </w:tc>
        <w:tc>
          <w:tcPr>
            <w:tcW w:w="1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72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2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3780" w:type="dxa"/>
            <w:vAlign w:val="bottom"/>
            <w:shd w:val="clear" w:color="auto" w:fill="CCEEFF"/>
          </w:tcPr>
          <w:p>
            <w:pPr>
              <w:ind w:left="80"/>
              <w:spacing w:after="0"/>
              <w:rPr>
                <w:sz w:val="20"/>
                <w:szCs w:val="20"/>
                <w:color w:val="auto"/>
              </w:rPr>
            </w:pPr>
            <w:r>
              <w:rPr>
                <w:rFonts w:ascii="Arial" w:cs="Arial" w:eastAsia="Arial" w:hAnsi="Arial"/>
                <w:sz w:val="14"/>
                <w:szCs w:val="14"/>
                <w:color w:val="auto"/>
              </w:rPr>
              <w:t>shareholders</w:t>
            </w:r>
          </w:p>
        </w:tc>
        <w:tc>
          <w:tcPr>
            <w:tcW w:w="120" w:type="dxa"/>
            <w:vAlign w:val="bottom"/>
            <w:shd w:val="clear" w:color="auto" w:fill="CCEEFF"/>
          </w:tcPr>
          <w:p>
            <w:pPr>
              <w:spacing w:after="0"/>
              <w:rPr>
                <w:sz w:val="14"/>
                <w:szCs w:val="14"/>
                <w:color w:val="auto"/>
              </w:rPr>
            </w:pPr>
          </w:p>
        </w:tc>
        <w:tc>
          <w:tcPr>
            <w:tcW w:w="80" w:type="dxa"/>
            <w:vAlign w:val="bottom"/>
            <w:tcBorders>
              <w:bottom w:val="single" w:sz="8" w:color="auto"/>
            </w:tcBorders>
            <w:shd w:val="clear" w:color="auto" w:fill="CCEEFF"/>
          </w:tcPr>
          <w:p>
            <w:pPr>
              <w:spacing w:after="0"/>
              <w:rPr>
                <w:sz w:val="14"/>
                <w:szCs w:val="14"/>
                <w:color w:val="auto"/>
              </w:rPr>
            </w:pPr>
          </w:p>
        </w:tc>
        <w:tc>
          <w:tcPr>
            <w:tcW w:w="72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4"/>
                <w:szCs w:val="14"/>
                <w:color w:val="auto"/>
              </w:rPr>
            </w:pPr>
          </w:p>
        </w:tc>
        <w:tc>
          <w:tcPr>
            <w:tcW w:w="60" w:type="dxa"/>
            <w:vAlign w:val="bottom"/>
            <w:tcBorders>
              <w:bottom w:val="single" w:sz="8" w:color="auto"/>
            </w:tcBorders>
            <w:shd w:val="clear" w:color="auto" w:fill="CCEEFF"/>
          </w:tcPr>
          <w:p>
            <w:pPr>
              <w:spacing w:after="0"/>
              <w:rPr>
                <w:sz w:val="14"/>
                <w:szCs w:val="14"/>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(10,247)</w:t>
            </w:r>
          </w:p>
        </w:tc>
        <w:tc>
          <w:tcPr>
            <w:tcW w:w="6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00" w:type="dxa"/>
            <w:vAlign w:val="bottom"/>
            <w:tcBorders>
              <w:bottom w:val="single" w:sz="8" w:color="auto"/>
            </w:tcBorders>
            <w:shd w:val="clear" w:color="auto" w:fill="CCEEFF"/>
          </w:tcPr>
          <w:p>
            <w:pPr>
              <w:spacing w:after="0"/>
              <w:rPr>
                <w:sz w:val="14"/>
                <w:szCs w:val="14"/>
                <w:color w:val="auto"/>
              </w:rPr>
            </w:pPr>
          </w:p>
        </w:tc>
        <w:tc>
          <w:tcPr>
            <w:tcW w:w="7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56"/>
        </w:trPr>
        <w:tc>
          <w:tcPr>
            <w:tcW w:w="3800" w:type="dxa"/>
            <w:vAlign w:val="bottom"/>
            <w:gridSpan w:val="2"/>
          </w:tcPr>
          <w:p>
            <w:pPr>
              <w:spacing w:after="0" w:line="155" w:lineRule="exact"/>
              <w:rPr>
                <w:sz w:val="20"/>
                <w:szCs w:val="20"/>
                <w:color w:val="auto"/>
              </w:rPr>
            </w:pPr>
            <w:r>
              <w:rPr>
                <w:rFonts w:ascii="Arial" w:cs="Arial" w:eastAsia="Arial" w:hAnsi="Arial"/>
                <w:sz w:val="14"/>
                <w:szCs w:val="14"/>
                <w:color w:val="auto"/>
                <w:w w:val="98"/>
              </w:rPr>
              <w:t>Net income (loss) attributable to common stockholders - basic</w:t>
            </w: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20" w:type="dxa"/>
            <w:vAlign w:val="bottom"/>
          </w:tcPr>
          <w:p>
            <w:pPr>
              <w:jc w:val="right"/>
              <w:spacing w:after="0" w:line="155" w:lineRule="exact"/>
              <w:rPr>
                <w:sz w:val="20"/>
                <w:szCs w:val="20"/>
                <w:color w:val="auto"/>
              </w:rPr>
            </w:pPr>
            <w:r>
              <w:rPr>
                <w:rFonts w:ascii="Arial" w:cs="Arial" w:eastAsia="Arial" w:hAnsi="Arial"/>
                <w:sz w:val="14"/>
                <w:szCs w:val="14"/>
                <w:color w:val="auto"/>
              </w:rPr>
              <w:t>92,114</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20" w:type="dxa"/>
            <w:vAlign w:val="bottom"/>
          </w:tcPr>
          <w:p>
            <w:pPr>
              <w:jc w:val="right"/>
              <w:spacing w:after="0" w:line="155" w:lineRule="exact"/>
              <w:rPr>
                <w:sz w:val="20"/>
                <w:szCs w:val="20"/>
                <w:color w:val="auto"/>
              </w:rPr>
            </w:pPr>
            <w:r>
              <w:rPr>
                <w:rFonts w:ascii="Arial" w:cs="Arial" w:eastAsia="Arial" w:hAnsi="Arial"/>
                <w:sz w:val="14"/>
                <w:szCs w:val="14"/>
                <w:color w:val="auto"/>
              </w:rPr>
              <w:t>23,189</w:t>
            </w: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20" w:type="dxa"/>
            <w:vAlign w:val="bottom"/>
          </w:tcPr>
          <w:p>
            <w:pPr>
              <w:jc w:val="right"/>
              <w:spacing w:after="0" w:line="155" w:lineRule="exact"/>
              <w:rPr>
                <w:sz w:val="20"/>
                <w:szCs w:val="20"/>
                <w:color w:val="auto"/>
              </w:rPr>
            </w:pPr>
            <w:r>
              <w:rPr>
                <w:rFonts w:ascii="Arial" w:cs="Arial" w:eastAsia="Arial" w:hAnsi="Arial"/>
                <w:sz w:val="14"/>
                <w:szCs w:val="14"/>
                <w:color w:val="auto"/>
              </w:rPr>
              <w:t>(14,751)</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3780" w:type="dxa"/>
            <w:vAlign w:val="bottom"/>
            <w:shd w:val="clear" w:color="auto" w:fill="CCEEFF"/>
          </w:tcPr>
          <w:p>
            <w:pPr>
              <w:spacing w:after="0"/>
              <w:rPr>
                <w:sz w:val="20"/>
                <w:szCs w:val="20"/>
                <w:color w:val="auto"/>
              </w:rPr>
            </w:pPr>
            <w:r>
              <w:rPr>
                <w:rFonts w:ascii="Arial" w:cs="Arial" w:eastAsia="Arial" w:hAnsi="Arial"/>
                <w:sz w:val="14"/>
                <w:szCs w:val="14"/>
                <w:color w:val="auto"/>
              </w:rPr>
              <w:t>Adjustments to net income (loss) for dilutive securities</w:t>
            </w:r>
          </w:p>
        </w:tc>
        <w:tc>
          <w:tcPr>
            <w:tcW w:w="120" w:type="dxa"/>
            <w:vAlign w:val="bottom"/>
            <w:shd w:val="clear" w:color="auto" w:fill="CCEEFF"/>
          </w:tcPr>
          <w:p>
            <w:pPr>
              <w:spacing w:after="0"/>
              <w:rPr>
                <w:sz w:val="14"/>
                <w:szCs w:val="14"/>
                <w:color w:val="auto"/>
              </w:rPr>
            </w:pPr>
          </w:p>
        </w:tc>
        <w:tc>
          <w:tcPr>
            <w:tcW w:w="80" w:type="dxa"/>
            <w:vAlign w:val="bottom"/>
            <w:tcBorders>
              <w:bottom w:val="single" w:sz="8" w:color="auto"/>
            </w:tcBorders>
            <w:shd w:val="clear" w:color="auto" w:fill="CCEEFF"/>
          </w:tcPr>
          <w:p>
            <w:pPr>
              <w:spacing w:after="0"/>
              <w:rPr>
                <w:sz w:val="14"/>
                <w:szCs w:val="14"/>
                <w:color w:val="auto"/>
              </w:rPr>
            </w:pPr>
          </w:p>
        </w:tc>
        <w:tc>
          <w:tcPr>
            <w:tcW w:w="72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4"/>
                <w:szCs w:val="14"/>
                <w:color w:val="auto"/>
              </w:rPr>
            </w:pPr>
          </w:p>
        </w:tc>
        <w:tc>
          <w:tcPr>
            <w:tcW w:w="60" w:type="dxa"/>
            <w:vAlign w:val="bottom"/>
            <w:tcBorders>
              <w:bottom w:val="single" w:sz="8" w:color="auto"/>
            </w:tcBorders>
            <w:shd w:val="clear" w:color="auto" w:fill="CCEEFF"/>
          </w:tcPr>
          <w:p>
            <w:pPr>
              <w:spacing w:after="0"/>
              <w:rPr>
                <w:sz w:val="14"/>
                <w:szCs w:val="14"/>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16,475</w:t>
            </w:r>
          </w:p>
        </w:tc>
        <w:tc>
          <w:tcPr>
            <w:tcW w:w="6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00" w:type="dxa"/>
            <w:vAlign w:val="bottom"/>
            <w:tcBorders>
              <w:bottom w:val="single" w:sz="8" w:color="auto"/>
            </w:tcBorders>
            <w:shd w:val="clear" w:color="auto" w:fill="CCEEFF"/>
          </w:tcPr>
          <w:p>
            <w:pPr>
              <w:spacing w:after="0"/>
              <w:rPr>
                <w:sz w:val="14"/>
                <w:szCs w:val="14"/>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3800" w:type="dxa"/>
            <w:vAlign w:val="bottom"/>
            <w:gridSpan w:val="2"/>
          </w:tcPr>
          <w:p>
            <w:pPr>
              <w:spacing w:after="0" w:line="142" w:lineRule="exact"/>
              <w:rPr>
                <w:sz w:val="20"/>
                <w:szCs w:val="20"/>
                <w:color w:val="auto"/>
              </w:rPr>
            </w:pPr>
            <w:r>
              <w:rPr>
                <w:rFonts w:ascii="Arial" w:cs="Arial" w:eastAsia="Arial" w:hAnsi="Arial"/>
                <w:sz w:val="14"/>
                <w:szCs w:val="14"/>
                <w:color w:val="auto"/>
                <w:w w:val="96"/>
              </w:rPr>
              <w:t>Net income (loss) attributable to common stockholders - diluted</w:t>
            </w:r>
          </w:p>
        </w:tc>
        <w:tc>
          <w:tcPr>
            <w:tcW w:w="120" w:type="dxa"/>
            <w:vAlign w:val="bottom"/>
          </w:tcPr>
          <w:p>
            <w:pPr>
              <w:spacing w:after="0"/>
              <w:rPr>
                <w:sz w:val="12"/>
                <w:szCs w:val="12"/>
                <w:color w:val="auto"/>
              </w:rPr>
            </w:pPr>
          </w:p>
        </w:tc>
        <w:tc>
          <w:tcPr>
            <w:tcW w:w="80" w:type="dxa"/>
            <w:vAlign w:val="bottom"/>
          </w:tcPr>
          <w:p>
            <w:pPr>
              <w:jc w:val="right"/>
              <w:spacing w:after="0" w:line="142" w:lineRule="exact"/>
              <w:rPr>
                <w:sz w:val="20"/>
                <w:szCs w:val="20"/>
                <w:color w:val="auto"/>
              </w:rPr>
            </w:pPr>
            <w:r>
              <w:rPr>
                <w:rFonts w:ascii="Arial" w:cs="Arial" w:eastAsia="Arial" w:hAnsi="Arial"/>
                <w:sz w:val="14"/>
                <w:szCs w:val="14"/>
                <w:color w:val="auto"/>
                <w:w w:val="76"/>
              </w:rPr>
              <w:t>$</w:t>
            </w:r>
          </w:p>
        </w:tc>
        <w:tc>
          <w:tcPr>
            <w:tcW w:w="720" w:type="dxa"/>
            <w:vAlign w:val="bottom"/>
          </w:tcPr>
          <w:p>
            <w:pPr>
              <w:jc w:val="right"/>
              <w:spacing w:after="0" w:line="142" w:lineRule="exact"/>
              <w:rPr>
                <w:sz w:val="20"/>
                <w:szCs w:val="20"/>
                <w:color w:val="auto"/>
              </w:rPr>
            </w:pPr>
            <w:r>
              <w:rPr>
                <w:rFonts w:ascii="Arial" w:cs="Arial" w:eastAsia="Arial" w:hAnsi="Arial"/>
                <w:sz w:val="14"/>
                <w:szCs w:val="14"/>
                <w:color w:val="auto"/>
              </w:rPr>
              <w:t>92,114</w:t>
            </w:r>
          </w:p>
        </w:tc>
        <w:tc>
          <w:tcPr>
            <w:tcW w:w="100" w:type="dxa"/>
            <w:vAlign w:val="bottom"/>
          </w:tcPr>
          <w:p>
            <w:pPr>
              <w:spacing w:after="0"/>
              <w:rPr>
                <w:sz w:val="12"/>
                <w:szCs w:val="12"/>
                <w:color w:val="auto"/>
              </w:rPr>
            </w:pPr>
          </w:p>
        </w:tc>
        <w:tc>
          <w:tcPr>
            <w:tcW w:w="6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720" w:type="dxa"/>
            <w:vAlign w:val="bottom"/>
          </w:tcPr>
          <w:p>
            <w:pPr>
              <w:jc w:val="right"/>
              <w:spacing w:after="0" w:line="142" w:lineRule="exact"/>
              <w:rPr>
                <w:sz w:val="20"/>
                <w:szCs w:val="20"/>
                <w:color w:val="auto"/>
              </w:rPr>
            </w:pPr>
            <w:r>
              <w:rPr>
                <w:rFonts w:ascii="Arial" w:cs="Arial" w:eastAsia="Arial" w:hAnsi="Arial"/>
                <w:sz w:val="14"/>
                <w:szCs w:val="14"/>
                <w:color w:val="auto"/>
              </w:rPr>
              <w:t>39,664</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720" w:type="dxa"/>
            <w:vAlign w:val="bottom"/>
          </w:tcPr>
          <w:p>
            <w:pPr>
              <w:jc w:val="right"/>
              <w:spacing w:after="0" w:line="142" w:lineRule="exact"/>
              <w:rPr>
                <w:sz w:val="20"/>
                <w:szCs w:val="20"/>
                <w:color w:val="auto"/>
              </w:rPr>
            </w:pPr>
            <w:r>
              <w:rPr>
                <w:rFonts w:ascii="Arial" w:cs="Arial" w:eastAsia="Arial" w:hAnsi="Arial"/>
                <w:sz w:val="14"/>
                <w:szCs w:val="14"/>
                <w:color w:val="auto"/>
              </w:rPr>
              <w:t>(14,751)</w:t>
            </w:r>
          </w:p>
        </w:tc>
        <w:tc>
          <w:tcPr>
            <w:tcW w:w="0" w:type="dxa"/>
            <w:vAlign w:val="bottom"/>
          </w:tcPr>
          <w:p>
            <w:pPr>
              <w:spacing w:after="0"/>
              <w:rPr>
                <w:sz w:val="1"/>
                <w:szCs w:val="1"/>
                <w:color w:val="auto"/>
              </w:rPr>
            </w:pPr>
          </w:p>
        </w:tc>
      </w:tr>
      <w:tr>
        <w:trPr>
          <w:trHeight w:val="162"/>
        </w:trPr>
        <w:tc>
          <w:tcPr>
            <w:tcW w:w="20" w:type="dxa"/>
            <w:vAlign w:val="bottom"/>
            <w:vMerge w:val="restart"/>
          </w:tcPr>
          <w:p>
            <w:pPr>
              <w:spacing w:after="0"/>
              <w:rPr>
                <w:sz w:val="14"/>
                <w:szCs w:val="14"/>
                <w:color w:val="auto"/>
              </w:rPr>
            </w:pPr>
          </w:p>
        </w:tc>
        <w:tc>
          <w:tcPr>
            <w:tcW w:w="3780" w:type="dxa"/>
            <w:vAlign w:val="bottom"/>
            <w:tcBorders>
              <w:top w:val="single" w:sz="8" w:color="CCEEFF"/>
            </w:tcBorders>
            <w:shd w:val="clear" w:color="auto" w:fill="CCEEFF"/>
          </w:tcPr>
          <w:p>
            <w:pPr>
              <w:spacing w:after="0"/>
              <w:rPr>
                <w:sz w:val="14"/>
                <w:szCs w:val="14"/>
                <w:color w:val="auto"/>
              </w:rPr>
            </w:pPr>
          </w:p>
        </w:tc>
        <w:tc>
          <w:tcPr>
            <w:tcW w:w="120" w:type="dxa"/>
            <w:vAlign w:val="bottom"/>
            <w:tcBorders>
              <w:top w:val="single" w:sz="8" w:color="CCEEFF"/>
            </w:tcBorders>
            <w:shd w:val="clear" w:color="auto" w:fill="CCEEFF"/>
          </w:tcPr>
          <w:p>
            <w:pPr>
              <w:spacing w:after="0"/>
              <w:rPr>
                <w:sz w:val="14"/>
                <w:szCs w:val="14"/>
                <w:color w:val="auto"/>
              </w:rPr>
            </w:pPr>
          </w:p>
        </w:tc>
        <w:tc>
          <w:tcPr>
            <w:tcW w:w="80" w:type="dxa"/>
            <w:vAlign w:val="bottom"/>
            <w:tcBorders>
              <w:top w:val="single" w:sz="8" w:color="auto"/>
            </w:tcBorders>
            <w:shd w:val="clear" w:color="auto" w:fill="CCEEFF"/>
          </w:tcPr>
          <w:p>
            <w:pPr>
              <w:spacing w:after="0"/>
              <w:rPr>
                <w:sz w:val="14"/>
                <w:szCs w:val="14"/>
                <w:color w:val="auto"/>
              </w:rPr>
            </w:pPr>
          </w:p>
        </w:tc>
        <w:tc>
          <w:tcPr>
            <w:tcW w:w="72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60" w:type="dxa"/>
            <w:vAlign w:val="bottom"/>
            <w:tcBorders>
              <w:top w:val="single" w:sz="8" w:color="auto"/>
            </w:tcBorders>
            <w:shd w:val="clear" w:color="auto" w:fill="CCEEFF"/>
          </w:tcPr>
          <w:p>
            <w:pPr>
              <w:spacing w:after="0"/>
              <w:rPr>
                <w:sz w:val="14"/>
                <w:szCs w:val="14"/>
                <w:color w:val="auto"/>
              </w:rPr>
            </w:pPr>
          </w:p>
        </w:tc>
        <w:tc>
          <w:tcPr>
            <w:tcW w:w="720" w:type="dxa"/>
            <w:vAlign w:val="bottom"/>
            <w:tcBorders>
              <w:top w:val="single" w:sz="8" w:color="auto"/>
            </w:tcBorders>
            <w:shd w:val="clear" w:color="auto" w:fill="CCEEFF"/>
          </w:tcPr>
          <w:p>
            <w:pPr>
              <w:spacing w:after="0"/>
              <w:rPr>
                <w:sz w:val="14"/>
                <w:szCs w:val="14"/>
                <w:color w:val="auto"/>
              </w:rPr>
            </w:pPr>
          </w:p>
        </w:tc>
        <w:tc>
          <w:tcPr>
            <w:tcW w:w="60" w:type="dxa"/>
            <w:vAlign w:val="bottom"/>
            <w:tcBorders>
              <w:top w:val="single" w:sz="8" w:color="CCEEFF"/>
            </w:tcBorders>
            <w:shd w:val="clear" w:color="auto" w:fill="CCEEFF"/>
          </w:tcPr>
          <w:p>
            <w:pPr>
              <w:spacing w:after="0"/>
              <w:rPr>
                <w:sz w:val="14"/>
                <w:szCs w:val="14"/>
                <w:color w:val="auto"/>
              </w:rPr>
            </w:pPr>
          </w:p>
        </w:tc>
        <w:tc>
          <w:tcPr>
            <w:tcW w:w="60" w:type="dxa"/>
            <w:vAlign w:val="bottom"/>
            <w:tcBorders>
              <w:top w:val="single" w:sz="8" w:color="CCEEFF"/>
            </w:tcBorders>
            <w:shd w:val="clear" w:color="auto" w:fill="CCEEFF"/>
          </w:tcPr>
          <w:p>
            <w:pPr>
              <w:spacing w:after="0"/>
              <w:rPr>
                <w:sz w:val="14"/>
                <w:szCs w:val="14"/>
                <w:color w:val="auto"/>
              </w:rPr>
            </w:pPr>
          </w:p>
        </w:tc>
        <w:tc>
          <w:tcPr>
            <w:tcW w:w="100" w:type="dxa"/>
            <w:vAlign w:val="bottom"/>
            <w:tcBorders>
              <w:top w:val="single" w:sz="8" w:color="auto"/>
            </w:tcBorders>
            <w:shd w:val="clear" w:color="auto" w:fill="CCEEFF"/>
          </w:tcPr>
          <w:p>
            <w:pPr>
              <w:spacing w:after="0"/>
              <w:rPr>
                <w:sz w:val="14"/>
                <w:szCs w:val="14"/>
                <w:color w:val="auto"/>
              </w:rPr>
            </w:pPr>
          </w:p>
        </w:tc>
        <w:tc>
          <w:tcPr>
            <w:tcW w:w="720" w:type="dxa"/>
            <w:vAlign w:val="bottom"/>
            <w:tcBorders>
              <w:top w:val="single" w:sz="8" w:color="auto"/>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vMerge w:val="continue"/>
          </w:tcPr>
          <w:p>
            <w:pPr>
              <w:spacing w:after="0"/>
              <w:rPr>
                <w:sz w:val="14"/>
                <w:szCs w:val="14"/>
                <w:color w:val="auto"/>
              </w:rPr>
            </w:pPr>
          </w:p>
        </w:tc>
        <w:tc>
          <w:tcPr>
            <w:tcW w:w="3780" w:type="dxa"/>
            <w:vAlign w:val="bottom"/>
          </w:tcPr>
          <w:p>
            <w:pPr>
              <w:spacing w:after="0"/>
              <w:rPr>
                <w:sz w:val="20"/>
                <w:szCs w:val="20"/>
                <w:color w:val="auto"/>
              </w:rPr>
            </w:pPr>
            <w:r>
              <w:rPr>
                <w:rFonts w:ascii="Arial" w:cs="Arial" w:eastAsia="Arial" w:hAnsi="Arial"/>
                <w:sz w:val="14"/>
                <w:szCs w:val="14"/>
                <w:color w:val="auto"/>
              </w:rPr>
              <w:t>Weighted average number of common shares:</w:t>
            </w: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3780" w:type="dxa"/>
            <w:vAlign w:val="bottom"/>
            <w:shd w:val="clear" w:color="auto" w:fill="CCEEFF"/>
          </w:tcPr>
          <w:p>
            <w:pPr>
              <w:ind w:left="80"/>
              <w:spacing w:after="0"/>
              <w:rPr>
                <w:sz w:val="20"/>
                <w:szCs w:val="20"/>
                <w:color w:val="auto"/>
              </w:rPr>
            </w:pPr>
            <w:r>
              <w:rPr>
                <w:rFonts w:ascii="Arial" w:cs="Arial" w:eastAsia="Arial" w:hAnsi="Arial"/>
                <w:sz w:val="14"/>
                <w:szCs w:val="14"/>
                <w:color w:val="auto"/>
              </w:rPr>
              <w:t>Basic</w:t>
            </w:r>
          </w:p>
        </w:tc>
        <w:tc>
          <w:tcPr>
            <w:tcW w:w="12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1"/>
              </w:rPr>
              <w:t>74,399,836</w:t>
            </w:r>
          </w:p>
        </w:tc>
        <w:tc>
          <w:tcPr>
            <w:tcW w:w="10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1"/>
              </w:rPr>
              <w:t>31,247,643</w:t>
            </w:r>
          </w:p>
        </w:tc>
        <w:tc>
          <w:tcPr>
            <w:tcW w:w="6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1"/>
              </w:rPr>
              <w:t>19,939,293</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3780" w:type="dxa"/>
            <w:vAlign w:val="bottom"/>
          </w:tcPr>
          <w:p>
            <w:pPr>
              <w:ind w:left="80"/>
              <w:spacing w:after="0"/>
              <w:rPr>
                <w:sz w:val="20"/>
                <w:szCs w:val="20"/>
                <w:color w:val="auto"/>
              </w:rPr>
            </w:pPr>
            <w:r>
              <w:rPr>
                <w:rFonts w:ascii="Arial" w:cs="Arial" w:eastAsia="Arial" w:hAnsi="Arial"/>
                <w:sz w:val="14"/>
                <w:szCs w:val="14"/>
                <w:color w:val="auto"/>
              </w:rPr>
              <w:t>Diluted</w:t>
            </w: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w w:val="91"/>
              </w:rPr>
              <w:t>74,590,999</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w w:val="91"/>
              </w:rPr>
              <w:t>64,323,742</w:t>
            </w: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w w:val="91"/>
              </w:rPr>
              <w:t>19,939,293</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3780" w:type="dxa"/>
            <w:vAlign w:val="bottom"/>
            <w:shd w:val="clear" w:color="auto" w:fill="CCEEFF"/>
          </w:tcPr>
          <w:p>
            <w:pPr>
              <w:spacing w:after="0" w:line="130" w:lineRule="exact"/>
              <w:rPr>
                <w:sz w:val="20"/>
                <w:szCs w:val="20"/>
                <w:color w:val="auto"/>
              </w:rPr>
            </w:pPr>
            <w:r>
              <w:rPr>
                <w:rFonts w:ascii="Arial" w:cs="Arial" w:eastAsia="Arial" w:hAnsi="Arial"/>
                <w:sz w:val="14"/>
                <w:szCs w:val="14"/>
                <w:color w:val="auto"/>
                <w:w w:val="98"/>
              </w:rPr>
              <w:t>Net income (loss) per common share attributable to Acushnet</w:t>
            </w:r>
          </w:p>
        </w:tc>
        <w:tc>
          <w:tcPr>
            <w:tcW w:w="1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72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2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3780" w:type="dxa"/>
            <w:vAlign w:val="bottom"/>
            <w:shd w:val="clear" w:color="auto" w:fill="CCEEFF"/>
          </w:tcPr>
          <w:p>
            <w:pPr>
              <w:spacing w:after="0"/>
              <w:rPr>
                <w:sz w:val="20"/>
                <w:szCs w:val="20"/>
                <w:color w:val="auto"/>
              </w:rPr>
            </w:pPr>
            <w:r>
              <w:rPr>
                <w:rFonts w:ascii="Arial" w:cs="Arial" w:eastAsia="Arial" w:hAnsi="Arial"/>
                <w:sz w:val="14"/>
                <w:szCs w:val="14"/>
                <w:color w:val="auto"/>
              </w:rPr>
              <w:t>Holdings Corp.:</w:t>
            </w:r>
          </w:p>
        </w:tc>
        <w:tc>
          <w:tcPr>
            <w:tcW w:w="12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7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72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7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3780" w:type="dxa"/>
            <w:vAlign w:val="bottom"/>
          </w:tcPr>
          <w:p>
            <w:pPr>
              <w:ind w:left="80"/>
              <w:spacing w:after="0"/>
              <w:rPr>
                <w:sz w:val="20"/>
                <w:szCs w:val="20"/>
                <w:color w:val="auto"/>
              </w:rPr>
            </w:pPr>
            <w:r>
              <w:rPr>
                <w:rFonts w:ascii="Arial" w:cs="Arial" w:eastAsia="Arial" w:hAnsi="Arial"/>
                <w:sz w:val="14"/>
                <w:szCs w:val="14"/>
                <w:color w:val="auto"/>
              </w:rPr>
              <w:t>Basic</w:t>
            </w:r>
          </w:p>
        </w:tc>
        <w:tc>
          <w:tcPr>
            <w:tcW w:w="20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720" w:type="dxa"/>
            <w:vAlign w:val="bottom"/>
          </w:tcPr>
          <w:p>
            <w:pPr>
              <w:jc w:val="right"/>
              <w:spacing w:after="0"/>
              <w:rPr>
                <w:sz w:val="20"/>
                <w:szCs w:val="20"/>
                <w:color w:val="auto"/>
              </w:rPr>
            </w:pPr>
            <w:r>
              <w:rPr>
                <w:rFonts w:ascii="Arial" w:cs="Arial" w:eastAsia="Arial" w:hAnsi="Arial"/>
                <w:sz w:val="14"/>
                <w:szCs w:val="14"/>
                <w:color w:val="auto"/>
              </w:rPr>
              <w:t>1.24</w:t>
            </w:r>
          </w:p>
        </w:tc>
        <w:tc>
          <w:tcPr>
            <w:tcW w:w="16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720" w:type="dxa"/>
            <w:vAlign w:val="bottom"/>
          </w:tcPr>
          <w:p>
            <w:pPr>
              <w:jc w:val="right"/>
              <w:spacing w:after="0"/>
              <w:rPr>
                <w:sz w:val="20"/>
                <w:szCs w:val="20"/>
                <w:color w:val="auto"/>
              </w:rPr>
            </w:pPr>
            <w:r>
              <w:rPr>
                <w:rFonts w:ascii="Arial" w:cs="Arial" w:eastAsia="Arial" w:hAnsi="Arial"/>
                <w:sz w:val="14"/>
                <w:szCs w:val="14"/>
                <w:color w:val="auto"/>
              </w:rPr>
              <w:t>0.74</w:t>
            </w:r>
          </w:p>
        </w:tc>
        <w:tc>
          <w:tcPr>
            <w:tcW w:w="60" w:type="dxa"/>
            <w:vAlign w:val="bottom"/>
          </w:tcPr>
          <w:p>
            <w:pPr>
              <w:spacing w:after="0"/>
              <w:rPr>
                <w:sz w:val="14"/>
                <w:szCs w:val="14"/>
                <w:color w:val="auto"/>
              </w:rPr>
            </w:pPr>
          </w:p>
        </w:tc>
        <w:tc>
          <w:tcPr>
            <w:tcW w:w="16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720" w:type="dxa"/>
            <w:vAlign w:val="bottom"/>
          </w:tcPr>
          <w:p>
            <w:pPr>
              <w:jc w:val="right"/>
              <w:spacing w:after="0"/>
              <w:rPr>
                <w:sz w:val="20"/>
                <w:szCs w:val="20"/>
                <w:color w:val="auto"/>
              </w:rPr>
            </w:pPr>
            <w:r>
              <w:rPr>
                <w:rFonts w:ascii="Arial" w:cs="Arial" w:eastAsia="Arial" w:hAnsi="Arial"/>
                <w:sz w:val="14"/>
                <w:szCs w:val="14"/>
                <w:color w:val="auto"/>
              </w:rPr>
              <w:t>(0.74)</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3780" w:type="dxa"/>
            <w:vAlign w:val="bottom"/>
            <w:shd w:val="clear" w:color="auto" w:fill="CCEEFF"/>
          </w:tcPr>
          <w:p>
            <w:pPr>
              <w:ind w:left="80"/>
              <w:spacing w:after="0"/>
              <w:rPr>
                <w:sz w:val="20"/>
                <w:szCs w:val="20"/>
                <w:color w:val="auto"/>
              </w:rPr>
            </w:pPr>
            <w:r>
              <w:rPr>
                <w:rFonts w:ascii="Arial" w:cs="Arial" w:eastAsia="Arial" w:hAnsi="Arial"/>
                <w:sz w:val="14"/>
                <w:szCs w:val="14"/>
                <w:color w:val="auto"/>
              </w:rPr>
              <w:t>Diluted</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1.23</w:t>
            </w: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0.62</w:t>
            </w:r>
          </w:p>
        </w:tc>
        <w:tc>
          <w:tcPr>
            <w:tcW w:w="60" w:type="dxa"/>
            <w:vAlign w:val="bottom"/>
            <w:shd w:val="clear" w:color="auto" w:fill="CCEEFF"/>
          </w:tcPr>
          <w:p>
            <w:pPr>
              <w:spacing w:after="0"/>
              <w:rPr>
                <w:sz w:val="14"/>
                <w:szCs w:val="14"/>
                <w:color w:val="auto"/>
              </w:rPr>
            </w:pP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(0.74)</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1240" w:right="1219" w:firstLine="648"/>
        <w:spacing w:after="0" w:line="302" w:lineRule="auto"/>
        <w:rPr>
          <w:sz w:val="20"/>
          <w:szCs w:val="20"/>
          <w:color w:val="auto"/>
        </w:rPr>
      </w:pPr>
      <w:r>
        <w:rPr>
          <w:rFonts w:ascii="Arial" w:cs="Arial" w:eastAsia="Arial" w:hAnsi="Arial"/>
          <w:sz w:val="16"/>
          <w:szCs w:val="16"/>
          <w:color w:val="auto"/>
        </w:rPr>
        <w:t>For the year ended December 31, 2017, net income per common share attributable to Acushnet Holdings Corp. was calculated under the treasury stock method. Net income per common share attributable to Acushnet Holdings Corp. for the years ended December 31, 2016 and 2015 was calculated under the two-class method.</w:t>
      </w:r>
    </w:p>
    <w:p>
      <w:pPr>
        <w:spacing w:after="0" w:line="154" w:lineRule="exact"/>
        <w:rPr>
          <w:sz w:val="20"/>
          <w:szCs w:val="20"/>
          <w:color w:val="auto"/>
        </w:rPr>
      </w:pPr>
    </w:p>
    <w:p>
      <w:pPr>
        <w:ind w:left="1240" w:right="1299" w:firstLine="648"/>
        <w:spacing w:after="0" w:line="272" w:lineRule="auto"/>
        <w:rPr>
          <w:sz w:val="20"/>
          <w:szCs w:val="20"/>
          <w:color w:val="auto"/>
        </w:rPr>
      </w:pPr>
      <w:r>
        <w:rPr>
          <w:rFonts w:ascii="Arial" w:cs="Arial" w:eastAsia="Arial" w:hAnsi="Arial"/>
          <w:sz w:val="17"/>
          <w:szCs w:val="17"/>
          <w:color w:val="auto"/>
        </w:rPr>
        <w:t>The Company’s potential dilutive securities for the year ended December 31, 2017 include RSUs and PSUs. PSUs vest based upon achievement of performance targets and are excluded from the diluted shares outstanding unless the performance targets have been met as of the end of the applicable reporting period regardless of whether such performance targets are probable of achievement. For the year ended December 31, 2016 the Company’s potential dilutive securities include RSUs, PSUs, Series A preferred stock, warrants to purchase common stock and convertible</w:t>
      </w:r>
    </w:p>
    <w:p>
      <w:pPr>
        <w:spacing w:after="0" w:line="394"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F-40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786765</wp:posOffset>
            </wp:positionH>
            <wp:positionV relativeFrom="paragraph">
              <wp:posOffset>83185</wp:posOffset>
            </wp:positionV>
            <wp:extent cx="4159250" cy="26035"/>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71">
                      <a:extLst>
                        <a:ext uri="{28A0092B-C50C-407E-A947-70E740481C1C}"/>
                      </a:extLst>
                    </a:blip>
                    <a:srcRect/>
                    <a:stretch>
                      <a:fillRect/>
                    </a:stretch>
                  </pic:blipFill>
                  <pic:spPr bwMode="auto">
                    <a:xfrm>
                      <a:off x="0" y="0"/>
                      <a:ext cx="4159250" cy="26035"/>
                    </a:xfrm>
                    <a:prstGeom prst="rect">
                      <a:avLst/>
                    </a:prstGeom>
                    <a:noFill/>
                  </pic:spPr>
                </pic:pic>
              </a:graphicData>
            </a:graphic>
          </wp:anchor>
        </w:drawing>
      </w:r>
    </w:p>
    <w:p>
      <w:pPr>
        <w:sectPr>
          <w:pgSz w:w="11900" w:h="16838" w:orient="portrait"/>
          <w:cols w:equalWidth="0" w:num="1">
            <w:col w:w="9019"/>
          </w:cols>
          <w:pgMar w:left="1440" w:top="125" w:right="1440" w:bottom="586" w:gutter="0" w:footer="0" w:header="0"/>
        </w:sectPr>
      </w:pPr>
    </w:p>
    <w:bookmarkStart w:id="137" w:name="page138"/>
    <w:bookmarkEnd w:id="137"/>
    <w:p>
      <w:pPr>
        <w:ind w:left="124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ind w:left="1240" w:right="1379"/>
        <w:spacing w:after="0" w:line="264" w:lineRule="auto"/>
        <w:rPr>
          <w:sz w:val="20"/>
          <w:szCs w:val="20"/>
          <w:color w:val="auto"/>
        </w:rPr>
      </w:pPr>
      <w:r>
        <w:rPr>
          <w:rFonts w:ascii="Arial" w:cs="Arial" w:eastAsia="Arial" w:hAnsi="Arial"/>
          <w:sz w:val="18"/>
          <w:szCs w:val="18"/>
          <w:color w:val="auto"/>
        </w:rPr>
        <w:t>notes. For the year ended December 31, 2015 the Company’s potential dilutive securities include Series A preferred stock, stock options, warrants to purchase common stock and convertible notes.</w:t>
      </w:r>
    </w:p>
    <w:p>
      <w:pPr>
        <w:spacing w:after="0" w:line="181" w:lineRule="exact"/>
        <w:rPr>
          <w:sz w:val="20"/>
          <w:szCs w:val="20"/>
          <w:color w:val="auto"/>
        </w:rPr>
      </w:pPr>
    </w:p>
    <w:p>
      <w:pPr>
        <w:jc w:val="both"/>
        <w:ind w:left="1240" w:right="1699" w:firstLine="648"/>
        <w:spacing w:after="0" w:line="221" w:lineRule="exact"/>
        <w:rPr>
          <w:sz w:val="20"/>
          <w:szCs w:val="20"/>
          <w:color w:val="auto"/>
        </w:rPr>
      </w:pPr>
      <w:r>
        <w:rPr>
          <w:rFonts w:ascii="Arial" w:cs="Arial" w:eastAsia="Arial" w:hAnsi="Arial"/>
          <w:sz w:val="18"/>
          <w:szCs w:val="18"/>
          <w:color w:val="auto"/>
        </w:rPr>
        <w:t>The following securities have been excluded from the calculation of diluted weighted</w:t>
      </w:r>
      <w:r>
        <w:rPr>
          <w:rFonts w:ascii="MS PGothic" w:cs="MS PGothic" w:eastAsia="MS PGothic" w:hAnsi="MS PGothic"/>
          <w:sz w:val="18"/>
          <w:szCs w:val="18"/>
          <w:color w:val="auto"/>
        </w:rPr>
        <w:t>‑</w:t>
      </w:r>
      <w:r>
        <w:rPr>
          <w:rFonts w:ascii="Arial" w:cs="Arial" w:eastAsia="Arial" w:hAnsi="Arial"/>
          <w:sz w:val="18"/>
          <w:szCs w:val="18"/>
          <w:color w:val="auto"/>
        </w:rPr>
        <w:t>average common shares outstanding as their impact was determined to be anti</w:t>
      </w:r>
      <w:r>
        <w:rPr>
          <w:rFonts w:ascii="MS PGothic" w:cs="MS PGothic" w:eastAsia="MS PGothic" w:hAnsi="MS PGothic"/>
          <w:sz w:val="18"/>
          <w:szCs w:val="18"/>
          <w:color w:val="auto"/>
        </w:rPr>
        <w:t>‑</w:t>
      </w:r>
      <w:r>
        <w:rPr>
          <w:rFonts w:ascii="Arial" w:cs="Arial" w:eastAsia="Arial" w:hAnsi="Arial"/>
          <w:sz w:val="18"/>
          <w:szCs w:val="18"/>
          <w:color w:val="auto"/>
        </w:rPr>
        <w:t>dilutive:</w:t>
      </w:r>
    </w:p>
    <w:p>
      <w:pPr>
        <w:spacing w:after="0" w:line="221" w:lineRule="exact"/>
        <w:rPr>
          <w:sz w:val="20"/>
          <w:szCs w:val="20"/>
          <w:color w:val="auto"/>
        </w:rPr>
      </w:pPr>
    </w:p>
    <w:tbl>
      <w:tblPr>
        <w:tblLayout w:type="fixed"/>
        <w:tblInd w:w="1240" w:type="dxa"/>
        <w:tblCellMar>
          <w:top w:w="0" w:type="dxa"/>
          <w:left w:w="0" w:type="dxa"/>
          <w:bottom w:w="0" w:type="dxa"/>
          <w:right w:w="0" w:type="dxa"/>
        </w:tblCellMar>
      </w:tblPr>
      <w:tr>
        <w:trPr>
          <w:trHeight w:val="162"/>
        </w:trPr>
        <w:tc>
          <w:tcPr>
            <w:tcW w:w="20" w:type="dxa"/>
            <w:vAlign w:val="bottom"/>
          </w:tcPr>
          <w:p>
            <w:pPr>
              <w:spacing w:after="0"/>
              <w:rPr>
                <w:sz w:val="14"/>
                <w:szCs w:val="14"/>
                <w:color w:val="auto"/>
              </w:rPr>
            </w:pPr>
          </w:p>
        </w:tc>
        <w:tc>
          <w:tcPr>
            <w:tcW w:w="40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80" w:type="dxa"/>
            <w:vAlign w:val="bottom"/>
            <w:gridSpan w:val="2"/>
          </w:tcPr>
          <w:p>
            <w:pPr>
              <w:jc w:val="center"/>
              <w:ind w:right="20"/>
              <w:spacing w:after="0"/>
              <w:rPr>
                <w:sz w:val="20"/>
                <w:szCs w:val="20"/>
                <w:color w:val="auto"/>
              </w:rPr>
            </w:pPr>
            <w:r>
              <w:rPr>
                <w:rFonts w:ascii="Arial" w:cs="Arial" w:eastAsia="Arial" w:hAnsi="Arial"/>
                <w:sz w:val="14"/>
                <w:szCs w:val="14"/>
                <w:b w:val="1"/>
                <w:bCs w:val="1"/>
                <w:color w:val="auto"/>
                <w:w w:val="92"/>
              </w:rPr>
              <w:t>Year ended</w:t>
            </w:r>
          </w:p>
        </w:tc>
        <w:tc>
          <w:tcPr>
            <w:tcW w:w="7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4060" w:type="dxa"/>
            <w:vAlign w:val="bottom"/>
          </w:tcPr>
          <w:p>
            <w:pPr>
              <w:spacing w:after="0"/>
              <w:rPr>
                <w:sz w:val="14"/>
                <w:szCs w:val="14"/>
                <w:color w:val="auto"/>
              </w:rPr>
            </w:pPr>
          </w:p>
        </w:tc>
        <w:tc>
          <w:tcPr>
            <w:tcW w:w="68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90"/>
              </w:rPr>
              <w:t>December 31,</w:t>
            </w:r>
          </w:p>
        </w:tc>
        <w:tc>
          <w:tcPr>
            <w:tcW w:w="78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4060" w:type="dxa"/>
            <w:vAlign w:val="bottom"/>
          </w:tcPr>
          <w:p>
            <w:pPr>
              <w:spacing w:after="0"/>
              <w:rPr>
                <w:sz w:val="13"/>
                <w:szCs w:val="13"/>
                <w:color w:val="auto"/>
              </w:rPr>
            </w:pPr>
          </w:p>
        </w:tc>
        <w:tc>
          <w:tcPr>
            <w:tcW w:w="680" w:type="dxa"/>
            <w:vAlign w:val="bottom"/>
          </w:tcPr>
          <w:p>
            <w:pPr>
              <w:jc w:val="right"/>
              <w:ind w:right="128"/>
              <w:spacing w:after="0" w:line="155" w:lineRule="exact"/>
              <w:rPr>
                <w:sz w:val="20"/>
                <w:szCs w:val="20"/>
                <w:color w:val="auto"/>
              </w:rPr>
            </w:pPr>
            <w:r>
              <w:rPr>
                <w:rFonts w:ascii="Arial" w:cs="Arial" w:eastAsia="Arial" w:hAnsi="Arial"/>
                <w:sz w:val="14"/>
                <w:szCs w:val="14"/>
                <w:b w:val="1"/>
                <w:bCs w:val="1"/>
                <w:color w:val="auto"/>
              </w:rPr>
              <w:t>2017</w:t>
            </w:r>
          </w:p>
        </w:tc>
        <w:tc>
          <w:tcPr>
            <w:tcW w:w="900" w:type="dxa"/>
            <w:vAlign w:val="bottom"/>
            <w:gridSpan w:val="2"/>
          </w:tcPr>
          <w:p>
            <w:pPr>
              <w:jc w:val="right"/>
              <w:ind w:right="188"/>
              <w:spacing w:after="0" w:line="155" w:lineRule="exact"/>
              <w:rPr>
                <w:sz w:val="20"/>
                <w:szCs w:val="20"/>
                <w:color w:val="auto"/>
              </w:rPr>
            </w:pPr>
            <w:r>
              <w:rPr>
                <w:rFonts w:ascii="Arial" w:cs="Arial" w:eastAsia="Arial" w:hAnsi="Arial"/>
                <w:sz w:val="14"/>
                <w:szCs w:val="14"/>
                <w:b w:val="1"/>
                <w:bCs w:val="1"/>
                <w:color w:val="auto"/>
              </w:rPr>
              <w:t>2016</w:t>
            </w:r>
          </w:p>
        </w:tc>
        <w:tc>
          <w:tcPr>
            <w:tcW w:w="100" w:type="dxa"/>
            <w:vAlign w:val="bottom"/>
          </w:tcPr>
          <w:p>
            <w:pPr>
              <w:spacing w:after="0"/>
              <w:rPr>
                <w:sz w:val="13"/>
                <w:szCs w:val="13"/>
                <w:color w:val="auto"/>
              </w:rPr>
            </w:pPr>
          </w:p>
        </w:tc>
        <w:tc>
          <w:tcPr>
            <w:tcW w:w="780" w:type="dxa"/>
            <w:vAlign w:val="bottom"/>
          </w:tcPr>
          <w:p>
            <w:pPr>
              <w:jc w:val="right"/>
              <w:ind w:right="168"/>
              <w:spacing w:after="0" w:line="155" w:lineRule="exact"/>
              <w:rPr>
                <w:sz w:val="20"/>
                <w:szCs w:val="20"/>
                <w:color w:val="auto"/>
              </w:rPr>
            </w:pPr>
            <w:r>
              <w:rPr>
                <w:rFonts w:ascii="Arial" w:cs="Arial" w:eastAsia="Arial" w:hAnsi="Arial"/>
                <w:sz w:val="14"/>
                <w:szCs w:val="14"/>
                <w:b w:val="1"/>
                <w:bCs w:val="1"/>
                <w:color w:val="auto"/>
              </w:rPr>
              <w:t>2015</w:t>
            </w:r>
          </w:p>
        </w:tc>
        <w:tc>
          <w:tcPr>
            <w:tcW w:w="0" w:type="dxa"/>
            <w:vAlign w:val="bottom"/>
          </w:tcPr>
          <w:p>
            <w:pPr>
              <w:spacing w:after="0"/>
              <w:rPr>
                <w:sz w:val="1"/>
                <w:szCs w:val="1"/>
                <w:color w:val="auto"/>
              </w:rPr>
            </w:pPr>
          </w:p>
        </w:tc>
      </w:tr>
      <w:tr>
        <w:trPr>
          <w:trHeight w:val="156"/>
        </w:trPr>
        <w:tc>
          <w:tcPr>
            <w:tcW w:w="20" w:type="dxa"/>
            <w:vAlign w:val="bottom"/>
            <w:vMerge w:val="restart"/>
          </w:tcPr>
          <w:p>
            <w:pPr>
              <w:spacing w:after="0"/>
              <w:rPr>
                <w:sz w:val="13"/>
                <w:szCs w:val="13"/>
                <w:color w:val="auto"/>
              </w:rPr>
            </w:pPr>
          </w:p>
        </w:tc>
        <w:tc>
          <w:tcPr>
            <w:tcW w:w="4060" w:type="dxa"/>
            <w:vAlign w:val="bottom"/>
          </w:tcPr>
          <w:p>
            <w:pPr>
              <w:spacing w:after="0"/>
              <w:rPr>
                <w:sz w:val="13"/>
                <w:szCs w:val="13"/>
                <w:color w:val="auto"/>
              </w:rPr>
            </w:pPr>
          </w:p>
        </w:tc>
        <w:tc>
          <w:tcPr>
            <w:tcW w:w="680" w:type="dxa"/>
            <w:vAlign w:val="bottom"/>
            <w:tcBorders>
              <w:top w:val="single" w:sz="8" w:color="auto"/>
            </w:tcBorders>
          </w:tcPr>
          <w:p>
            <w:pPr>
              <w:spacing w:after="0"/>
              <w:rPr>
                <w:sz w:val="13"/>
                <w:szCs w:val="13"/>
                <w:color w:val="auto"/>
              </w:rPr>
            </w:pPr>
          </w:p>
        </w:tc>
        <w:tc>
          <w:tcPr>
            <w:tcW w:w="120" w:type="dxa"/>
            <w:vAlign w:val="bottom"/>
          </w:tcPr>
          <w:p>
            <w:pPr>
              <w:spacing w:after="0"/>
              <w:rPr>
                <w:sz w:val="13"/>
                <w:szCs w:val="13"/>
                <w:color w:val="auto"/>
              </w:rPr>
            </w:pPr>
          </w:p>
        </w:tc>
        <w:tc>
          <w:tcPr>
            <w:tcW w:w="780" w:type="dxa"/>
            <w:vAlign w:val="bottom"/>
            <w:tcBorders>
              <w:top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780" w:type="dxa"/>
            <w:vAlign w:val="bottom"/>
            <w:tcBorders>
              <w:top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20" w:type="dxa"/>
            <w:vAlign w:val="bottom"/>
            <w:vMerge w:val="continue"/>
          </w:tcPr>
          <w:p>
            <w:pPr>
              <w:spacing w:after="0"/>
              <w:rPr>
                <w:sz w:val="14"/>
                <w:szCs w:val="14"/>
                <w:color w:val="auto"/>
              </w:rPr>
            </w:pPr>
          </w:p>
        </w:tc>
        <w:tc>
          <w:tcPr>
            <w:tcW w:w="4060" w:type="dxa"/>
            <w:vAlign w:val="bottom"/>
            <w:shd w:val="clear" w:color="auto" w:fill="CCEEFF"/>
          </w:tcPr>
          <w:p>
            <w:pPr>
              <w:spacing w:after="0"/>
              <w:rPr>
                <w:sz w:val="20"/>
                <w:szCs w:val="20"/>
                <w:color w:val="auto"/>
              </w:rPr>
            </w:pPr>
            <w:r>
              <w:rPr>
                <w:rFonts w:ascii="Arial" w:cs="Arial" w:eastAsia="Arial" w:hAnsi="Arial"/>
                <w:sz w:val="14"/>
                <w:szCs w:val="14"/>
                <w:color w:val="auto"/>
              </w:rPr>
              <w:t>Series A preferred stock</w:t>
            </w:r>
          </w:p>
        </w:tc>
        <w:tc>
          <w:tcPr>
            <w:tcW w:w="6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13,807,486</w:t>
            </w:r>
          </w:p>
        </w:tc>
        <w:tc>
          <w:tcPr>
            <w:tcW w:w="100" w:type="dxa"/>
            <w:vAlign w:val="bottom"/>
            <w:shd w:val="clear" w:color="auto" w:fill="CCEEFF"/>
          </w:tcPr>
          <w:p>
            <w:pPr>
              <w:spacing w:after="0"/>
              <w:rPr>
                <w:sz w:val="14"/>
                <w:szCs w:val="1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9"/>
              </w:rPr>
              <w:t>16,542,243</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4060" w:type="dxa"/>
            <w:vAlign w:val="bottom"/>
          </w:tcPr>
          <w:p>
            <w:pPr>
              <w:spacing w:after="0"/>
              <w:rPr>
                <w:sz w:val="20"/>
                <w:szCs w:val="20"/>
                <w:color w:val="auto"/>
              </w:rPr>
            </w:pPr>
            <w:r>
              <w:rPr>
                <w:rFonts w:ascii="Arial" w:cs="Arial" w:eastAsia="Arial" w:hAnsi="Arial"/>
                <w:sz w:val="14"/>
                <w:szCs w:val="14"/>
                <w:color w:val="auto"/>
              </w:rPr>
              <w:t>Stock options</w:t>
            </w:r>
          </w:p>
        </w:tc>
        <w:tc>
          <w:tcPr>
            <w:tcW w:w="68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900" w:type="dxa"/>
            <w:vAlign w:val="bottom"/>
            <w:gridSpan w:val="2"/>
          </w:tcPr>
          <w:p>
            <w:pPr>
              <w:jc w:val="right"/>
              <w:ind w:right="68"/>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1,089</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4060" w:type="dxa"/>
            <w:vAlign w:val="bottom"/>
            <w:shd w:val="clear" w:color="auto" w:fill="CCEEFF"/>
          </w:tcPr>
          <w:p>
            <w:pPr>
              <w:spacing w:after="0"/>
              <w:rPr>
                <w:sz w:val="20"/>
                <w:szCs w:val="20"/>
                <w:color w:val="auto"/>
              </w:rPr>
            </w:pPr>
            <w:r>
              <w:rPr>
                <w:rFonts w:ascii="Arial" w:cs="Arial" w:eastAsia="Arial" w:hAnsi="Arial"/>
                <w:sz w:val="14"/>
                <w:szCs w:val="14"/>
                <w:color w:val="auto"/>
              </w:rPr>
              <w:t>Warrants to purchase common stock</w:t>
            </w:r>
          </w:p>
        </w:tc>
        <w:tc>
          <w:tcPr>
            <w:tcW w:w="6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1,807,171</w:t>
            </w:r>
          </w:p>
        </w:tc>
        <w:tc>
          <w:tcPr>
            <w:tcW w:w="100" w:type="dxa"/>
            <w:vAlign w:val="bottom"/>
            <w:shd w:val="clear" w:color="auto" w:fill="CCEEFF"/>
          </w:tcPr>
          <w:p>
            <w:pPr>
              <w:spacing w:after="0"/>
              <w:rPr>
                <w:sz w:val="14"/>
                <w:szCs w:val="1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4,891,887</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4060" w:type="dxa"/>
            <w:vAlign w:val="bottom"/>
          </w:tcPr>
          <w:p>
            <w:pPr>
              <w:spacing w:after="0"/>
              <w:rPr>
                <w:sz w:val="20"/>
                <w:szCs w:val="20"/>
                <w:color w:val="auto"/>
              </w:rPr>
            </w:pPr>
            <w:r>
              <w:rPr>
                <w:rFonts w:ascii="Arial" w:cs="Arial" w:eastAsia="Arial" w:hAnsi="Arial"/>
                <w:sz w:val="14"/>
                <w:szCs w:val="14"/>
                <w:color w:val="auto"/>
              </w:rPr>
              <w:t>Convertible notes</w:t>
            </w:r>
          </w:p>
        </w:tc>
        <w:tc>
          <w:tcPr>
            <w:tcW w:w="68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900" w:type="dxa"/>
            <w:vAlign w:val="bottom"/>
            <w:gridSpan w:val="2"/>
          </w:tcPr>
          <w:p>
            <w:pPr>
              <w:jc w:val="right"/>
              <w:ind w:right="68"/>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w w:val="99"/>
              </w:rPr>
              <w:t>32,624,820</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4060" w:type="dxa"/>
            <w:vAlign w:val="bottom"/>
            <w:shd w:val="clear" w:color="auto" w:fill="CCEEFF"/>
          </w:tcPr>
          <w:p>
            <w:pPr>
              <w:spacing w:after="0"/>
              <w:rPr>
                <w:sz w:val="20"/>
                <w:szCs w:val="20"/>
                <w:color w:val="auto"/>
              </w:rPr>
            </w:pPr>
            <w:r>
              <w:rPr>
                <w:rFonts w:ascii="Arial" w:cs="Arial" w:eastAsia="Arial" w:hAnsi="Arial"/>
                <w:sz w:val="14"/>
                <w:szCs w:val="14"/>
                <w:color w:val="auto"/>
              </w:rPr>
              <w:t>RSUs</w:t>
            </w: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360,659</w:t>
            </w:r>
          </w:p>
        </w:tc>
        <w:tc>
          <w:tcPr>
            <w:tcW w:w="900" w:type="dxa"/>
            <w:vAlign w:val="bottom"/>
            <w:gridSpan w:val="2"/>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4"/>
                <w:szCs w:val="14"/>
                <w:color w:val="auto"/>
              </w:rPr>
            </w:pPr>
          </w:p>
        </w:tc>
        <w:tc>
          <w:tcPr>
            <w:tcW w:w="7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bl>
    <w:p>
      <w:pPr>
        <w:spacing w:after="0" w:line="198"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20. Segment Information</w:t>
      </w:r>
    </w:p>
    <w:p>
      <w:pPr>
        <w:spacing w:after="0" w:line="229" w:lineRule="exact"/>
        <w:rPr>
          <w:sz w:val="20"/>
          <w:szCs w:val="20"/>
          <w:color w:val="auto"/>
        </w:rPr>
      </w:pPr>
    </w:p>
    <w:p>
      <w:pPr>
        <w:ind w:left="1240" w:right="1379" w:firstLine="648"/>
        <w:spacing w:after="0" w:line="276" w:lineRule="auto"/>
        <w:rPr>
          <w:sz w:val="20"/>
          <w:szCs w:val="20"/>
          <w:color w:val="auto"/>
        </w:rPr>
      </w:pPr>
      <w:r>
        <w:rPr>
          <w:rFonts w:ascii="Arial" w:cs="Arial" w:eastAsia="Arial" w:hAnsi="Arial"/>
          <w:sz w:val="17"/>
          <w:szCs w:val="17"/>
          <w:color w:val="auto"/>
        </w:rPr>
        <w:t>The Company’s operating segments are based on how the Chief Operating Decision Maker (“CODM”) makes decisions about assessing performance and allocating resources. The Company has four reportable segments that are organized on the basis of product categories. These segments include Titleist golf balls, Titleist golf clubs, Titleist golf gear and FootJoy golf wear.</w:t>
      </w:r>
    </w:p>
    <w:p>
      <w:pPr>
        <w:spacing w:after="0" w:line="173" w:lineRule="exact"/>
        <w:rPr>
          <w:sz w:val="20"/>
          <w:szCs w:val="20"/>
          <w:color w:val="auto"/>
        </w:rPr>
      </w:pPr>
    </w:p>
    <w:p>
      <w:pPr>
        <w:ind w:left="1240" w:right="1239" w:firstLine="648"/>
        <w:spacing w:after="0" w:line="218" w:lineRule="exact"/>
        <w:rPr>
          <w:sz w:val="20"/>
          <w:szCs w:val="20"/>
          <w:color w:val="auto"/>
        </w:rPr>
      </w:pPr>
      <w:r>
        <w:rPr>
          <w:rFonts w:ascii="Arial" w:cs="Arial" w:eastAsia="Arial" w:hAnsi="Arial"/>
          <w:sz w:val="18"/>
          <w:szCs w:val="18"/>
          <w:color w:val="auto"/>
        </w:rPr>
        <w:t>The CODM primarily evaluates performance using segment operating income. Segment operating income includes directly attributable expenses and certain shared costs of corporate administration that are allocated to the reportable segments, but excludes interest expense, net; EAR expense; losses on the fair value of common stock warrants and other non</w:t>
      </w:r>
      <w:r>
        <w:rPr>
          <w:rFonts w:ascii="MS PGothic" w:cs="MS PGothic" w:eastAsia="MS PGothic" w:hAnsi="MS PGothic"/>
          <w:sz w:val="18"/>
          <w:szCs w:val="18"/>
          <w:color w:val="auto"/>
        </w:rPr>
        <w:t>‑</w:t>
      </w:r>
      <w:r>
        <w:rPr>
          <w:rFonts w:ascii="Arial" w:cs="Arial" w:eastAsia="Arial" w:hAnsi="Arial"/>
          <w:sz w:val="18"/>
          <w:szCs w:val="18"/>
          <w:color w:val="auto"/>
        </w:rPr>
        <w:t>operating gains and losses as the Company does not allocate these to the reportable segments. The CODM does not evaluate a measure of assets when assessing performance.</w:t>
      </w:r>
    </w:p>
    <w:p>
      <w:pPr>
        <w:spacing w:after="0" w:line="207" w:lineRule="exact"/>
        <w:rPr>
          <w:sz w:val="20"/>
          <w:szCs w:val="20"/>
          <w:color w:val="auto"/>
        </w:rPr>
      </w:pPr>
    </w:p>
    <w:p>
      <w:pPr>
        <w:jc w:val="both"/>
        <w:ind w:left="1240" w:right="1439" w:firstLine="648"/>
        <w:spacing w:after="0" w:line="264" w:lineRule="auto"/>
        <w:rPr>
          <w:sz w:val="20"/>
          <w:szCs w:val="20"/>
          <w:color w:val="auto"/>
        </w:rPr>
      </w:pPr>
      <w:r>
        <w:rPr>
          <w:rFonts w:ascii="Arial" w:cs="Arial" w:eastAsia="Arial" w:hAnsi="Arial"/>
          <w:sz w:val="18"/>
          <w:szCs w:val="18"/>
          <w:color w:val="auto"/>
        </w:rPr>
        <w:t>Results shown for the years ended December 31, 2017, 2016 and 2015 are not necessarily those which would be achieved if each segment was an unaffiliated business enterprise. There are no intersegment transactions.</w:t>
      </w:r>
    </w:p>
    <w:p>
      <w:pPr>
        <w:spacing w:after="0" w:line="3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786765</wp:posOffset>
            </wp:positionH>
            <wp:positionV relativeFrom="paragraph">
              <wp:posOffset>83185</wp:posOffset>
            </wp:positionV>
            <wp:extent cx="4159250" cy="26035"/>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72">
                      <a:extLst>
                        <a:ext uri="{28A0092B-C50C-407E-A947-70E740481C1C}"/>
                      </a:extLst>
                    </a:blip>
                    <a:srcRect/>
                    <a:stretch>
                      <a:fillRect/>
                    </a:stretch>
                  </pic:blipFill>
                  <pic:spPr bwMode="auto">
                    <a:xfrm>
                      <a:off x="0" y="0"/>
                      <a:ext cx="415925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138" w:name="page139"/>
    <w:bookmarkEnd w:id="138"/>
    <w:p>
      <w:pPr>
        <w:ind w:left="124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ind w:left="1880"/>
        <w:spacing w:after="0"/>
        <w:rPr>
          <w:sz w:val="20"/>
          <w:szCs w:val="20"/>
          <w:color w:val="auto"/>
        </w:rPr>
      </w:pPr>
      <w:r>
        <w:rPr>
          <w:rFonts w:ascii="Arial" w:cs="Arial" w:eastAsia="Arial" w:hAnsi="Arial"/>
          <w:sz w:val="16"/>
          <w:szCs w:val="16"/>
          <w:color w:val="auto"/>
        </w:rPr>
        <w:t>Information by reportable segment and a reconciliation to reported amounts are as</w:t>
      </w:r>
    </w:p>
    <w:p>
      <w:pPr>
        <w:spacing w:after="0" w:line="46" w:lineRule="exact"/>
        <w:rPr>
          <w:sz w:val="20"/>
          <w:szCs w:val="20"/>
          <w:color w:val="auto"/>
        </w:rPr>
      </w:pPr>
    </w:p>
    <w:p>
      <w:pPr>
        <w:ind w:left="1240"/>
        <w:spacing w:after="0"/>
        <w:rPr>
          <w:sz w:val="20"/>
          <w:szCs w:val="20"/>
          <w:color w:val="auto"/>
        </w:rPr>
      </w:pPr>
      <w:r>
        <w:rPr>
          <w:rFonts w:ascii="Arial" w:cs="Arial" w:eastAsia="Arial" w:hAnsi="Arial"/>
          <w:sz w:val="18"/>
          <w:szCs w:val="18"/>
          <w:color w:val="auto"/>
        </w:rPr>
        <w:t>follows:</w:t>
      </w:r>
    </w:p>
    <w:p>
      <w:pPr>
        <w:spacing w:after="0" w:line="216" w:lineRule="exact"/>
        <w:rPr>
          <w:sz w:val="20"/>
          <w:szCs w:val="20"/>
          <w:color w:val="auto"/>
        </w:rPr>
      </w:pPr>
    </w:p>
    <w:tbl>
      <w:tblPr>
        <w:tblLayout w:type="fixed"/>
        <w:tblInd w:w="1240" w:type="dxa"/>
        <w:tblCellMar>
          <w:top w:w="0" w:type="dxa"/>
          <w:left w:w="0" w:type="dxa"/>
          <w:bottom w:w="0" w:type="dxa"/>
          <w:right w:w="0" w:type="dxa"/>
        </w:tblCellMar>
      </w:tblPr>
      <w:tr>
        <w:trPr>
          <w:trHeight w:val="171"/>
        </w:trPr>
        <w:tc>
          <w:tcPr>
            <w:tcW w:w="3500" w:type="dxa"/>
            <w:vAlign w:val="bottom"/>
            <w:gridSpan w:val="2"/>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4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500" w:type="dxa"/>
            <w:vAlign w:val="bottom"/>
            <w:tcBorders>
              <w:bottom w:val="single" w:sz="8" w:color="auto"/>
            </w:tcBorders>
            <w:gridSpan w:val="7"/>
          </w:tcPr>
          <w:p>
            <w:pPr>
              <w:jc w:val="right"/>
              <w:ind w:right="439"/>
              <w:spacing w:after="0"/>
              <w:rPr>
                <w:sz w:val="20"/>
                <w:szCs w:val="20"/>
                <w:color w:val="auto"/>
              </w:rPr>
            </w:pPr>
            <w:r>
              <w:rPr>
                <w:rFonts w:ascii="Arial" w:cs="Arial" w:eastAsia="Arial" w:hAnsi="Arial"/>
                <w:sz w:val="14"/>
                <w:szCs w:val="14"/>
                <w:b w:val="1"/>
                <w:bCs w:val="1"/>
                <w:color w:val="auto"/>
              </w:rPr>
              <w:t>Year ended December 31,</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3480" w:type="dxa"/>
            <w:vAlign w:val="bottom"/>
            <w:tcBorders>
              <w:bottom w:val="single" w:sz="8" w:color="CCEEFF"/>
            </w:tcBorders>
          </w:tcPr>
          <w:p>
            <w:pPr>
              <w:spacing w:after="0"/>
              <w:rPr>
                <w:sz w:val="13"/>
                <w:szCs w:val="13"/>
                <w:color w:val="auto"/>
              </w:rPr>
            </w:pPr>
          </w:p>
        </w:tc>
        <w:tc>
          <w:tcPr>
            <w:tcW w:w="460" w:type="dxa"/>
            <w:vAlign w:val="bottom"/>
            <w:tcBorders>
              <w:bottom w:val="single" w:sz="8" w:color="CCEEFF"/>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700" w:type="dxa"/>
            <w:vAlign w:val="bottom"/>
            <w:tcBorders>
              <w:bottom w:val="single" w:sz="8" w:color="auto"/>
            </w:tcBorders>
          </w:tcPr>
          <w:p>
            <w:pPr>
              <w:jc w:val="right"/>
              <w:ind w:right="180"/>
              <w:spacing w:after="0" w:line="155" w:lineRule="exact"/>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CEEFF"/>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700" w:type="dxa"/>
            <w:vAlign w:val="bottom"/>
            <w:tcBorders>
              <w:bottom w:val="single" w:sz="8" w:color="auto"/>
            </w:tcBorders>
          </w:tcPr>
          <w:p>
            <w:pPr>
              <w:jc w:val="right"/>
              <w:ind w:right="159"/>
              <w:spacing w:after="0" w:line="155" w:lineRule="exact"/>
              <w:rPr>
                <w:sz w:val="20"/>
                <w:szCs w:val="20"/>
                <w:color w:val="auto"/>
              </w:rPr>
            </w:pPr>
            <w:r>
              <w:rPr>
                <w:rFonts w:ascii="Arial" w:cs="Arial" w:eastAsia="Arial" w:hAnsi="Arial"/>
                <w:sz w:val="14"/>
                <w:szCs w:val="14"/>
                <w:b w:val="1"/>
                <w:bCs w:val="1"/>
                <w:color w:val="auto"/>
              </w:rPr>
              <w:t>2016</w:t>
            </w:r>
          </w:p>
        </w:tc>
        <w:tc>
          <w:tcPr>
            <w:tcW w:w="120" w:type="dxa"/>
            <w:vAlign w:val="bottom"/>
            <w:tcBorders>
              <w:bottom w:val="single" w:sz="8" w:color="CCEEFF"/>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700" w:type="dxa"/>
            <w:vAlign w:val="bottom"/>
            <w:tcBorders>
              <w:bottom w:val="single" w:sz="8" w:color="auto"/>
            </w:tcBorders>
          </w:tcPr>
          <w:p>
            <w:pPr>
              <w:jc w:val="right"/>
              <w:ind w:right="159"/>
              <w:spacing w:after="0" w:line="155" w:lineRule="exact"/>
              <w:rPr>
                <w:sz w:val="20"/>
                <w:szCs w:val="20"/>
                <w:color w:val="auto"/>
              </w:rPr>
            </w:pPr>
            <w:r>
              <w:rPr>
                <w:rFonts w:ascii="Arial" w:cs="Arial" w:eastAsia="Arial" w:hAnsi="Arial"/>
                <w:sz w:val="14"/>
                <w:szCs w:val="14"/>
                <w:b w:val="1"/>
                <w:bCs w:val="1"/>
                <w:color w:val="auto"/>
              </w:rPr>
              <w:t>2015</w:t>
            </w:r>
          </w:p>
        </w:tc>
        <w:tc>
          <w:tcPr>
            <w:tcW w:w="0" w:type="dxa"/>
            <w:vAlign w:val="bottom"/>
          </w:tcPr>
          <w:p>
            <w:pPr>
              <w:spacing w:after="0"/>
              <w:rPr>
                <w:sz w:val="1"/>
                <w:szCs w:val="1"/>
                <w:color w:val="auto"/>
              </w:rPr>
            </w:pPr>
          </w:p>
        </w:tc>
      </w:tr>
      <w:tr>
        <w:trPr>
          <w:trHeight w:val="183"/>
        </w:trPr>
        <w:tc>
          <w:tcPr>
            <w:tcW w:w="20" w:type="dxa"/>
            <w:vAlign w:val="bottom"/>
          </w:tcPr>
          <w:p>
            <w:pPr>
              <w:spacing w:after="0"/>
              <w:rPr>
                <w:sz w:val="15"/>
                <w:szCs w:val="15"/>
                <w:color w:val="auto"/>
              </w:rPr>
            </w:pPr>
          </w:p>
        </w:tc>
        <w:tc>
          <w:tcPr>
            <w:tcW w:w="3480" w:type="dxa"/>
            <w:vAlign w:val="bottom"/>
            <w:shd w:val="clear" w:color="auto" w:fill="CCEEFF"/>
          </w:tcPr>
          <w:p>
            <w:pPr>
              <w:spacing w:after="0" w:line="183" w:lineRule="exact"/>
              <w:rPr>
                <w:sz w:val="20"/>
                <w:szCs w:val="20"/>
                <w:color w:val="auto"/>
              </w:rPr>
            </w:pPr>
            <w:r>
              <w:rPr>
                <w:rFonts w:ascii="Arial" w:cs="Arial" w:eastAsia="Arial" w:hAnsi="Arial"/>
                <w:sz w:val="16"/>
                <w:szCs w:val="16"/>
                <w:b w:val="1"/>
                <w:bCs w:val="1"/>
                <w:color w:val="auto"/>
              </w:rPr>
              <w:t>Net sales</w:t>
            </w:r>
          </w:p>
        </w:tc>
        <w:tc>
          <w:tcPr>
            <w:tcW w:w="46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7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7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70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480" w:type="dxa"/>
            <w:vAlign w:val="bottom"/>
          </w:tcPr>
          <w:p>
            <w:pPr>
              <w:spacing w:after="0"/>
              <w:rPr>
                <w:sz w:val="20"/>
                <w:szCs w:val="20"/>
                <w:color w:val="auto"/>
              </w:rPr>
            </w:pPr>
            <w:r>
              <w:rPr>
                <w:rFonts w:ascii="Arial" w:cs="Arial" w:eastAsia="Arial" w:hAnsi="Arial"/>
                <w:sz w:val="16"/>
                <w:szCs w:val="16"/>
                <w:color w:val="auto"/>
              </w:rPr>
              <w:t>Titleist golf balls</w:t>
            </w:r>
          </w:p>
        </w:tc>
        <w:tc>
          <w:tcPr>
            <w:tcW w:w="54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700" w:type="dxa"/>
            <w:vAlign w:val="bottom"/>
          </w:tcPr>
          <w:p>
            <w:pPr>
              <w:jc w:val="right"/>
              <w:spacing w:after="0"/>
              <w:rPr>
                <w:sz w:val="20"/>
                <w:szCs w:val="20"/>
                <w:color w:val="auto"/>
              </w:rPr>
            </w:pPr>
            <w:r>
              <w:rPr>
                <w:rFonts w:ascii="Arial" w:cs="Arial" w:eastAsia="Arial" w:hAnsi="Arial"/>
                <w:sz w:val="16"/>
                <w:szCs w:val="16"/>
                <w:color w:val="auto"/>
              </w:rPr>
              <w:t>512,041</w:t>
            </w:r>
          </w:p>
        </w:tc>
        <w:tc>
          <w:tcPr>
            <w:tcW w:w="20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700" w:type="dxa"/>
            <w:vAlign w:val="bottom"/>
          </w:tcPr>
          <w:p>
            <w:pPr>
              <w:jc w:val="right"/>
              <w:spacing w:after="0"/>
              <w:rPr>
                <w:sz w:val="20"/>
                <w:szCs w:val="20"/>
                <w:color w:val="auto"/>
              </w:rPr>
            </w:pPr>
            <w:r>
              <w:rPr>
                <w:rFonts w:ascii="Arial" w:cs="Arial" w:eastAsia="Arial" w:hAnsi="Arial"/>
                <w:sz w:val="16"/>
                <w:szCs w:val="16"/>
                <w:color w:val="auto"/>
              </w:rPr>
              <w:t>513,899</w:t>
            </w:r>
          </w:p>
        </w:tc>
        <w:tc>
          <w:tcPr>
            <w:tcW w:w="20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700" w:type="dxa"/>
            <w:vAlign w:val="bottom"/>
          </w:tcPr>
          <w:p>
            <w:pPr>
              <w:jc w:val="right"/>
              <w:spacing w:after="0"/>
              <w:rPr>
                <w:sz w:val="20"/>
                <w:szCs w:val="20"/>
                <w:color w:val="auto"/>
              </w:rPr>
            </w:pPr>
            <w:r>
              <w:rPr>
                <w:rFonts w:ascii="Arial" w:cs="Arial" w:eastAsia="Arial" w:hAnsi="Arial"/>
                <w:sz w:val="16"/>
                <w:szCs w:val="16"/>
                <w:color w:val="auto"/>
              </w:rPr>
              <w:t>535,465</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480" w:type="dxa"/>
            <w:vAlign w:val="bottom"/>
            <w:shd w:val="clear" w:color="auto" w:fill="CCEEFF"/>
          </w:tcPr>
          <w:p>
            <w:pPr>
              <w:spacing w:after="0"/>
              <w:rPr>
                <w:sz w:val="20"/>
                <w:szCs w:val="20"/>
                <w:color w:val="auto"/>
              </w:rPr>
            </w:pPr>
            <w:r>
              <w:rPr>
                <w:rFonts w:ascii="Arial" w:cs="Arial" w:eastAsia="Arial" w:hAnsi="Arial"/>
                <w:sz w:val="16"/>
                <w:szCs w:val="16"/>
                <w:color w:val="auto"/>
              </w:rPr>
              <w:t>Titleist golf clubs</w:t>
            </w:r>
          </w:p>
        </w:tc>
        <w:tc>
          <w:tcPr>
            <w:tcW w:w="4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397,987</w:t>
            </w: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430,966</w:t>
            </w: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388,304</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480" w:type="dxa"/>
            <w:vAlign w:val="bottom"/>
          </w:tcPr>
          <w:p>
            <w:pPr>
              <w:spacing w:after="0"/>
              <w:rPr>
                <w:sz w:val="20"/>
                <w:szCs w:val="20"/>
                <w:color w:val="auto"/>
              </w:rPr>
            </w:pPr>
            <w:r>
              <w:rPr>
                <w:rFonts w:ascii="Arial" w:cs="Arial" w:eastAsia="Arial" w:hAnsi="Arial"/>
                <w:sz w:val="16"/>
                <w:szCs w:val="16"/>
                <w:color w:val="auto"/>
              </w:rPr>
              <w:t>Titleist golf gear</w:t>
            </w:r>
          </w:p>
        </w:tc>
        <w:tc>
          <w:tcPr>
            <w:tcW w:w="4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142,911</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136,208</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129,408</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480" w:type="dxa"/>
            <w:vAlign w:val="bottom"/>
            <w:shd w:val="clear" w:color="auto" w:fill="CCEEFF"/>
          </w:tcPr>
          <w:p>
            <w:pPr>
              <w:spacing w:after="0"/>
              <w:rPr>
                <w:sz w:val="20"/>
                <w:szCs w:val="20"/>
                <w:color w:val="auto"/>
              </w:rPr>
            </w:pPr>
            <w:r>
              <w:rPr>
                <w:rFonts w:ascii="Arial" w:cs="Arial" w:eastAsia="Arial" w:hAnsi="Arial"/>
                <w:sz w:val="16"/>
                <w:szCs w:val="16"/>
                <w:color w:val="auto"/>
              </w:rPr>
              <w:t>FootJoy golf wear</w:t>
            </w:r>
          </w:p>
        </w:tc>
        <w:tc>
          <w:tcPr>
            <w:tcW w:w="4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437,455</w:t>
            </w: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433,061</w:t>
            </w: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418,852</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480" w:type="dxa"/>
            <w:vAlign w:val="bottom"/>
            <w:tcBorders>
              <w:bottom w:val="single" w:sz="8" w:color="CCEEFF"/>
            </w:tcBorders>
          </w:tcPr>
          <w:p>
            <w:pPr>
              <w:spacing w:after="0"/>
              <w:rPr>
                <w:sz w:val="20"/>
                <w:szCs w:val="20"/>
                <w:color w:val="auto"/>
              </w:rPr>
            </w:pPr>
            <w:r>
              <w:rPr>
                <w:rFonts w:ascii="Arial" w:cs="Arial" w:eastAsia="Arial" w:hAnsi="Arial"/>
                <w:sz w:val="16"/>
                <w:szCs w:val="16"/>
                <w:color w:val="auto"/>
              </w:rPr>
              <w:t>Other</w:t>
            </w:r>
          </w:p>
        </w:tc>
        <w:tc>
          <w:tcPr>
            <w:tcW w:w="460" w:type="dxa"/>
            <w:vAlign w:val="bottom"/>
            <w:tcBorders>
              <w:bottom w:val="single" w:sz="8" w:color="CCEEFF"/>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69,864</w:t>
            </w:r>
          </w:p>
        </w:tc>
        <w:tc>
          <w:tcPr>
            <w:tcW w:w="120" w:type="dxa"/>
            <w:vAlign w:val="bottom"/>
            <w:tcBorders>
              <w:bottom w:val="single" w:sz="8" w:color="CCEEFF"/>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58,141</w:t>
            </w:r>
          </w:p>
        </w:tc>
        <w:tc>
          <w:tcPr>
            <w:tcW w:w="120" w:type="dxa"/>
            <w:vAlign w:val="bottom"/>
            <w:tcBorders>
              <w:bottom w:val="single" w:sz="8" w:color="CCEEFF"/>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30,929</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4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Total net sales</w:t>
            </w:r>
          </w:p>
        </w:tc>
        <w:tc>
          <w:tcPr>
            <w:tcW w:w="460" w:type="dxa"/>
            <w:vAlign w:val="bottom"/>
            <w:tcBorders>
              <w:bottom w:val="single" w:sz="8" w:color="CCEEFF"/>
            </w:tcBorders>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7"/>
              </w:rPr>
              <w:t>1,560,258</w:t>
            </w:r>
          </w:p>
        </w:tc>
        <w:tc>
          <w:tcPr>
            <w:tcW w:w="120" w:type="dxa"/>
            <w:vAlign w:val="bottom"/>
            <w:tcBorders>
              <w:bottom w:val="single" w:sz="8" w:color="CCEEFF"/>
            </w:tcBorders>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7"/>
              </w:rPr>
              <w:t>1,572,275</w:t>
            </w:r>
          </w:p>
        </w:tc>
        <w:tc>
          <w:tcPr>
            <w:tcW w:w="120" w:type="dxa"/>
            <w:vAlign w:val="bottom"/>
            <w:tcBorders>
              <w:bottom w:val="single" w:sz="8" w:color="CCEEFF"/>
            </w:tcBorders>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7"/>
              </w:rPr>
              <w:t>1,502,958</w:t>
            </w:r>
          </w:p>
        </w:tc>
        <w:tc>
          <w:tcPr>
            <w:tcW w:w="0" w:type="dxa"/>
            <w:vAlign w:val="bottom"/>
          </w:tcPr>
          <w:p>
            <w:pPr>
              <w:spacing w:after="0"/>
              <w:rPr>
                <w:sz w:val="1"/>
                <w:szCs w:val="1"/>
                <w:color w:val="auto"/>
              </w:rPr>
            </w:pPr>
          </w:p>
        </w:tc>
      </w:tr>
      <w:tr>
        <w:trPr>
          <w:trHeight w:val="189"/>
        </w:trPr>
        <w:tc>
          <w:tcPr>
            <w:tcW w:w="20" w:type="dxa"/>
            <w:vAlign w:val="bottom"/>
            <w:vMerge w:val="restart"/>
          </w:tcPr>
          <w:p>
            <w:pPr>
              <w:spacing w:after="0"/>
              <w:rPr>
                <w:sz w:val="16"/>
                <w:szCs w:val="16"/>
                <w:color w:val="auto"/>
              </w:rPr>
            </w:pPr>
          </w:p>
        </w:tc>
        <w:tc>
          <w:tcPr>
            <w:tcW w:w="348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348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Segment operating income</w:t>
            </w:r>
          </w:p>
        </w:tc>
        <w:tc>
          <w:tcPr>
            <w:tcW w:w="4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480" w:type="dxa"/>
            <w:vAlign w:val="bottom"/>
          </w:tcPr>
          <w:p>
            <w:pPr>
              <w:spacing w:after="0"/>
              <w:rPr>
                <w:sz w:val="20"/>
                <w:szCs w:val="20"/>
                <w:color w:val="auto"/>
              </w:rPr>
            </w:pPr>
            <w:r>
              <w:rPr>
                <w:rFonts w:ascii="Arial" w:cs="Arial" w:eastAsia="Arial" w:hAnsi="Arial"/>
                <w:sz w:val="16"/>
                <w:szCs w:val="16"/>
                <w:color w:val="auto"/>
              </w:rPr>
              <w:t>Titleist golf balls</w:t>
            </w:r>
          </w:p>
        </w:tc>
        <w:tc>
          <w:tcPr>
            <w:tcW w:w="54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700" w:type="dxa"/>
            <w:vAlign w:val="bottom"/>
          </w:tcPr>
          <w:p>
            <w:pPr>
              <w:jc w:val="right"/>
              <w:spacing w:after="0"/>
              <w:rPr>
                <w:sz w:val="20"/>
                <w:szCs w:val="20"/>
                <w:color w:val="auto"/>
              </w:rPr>
            </w:pPr>
            <w:r>
              <w:rPr>
                <w:rFonts w:ascii="Arial" w:cs="Arial" w:eastAsia="Arial" w:hAnsi="Arial"/>
                <w:sz w:val="16"/>
                <w:szCs w:val="16"/>
                <w:color w:val="auto"/>
              </w:rPr>
              <w:t>76,870</w:t>
            </w:r>
          </w:p>
        </w:tc>
        <w:tc>
          <w:tcPr>
            <w:tcW w:w="20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700" w:type="dxa"/>
            <w:vAlign w:val="bottom"/>
          </w:tcPr>
          <w:p>
            <w:pPr>
              <w:jc w:val="right"/>
              <w:spacing w:after="0"/>
              <w:rPr>
                <w:sz w:val="20"/>
                <w:szCs w:val="20"/>
                <w:color w:val="auto"/>
              </w:rPr>
            </w:pPr>
            <w:r>
              <w:rPr>
                <w:rFonts w:ascii="Arial" w:cs="Arial" w:eastAsia="Arial" w:hAnsi="Arial"/>
                <w:sz w:val="16"/>
                <w:szCs w:val="16"/>
                <w:color w:val="auto"/>
              </w:rPr>
              <w:t>76,236</w:t>
            </w:r>
          </w:p>
        </w:tc>
        <w:tc>
          <w:tcPr>
            <w:tcW w:w="20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700" w:type="dxa"/>
            <w:vAlign w:val="bottom"/>
          </w:tcPr>
          <w:p>
            <w:pPr>
              <w:jc w:val="right"/>
              <w:spacing w:after="0"/>
              <w:rPr>
                <w:sz w:val="20"/>
                <w:szCs w:val="20"/>
                <w:color w:val="auto"/>
              </w:rPr>
            </w:pPr>
            <w:r>
              <w:rPr>
                <w:rFonts w:ascii="Arial" w:cs="Arial" w:eastAsia="Arial" w:hAnsi="Arial"/>
                <w:sz w:val="16"/>
                <w:szCs w:val="16"/>
                <w:color w:val="auto"/>
              </w:rPr>
              <w:t>92,507</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480" w:type="dxa"/>
            <w:vAlign w:val="bottom"/>
            <w:shd w:val="clear" w:color="auto" w:fill="CCEEFF"/>
          </w:tcPr>
          <w:p>
            <w:pPr>
              <w:spacing w:after="0"/>
              <w:rPr>
                <w:sz w:val="20"/>
                <w:szCs w:val="20"/>
                <w:color w:val="auto"/>
              </w:rPr>
            </w:pPr>
            <w:r>
              <w:rPr>
                <w:rFonts w:ascii="Arial" w:cs="Arial" w:eastAsia="Arial" w:hAnsi="Arial"/>
                <w:sz w:val="16"/>
                <w:szCs w:val="16"/>
                <w:color w:val="auto"/>
              </w:rPr>
              <w:t>Titleist golf clubs</w:t>
            </w:r>
          </w:p>
        </w:tc>
        <w:tc>
          <w:tcPr>
            <w:tcW w:w="4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31,031</w:t>
            </w: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50,500</w:t>
            </w: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33,593</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480" w:type="dxa"/>
            <w:vAlign w:val="bottom"/>
          </w:tcPr>
          <w:p>
            <w:pPr>
              <w:spacing w:after="0"/>
              <w:rPr>
                <w:sz w:val="20"/>
                <w:szCs w:val="20"/>
                <w:color w:val="auto"/>
              </w:rPr>
            </w:pPr>
            <w:r>
              <w:rPr>
                <w:rFonts w:ascii="Arial" w:cs="Arial" w:eastAsia="Arial" w:hAnsi="Arial"/>
                <w:sz w:val="16"/>
                <w:szCs w:val="16"/>
                <w:color w:val="auto"/>
              </w:rPr>
              <w:t>Titleist golf gear</w:t>
            </w:r>
          </w:p>
        </w:tc>
        <w:tc>
          <w:tcPr>
            <w:tcW w:w="4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16,584</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12,119</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12,170</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480" w:type="dxa"/>
            <w:vAlign w:val="bottom"/>
            <w:shd w:val="clear" w:color="auto" w:fill="CCEEFF"/>
          </w:tcPr>
          <w:p>
            <w:pPr>
              <w:spacing w:after="0"/>
              <w:rPr>
                <w:sz w:val="20"/>
                <w:szCs w:val="20"/>
                <w:color w:val="auto"/>
              </w:rPr>
            </w:pPr>
            <w:r>
              <w:rPr>
                <w:rFonts w:ascii="Arial" w:cs="Arial" w:eastAsia="Arial" w:hAnsi="Arial"/>
                <w:sz w:val="16"/>
                <w:szCs w:val="16"/>
                <w:color w:val="auto"/>
              </w:rPr>
              <w:t>FootJoy golf wear</w:t>
            </w:r>
          </w:p>
        </w:tc>
        <w:tc>
          <w:tcPr>
            <w:tcW w:w="4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26,380</w:t>
            </w: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18,979</w:t>
            </w: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26,056</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480" w:type="dxa"/>
            <w:vAlign w:val="bottom"/>
            <w:tcBorders>
              <w:bottom w:val="single" w:sz="8" w:color="CCEEFF"/>
            </w:tcBorders>
          </w:tcPr>
          <w:p>
            <w:pPr>
              <w:spacing w:after="0"/>
              <w:rPr>
                <w:sz w:val="20"/>
                <w:szCs w:val="20"/>
                <w:color w:val="auto"/>
              </w:rPr>
            </w:pPr>
            <w:r>
              <w:rPr>
                <w:rFonts w:ascii="Arial" w:cs="Arial" w:eastAsia="Arial" w:hAnsi="Arial"/>
                <w:sz w:val="16"/>
                <w:szCs w:val="16"/>
                <w:color w:val="auto"/>
              </w:rPr>
              <w:t>Other</w:t>
            </w:r>
          </w:p>
        </w:tc>
        <w:tc>
          <w:tcPr>
            <w:tcW w:w="460" w:type="dxa"/>
            <w:vAlign w:val="bottom"/>
            <w:tcBorders>
              <w:bottom w:val="single" w:sz="8" w:color="CCEEFF"/>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14,863</w:t>
            </w:r>
          </w:p>
        </w:tc>
        <w:tc>
          <w:tcPr>
            <w:tcW w:w="120" w:type="dxa"/>
            <w:vAlign w:val="bottom"/>
            <w:tcBorders>
              <w:bottom w:val="single" w:sz="8" w:color="CCEEFF"/>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7,299</w:t>
            </w:r>
          </w:p>
        </w:tc>
        <w:tc>
          <w:tcPr>
            <w:tcW w:w="120" w:type="dxa"/>
            <w:vAlign w:val="bottom"/>
            <w:tcBorders>
              <w:bottom w:val="single" w:sz="8" w:color="CCEEFF"/>
            </w:tcBorders>
          </w:tcPr>
          <w:p>
            <w:pPr>
              <w:spacing w:after="0"/>
              <w:rPr>
                <w:sz w:val="17"/>
                <w:szCs w:val="17"/>
                <w:color w:val="auto"/>
              </w:rPr>
            </w:pPr>
          </w:p>
        </w:tc>
        <w:tc>
          <w:tcPr>
            <w:tcW w:w="80" w:type="dxa"/>
            <w:vAlign w:val="bottom"/>
            <w:tcBorders>
              <w:bottom w:val="single" w:sz="8" w:color="CCEEFF"/>
            </w:tcBorders>
          </w:tcPr>
          <w:p>
            <w:pPr>
              <w:spacing w:after="0"/>
              <w:rPr>
                <w:sz w:val="17"/>
                <w:szCs w:val="17"/>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4,056</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3480" w:type="dxa"/>
            <w:vAlign w:val="bottom"/>
            <w:shd w:val="clear" w:color="auto" w:fill="CCEEFF"/>
          </w:tcPr>
          <w:p>
            <w:pPr>
              <w:ind w:left="80"/>
              <w:spacing w:after="0"/>
              <w:rPr>
                <w:sz w:val="20"/>
                <w:szCs w:val="20"/>
                <w:color w:val="auto"/>
              </w:rPr>
            </w:pPr>
            <w:r>
              <w:rPr>
                <w:rFonts w:ascii="Arial" w:cs="Arial" w:eastAsia="Arial" w:hAnsi="Arial"/>
                <w:sz w:val="16"/>
                <w:szCs w:val="16"/>
                <w:color w:val="auto"/>
              </w:rPr>
              <w:t>Total segment operating income</w:t>
            </w:r>
          </w:p>
        </w:tc>
        <w:tc>
          <w:tcPr>
            <w:tcW w:w="4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165,728</w:t>
            </w: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165,133</w:t>
            </w: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168,382</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480" w:type="dxa"/>
            <w:vAlign w:val="bottom"/>
          </w:tcPr>
          <w:p>
            <w:pPr>
              <w:spacing w:after="0"/>
              <w:rPr>
                <w:sz w:val="20"/>
                <w:szCs w:val="20"/>
                <w:color w:val="auto"/>
              </w:rPr>
            </w:pPr>
            <w:r>
              <w:rPr>
                <w:rFonts w:ascii="Arial" w:cs="Arial" w:eastAsia="Arial" w:hAnsi="Arial"/>
                <w:sz w:val="16"/>
                <w:szCs w:val="16"/>
                <w:color w:val="auto"/>
              </w:rPr>
              <w:t>Reconciling items:</w:t>
            </w:r>
          </w:p>
        </w:tc>
        <w:tc>
          <w:tcPr>
            <w:tcW w:w="4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480" w:type="dxa"/>
            <w:vAlign w:val="bottom"/>
            <w:shd w:val="clear" w:color="auto" w:fill="CCEEFF"/>
          </w:tcPr>
          <w:p>
            <w:pPr>
              <w:ind w:left="80"/>
              <w:spacing w:after="0"/>
              <w:rPr>
                <w:sz w:val="20"/>
                <w:szCs w:val="20"/>
                <w:color w:val="auto"/>
              </w:rPr>
            </w:pPr>
            <w:r>
              <w:rPr>
                <w:rFonts w:ascii="Arial" w:cs="Arial" w:eastAsia="Arial" w:hAnsi="Arial"/>
                <w:sz w:val="16"/>
                <w:szCs w:val="16"/>
                <w:color w:val="auto"/>
              </w:rPr>
              <w:t>Interest expense, net</w:t>
            </w:r>
          </w:p>
        </w:tc>
        <w:tc>
          <w:tcPr>
            <w:tcW w:w="4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(15,709)</w:t>
            </w: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(49,908)</w:t>
            </w: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(60,294)</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480" w:type="dxa"/>
            <w:vAlign w:val="bottom"/>
          </w:tcPr>
          <w:p>
            <w:pPr>
              <w:ind w:left="80"/>
              <w:spacing w:after="0"/>
              <w:rPr>
                <w:sz w:val="20"/>
                <w:szCs w:val="20"/>
                <w:color w:val="auto"/>
              </w:rPr>
            </w:pPr>
            <w:r>
              <w:rPr>
                <w:rFonts w:ascii="Arial" w:cs="Arial" w:eastAsia="Arial" w:hAnsi="Arial"/>
                <w:sz w:val="16"/>
                <w:szCs w:val="16"/>
                <w:color w:val="auto"/>
              </w:rPr>
              <w:t>EAR expense</w:t>
            </w:r>
          </w:p>
        </w:tc>
        <w:tc>
          <w:tcPr>
            <w:tcW w:w="4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(6,047)</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(45,814)</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480" w:type="dxa"/>
            <w:vAlign w:val="bottom"/>
            <w:shd w:val="clear" w:color="auto" w:fill="CCEEFF"/>
          </w:tcPr>
          <w:p>
            <w:pPr>
              <w:ind w:left="80"/>
              <w:spacing w:after="0"/>
              <w:rPr>
                <w:sz w:val="20"/>
                <w:szCs w:val="20"/>
                <w:color w:val="auto"/>
              </w:rPr>
            </w:pPr>
            <w:r>
              <w:rPr>
                <w:rFonts w:ascii="Arial" w:cs="Arial" w:eastAsia="Arial" w:hAnsi="Arial"/>
                <w:sz w:val="16"/>
                <w:szCs w:val="16"/>
                <w:color w:val="auto"/>
              </w:rPr>
              <w:t>Loss on fair value of common stock warrants</w:t>
            </w:r>
          </w:p>
        </w:tc>
        <w:tc>
          <w:tcPr>
            <w:tcW w:w="4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(6,112)</w:t>
            </w: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(28,364)</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480" w:type="dxa"/>
            <w:vAlign w:val="bottom"/>
          </w:tcPr>
          <w:p>
            <w:pPr>
              <w:ind w:left="80"/>
              <w:spacing w:after="0"/>
              <w:rPr>
                <w:sz w:val="20"/>
                <w:szCs w:val="20"/>
                <w:color w:val="auto"/>
              </w:rPr>
            </w:pPr>
            <w:r>
              <w:rPr>
                <w:rFonts w:ascii="Arial" w:cs="Arial" w:eastAsia="Arial" w:hAnsi="Arial"/>
                <w:sz w:val="16"/>
                <w:szCs w:val="16"/>
                <w:color w:val="auto"/>
              </w:rPr>
              <w:t>Transaction fees</w:t>
            </w:r>
          </w:p>
        </w:tc>
        <w:tc>
          <w:tcPr>
            <w:tcW w:w="4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(686)</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(16,817)</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(2,141)</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480" w:type="dxa"/>
            <w:vAlign w:val="bottom"/>
            <w:shd w:val="clear" w:color="auto" w:fill="CCEEFF"/>
          </w:tcPr>
          <w:p>
            <w:pPr>
              <w:ind w:left="80"/>
              <w:spacing w:after="0"/>
              <w:rPr>
                <w:sz w:val="20"/>
                <w:szCs w:val="20"/>
                <w:color w:val="auto"/>
              </w:rPr>
            </w:pPr>
            <w:r>
              <w:rPr>
                <w:rFonts w:ascii="Arial" w:cs="Arial" w:eastAsia="Arial" w:hAnsi="Arial"/>
                <w:sz w:val="16"/>
                <w:szCs w:val="16"/>
                <w:color w:val="auto"/>
              </w:rPr>
              <w:t>Other</w:t>
            </w:r>
          </w:p>
        </w:tc>
        <w:tc>
          <w:tcPr>
            <w:tcW w:w="460" w:type="dxa"/>
            <w:vAlign w:val="bottom"/>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spacing w:after="0"/>
              <w:rPr>
                <w:sz w:val="17"/>
                <w:szCs w:val="17"/>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2,343</w:t>
            </w:r>
          </w:p>
        </w:tc>
        <w:tc>
          <w:tcPr>
            <w:tcW w:w="120" w:type="dxa"/>
            <w:vAlign w:val="bottom"/>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spacing w:after="0"/>
              <w:rPr>
                <w:sz w:val="17"/>
                <w:szCs w:val="17"/>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2,973</w:t>
            </w:r>
          </w:p>
        </w:tc>
        <w:tc>
          <w:tcPr>
            <w:tcW w:w="120" w:type="dxa"/>
            <w:vAlign w:val="bottom"/>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spacing w:after="0"/>
              <w:rPr>
                <w:sz w:val="17"/>
                <w:szCs w:val="17"/>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381</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480" w:type="dxa"/>
            <w:vAlign w:val="bottom"/>
          </w:tcPr>
          <w:p>
            <w:pPr>
              <w:ind w:left="180"/>
              <w:spacing w:after="0"/>
              <w:rPr>
                <w:sz w:val="20"/>
                <w:szCs w:val="20"/>
                <w:color w:val="auto"/>
              </w:rPr>
            </w:pPr>
            <w:r>
              <w:rPr>
                <w:rFonts w:ascii="Arial" w:cs="Arial" w:eastAsia="Arial" w:hAnsi="Arial"/>
                <w:sz w:val="16"/>
                <w:szCs w:val="16"/>
                <w:color w:val="auto"/>
              </w:rPr>
              <w:t>Total income before income tax</w:t>
            </w:r>
          </w:p>
        </w:tc>
        <w:tc>
          <w:tcPr>
            <w:tcW w:w="460" w:type="dxa"/>
            <w:vAlign w:val="bottom"/>
          </w:tcPr>
          <w:p>
            <w:pPr>
              <w:spacing w:after="0"/>
              <w:rPr>
                <w:sz w:val="17"/>
                <w:szCs w:val="17"/>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151,676</w:t>
            </w:r>
          </w:p>
        </w:tc>
        <w:tc>
          <w:tcPr>
            <w:tcW w:w="120" w:type="dxa"/>
            <w:vAlign w:val="bottom"/>
          </w:tcPr>
          <w:p>
            <w:pPr>
              <w:spacing w:after="0"/>
              <w:rPr>
                <w:sz w:val="17"/>
                <w:szCs w:val="17"/>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89,222</w:t>
            </w:r>
          </w:p>
        </w:tc>
        <w:tc>
          <w:tcPr>
            <w:tcW w:w="120" w:type="dxa"/>
            <w:vAlign w:val="bottom"/>
          </w:tcPr>
          <w:p>
            <w:pPr>
              <w:spacing w:after="0"/>
              <w:rPr>
                <w:sz w:val="17"/>
                <w:szCs w:val="17"/>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32,150</w:t>
            </w:r>
          </w:p>
        </w:tc>
        <w:tc>
          <w:tcPr>
            <w:tcW w:w="0" w:type="dxa"/>
            <w:vAlign w:val="bottom"/>
          </w:tcPr>
          <w:p>
            <w:pPr>
              <w:spacing w:after="0"/>
              <w:rPr>
                <w:sz w:val="1"/>
                <w:szCs w:val="1"/>
                <w:color w:val="auto"/>
              </w:rPr>
            </w:pPr>
          </w:p>
        </w:tc>
      </w:tr>
      <w:tr>
        <w:trPr>
          <w:trHeight w:val="189"/>
        </w:trPr>
        <w:tc>
          <w:tcPr>
            <w:tcW w:w="20" w:type="dxa"/>
            <w:vAlign w:val="bottom"/>
            <w:vMerge w:val="restart"/>
          </w:tcPr>
          <w:p>
            <w:pPr>
              <w:spacing w:after="0"/>
              <w:rPr>
                <w:sz w:val="16"/>
                <w:szCs w:val="16"/>
                <w:color w:val="auto"/>
              </w:rPr>
            </w:pPr>
          </w:p>
        </w:tc>
        <w:tc>
          <w:tcPr>
            <w:tcW w:w="348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348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Depreciation and amortization</w:t>
            </w:r>
          </w:p>
        </w:tc>
        <w:tc>
          <w:tcPr>
            <w:tcW w:w="4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480" w:type="dxa"/>
            <w:vAlign w:val="bottom"/>
          </w:tcPr>
          <w:p>
            <w:pPr>
              <w:spacing w:after="0"/>
              <w:rPr>
                <w:sz w:val="20"/>
                <w:szCs w:val="20"/>
                <w:color w:val="auto"/>
              </w:rPr>
            </w:pPr>
            <w:r>
              <w:rPr>
                <w:rFonts w:ascii="Arial" w:cs="Arial" w:eastAsia="Arial" w:hAnsi="Arial"/>
                <w:sz w:val="16"/>
                <w:szCs w:val="16"/>
                <w:color w:val="auto"/>
              </w:rPr>
              <w:t>Titleist golf balls</w:t>
            </w:r>
          </w:p>
        </w:tc>
        <w:tc>
          <w:tcPr>
            <w:tcW w:w="54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700" w:type="dxa"/>
            <w:vAlign w:val="bottom"/>
          </w:tcPr>
          <w:p>
            <w:pPr>
              <w:jc w:val="right"/>
              <w:spacing w:after="0"/>
              <w:rPr>
                <w:sz w:val="20"/>
                <w:szCs w:val="20"/>
                <w:color w:val="auto"/>
              </w:rPr>
            </w:pPr>
            <w:r>
              <w:rPr>
                <w:rFonts w:ascii="Arial" w:cs="Arial" w:eastAsia="Arial" w:hAnsi="Arial"/>
                <w:sz w:val="16"/>
                <w:szCs w:val="16"/>
                <w:color w:val="auto"/>
              </w:rPr>
              <w:t>25,545</w:t>
            </w:r>
          </w:p>
        </w:tc>
        <w:tc>
          <w:tcPr>
            <w:tcW w:w="20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700" w:type="dxa"/>
            <w:vAlign w:val="bottom"/>
          </w:tcPr>
          <w:p>
            <w:pPr>
              <w:jc w:val="right"/>
              <w:spacing w:after="0"/>
              <w:rPr>
                <w:sz w:val="20"/>
                <w:szCs w:val="20"/>
                <w:color w:val="auto"/>
              </w:rPr>
            </w:pPr>
            <w:r>
              <w:rPr>
                <w:rFonts w:ascii="Arial" w:cs="Arial" w:eastAsia="Arial" w:hAnsi="Arial"/>
                <w:sz w:val="16"/>
                <w:szCs w:val="16"/>
                <w:color w:val="auto"/>
              </w:rPr>
              <w:t>26,104</w:t>
            </w:r>
          </w:p>
        </w:tc>
        <w:tc>
          <w:tcPr>
            <w:tcW w:w="20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700" w:type="dxa"/>
            <w:vAlign w:val="bottom"/>
          </w:tcPr>
          <w:p>
            <w:pPr>
              <w:jc w:val="right"/>
              <w:spacing w:after="0"/>
              <w:rPr>
                <w:sz w:val="20"/>
                <w:szCs w:val="20"/>
                <w:color w:val="auto"/>
              </w:rPr>
            </w:pPr>
            <w:r>
              <w:rPr>
                <w:rFonts w:ascii="Arial" w:cs="Arial" w:eastAsia="Arial" w:hAnsi="Arial"/>
                <w:sz w:val="16"/>
                <w:szCs w:val="16"/>
                <w:color w:val="auto"/>
              </w:rPr>
              <w:t>26,962</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480" w:type="dxa"/>
            <w:vAlign w:val="bottom"/>
            <w:shd w:val="clear" w:color="auto" w:fill="CCEEFF"/>
          </w:tcPr>
          <w:p>
            <w:pPr>
              <w:spacing w:after="0"/>
              <w:rPr>
                <w:sz w:val="20"/>
                <w:szCs w:val="20"/>
                <w:color w:val="auto"/>
              </w:rPr>
            </w:pPr>
            <w:r>
              <w:rPr>
                <w:rFonts w:ascii="Arial" w:cs="Arial" w:eastAsia="Arial" w:hAnsi="Arial"/>
                <w:sz w:val="16"/>
                <w:szCs w:val="16"/>
                <w:color w:val="auto"/>
              </w:rPr>
              <w:t>Titleist golf clubs</w:t>
            </w:r>
          </w:p>
        </w:tc>
        <w:tc>
          <w:tcPr>
            <w:tcW w:w="4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7,233</w:t>
            </w: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7,021</w:t>
            </w: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7,060</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480" w:type="dxa"/>
            <w:vAlign w:val="bottom"/>
          </w:tcPr>
          <w:p>
            <w:pPr>
              <w:spacing w:after="0"/>
              <w:rPr>
                <w:sz w:val="20"/>
                <w:szCs w:val="20"/>
                <w:color w:val="auto"/>
              </w:rPr>
            </w:pPr>
            <w:r>
              <w:rPr>
                <w:rFonts w:ascii="Arial" w:cs="Arial" w:eastAsia="Arial" w:hAnsi="Arial"/>
                <w:sz w:val="16"/>
                <w:szCs w:val="16"/>
                <w:color w:val="auto"/>
              </w:rPr>
              <w:t>Titleist golf gear</w:t>
            </w:r>
          </w:p>
        </w:tc>
        <w:tc>
          <w:tcPr>
            <w:tcW w:w="4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1,425</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1,250</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1,368</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480" w:type="dxa"/>
            <w:vAlign w:val="bottom"/>
            <w:shd w:val="clear" w:color="auto" w:fill="CCEEFF"/>
          </w:tcPr>
          <w:p>
            <w:pPr>
              <w:spacing w:after="0"/>
              <w:rPr>
                <w:sz w:val="20"/>
                <w:szCs w:val="20"/>
                <w:color w:val="auto"/>
              </w:rPr>
            </w:pPr>
            <w:r>
              <w:rPr>
                <w:rFonts w:ascii="Arial" w:cs="Arial" w:eastAsia="Arial" w:hAnsi="Arial"/>
                <w:sz w:val="16"/>
                <w:szCs w:val="16"/>
                <w:color w:val="auto"/>
              </w:rPr>
              <w:t>FootJoy golf wear</w:t>
            </w:r>
          </w:p>
        </w:tc>
        <w:tc>
          <w:tcPr>
            <w:tcW w:w="4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6,058</w:t>
            </w: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5,759</w:t>
            </w: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5,540</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480" w:type="dxa"/>
            <w:vAlign w:val="bottom"/>
            <w:tcBorders>
              <w:bottom w:val="single" w:sz="8" w:color="CCEEFF"/>
            </w:tcBorders>
          </w:tcPr>
          <w:p>
            <w:pPr>
              <w:spacing w:after="0"/>
              <w:rPr>
                <w:sz w:val="20"/>
                <w:szCs w:val="20"/>
                <w:color w:val="auto"/>
              </w:rPr>
            </w:pPr>
            <w:r>
              <w:rPr>
                <w:rFonts w:ascii="Arial" w:cs="Arial" w:eastAsia="Arial" w:hAnsi="Arial"/>
                <w:sz w:val="16"/>
                <w:szCs w:val="16"/>
                <w:color w:val="auto"/>
              </w:rPr>
              <w:t>Other</w:t>
            </w:r>
          </w:p>
        </w:tc>
        <w:tc>
          <w:tcPr>
            <w:tcW w:w="460" w:type="dxa"/>
            <w:vAlign w:val="bottom"/>
            <w:tcBorders>
              <w:bottom w:val="single" w:sz="8" w:color="CCEEFF"/>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610</w:t>
            </w:r>
          </w:p>
        </w:tc>
        <w:tc>
          <w:tcPr>
            <w:tcW w:w="120" w:type="dxa"/>
            <w:vAlign w:val="bottom"/>
            <w:tcBorders>
              <w:bottom w:val="single" w:sz="8" w:color="CCEEFF"/>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700</w:t>
            </w:r>
          </w:p>
        </w:tc>
        <w:tc>
          <w:tcPr>
            <w:tcW w:w="120" w:type="dxa"/>
            <w:vAlign w:val="bottom"/>
            <w:tcBorders>
              <w:bottom w:val="single" w:sz="8" w:color="CCEEFF"/>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772</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4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b w:val="1"/>
                <w:bCs w:val="1"/>
                <w:color w:val="auto"/>
              </w:rPr>
              <w:t>Total depreciation and amortization</w:t>
            </w:r>
          </w:p>
        </w:tc>
        <w:tc>
          <w:tcPr>
            <w:tcW w:w="460" w:type="dxa"/>
            <w:vAlign w:val="bottom"/>
            <w:tcBorders>
              <w:bottom w:val="single" w:sz="8" w:color="CCEEFF"/>
            </w:tcBorders>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40,871</w:t>
            </w:r>
          </w:p>
        </w:tc>
        <w:tc>
          <w:tcPr>
            <w:tcW w:w="120" w:type="dxa"/>
            <w:vAlign w:val="bottom"/>
            <w:tcBorders>
              <w:bottom w:val="single" w:sz="8" w:color="CCEEFF"/>
            </w:tcBorders>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40,834</w:t>
            </w:r>
          </w:p>
        </w:tc>
        <w:tc>
          <w:tcPr>
            <w:tcW w:w="120" w:type="dxa"/>
            <w:vAlign w:val="bottom"/>
            <w:tcBorders>
              <w:bottom w:val="single" w:sz="8" w:color="CCEEFF"/>
            </w:tcBorders>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41,702</w:t>
            </w:r>
          </w:p>
        </w:tc>
        <w:tc>
          <w:tcPr>
            <w:tcW w:w="0" w:type="dxa"/>
            <w:vAlign w:val="bottom"/>
          </w:tcPr>
          <w:p>
            <w:pPr>
              <w:spacing w:after="0"/>
              <w:rPr>
                <w:sz w:val="1"/>
                <w:szCs w:val="1"/>
                <w:color w:val="auto"/>
              </w:rPr>
            </w:pPr>
          </w:p>
        </w:tc>
      </w:tr>
    </w:tbl>
    <w:p>
      <w:pPr>
        <w:spacing w:after="0" w:line="215" w:lineRule="exact"/>
        <w:rPr>
          <w:sz w:val="20"/>
          <w:szCs w:val="20"/>
          <w:color w:val="auto"/>
        </w:rPr>
      </w:pPr>
    </w:p>
    <w:p>
      <w:pPr>
        <w:ind w:left="1240" w:right="1579" w:firstLine="648"/>
        <w:spacing w:after="0" w:line="264" w:lineRule="auto"/>
        <w:rPr>
          <w:sz w:val="20"/>
          <w:szCs w:val="20"/>
          <w:color w:val="auto"/>
        </w:rPr>
      </w:pPr>
      <w:r>
        <w:rPr>
          <w:rFonts w:ascii="Arial" w:cs="Arial" w:eastAsia="Arial" w:hAnsi="Arial"/>
          <w:sz w:val="18"/>
          <w:szCs w:val="18"/>
          <w:color w:val="auto"/>
        </w:rPr>
        <w:t>Information as to the Company’s operations in different geographical areas is presented below. Net sales are categorized based on the location in which the sale originates.</w:t>
      </w:r>
    </w:p>
    <w:p>
      <w:pPr>
        <w:spacing w:after="0" w:line="24" w:lineRule="exact"/>
        <w:rPr>
          <w:sz w:val="20"/>
          <w:szCs w:val="20"/>
          <w:color w:val="auto"/>
        </w:rPr>
      </w:pPr>
    </w:p>
    <w:tbl>
      <w:tblPr>
        <w:tblLayout w:type="fixed"/>
        <w:tblInd w:w="1240" w:type="dxa"/>
        <w:tblCellMar>
          <w:top w:w="0" w:type="dxa"/>
          <w:left w:w="0" w:type="dxa"/>
          <w:bottom w:w="0" w:type="dxa"/>
          <w:right w:w="0" w:type="dxa"/>
        </w:tblCellMar>
      </w:tblPr>
      <w:tr>
        <w:trPr>
          <w:trHeight w:val="171"/>
        </w:trPr>
        <w:tc>
          <w:tcPr>
            <w:tcW w:w="1640" w:type="dxa"/>
            <w:vAlign w:val="bottom"/>
            <w:vMerge w:val="restart"/>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22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560" w:type="dxa"/>
            <w:vAlign w:val="bottom"/>
            <w:tcBorders>
              <w:bottom w:val="single" w:sz="8" w:color="auto"/>
            </w:tcBorders>
            <w:gridSpan w:val="7"/>
          </w:tcPr>
          <w:p>
            <w:pPr>
              <w:jc w:val="right"/>
              <w:ind w:right="480"/>
              <w:spacing w:after="0"/>
              <w:rPr>
                <w:sz w:val="20"/>
                <w:szCs w:val="20"/>
                <w:color w:val="auto"/>
              </w:rPr>
            </w:pPr>
            <w:r>
              <w:rPr>
                <w:rFonts w:ascii="Arial" w:cs="Arial" w:eastAsia="Arial" w:hAnsi="Arial"/>
                <w:sz w:val="14"/>
                <w:szCs w:val="14"/>
                <w:b w:val="1"/>
                <w:bCs w:val="1"/>
                <w:color w:val="auto"/>
              </w:rPr>
              <w:t>Year ended December 31,</w:t>
            </w:r>
          </w:p>
        </w:tc>
        <w:tc>
          <w:tcPr>
            <w:tcW w:w="0" w:type="dxa"/>
            <w:vAlign w:val="bottom"/>
          </w:tcPr>
          <w:p>
            <w:pPr>
              <w:spacing w:after="0"/>
              <w:rPr>
                <w:sz w:val="1"/>
                <w:szCs w:val="1"/>
                <w:color w:val="auto"/>
              </w:rPr>
            </w:pPr>
          </w:p>
        </w:tc>
      </w:tr>
      <w:tr>
        <w:trPr>
          <w:trHeight w:val="142"/>
        </w:trPr>
        <w:tc>
          <w:tcPr>
            <w:tcW w:w="1640" w:type="dxa"/>
            <w:vAlign w:val="bottom"/>
            <w:tcBorders>
              <w:bottom w:val="single" w:sz="8" w:color="CCEEFF"/>
            </w:tcBorders>
            <w:vMerge w:val="continue"/>
          </w:tcPr>
          <w:p>
            <w:pPr>
              <w:spacing w:after="0"/>
              <w:rPr>
                <w:sz w:val="12"/>
                <w:szCs w:val="12"/>
                <w:color w:val="auto"/>
              </w:rPr>
            </w:pPr>
          </w:p>
        </w:tc>
        <w:tc>
          <w:tcPr>
            <w:tcW w:w="2260" w:type="dxa"/>
            <w:vAlign w:val="bottom"/>
            <w:tcBorders>
              <w:bottom w:val="single" w:sz="8" w:color="CCEEFF"/>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jc w:val="right"/>
              <w:ind w:right="161"/>
              <w:spacing w:after="0" w:line="142" w:lineRule="exact"/>
              <w:rPr>
                <w:sz w:val="20"/>
                <w:szCs w:val="20"/>
                <w:color w:val="auto"/>
              </w:rPr>
            </w:pPr>
            <w:r>
              <w:rPr>
                <w:rFonts w:ascii="Arial" w:cs="Arial" w:eastAsia="Arial" w:hAnsi="Arial"/>
                <w:sz w:val="14"/>
                <w:szCs w:val="14"/>
                <w:b w:val="1"/>
                <w:bCs w:val="1"/>
                <w:color w:val="auto"/>
              </w:rPr>
              <w:t>2017</w:t>
            </w:r>
          </w:p>
        </w:tc>
        <w:tc>
          <w:tcPr>
            <w:tcW w:w="160" w:type="dxa"/>
            <w:vAlign w:val="bottom"/>
            <w:tcBorders>
              <w:bottom w:val="single" w:sz="8" w:color="CCEEFF"/>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720" w:type="dxa"/>
            <w:vAlign w:val="bottom"/>
            <w:tcBorders>
              <w:bottom w:val="single" w:sz="8" w:color="auto"/>
            </w:tcBorders>
          </w:tcPr>
          <w:p>
            <w:pPr>
              <w:jc w:val="right"/>
              <w:ind w:right="180"/>
              <w:spacing w:after="0" w:line="142" w:lineRule="exact"/>
              <w:rPr>
                <w:sz w:val="20"/>
                <w:szCs w:val="20"/>
                <w:color w:val="auto"/>
              </w:rPr>
            </w:pPr>
            <w:r>
              <w:rPr>
                <w:rFonts w:ascii="Arial" w:cs="Arial" w:eastAsia="Arial" w:hAnsi="Arial"/>
                <w:sz w:val="14"/>
                <w:szCs w:val="14"/>
                <w:b w:val="1"/>
                <w:bCs w:val="1"/>
                <w:color w:val="auto"/>
              </w:rPr>
              <w:t>2016</w:t>
            </w:r>
          </w:p>
        </w:tc>
        <w:tc>
          <w:tcPr>
            <w:tcW w:w="140" w:type="dxa"/>
            <w:vAlign w:val="bottom"/>
            <w:tcBorders>
              <w:bottom w:val="single" w:sz="8" w:color="CCEEFF"/>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jc w:val="right"/>
              <w:ind w:right="160"/>
              <w:spacing w:after="0" w:line="142" w:lineRule="exact"/>
              <w:rPr>
                <w:sz w:val="20"/>
                <w:szCs w:val="20"/>
                <w:color w:val="auto"/>
              </w:rPr>
            </w:pPr>
            <w:r>
              <w:rPr>
                <w:rFonts w:ascii="Arial" w:cs="Arial" w:eastAsia="Arial" w:hAnsi="Arial"/>
                <w:sz w:val="14"/>
                <w:szCs w:val="14"/>
                <w:b w:val="1"/>
                <w:bCs w:val="1"/>
                <w:color w:val="auto"/>
              </w:rPr>
              <w:t>2015</w:t>
            </w:r>
          </w:p>
        </w:tc>
        <w:tc>
          <w:tcPr>
            <w:tcW w:w="0" w:type="dxa"/>
            <w:vAlign w:val="bottom"/>
          </w:tcPr>
          <w:p>
            <w:pPr>
              <w:spacing w:after="0"/>
              <w:rPr>
                <w:sz w:val="1"/>
                <w:szCs w:val="1"/>
                <w:color w:val="auto"/>
              </w:rPr>
            </w:pPr>
          </w:p>
        </w:tc>
      </w:tr>
      <w:tr>
        <w:trPr>
          <w:trHeight w:val="183"/>
        </w:trPr>
        <w:tc>
          <w:tcPr>
            <w:tcW w:w="1640" w:type="dxa"/>
            <w:vAlign w:val="bottom"/>
            <w:shd w:val="clear" w:color="auto" w:fill="CCEEFF"/>
          </w:tcPr>
          <w:p>
            <w:pPr>
              <w:spacing w:after="0" w:line="183" w:lineRule="exact"/>
              <w:rPr>
                <w:sz w:val="20"/>
                <w:szCs w:val="20"/>
                <w:color w:val="auto"/>
              </w:rPr>
            </w:pPr>
            <w:r>
              <w:rPr>
                <w:rFonts w:ascii="Arial" w:cs="Arial" w:eastAsia="Arial" w:hAnsi="Arial"/>
                <w:sz w:val="16"/>
                <w:szCs w:val="16"/>
                <w:b w:val="1"/>
                <w:bCs w:val="1"/>
                <w:color w:val="auto"/>
              </w:rPr>
              <w:t>Net sales</w:t>
            </w:r>
          </w:p>
        </w:tc>
        <w:tc>
          <w:tcPr>
            <w:tcW w:w="226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70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72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70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1640" w:type="dxa"/>
            <w:vAlign w:val="bottom"/>
          </w:tcPr>
          <w:p>
            <w:pPr>
              <w:ind w:left="100"/>
              <w:spacing w:after="0"/>
              <w:rPr>
                <w:sz w:val="20"/>
                <w:szCs w:val="20"/>
                <w:color w:val="auto"/>
              </w:rPr>
            </w:pPr>
            <w:r>
              <w:rPr>
                <w:rFonts w:ascii="Arial" w:cs="Arial" w:eastAsia="Arial" w:hAnsi="Arial"/>
                <w:sz w:val="16"/>
                <w:szCs w:val="16"/>
                <w:color w:val="auto"/>
              </w:rPr>
              <w:t>United States</w:t>
            </w:r>
          </w:p>
        </w:tc>
        <w:tc>
          <w:tcPr>
            <w:tcW w:w="234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700" w:type="dxa"/>
            <w:vAlign w:val="bottom"/>
          </w:tcPr>
          <w:p>
            <w:pPr>
              <w:jc w:val="right"/>
              <w:spacing w:after="0"/>
              <w:rPr>
                <w:sz w:val="20"/>
                <w:szCs w:val="20"/>
                <w:color w:val="auto"/>
              </w:rPr>
            </w:pPr>
            <w:r>
              <w:rPr>
                <w:rFonts w:ascii="Arial" w:cs="Arial" w:eastAsia="Arial" w:hAnsi="Arial"/>
                <w:sz w:val="16"/>
                <w:szCs w:val="16"/>
                <w:color w:val="auto"/>
              </w:rPr>
              <w:t>789,879</w:t>
            </w:r>
          </w:p>
        </w:tc>
        <w:tc>
          <w:tcPr>
            <w:tcW w:w="22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720" w:type="dxa"/>
            <w:vAlign w:val="bottom"/>
          </w:tcPr>
          <w:p>
            <w:pPr>
              <w:jc w:val="right"/>
              <w:spacing w:after="0"/>
              <w:rPr>
                <w:sz w:val="20"/>
                <w:szCs w:val="20"/>
                <w:color w:val="auto"/>
              </w:rPr>
            </w:pPr>
            <w:r>
              <w:rPr>
                <w:rFonts w:ascii="Arial" w:cs="Arial" w:eastAsia="Arial" w:hAnsi="Arial"/>
                <w:sz w:val="16"/>
                <w:szCs w:val="16"/>
                <w:color w:val="auto"/>
              </w:rPr>
              <w:t>804,516</w:t>
            </w:r>
          </w:p>
        </w:tc>
        <w:tc>
          <w:tcPr>
            <w:tcW w:w="22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700" w:type="dxa"/>
            <w:vAlign w:val="bottom"/>
          </w:tcPr>
          <w:p>
            <w:pPr>
              <w:jc w:val="right"/>
              <w:spacing w:after="0"/>
              <w:rPr>
                <w:sz w:val="20"/>
                <w:szCs w:val="20"/>
                <w:color w:val="auto"/>
              </w:rPr>
            </w:pPr>
            <w:r>
              <w:rPr>
                <w:rFonts w:ascii="Arial" w:cs="Arial" w:eastAsia="Arial" w:hAnsi="Arial"/>
                <w:sz w:val="16"/>
                <w:szCs w:val="16"/>
                <w:color w:val="auto"/>
              </w:rPr>
              <w:t>805,470</w:t>
            </w:r>
          </w:p>
        </w:tc>
        <w:tc>
          <w:tcPr>
            <w:tcW w:w="0" w:type="dxa"/>
            <w:vAlign w:val="bottom"/>
          </w:tcPr>
          <w:p>
            <w:pPr>
              <w:spacing w:after="0"/>
              <w:rPr>
                <w:sz w:val="1"/>
                <w:szCs w:val="1"/>
                <w:color w:val="auto"/>
              </w:rPr>
            </w:pPr>
          </w:p>
        </w:tc>
      </w:tr>
      <w:tr>
        <w:trPr>
          <w:trHeight w:val="203"/>
        </w:trPr>
        <w:tc>
          <w:tcPr>
            <w:tcW w:w="1640" w:type="dxa"/>
            <w:vAlign w:val="bottom"/>
            <w:shd w:val="clear" w:color="auto" w:fill="CCEEFF"/>
          </w:tcPr>
          <w:p>
            <w:pPr>
              <w:ind w:left="100"/>
              <w:spacing w:after="0"/>
              <w:rPr>
                <w:sz w:val="20"/>
                <w:szCs w:val="20"/>
                <w:color w:val="auto"/>
              </w:rPr>
            </w:pPr>
            <w:r>
              <w:rPr>
                <w:rFonts w:ascii="Arial" w:cs="Arial" w:eastAsia="Arial" w:hAnsi="Arial"/>
                <w:sz w:val="16"/>
                <w:szCs w:val="16"/>
                <w:color w:val="auto"/>
              </w:rPr>
              <w:t>EMEA (1)</w:t>
            </w:r>
          </w:p>
        </w:tc>
        <w:tc>
          <w:tcPr>
            <w:tcW w:w="22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205,200</w:t>
            </w:r>
          </w:p>
        </w:tc>
        <w:tc>
          <w:tcPr>
            <w:tcW w:w="1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210,088</w:t>
            </w: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201,106</w:t>
            </w:r>
          </w:p>
        </w:tc>
        <w:tc>
          <w:tcPr>
            <w:tcW w:w="0" w:type="dxa"/>
            <w:vAlign w:val="bottom"/>
          </w:tcPr>
          <w:p>
            <w:pPr>
              <w:spacing w:after="0"/>
              <w:rPr>
                <w:sz w:val="1"/>
                <w:szCs w:val="1"/>
                <w:color w:val="auto"/>
              </w:rPr>
            </w:pPr>
          </w:p>
        </w:tc>
      </w:tr>
      <w:tr>
        <w:trPr>
          <w:trHeight w:val="203"/>
        </w:trPr>
        <w:tc>
          <w:tcPr>
            <w:tcW w:w="1640" w:type="dxa"/>
            <w:vAlign w:val="bottom"/>
          </w:tcPr>
          <w:p>
            <w:pPr>
              <w:ind w:left="100"/>
              <w:spacing w:after="0"/>
              <w:rPr>
                <w:sz w:val="20"/>
                <w:szCs w:val="20"/>
                <w:color w:val="auto"/>
              </w:rPr>
            </w:pPr>
            <w:r>
              <w:rPr>
                <w:rFonts w:ascii="Arial" w:cs="Arial" w:eastAsia="Arial" w:hAnsi="Arial"/>
                <w:sz w:val="16"/>
                <w:szCs w:val="16"/>
                <w:color w:val="auto"/>
              </w:rPr>
              <w:t>Japan</w:t>
            </w:r>
          </w:p>
        </w:tc>
        <w:tc>
          <w:tcPr>
            <w:tcW w:w="22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201,264</w:t>
            </w:r>
          </w:p>
        </w:tc>
        <w:tc>
          <w:tcPr>
            <w:tcW w:w="1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219,021</w:t>
            </w: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182,163</w:t>
            </w:r>
          </w:p>
        </w:tc>
        <w:tc>
          <w:tcPr>
            <w:tcW w:w="0" w:type="dxa"/>
            <w:vAlign w:val="bottom"/>
          </w:tcPr>
          <w:p>
            <w:pPr>
              <w:spacing w:after="0"/>
              <w:rPr>
                <w:sz w:val="1"/>
                <w:szCs w:val="1"/>
                <w:color w:val="auto"/>
              </w:rPr>
            </w:pPr>
          </w:p>
        </w:tc>
      </w:tr>
      <w:tr>
        <w:trPr>
          <w:trHeight w:val="203"/>
        </w:trPr>
        <w:tc>
          <w:tcPr>
            <w:tcW w:w="1640" w:type="dxa"/>
            <w:vAlign w:val="bottom"/>
            <w:shd w:val="clear" w:color="auto" w:fill="CCEEFF"/>
          </w:tcPr>
          <w:p>
            <w:pPr>
              <w:ind w:left="100"/>
              <w:spacing w:after="0"/>
              <w:rPr>
                <w:sz w:val="20"/>
                <w:szCs w:val="20"/>
                <w:color w:val="auto"/>
              </w:rPr>
            </w:pPr>
            <w:r>
              <w:rPr>
                <w:rFonts w:ascii="Arial" w:cs="Arial" w:eastAsia="Arial" w:hAnsi="Arial"/>
                <w:sz w:val="16"/>
                <w:szCs w:val="16"/>
                <w:color w:val="auto"/>
              </w:rPr>
              <w:t>Korea</w:t>
            </w:r>
          </w:p>
        </w:tc>
        <w:tc>
          <w:tcPr>
            <w:tcW w:w="22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200,394</w:t>
            </w:r>
          </w:p>
        </w:tc>
        <w:tc>
          <w:tcPr>
            <w:tcW w:w="1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175,956</w:t>
            </w: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144,956</w:t>
            </w:r>
          </w:p>
        </w:tc>
        <w:tc>
          <w:tcPr>
            <w:tcW w:w="0" w:type="dxa"/>
            <w:vAlign w:val="bottom"/>
          </w:tcPr>
          <w:p>
            <w:pPr>
              <w:spacing w:after="0"/>
              <w:rPr>
                <w:sz w:val="1"/>
                <w:szCs w:val="1"/>
                <w:color w:val="auto"/>
              </w:rPr>
            </w:pPr>
          </w:p>
        </w:tc>
      </w:tr>
      <w:tr>
        <w:trPr>
          <w:trHeight w:val="203"/>
        </w:trPr>
        <w:tc>
          <w:tcPr>
            <w:tcW w:w="1640" w:type="dxa"/>
            <w:vAlign w:val="bottom"/>
            <w:tcBorders>
              <w:bottom w:val="single" w:sz="8" w:color="CCEEFF"/>
            </w:tcBorders>
          </w:tcPr>
          <w:p>
            <w:pPr>
              <w:ind w:left="100"/>
              <w:spacing w:after="0"/>
              <w:rPr>
                <w:sz w:val="20"/>
                <w:szCs w:val="20"/>
                <w:color w:val="auto"/>
              </w:rPr>
            </w:pPr>
            <w:r>
              <w:rPr>
                <w:rFonts w:ascii="Arial" w:cs="Arial" w:eastAsia="Arial" w:hAnsi="Arial"/>
                <w:sz w:val="16"/>
                <w:szCs w:val="16"/>
                <w:color w:val="auto"/>
              </w:rPr>
              <w:t>Rest of world</w:t>
            </w:r>
          </w:p>
        </w:tc>
        <w:tc>
          <w:tcPr>
            <w:tcW w:w="2260" w:type="dxa"/>
            <w:vAlign w:val="bottom"/>
            <w:tcBorders>
              <w:bottom w:val="single" w:sz="8" w:color="CCEEFF"/>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163,521</w:t>
            </w:r>
          </w:p>
        </w:tc>
        <w:tc>
          <w:tcPr>
            <w:tcW w:w="160" w:type="dxa"/>
            <w:vAlign w:val="bottom"/>
            <w:tcBorders>
              <w:bottom w:val="single" w:sz="8" w:color="CCEEFF"/>
            </w:tcBorders>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162,694</w:t>
            </w:r>
          </w:p>
        </w:tc>
        <w:tc>
          <w:tcPr>
            <w:tcW w:w="140" w:type="dxa"/>
            <w:vAlign w:val="bottom"/>
            <w:tcBorders>
              <w:bottom w:val="single" w:sz="8" w:color="CCEEFF"/>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169,263</w:t>
            </w:r>
          </w:p>
        </w:tc>
        <w:tc>
          <w:tcPr>
            <w:tcW w:w="0" w:type="dxa"/>
            <w:vAlign w:val="bottom"/>
          </w:tcPr>
          <w:p>
            <w:pPr>
              <w:spacing w:after="0"/>
              <w:rPr>
                <w:sz w:val="1"/>
                <w:szCs w:val="1"/>
                <w:color w:val="auto"/>
              </w:rPr>
            </w:pPr>
          </w:p>
        </w:tc>
      </w:tr>
      <w:tr>
        <w:trPr>
          <w:trHeight w:val="203"/>
        </w:trPr>
        <w:tc>
          <w:tcPr>
            <w:tcW w:w="164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6"/>
                <w:szCs w:val="16"/>
                <w:b w:val="1"/>
                <w:bCs w:val="1"/>
                <w:color w:val="auto"/>
              </w:rPr>
              <w:t>Total net sales</w:t>
            </w:r>
          </w:p>
        </w:tc>
        <w:tc>
          <w:tcPr>
            <w:tcW w:w="2260" w:type="dxa"/>
            <w:vAlign w:val="bottom"/>
            <w:tcBorders>
              <w:bottom w:val="single" w:sz="8" w:color="CCEEFF"/>
            </w:tcBorders>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7"/>
              </w:rPr>
              <w:t>1,560,258</w:t>
            </w:r>
          </w:p>
        </w:tc>
        <w:tc>
          <w:tcPr>
            <w:tcW w:w="160" w:type="dxa"/>
            <w:vAlign w:val="bottom"/>
            <w:tcBorders>
              <w:bottom w:val="single" w:sz="8" w:color="CCEEFF"/>
            </w:tcBorders>
            <w:shd w:val="clear" w:color="auto" w:fill="CCEEFF"/>
          </w:tcPr>
          <w:p>
            <w:pPr>
              <w:spacing w:after="0"/>
              <w:rPr>
                <w:sz w:val="17"/>
                <w:szCs w:val="17"/>
                <w:color w:val="auto"/>
              </w:rPr>
            </w:pPr>
          </w:p>
        </w:tc>
        <w:tc>
          <w:tcPr>
            <w:tcW w:w="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u w:val="single" w:color="auto"/>
                <w:color w:val="auto"/>
                <w:w w:val="71"/>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1,572,275</w:t>
            </w:r>
          </w:p>
        </w:tc>
        <w:tc>
          <w:tcPr>
            <w:tcW w:w="140" w:type="dxa"/>
            <w:vAlign w:val="bottom"/>
            <w:tcBorders>
              <w:bottom w:val="single" w:sz="8" w:color="CCEEFF"/>
            </w:tcBorders>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7"/>
              </w:rPr>
              <w:t>1,502,958</w:t>
            </w:r>
          </w:p>
        </w:tc>
        <w:tc>
          <w:tcPr>
            <w:tcW w:w="0" w:type="dxa"/>
            <w:vAlign w:val="bottom"/>
          </w:tcPr>
          <w:p>
            <w:pPr>
              <w:spacing w:after="0"/>
              <w:rPr>
                <w:sz w:val="1"/>
                <w:szCs w:val="1"/>
                <w:color w:val="auto"/>
              </w:rPr>
            </w:pPr>
          </w:p>
        </w:tc>
      </w:tr>
      <w:tr>
        <w:trPr>
          <w:trHeight w:val="108"/>
        </w:trPr>
        <w:tc>
          <w:tcPr>
            <w:tcW w:w="1640" w:type="dxa"/>
            <w:vAlign w:val="bottom"/>
            <w:tcBorders>
              <w:bottom w:val="single" w:sz="8" w:color="auto"/>
            </w:tcBorders>
          </w:tcPr>
          <w:p>
            <w:pPr>
              <w:spacing w:after="0"/>
              <w:rPr>
                <w:sz w:val="9"/>
                <w:szCs w:val="9"/>
                <w:color w:val="auto"/>
              </w:rPr>
            </w:pPr>
          </w:p>
        </w:tc>
        <w:tc>
          <w:tcPr>
            <w:tcW w:w="2260" w:type="dxa"/>
            <w:vAlign w:val="bottom"/>
          </w:tcPr>
          <w:p>
            <w:pPr>
              <w:spacing w:after="0"/>
              <w:rPr>
                <w:sz w:val="9"/>
                <w:szCs w:val="9"/>
                <w:color w:val="auto"/>
              </w:rPr>
            </w:pPr>
          </w:p>
        </w:tc>
        <w:tc>
          <w:tcPr>
            <w:tcW w:w="80" w:type="dxa"/>
            <w:vAlign w:val="bottom"/>
          </w:tcPr>
          <w:p>
            <w:pPr>
              <w:spacing w:after="0"/>
              <w:rPr>
                <w:sz w:val="9"/>
                <w:szCs w:val="9"/>
                <w:color w:val="auto"/>
              </w:rPr>
            </w:pPr>
          </w:p>
        </w:tc>
        <w:tc>
          <w:tcPr>
            <w:tcW w:w="700" w:type="dxa"/>
            <w:vAlign w:val="bottom"/>
          </w:tcPr>
          <w:p>
            <w:pPr>
              <w:spacing w:after="0"/>
              <w:rPr>
                <w:sz w:val="9"/>
                <w:szCs w:val="9"/>
                <w:color w:val="auto"/>
              </w:rPr>
            </w:pPr>
          </w:p>
        </w:tc>
        <w:tc>
          <w:tcPr>
            <w:tcW w:w="160" w:type="dxa"/>
            <w:vAlign w:val="bottom"/>
          </w:tcPr>
          <w:p>
            <w:pPr>
              <w:spacing w:after="0"/>
              <w:rPr>
                <w:sz w:val="9"/>
                <w:szCs w:val="9"/>
                <w:color w:val="auto"/>
              </w:rPr>
            </w:pPr>
          </w:p>
        </w:tc>
        <w:tc>
          <w:tcPr>
            <w:tcW w:w="60" w:type="dxa"/>
            <w:vAlign w:val="bottom"/>
          </w:tcPr>
          <w:p>
            <w:pPr>
              <w:spacing w:after="0"/>
              <w:rPr>
                <w:sz w:val="9"/>
                <w:szCs w:val="9"/>
                <w:color w:val="auto"/>
              </w:rPr>
            </w:pPr>
          </w:p>
        </w:tc>
        <w:tc>
          <w:tcPr>
            <w:tcW w:w="720" w:type="dxa"/>
            <w:vAlign w:val="bottom"/>
          </w:tcPr>
          <w:p>
            <w:pPr>
              <w:spacing w:after="0"/>
              <w:rPr>
                <w:sz w:val="9"/>
                <w:szCs w:val="9"/>
                <w:color w:val="auto"/>
              </w:rPr>
            </w:pPr>
          </w:p>
        </w:tc>
        <w:tc>
          <w:tcPr>
            <w:tcW w:w="140" w:type="dxa"/>
            <w:vAlign w:val="bottom"/>
          </w:tcPr>
          <w:p>
            <w:pPr>
              <w:spacing w:after="0"/>
              <w:rPr>
                <w:sz w:val="9"/>
                <w:szCs w:val="9"/>
                <w:color w:val="auto"/>
              </w:rPr>
            </w:pPr>
          </w:p>
        </w:tc>
        <w:tc>
          <w:tcPr>
            <w:tcW w:w="80" w:type="dxa"/>
            <w:vAlign w:val="bottom"/>
          </w:tcPr>
          <w:p>
            <w:pPr>
              <w:spacing w:after="0"/>
              <w:rPr>
                <w:sz w:val="9"/>
                <w:szCs w:val="9"/>
                <w:color w:val="auto"/>
              </w:rPr>
            </w:pPr>
          </w:p>
        </w:tc>
        <w:tc>
          <w:tcPr>
            <w:tcW w:w="70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94" w:lineRule="exact"/>
        <w:rPr>
          <w:sz w:val="20"/>
          <w:szCs w:val="20"/>
          <w:color w:val="auto"/>
        </w:rPr>
      </w:pPr>
    </w:p>
    <w:p>
      <w:pPr>
        <w:ind w:left="1560" w:hanging="327"/>
        <w:spacing w:after="0"/>
        <w:tabs>
          <w:tab w:leader="none" w:pos="1560" w:val="left"/>
        </w:tabs>
        <w:numPr>
          <w:ilvl w:val="0"/>
          <w:numId w:val="41"/>
        </w:numPr>
        <w:rPr>
          <w:rFonts w:ascii="Arial" w:cs="Arial" w:eastAsia="Arial" w:hAnsi="Arial"/>
          <w:sz w:val="18"/>
          <w:szCs w:val="18"/>
          <w:color w:val="auto"/>
        </w:rPr>
      </w:pPr>
      <w:r>
        <w:rPr>
          <w:rFonts w:ascii="Arial" w:cs="Arial" w:eastAsia="Arial" w:hAnsi="Arial"/>
          <w:sz w:val="18"/>
          <w:szCs w:val="18"/>
          <w:color w:val="auto"/>
        </w:rPr>
        <w:t>Europe, the Middle East and Africa (“EMEA”)</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57" w:lineRule="exact"/>
        <w:rPr>
          <w:rFonts w:ascii="Arial" w:cs="Arial" w:eastAsia="Arial" w:hAnsi="Arial"/>
          <w:sz w:val="18"/>
          <w:szCs w:val="18"/>
          <w:color w:val="auto"/>
        </w:rPr>
      </w:pPr>
    </w:p>
    <w:p>
      <w:pPr>
        <w:ind w:left="4340"/>
        <w:spacing w:after="0"/>
        <w:rPr>
          <w:rFonts w:ascii="Arial" w:cs="Arial" w:eastAsia="Arial" w:hAnsi="Arial"/>
          <w:sz w:val="18"/>
          <w:szCs w:val="18"/>
          <w:color w:val="auto"/>
        </w:rPr>
      </w:pPr>
      <w:r>
        <w:rPr>
          <w:rFonts w:ascii="Arial" w:cs="Arial" w:eastAsia="Arial" w:hAnsi="Arial"/>
          <w:sz w:val="18"/>
          <w:szCs w:val="18"/>
          <w:color w:val="auto"/>
        </w:rPr>
        <w:t>F-42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786765</wp:posOffset>
            </wp:positionH>
            <wp:positionV relativeFrom="paragraph">
              <wp:posOffset>83185</wp:posOffset>
            </wp:positionV>
            <wp:extent cx="4159250" cy="26035"/>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73">
                      <a:extLst>
                        <a:ext uri="{28A0092B-C50C-407E-A947-70E740481C1C}"/>
                      </a:extLst>
                    </a:blip>
                    <a:srcRect/>
                    <a:stretch>
                      <a:fillRect/>
                    </a:stretch>
                  </pic:blipFill>
                  <pic:spPr bwMode="auto">
                    <a:xfrm>
                      <a:off x="0" y="0"/>
                      <a:ext cx="415925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139" w:name="page140"/>
    <w:bookmarkEnd w:id="139"/>
    <w:p>
      <w:pPr>
        <w:ind w:left="124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1240" w:right="1359" w:firstLine="648"/>
        <w:spacing w:after="0" w:line="277" w:lineRule="auto"/>
        <w:rPr>
          <w:sz w:val="20"/>
          <w:szCs w:val="20"/>
          <w:color w:val="auto"/>
        </w:rPr>
      </w:pPr>
      <w:r>
        <w:rPr>
          <w:rFonts w:ascii="Arial" w:cs="Arial" w:eastAsia="Arial" w:hAnsi="Arial"/>
          <w:sz w:val="18"/>
          <w:szCs w:val="18"/>
          <w:color w:val="auto"/>
        </w:rPr>
        <w:t>Long-lived assets (property, plant and equipment) are categorized based on their location of domicile.</w:t>
      </w:r>
    </w:p>
    <w:p>
      <w:pPr>
        <w:spacing w:after="0" w:line="230" w:lineRule="exact"/>
        <w:rPr>
          <w:sz w:val="20"/>
          <w:szCs w:val="20"/>
          <w:color w:val="auto"/>
        </w:rPr>
      </w:pPr>
    </w:p>
    <w:tbl>
      <w:tblPr>
        <w:tblLayout w:type="fixed"/>
        <w:tblInd w:w="1240" w:type="dxa"/>
        <w:tblCellMar>
          <w:top w:w="0" w:type="dxa"/>
          <w:left w:w="0" w:type="dxa"/>
          <w:bottom w:w="0" w:type="dxa"/>
          <w:right w:w="0" w:type="dxa"/>
        </w:tblCellMar>
      </w:tblPr>
      <w:tr>
        <w:trPr>
          <w:trHeight w:val="171"/>
        </w:trPr>
        <w:tc>
          <w:tcPr>
            <w:tcW w:w="3280" w:type="dxa"/>
            <w:vAlign w:val="bottom"/>
            <w:gridSpan w:val="2"/>
            <w:vMerge w:val="restart"/>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1580" w:type="dxa"/>
            <w:vAlign w:val="bottom"/>
          </w:tcPr>
          <w:p>
            <w:pPr>
              <w:spacing w:after="0"/>
              <w:rPr>
                <w:sz w:val="14"/>
                <w:szCs w:val="14"/>
                <w:color w:val="auto"/>
              </w:rPr>
            </w:pPr>
          </w:p>
        </w:tc>
        <w:tc>
          <w:tcPr>
            <w:tcW w:w="1680" w:type="dxa"/>
            <w:vAlign w:val="bottom"/>
            <w:tcBorders>
              <w:bottom w:val="single" w:sz="8" w:color="auto"/>
            </w:tcBorders>
            <w:gridSpan w:val="5"/>
          </w:tcPr>
          <w:p>
            <w:pPr>
              <w:jc w:val="right"/>
              <w:spacing w:after="0"/>
              <w:rPr>
                <w:sz w:val="20"/>
                <w:szCs w:val="20"/>
                <w:color w:val="auto"/>
              </w:rPr>
            </w:pPr>
            <w:r>
              <w:rPr>
                <w:rFonts w:ascii="Arial" w:cs="Arial" w:eastAsia="Arial" w:hAnsi="Arial"/>
                <w:sz w:val="14"/>
                <w:szCs w:val="14"/>
                <w:b w:val="1"/>
                <w:bCs w:val="1"/>
                <w:color w:val="auto"/>
                <w:w w:val="92"/>
              </w:rPr>
              <w:t>Year ended December 31,</w:t>
            </w:r>
          </w:p>
        </w:tc>
        <w:tc>
          <w:tcPr>
            <w:tcW w:w="0" w:type="dxa"/>
            <w:vAlign w:val="bottom"/>
          </w:tcPr>
          <w:p>
            <w:pPr>
              <w:spacing w:after="0"/>
              <w:rPr>
                <w:sz w:val="1"/>
                <w:szCs w:val="1"/>
                <w:color w:val="auto"/>
              </w:rPr>
            </w:pPr>
          </w:p>
        </w:tc>
      </w:tr>
      <w:tr>
        <w:trPr>
          <w:trHeight w:val="142"/>
        </w:trPr>
        <w:tc>
          <w:tcPr>
            <w:tcW w:w="3280" w:type="dxa"/>
            <w:vAlign w:val="bottom"/>
            <w:tcBorders>
              <w:bottom w:val="single" w:sz="8" w:color="CCEEFF"/>
            </w:tcBorders>
            <w:gridSpan w:val="2"/>
            <w:vMerge w:val="continue"/>
          </w:tcPr>
          <w:p>
            <w:pPr>
              <w:spacing w:after="0"/>
              <w:rPr>
                <w:sz w:val="12"/>
                <w:szCs w:val="12"/>
                <w:color w:val="auto"/>
              </w:rPr>
            </w:pPr>
          </w:p>
        </w:tc>
        <w:tc>
          <w:tcPr>
            <w:tcW w:w="1580" w:type="dxa"/>
            <w:vAlign w:val="bottom"/>
            <w:tcBorders>
              <w:bottom w:val="single" w:sz="8" w:color="CCEEFF"/>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jc w:val="right"/>
              <w:ind w:right="180"/>
              <w:spacing w:after="0" w:line="142" w:lineRule="exact"/>
              <w:rPr>
                <w:sz w:val="20"/>
                <w:szCs w:val="20"/>
                <w:color w:val="auto"/>
              </w:rPr>
            </w:pPr>
            <w:r>
              <w:rPr>
                <w:rFonts w:ascii="Arial" w:cs="Arial" w:eastAsia="Arial" w:hAnsi="Arial"/>
                <w:sz w:val="14"/>
                <w:szCs w:val="14"/>
                <w:b w:val="1"/>
                <w:bCs w:val="1"/>
                <w:color w:val="auto"/>
              </w:rPr>
              <w:t>2017</w:t>
            </w:r>
          </w:p>
        </w:tc>
        <w:tc>
          <w:tcPr>
            <w:tcW w:w="140" w:type="dxa"/>
            <w:vAlign w:val="bottom"/>
            <w:tcBorders>
              <w:bottom w:val="single" w:sz="8" w:color="CCEEFF"/>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ind w:right="160"/>
              <w:spacing w:after="0" w:line="142" w:lineRule="exact"/>
              <w:rPr>
                <w:sz w:val="20"/>
                <w:szCs w:val="20"/>
                <w:color w:val="auto"/>
              </w:rPr>
            </w:pPr>
            <w:r>
              <w:rPr>
                <w:rFonts w:ascii="Arial" w:cs="Arial" w:eastAsia="Arial" w:hAnsi="Arial"/>
                <w:sz w:val="14"/>
                <w:szCs w:val="14"/>
                <w:b w:val="1"/>
                <w:bCs w:val="1"/>
                <w:color w:val="auto"/>
              </w:rPr>
              <w:t>2016</w:t>
            </w:r>
          </w:p>
        </w:tc>
        <w:tc>
          <w:tcPr>
            <w:tcW w:w="0" w:type="dxa"/>
            <w:vAlign w:val="bottom"/>
          </w:tcPr>
          <w:p>
            <w:pPr>
              <w:spacing w:after="0"/>
              <w:rPr>
                <w:sz w:val="1"/>
                <w:szCs w:val="1"/>
                <w:color w:val="auto"/>
              </w:rPr>
            </w:pPr>
          </w:p>
        </w:tc>
      </w:tr>
      <w:tr>
        <w:trPr>
          <w:trHeight w:val="183"/>
        </w:trPr>
        <w:tc>
          <w:tcPr>
            <w:tcW w:w="3280" w:type="dxa"/>
            <w:vAlign w:val="bottom"/>
            <w:gridSpan w:val="2"/>
            <w:shd w:val="clear" w:color="auto" w:fill="CCEEFF"/>
          </w:tcPr>
          <w:p>
            <w:pPr>
              <w:spacing w:after="0" w:line="183" w:lineRule="exact"/>
              <w:rPr>
                <w:sz w:val="20"/>
                <w:szCs w:val="20"/>
                <w:color w:val="auto"/>
              </w:rPr>
            </w:pPr>
            <w:r>
              <w:rPr>
                <w:rFonts w:ascii="Arial" w:cs="Arial" w:eastAsia="Arial" w:hAnsi="Arial"/>
                <w:sz w:val="16"/>
                <w:szCs w:val="16"/>
                <w:b w:val="1"/>
                <w:bCs w:val="1"/>
                <w:color w:val="auto"/>
              </w:rPr>
              <w:t>Long-lived assets</w:t>
            </w:r>
          </w:p>
        </w:tc>
        <w:tc>
          <w:tcPr>
            <w:tcW w:w="158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66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64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3280" w:type="dxa"/>
            <w:vAlign w:val="bottom"/>
            <w:gridSpan w:val="2"/>
          </w:tcPr>
          <w:p>
            <w:pPr>
              <w:ind w:left="100"/>
              <w:spacing w:after="0"/>
              <w:rPr>
                <w:sz w:val="20"/>
                <w:szCs w:val="20"/>
                <w:color w:val="auto"/>
              </w:rPr>
            </w:pPr>
            <w:r>
              <w:rPr>
                <w:rFonts w:ascii="Arial" w:cs="Arial" w:eastAsia="Arial" w:hAnsi="Arial"/>
                <w:sz w:val="16"/>
                <w:szCs w:val="16"/>
                <w:color w:val="auto"/>
              </w:rPr>
              <w:t>United States</w:t>
            </w:r>
          </w:p>
        </w:tc>
        <w:tc>
          <w:tcPr>
            <w:tcW w:w="170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660" w:type="dxa"/>
            <w:vAlign w:val="bottom"/>
          </w:tcPr>
          <w:p>
            <w:pPr>
              <w:jc w:val="right"/>
              <w:spacing w:after="0"/>
              <w:rPr>
                <w:sz w:val="20"/>
                <w:szCs w:val="20"/>
                <w:color w:val="auto"/>
              </w:rPr>
            </w:pPr>
            <w:r>
              <w:rPr>
                <w:rFonts w:ascii="Arial" w:cs="Arial" w:eastAsia="Arial" w:hAnsi="Arial"/>
                <w:sz w:val="16"/>
                <w:szCs w:val="16"/>
                <w:color w:val="auto"/>
              </w:rPr>
              <w:t>148,678</w:t>
            </w:r>
          </w:p>
        </w:tc>
        <w:tc>
          <w:tcPr>
            <w:tcW w:w="2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640" w:type="dxa"/>
            <w:vAlign w:val="bottom"/>
          </w:tcPr>
          <w:p>
            <w:pPr>
              <w:jc w:val="right"/>
              <w:spacing w:after="0"/>
              <w:rPr>
                <w:sz w:val="20"/>
                <w:szCs w:val="20"/>
                <w:color w:val="auto"/>
              </w:rPr>
            </w:pPr>
            <w:r>
              <w:rPr>
                <w:rFonts w:ascii="Arial" w:cs="Arial" w:eastAsia="Arial" w:hAnsi="Arial"/>
                <w:sz w:val="16"/>
                <w:szCs w:val="16"/>
                <w:color w:val="auto"/>
                <w:w w:val="96"/>
              </w:rPr>
              <w:t>157,884</w:t>
            </w:r>
          </w:p>
        </w:tc>
        <w:tc>
          <w:tcPr>
            <w:tcW w:w="0" w:type="dxa"/>
            <w:vAlign w:val="bottom"/>
          </w:tcPr>
          <w:p>
            <w:pPr>
              <w:spacing w:after="0"/>
              <w:rPr>
                <w:sz w:val="1"/>
                <w:szCs w:val="1"/>
                <w:color w:val="auto"/>
              </w:rPr>
            </w:pPr>
          </w:p>
        </w:tc>
      </w:tr>
      <w:tr>
        <w:trPr>
          <w:trHeight w:val="203"/>
        </w:trPr>
        <w:tc>
          <w:tcPr>
            <w:tcW w:w="3280" w:type="dxa"/>
            <w:vAlign w:val="bottom"/>
            <w:gridSpan w:val="2"/>
            <w:shd w:val="clear" w:color="auto" w:fill="CCEEFF"/>
          </w:tcPr>
          <w:p>
            <w:pPr>
              <w:ind w:left="100"/>
              <w:spacing w:after="0"/>
              <w:rPr>
                <w:sz w:val="20"/>
                <w:szCs w:val="20"/>
                <w:color w:val="auto"/>
              </w:rPr>
            </w:pPr>
            <w:r>
              <w:rPr>
                <w:rFonts w:ascii="Arial" w:cs="Arial" w:eastAsia="Arial" w:hAnsi="Arial"/>
                <w:sz w:val="16"/>
                <w:szCs w:val="16"/>
                <w:color w:val="auto"/>
              </w:rPr>
              <w:t>EMEA</w:t>
            </w:r>
          </w:p>
        </w:tc>
        <w:tc>
          <w:tcPr>
            <w:tcW w:w="15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9,669</w:t>
            </w:r>
          </w:p>
        </w:tc>
        <w:tc>
          <w:tcPr>
            <w:tcW w:w="1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8,619</w:t>
            </w:r>
          </w:p>
        </w:tc>
        <w:tc>
          <w:tcPr>
            <w:tcW w:w="0" w:type="dxa"/>
            <w:vAlign w:val="bottom"/>
          </w:tcPr>
          <w:p>
            <w:pPr>
              <w:spacing w:after="0"/>
              <w:rPr>
                <w:sz w:val="1"/>
                <w:szCs w:val="1"/>
                <w:color w:val="auto"/>
              </w:rPr>
            </w:pPr>
          </w:p>
        </w:tc>
      </w:tr>
      <w:tr>
        <w:trPr>
          <w:trHeight w:val="203"/>
        </w:trPr>
        <w:tc>
          <w:tcPr>
            <w:tcW w:w="3280" w:type="dxa"/>
            <w:vAlign w:val="bottom"/>
            <w:gridSpan w:val="2"/>
          </w:tcPr>
          <w:p>
            <w:pPr>
              <w:ind w:left="100"/>
              <w:spacing w:after="0"/>
              <w:rPr>
                <w:sz w:val="20"/>
                <w:szCs w:val="20"/>
                <w:color w:val="auto"/>
              </w:rPr>
            </w:pPr>
            <w:r>
              <w:rPr>
                <w:rFonts w:ascii="Arial" w:cs="Arial" w:eastAsia="Arial" w:hAnsi="Arial"/>
                <w:sz w:val="16"/>
                <w:szCs w:val="16"/>
                <w:color w:val="auto"/>
              </w:rPr>
              <w:t>Japan</w:t>
            </w:r>
          </w:p>
        </w:tc>
        <w:tc>
          <w:tcPr>
            <w:tcW w:w="15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6"/>
                <w:szCs w:val="16"/>
                <w:color w:val="auto"/>
              </w:rPr>
              <w:t>770</w:t>
            </w: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628</w:t>
            </w:r>
          </w:p>
        </w:tc>
        <w:tc>
          <w:tcPr>
            <w:tcW w:w="0" w:type="dxa"/>
            <w:vAlign w:val="bottom"/>
          </w:tcPr>
          <w:p>
            <w:pPr>
              <w:spacing w:after="0"/>
              <w:rPr>
                <w:sz w:val="1"/>
                <w:szCs w:val="1"/>
                <w:color w:val="auto"/>
              </w:rPr>
            </w:pPr>
          </w:p>
        </w:tc>
      </w:tr>
      <w:tr>
        <w:trPr>
          <w:trHeight w:val="203"/>
        </w:trPr>
        <w:tc>
          <w:tcPr>
            <w:tcW w:w="3280" w:type="dxa"/>
            <w:vAlign w:val="bottom"/>
            <w:gridSpan w:val="2"/>
            <w:shd w:val="clear" w:color="auto" w:fill="CCEEFF"/>
          </w:tcPr>
          <w:p>
            <w:pPr>
              <w:ind w:left="100"/>
              <w:spacing w:after="0"/>
              <w:rPr>
                <w:sz w:val="20"/>
                <w:szCs w:val="20"/>
                <w:color w:val="auto"/>
              </w:rPr>
            </w:pPr>
            <w:r>
              <w:rPr>
                <w:rFonts w:ascii="Arial" w:cs="Arial" w:eastAsia="Arial" w:hAnsi="Arial"/>
                <w:sz w:val="16"/>
                <w:szCs w:val="16"/>
                <w:color w:val="auto"/>
              </w:rPr>
              <w:t>Korea</w:t>
            </w:r>
          </w:p>
        </w:tc>
        <w:tc>
          <w:tcPr>
            <w:tcW w:w="15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3,782</w:t>
            </w:r>
          </w:p>
        </w:tc>
        <w:tc>
          <w:tcPr>
            <w:tcW w:w="1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1,811</w:t>
            </w:r>
          </w:p>
        </w:tc>
        <w:tc>
          <w:tcPr>
            <w:tcW w:w="0" w:type="dxa"/>
            <w:vAlign w:val="bottom"/>
          </w:tcPr>
          <w:p>
            <w:pPr>
              <w:spacing w:after="0"/>
              <w:rPr>
                <w:sz w:val="1"/>
                <w:szCs w:val="1"/>
                <w:color w:val="auto"/>
              </w:rPr>
            </w:pPr>
          </w:p>
        </w:tc>
      </w:tr>
      <w:tr>
        <w:trPr>
          <w:trHeight w:val="203"/>
        </w:trPr>
        <w:tc>
          <w:tcPr>
            <w:tcW w:w="3280" w:type="dxa"/>
            <w:vAlign w:val="bottom"/>
            <w:tcBorders>
              <w:bottom w:val="single" w:sz="8" w:color="CCEEFF"/>
            </w:tcBorders>
            <w:gridSpan w:val="2"/>
          </w:tcPr>
          <w:p>
            <w:pPr>
              <w:ind w:left="100"/>
              <w:spacing w:after="0"/>
              <w:rPr>
                <w:sz w:val="20"/>
                <w:szCs w:val="20"/>
                <w:color w:val="auto"/>
              </w:rPr>
            </w:pPr>
            <w:r>
              <w:rPr>
                <w:rFonts w:ascii="Arial" w:cs="Arial" w:eastAsia="Arial" w:hAnsi="Arial"/>
                <w:sz w:val="16"/>
                <w:szCs w:val="16"/>
                <w:color w:val="auto"/>
              </w:rPr>
              <w:t>Rest of world (2)</w:t>
            </w:r>
          </w:p>
        </w:tc>
        <w:tc>
          <w:tcPr>
            <w:tcW w:w="158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66,023</w:t>
            </w:r>
          </w:p>
        </w:tc>
        <w:tc>
          <w:tcPr>
            <w:tcW w:w="14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70,806</w:t>
            </w:r>
          </w:p>
        </w:tc>
        <w:tc>
          <w:tcPr>
            <w:tcW w:w="0" w:type="dxa"/>
            <w:vAlign w:val="bottom"/>
          </w:tcPr>
          <w:p>
            <w:pPr>
              <w:spacing w:after="0"/>
              <w:rPr>
                <w:sz w:val="1"/>
                <w:szCs w:val="1"/>
                <w:color w:val="auto"/>
              </w:rPr>
            </w:pPr>
          </w:p>
        </w:tc>
      </w:tr>
      <w:tr>
        <w:trPr>
          <w:trHeight w:val="203"/>
        </w:trPr>
        <w:tc>
          <w:tcPr>
            <w:tcW w:w="3280" w:type="dxa"/>
            <w:vAlign w:val="bottom"/>
            <w:tcBorders>
              <w:bottom w:val="single" w:sz="8" w:color="CCEEFF"/>
            </w:tcBorders>
            <w:gridSpan w:val="2"/>
            <w:shd w:val="clear" w:color="auto" w:fill="CCEEFF"/>
          </w:tcPr>
          <w:p>
            <w:pPr>
              <w:ind w:left="200"/>
              <w:spacing w:after="0"/>
              <w:rPr>
                <w:sz w:val="20"/>
                <w:szCs w:val="20"/>
                <w:color w:val="auto"/>
              </w:rPr>
            </w:pPr>
            <w:r>
              <w:rPr>
                <w:rFonts w:ascii="Arial" w:cs="Arial" w:eastAsia="Arial" w:hAnsi="Arial"/>
                <w:sz w:val="16"/>
                <w:szCs w:val="16"/>
                <w:b w:val="1"/>
                <w:bCs w:val="1"/>
                <w:color w:val="auto"/>
              </w:rPr>
              <w:t>Total long-lived assets</w:t>
            </w:r>
          </w:p>
        </w:tc>
        <w:tc>
          <w:tcPr>
            <w:tcW w:w="158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228,922</w:t>
            </w:r>
          </w:p>
        </w:tc>
        <w:tc>
          <w:tcPr>
            <w:tcW w:w="14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96"/>
              </w:rPr>
              <w:t>239,748</w:t>
            </w:r>
          </w:p>
        </w:tc>
        <w:tc>
          <w:tcPr>
            <w:tcW w:w="0" w:type="dxa"/>
            <w:vAlign w:val="bottom"/>
          </w:tcPr>
          <w:p>
            <w:pPr>
              <w:spacing w:after="0"/>
              <w:rPr>
                <w:sz w:val="1"/>
                <w:szCs w:val="1"/>
                <w:color w:val="auto"/>
              </w:rPr>
            </w:pPr>
          </w:p>
        </w:tc>
      </w:tr>
      <w:tr>
        <w:trPr>
          <w:trHeight w:val="108"/>
        </w:trPr>
        <w:tc>
          <w:tcPr>
            <w:tcW w:w="1640" w:type="dxa"/>
            <w:vAlign w:val="bottom"/>
            <w:tcBorders>
              <w:bottom w:val="single" w:sz="8" w:color="auto"/>
            </w:tcBorders>
          </w:tcPr>
          <w:p>
            <w:pPr>
              <w:spacing w:after="0"/>
              <w:rPr>
                <w:sz w:val="9"/>
                <w:szCs w:val="9"/>
                <w:color w:val="auto"/>
              </w:rPr>
            </w:pPr>
          </w:p>
        </w:tc>
        <w:tc>
          <w:tcPr>
            <w:tcW w:w="1640" w:type="dxa"/>
            <w:vAlign w:val="bottom"/>
          </w:tcPr>
          <w:p>
            <w:pPr>
              <w:spacing w:after="0"/>
              <w:rPr>
                <w:sz w:val="9"/>
                <w:szCs w:val="9"/>
                <w:color w:val="auto"/>
              </w:rPr>
            </w:pPr>
          </w:p>
        </w:tc>
        <w:tc>
          <w:tcPr>
            <w:tcW w:w="1580" w:type="dxa"/>
            <w:vAlign w:val="bottom"/>
          </w:tcPr>
          <w:p>
            <w:pPr>
              <w:spacing w:after="0"/>
              <w:rPr>
                <w:sz w:val="9"/>
                <w:szCs w:val="9"/>
                <w:color w:val="auto"/>
              </w:rPr>
            </w:pPr>
          </w:p>
        </w:tc>
        <w:tc>
          <w:tcPr>
            <w:tcW w:w="120" w:type="dxa"/>
            <w:vAlign w:val="bottom"/>
          </w:tcPr>
          <w:p>
            <w:pPr>
              <w:spacing w:after="0"/>
              <w:rPr>
                <w:sz w:val="9"/>
                <w:szCs w:val="9"/>
                <w:color w:val="auto"/>
              </w:rPr>
            </w:pPr>
          </w:p>
        </w:tc>
        <w:tc>
          <w:tcPr>
            <w:tcW w:w="660" w:type="dxa"/>
            <w:vAlign w:val="bottom"/>
          </w:tcPr>
          <w:p>
            <w:pPr>
              <w:spacing w:after="0"/>
              <w:rPr>
                <w:sz w:val="9"/>
                <w:szCs w:val="9"/>
                <w:color w:val="auto"/>
              </w:rPr>
            </w:pPr>
          </w:p>
        </w:tc>
        <w:tc>
          <w:tcPr>
            <w:tcW w:w="140" w:type="dxa"/>
            <w:vAlign w:val="bottom"/>
          </w:tcPr>
          <w:p>
            <w:pPr>
              <w:spacing w:after="0"/>
              <w:rPr>
                <w:sz w:val="9"/>
                <w:szCs w:val="9"/>
                <w:color w:val="auto"/>
              </w:rPr>
            </w:pPr>
          </w:p>
        </w:tc>
        <w:tc>
          <w:tcPr>
            <w:tcW w:w="120" w:type="dxa"/>
            <w:vAlign w:val="bottom"/>
          </w:tcPr>
          <w:p>
            <w:pPr>
              <w:spacing w:after="0"/>
              <w:rPr>
                <w:sz w:val="9"/>
                <w:szCs w:val="9"/>
                <w:color w:val="auto"/>
              </w:rPr>
            </w:pPr>
          </w:p>
        </w:tc>
        <w:tc>
          <w:tcPr>
            <w:tcW w:w="64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94" w:lineRule="exact"/>
        <w:rPr>
          <w:sz w:val="20"/>
          <w:szCs w:val="20"/>
          <w:color w:val="auto"/>
        </w:rPr>
      </w:pPr>
    </w:p>
    <w:p>
      <w:pPr>
        <w:ind w:left="1560" w:right="1419" w:hanging="327"/>
        <w:spacing w:after="0" w:line="277" w:lineRule="auto"/>
        <w:tabs>
          <w:tab w:leader="none" w:pos="1560" w:val="left"/>
        </w:tabs>
        <w:numPr>
          <w:ilvl w:val="0"/>
          <w:numId w:val="42"/>
        </w:numPr>
        <w:rPr>
          <w:rFonts w:ascii="Arial" w:cs="Arial" w:eastAsia="Arial" w:hAnsi="Arial"/>
          <w:sz w:val="18"/>
          <w:szCs w:val="18"/>
          <w:color w:val="auto"/>
        </w:rPr>
      </w:pPr>
      <w:r>
        <w:rPr>
          <w:rFonts w:ascii="Arial" w:cs="Arial" w:eastAsia="Arial" w:hAnsi="Arial"/>
          <w:sz w:val="18"/>
          <w:szCs w:val="18"/>
          <w:color w:val="auto"/>
        </w:rPr>
        <w:t>Includes manufacturing facilities in Thailand with long lived assets of $53.8 million and $57.8 million as of December 31, 2017 and 2016, respectively.</w:t>
      </w:r>
    </w:p>
    <w:p>
      <w:pPr>
        <w:spacing w:after="0" w:line="4" w:lineRule="exact"/>
        <w:rPr>
          <w:sz w:val="20"/>
          <w:szCs w:val="20"/>
          <w:color w:val="auto"/>
        </w:rPr>
      </w:pPr>
    </w:p>
    <w:p>
      <w:pPr>
        <w:ind w:left="1240" w:right="4959" w:hanging="7"/>
        <w:spacing w:after="0" w:line="566" w:lineRule="auto"/>
        <w:tabs>
          <w:tab w:leader="none" w:pos="1510" w:val="left"/>
        </w:tabs>
        <w:numPr>
          <w:ilvl w:val="0"/>
          <w:numId w:val="43"/>
        </w:numPr>
        <w:rPr>
          <w:rFonts w:ascii="Arial" w:cs="Arial" w:eastAsia="Arial" w:hAnsi="Arial"/>
          <w:sz w:val="16"/>
          <w:szCs w:val="16"/>
          <w:b w:val="1"/>
          <w:bCs w:val="1"/>
          <w:color w:val="auto"/>
        </w:rPr>
      </w:pPr>
      <w:r>
        <w:rPr>
          <w:rFonts w:ascii="Arial" w:cs="Arial" w:eastAsia="Arial" w:hAnsi="Arial"/>
          <w:sz w:val="16"/>
          <w:szCs w:val="16"/>
          <w:b w:val="1"/>
          <w:bCs w:val="1"/>
          <w:color w:val="auto"/>
        </w:rPr>
        <w:t>Commitments and Contingencies Purchase Obligations</w:t>
      </w:r>
    </w:p>
    <w:p>
      <w:pPr>
        <w:spacing w:after="0" w:line="1" w:lineRule="exact"/>
        <w:rPr>
          <w:sz w:val="20"/>
          <w:szCs w:val="20"/>
          <w:color w:val="auto"/>
        </w:rPr>
      </w:pPr>
    </w:p>
    <w:p>
      <w:pPr>
        <w:ind w:left="1240" w:right="1319" w:firstLine="648"/>
        <w:spacing w:after="0" w:line="297" w:lineRule="auto"/>
        <w:rPr>
          <w:sz w:val="20"/>
          <w:szCs w:val="20"/>
          <w:color w:val="auto"/>
        </w:rPr>
      </w:pPr>
      <w:r>
        <w:rPr>
          <w:rFonts w:ascii="Arial" w:cs="Arial" w:eastAsia="Arial" w:hAnsi="Arial"/>
          <w:sz w:val="16"/>
          <w:szCs w:val="16"/>
          <w:color w:val="auto"/>
        </w:rPr>
        <w:t>During the normal course of its business, the Company enters into agreements to purchase goods and services, including purchase commitments for production materials, finished goods inventory, capital expenditures and endorsement arrangements with professional golfers. The reported amounts exclude those liabilities included in accounts payable or accrued liabilities on the consolidated balance sheet as of December 31, 2017.</w:t>
      </w:r>
    </w:p>
    <w:p>
      <w:pPr>
        <w:spacing w:after="0" w:line="158" w:lineRule="exact"/>
        <w:rPr>
          <w:sz w:val="20"/>
          <w:szCs w:val="20"/>
          <w:color w:val="auto"/>
        </w:rPr>
      </w:pPr>
    </w:p>
    <w:p>
      <w:pPr>
        <w:ind w:left="1880"/>
        <w:spacing w:after="0"/>
        <w:rPr>
          <w:sz w:val="20"/>
          <w:szCs w:val="20"/>
          <w:color w:val="auto"/>
        </w:rPr>
      </w:pPr>
      <w:r>
        <w:rPr>
          <w:rFonts w:ascii="Arial" w:cs="Arial" w:eastAsia="Arial" w:hAnsi="Arial"/>
          <w:sz w:val="16"/>
          <w:szCs w:val="16"/>
          <w:color w:val="auto"/>
        </w:rPr>
        <w:t>Purchase obligations by the Company as of December 31, 2017 were as follows:</w:t>
      </w:r>
    </w:p>
    <w:p>
      <w:pPr>
        <w:spacing w:after="0" w:line="267" w:lineRule="exact"/>
        <w:rPr>
          <w:sz w:val="20"/>
          <w:szCs w:val="20"/>
          <w:color w:val="auto"/>
        </w:rPr>
      </w:pPr>
    </w:p>
    <w:tbl>
      <w:tblPr>
        <w:tblLayout w:type="fixed"/>
        <w:tblInd w:w="124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18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980" w:type="dxa"/>
            <w:vAlign w:val="bottom"/>
            <w:tcBorders>
              <w:bottom w:val="single" w:sz="8" w:color="auto"/>
            </w:tcBorders>
            <w:gridSpan w:val="6"/>
          </w:tcPr>
          <w:p>
            <w:pPr>
              <w:ind w:left="440"/>
              <w:spacing w:after="0"/>
              <w:rPr>
                <w:sz w:val="20"/>
                <w:szCs w:val="20"/>
                <w:color w:val="auto"/>
              </w:rPr>
            </w:pPr>
            <w:r>
              <w:rPr>
                <w:rFonts w:ascii="Arial" w:cs="Arial" w:eastAsia="Arial" w:hAnsi="Arial"/>
                <w:sz w:val="14"/>
                <w:szCs w:val="14"/>
                <w:b w:val="1"/>
                <w:bCs w:val="1"/>
                <w:color w:val="auto"/>
                <w:w w:val="92"/>
              </w:rPr>
              <w:t>Payments Due by Period</w:t>
            </w:r>
          </w:p>
        </w:tc>
        <w:tc>
          <w:tcPr>
            <w:tcW w:w="46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380" w:type="dxa"/>
            <w:vAlign w:val="bottom"/>
            <w:tcBorders>
              <w:bottom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1900" w:type="dxa"/>
            <w:vAlign w:val="bottom"/>
            <w:gridSpan w:val="2"/>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1240" w:type="dxa"/>
            <w:vAlign w:val="bottom"/>
            <w:gridSpan w:val="2"/>
          </w:tcPr>
          <w:p>
            <w:pPr>
              <w:jc w:val="right"/>
              <w:ind w:right="200"/>
              <w:spacing w:after="0"/>
              <w:rPr>
                <w:sz w:val="20"/>
                <w:szCs w:val="20"/>
                <w:color w:val="auto"/>
              </w:rPr>
            </w:pPr>
            <w:r>
              <w:rPr>
                <w:rFonts w:ascii="Arial" w:cs="Arial" w:eastAsia="Arial" w:hAnsi="Arial"/>
                <w:sz w:val="14"/>
                <w:szCs w:val="14"/>
                <w:b w:val="1"/>
                <w:bCs w:val="1"/>
                <w:color w:val="auto"/>
              </w:rPr>
              <w:t>2018</w:t>
            </w:r>
          </w:p>
        </w:tc>
        <w:tc>
          <w:tcPr>
            <w:tcW w:w="720" w:type="dxa"/>
            <w:vAlign w:val="bottom"/>
            <w:gridSpan w:val="2"/>
          </w:tcPr>
          <w:p>
            <w:pPr>
              <w:jc w:val="right"/>
              <w:ind w:right="88"/>
              <w:spacing w:after="0"/>
              <w:rPr>
                <w:sz w:val="20"/>
                <w:szCs w:val="20"/>
                <w:color w:val="auto"/>
              </w:rPr>
            </w:pPr>
            <w:r>
              <w:rPr>
                <w:rFonts w:ascii="Arial" w:cs="Arial" w:eastAsia="Arial" w:hAnsi="Arial"/>
                <w:sz w:val="14"/>
                <w:szCs w:val="14"/>
                <w:b w:val="1"/>
                <w:bCs w:val="1"/>
                <w:color w:val="auto"/>
              </w:rPr>
              <w:t>2019</w:t>
            </w:r>
          </w:p>
        </w:tc>
        <w:tc>
          <w:tcPr>
            <w:tcW w:w="640" w:type="dxa"/>
            <w:vAlign w:val="bottom"/>
            <w:gridSpan w:val="2"/>
          </w:tcPr>
          <w:p>
            <w:pPr>
              <w:jc w:val="right"/>
              <w:ind w:right="100"/>
              <w:spacing w:after="0"/>
              <w:rPr>
                <w:sz w:val="20"/>
                <w:szCs w:val="20"/>
                <w:color w:val="auto"/>
              </w:rPr>
            </w:pPr>
            <w:r>
              <w:rPr>
                <w:rFonts w:ascii="Arial" w:cs="Arial" w:eastAsia="Arial" w:hAnsi="Arial"/>
                <w:sz w:val="14"/>
                <w:szCs w:val="14"/>
                <w:b w:val="1"/>
                <w:bCs w:val="1"/>
                <w:color w:val="auto"/>
              </w:rPr>
              <w:t>2020</w:t>
            </w:r>
          </w:p>
        </w:tc>
        <w:tc>
          <w:tcPr>
            <w:tcW w:w="620" w:type="dxa"/>
            <w:vAlign w:val="bottom"/>
            <w:gridSpan w:val="2"/>
          </w:tcPr>
          <w:p>
            <w:pPr>
              <w:jc w:val="right"/>
              <w:ind w:right="100"/>
              <w:spacing w:after="0"/>
              <w:rPr>
                <w:sz w:val="20"/>
                <w:szCs w:val="20"/>
                <w:color w:val="auto"/>
              </w:rPr>
            </w:pPr>
            <w:r>
              <w:rPr>
                <w:rFonts w:ascii="Arial" w:cs="Arial" w:eastAsia="Arial" w:hAnsi="Arial"/>
                <w:sz w:val="14"/>
                <w:szCs w:val="14"/>
                <w:b w:val="1"/>
                <w:bCs w:val="1"/>
                <w:color w:val="auto"/>
              </w:rPr>
              <w:t>2021</w:t>
            </w:r>
          </w:p>
        </w:tc>
        <w:tc>
          <w:tcPr>
            <w:tcW w:w="140" w:type="dxa"/>
            <w:vAlign w:val="bottom"/>
          </w:tcPr>
          <w:p>
            <w:pPr>
              <w:spacing w:after="0"/>
              <w:rPr>
                <w:sz w:val="24"/>
                <w:szCs w:val="24"/>
                <w:color w:val="auto"/>
              </w:rPr>
            </w:pPr>
          </w:p>
        </w:tc>
        <w:tc>
          <w:tcPr>
            <w:tcW w:w="460" w:type="dxa"/>
            <w:vAlign w:val="bottom"/>
          </w:tcPr>
          <w:p>
            <w:pPr>
              <w:jc w:val="right"/>
              <w:ind w:right="23"/>
              <w:spacing w:after="0"/>
              <w:rPr>
                <w:sz w:val="20"/>
                <w:szCs w:val="20"/>
                <w:color w:val="auto"/>
              </w:rPr>
            </w:pPr>
            <w:r>
              <w:rPr>
                <w:rFonts w:ascii="Arial" w:cs="Arial" w:eastAsia="Arial" w:hAnsi="Arial"/>
                <w:sz w:val="14"/>
                <w:szCs w:val="14"/>
                <w:b w:val="1"/>
                <w:bCs w:val="1"/>
                <w:color w:val="auto"/>
              </w:rPr>
              <w:t>2022</w:t>
            </w:r>
          </w:p>
        </w:tc>
        <w:tc>
          <w:tcPr>
            <w:tcW w:w="840" w:type="dxa"/>
            <w:vAlign w:val="bottom"/>
            <w:gridSpan w:val="4"/>
          </w:tcPr>
          <w:p>
            <w:pPr>
              <w:ind w:left="140"/>
              <w:spacing w:after="0"/>
              <w:rPr>
                <w:sz w:val="20"/>
                <w:szCs w:val="20"/>
                <w:color w:val="auto"/>
              </w:rPr>
            </w:pPr>
            <w:r>
              <w:rPr>
                <w:rFonts w:ascii="Arial" w:cs="Arial" w:eastAsia="Arial" w:hAnsi="Arial"/>
                <w:sz w:val="14"/>
                <w:szCs w:val="14"/>
                <w:b w:val="1"/>
                <w:bCs w:val="1"/>
                <w:color w:val="auto"/>
                <w:w w:val="99"/>
              </w:rPr>
              <w:t>Thereafter</w:t>
            </w:r>
          </w:p>
        </w:tc>
        <w:tc>
          <w:tcPr>
            <w:tcW w:w="0" w:type="dxa"/>
            <w:vAlign w:val="bottom"/>
          </w:tcPr>
          <w:p>
            <w:pPr>
              <w:spacing w:after="0"/>
              <w:rPr>
                <w:sz w:val="1"/>
                <w:szCs w:val="1"/>
                <w:color w:val="auto"/>
              </w:rPr>
            </w:pPr>
          </w:p>
        </w:tc>
      </w:tr>
      <w:tr>
        <w:trPr>
          <w:trHeight w:val="196"/>
        </w:trPr>
        <w:tc>
          <w:tcPr>
            <w:tcW w:w="20" w:type="dxa"/>
            <w:vAlign w:val="bottom"/>
            <w:vMerge w:val="restart"/>
          </w:tcPr>
          <w:p>
            <w:pPr>
              <w:spacing w:after="0"/>
              <w:rPr>
                <w:sz w:val="17"/>
                <w:szCs w:val="17"/>
                <w:color w:val="auto"/>
              </w:rPr>
            </w:pPr>
          </w:p>
        </w:tc>
        <w:tc>
          <w:tcPr>
            <w:tcW w:w="188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660" w:type="dxa"/>
            <w:vAlign w:val="bottom"/>
            <w:tcBorders>
              <w:top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580" w:type="dxa"/>
            <w:vAlign w:val="bottom"/>
            <w:tcBorders>
              <w:top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480" w:type="dxa"/>
            <w:vAlign w:val="bottom"/>
            <w:tcBorders>
              <w:top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460" w:type="dxa"/>
            <w:vAlign w:val="bottom"/>
            <w:tcBorders>
              <w:top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460" w:type="dxa"/>
            <w:vAlign w:val="bottom"/>
            <w:tcBorders>
              <w:top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260" w:type="dxa"/>
            <w:vAlign w:val="bottom"/>
            <w:tcBorders>
              <w:top w:val="single" w:sz="8" w:color="auto"/>
            </w:tcBorders>
          </w:tcPr>
          <w:p>
            <w:pPr>
              <w:spacing w:after="0"/>
              <w:rPr>
                <w:sz w:val="17"/>
                <w:szCs w:val="17"/>
                <w:color w:val="auto"/>
              </w:rPr>
            </w:pPr>
          </w:p>
        </w:tc>
        <w:tc>
          <w:tcPr>
            <w:tcW w:w="380" w:type="dxa"/>
            <w:vAlign w:val="bottom"/>
            <w:tcBorders>
              <w:top w:val="single" w:sz="8" w:color="auto"/>
            </w:tcBorders>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1880" w:type="dxa"/>
            <w:vAlign w:val="bottom"/>
            <w:shd w:val="clear" w:color="auto" w:fill="CCEEFF"/>
          </w:tcPr>
          <w:p>
            <w:pPr>
              <w:spacing w:after="0"/>
              <w:rPr>
                <w:sz w:val="20"/>
                <w:szCs w:val="20"/>
                <w:color w:val="auto"/>
              </w:rPr>
            </w:pPr>
            <w:r>
              <w:rPr>
                <w:rFonts w:ascii="Arial" w:cs="Arial" w:eastAsia="Arial" w:hAnsi="Arial"/>
                <w:sz w:val="16"/>
                <w:szCs w:val="16"/>
                <w:color w:val="auto"/>
              </w:rPr>
              <w:t>Purchase obligations</w:t>
            </w:r>
          </w:p>
        </w:tc>
        <w:tc>
          <w:tcPr>
            <w:tcW w:w="124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$141,278</w:t>
            </w: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$10,188</w:t>
            </w:r>
          </w:p>
        </w:tc>
        <w:tc>
          <w:tcPr>
            <w:tcW w:w="64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$3,737</w:t>
            </w:r>
          </w:p>
        </w:tc>
        <w:tc>
          <w:tcPr>
            <w:tcW w:w="62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$ 405</w:t>
            </w:r>
          </w:p>
        </w:tc>
        <w:tc>
          <w:tcPr>
            <w:tcW w:w="140" w:type="dxa"/>
            <w:vAlign w:val="bottom"/>
            <w:shd w:val="clear" w:color="auto" w:fill="CCEEFF"/>
          </w:tcPr>
          <w:p>
            <w:pPr>
              <w:spacing w:after="0"/>
              <w:rPr>
                <w:sz w:val="17"/>
                <w:szCs w:val="17"/>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   2</w:t>
            </w:r>
          </w:p>
        </w:tc>
        <w:tc>
          <w:tcPr>
            <w:tcW w:w="400" w:type="dxa"/>
            <w:vAlign w:val="bottom"/>
            <w:gridSpan w:val="2"/>
            <w:shd w:val="clear" w:color="auto" w:fill="CCEEFF"/>
          </w:tcPr>
          <w:p>
            <w:pPr>
              <w:ind w:left="140"/>
              <w:spacing w:after="0"/>
              <w:rPr>
                <w:sz w:val="20"/>
                <w:szCs w:val="20"/>
                <w:color w:val="auto"/>
              </w:rPr>
            </w:pPr>
            <w:r>
              <w:rPr>
                <w:rFonts w:ascii="Arial" w:cs="Arial" w:eastAsia="Arial" w:hAnsi="Arial"/>
                <w:sz w:val="16"/>
                <w:szCs w:val="16"/>
                <w:color w:val="auto"/>
              </w:rPr>
              <w:t>$</w:t>
            </w:r>
          </w:p>
        </w:tc>
        <w:tc>
          <w:tcPr>
            <w:tcW w:w="440" w:type="dxa"/>
            <w:vAlign w:val="bottom"/>
            <w:gridSpan w:val="2"/>
            <w:shd w:val="clear" w:color="auto" w:fill="CCEEFF"/>
          </w:tcPr>
          <w:p>
            <w:pPr>
              <w:ind w:left="16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bl>
    <w:p>
      <w:pPr>
        <w:spacing w:after="0" w:line="198"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Lease Commitments</w:t>
      </w:r>
    </w:p>
    <w:p>
      <w:pPr>
        <w:spacing w:after="0" w:line="229" w:lineRule="exact"/>
        <w:rPr>
          <w:sz w:val="20"/>
          <w:szCs w:val="20"/>
          <w:color w:val="auto"/>
        </w:rPr>
      </w:pPr>
    </w:p>
    <w:p>
      <w:pPr>
        <w:ind w:left="1240" w:right="1819" w:firstLine="648"/>
        <w:spacing w:after="0" w:line="277" w:lineRule="auto"/>
        <w:rPr>
          <w:sz w:val="20"/>
          <w:szCs w:val="20"/>
          <w:color w:val="auto"/>
        </w:rPr>
      </w:pPr>
      <w:r>
        <w:rPr>
          <w:rFonts w:ascii="Arial" w:cs="Arial" w:eastAsia="Arial" w:hAnsi="Arial"/>
          <w:sz w:val="18"/>
          <w:szCs w:val="18"/>
          <w:color w:val="auto"/>
        </w:rPr>
        <w:t>The Company leases certain warehouses, distribution and office facilities, vehicles and office equipment under operating leases.</w:t>
      </w:r>
    </w:p>
    <w:p>
      <w:pPr>
        <w:spacing w:after="0" w:line="170" w:lineRule="exact"/>
        <w:rPr>
          <w:sz w:val="20"/>
          <w:szCs w:val="20"/>
          <w:color w:val="auto"/>
        </w:rPr>
      </w:pPr>
    </w:p>
    <w:p>
      <w:pPr>
        <w:ind w:left="1240" w:right="1259" w:firstLine="648"/>
        <w:spacing w:after="0" w:line="288" w:lineRule="auto"/>
        <w:rPr>
          <w:sz w:val="20"/>
          <w:szCs w:val="20"/>
          <w:color w:val="auto"/>
        </w:rPr>
      </w:pPr>
      <w:r>
        <w:rPr>
          <w:rFonts w:ascii="Arial" w:cs="Arial" w:eastAsia="Arial" w:hAnsi="Arial"/>
          <w:sz w:val="16"/>
          <w:szCs w:val="16"/>
          <w:color w:val="auto"/>
        </w:rPr>
        <w:t>The Company has an operating lease for certain vehicles that provides for a residual value guarantee. The lease has a noncancelable lease term of one year and may be renewed annually over the subsequent five years. The Company has the option to terminate the lease at the annual renewal date. Termination of the lease results in the sale of the vehicles and the determination of the residual value. The residual value is calculated by comparing the net proceeds of the vehicles sold to the depreciated value at the end of the renewal period. The Company is not responsible for any deficiency resulting from the net proceeds being less than 20% of the original cost in the first year and 20% of the depreciated value for all subsequent years. The Company believes that this guarantee will not have a significant impact on the consolidated financial statements.</w:t>
      </w:r>
    </w:p>
    <w:p>
      <w:pPr>
        <w:spacing w:after="0" w:line="385"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F-43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786765</wp:posOffset>
            </wp:positionH>
            <wp:positionV relativeFrom="paragraph">
              <wp:posOffset>83185</wp:posOffset>
            </wp:positionV>
            <wp:extent cx="4159250" cy="26035"/>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74">
                      <a:extLst>
                        <a:ext uri="{28A0092B-C50C-407E-A947-70E740481C1C}"/>
                      </a:extLst>
                    </a:blip>
                    <a:srcRect/>
                    <a:stretch>
                      <a:fillRect/>
                    </a:stretch>
                  </pic:blipFill>
                  <pic:spPr bwMode="auto">
                    <a:xfrm>
                      <a:off x="0" y="0"/>
                      <a:ext cx="415925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140" w:name="page141"/>
    <w:bookmarkEnd w:id="140"/>
    <w:p>
      <w:pPr>
        <w:ind w:left="124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1880"/>
        <w:spacing w:after="0"/>
        <w:rPr>
          <w:sz w:val="20"/>
          <w:szCs w:val="20"/>
          <w:color w:val="auto"/>
        </w:rPr>
      </w:pPr>
      <w:r>
        <w:rPr>
          <w:rFonts w:ascii="Arial" w:cs="Arial" w:eastAsia="Arial" w:hAnsi="Arial"/>
          <w:sz w:val="17"/>
          <w:szCs w:val="17"/>
          <w:color w:val="auto"/>
        </w:rPr>
        <w:t>Future minimum rental payments under noncancelable operating leases as of</w:t>
      </w:r>
    </w:p>
    <w:p>
      <w:pPr>
        <w:spacing w:after="0" w:line="35" w:lineRule="exact"/>
        <w:rPr>
          <w:sz w:val="20"/>
          <w:szCs w:val="20"/>
          <w:color w:val="auto"/>
        </w:rPr>
      </w:pPr>
    </w:p>
    <w:p>
      <w:pPr>
        <w:ind w:left="1240"/>
        <w:spacing w:after="0"/>
        <w:rPr>
          <w:sz w:val="20"/>
          <w:szCs w:val="20"/>
          <w:color w:val="auto"/>
        </w:rPr>
      </w:pPr>
      <w:r>
        <w:rPr>
          <w:rFonts w:ascii="Arial" w:cs="Arial" w:eastAsia="Arial" w:hAnsi="Arial"/>
          <w:sz w:val="18"/>
          <w:szCs w:val="18"/>
          <w:color w:val="auto"/>
        </w:rPr>
        <w:t>December 31, 2017 were as follows:</w:t>
      </w:r>
    </w:p>
    <w:p>
      <w:pPr>
        <w:spacing w:after="0" w:line="233" w:lineRule="exact"/>
        <w:rPr>
          <w:sz w:val="20"/>
          <w:szCs w:val="20"/>
          <w:color w:val="auto"/>
        </w:rPr>
      </w:pPr>
    </w:p>
    <w:tbl>
      <w:tblPr>
        <w:tblLayout w:type="fixed"/>
        <w:tblInd w:w="1240" w:type="dxa"/>
        <w:tblCellMar>
          <w:top w:w="0" w:type="dxa"/>
          <w:left w:w="0" w:type="dxa"/>
          <w:bottom w:w="0" w:type="dxa"/>
          <w:right w:w="0" w:type="dxa"/>
        </w:tblCellMar>
      </w:tblPr>
      <w:tr>
        <w:trPr>
          <w:trHeight w:val="182"/>
        </w:trPr>
        <w:tc>
          <w:tcPr>
            <w:tcW w:w="5620" w:type="dxa"/>
            <w:vAlign w:val="bottom"/>
            <w:gridSpan w:val="2"/>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8"/>
        </w:trPr>
        <w:tc>
          <w:tcPr>
            <w:tcW w:w="20" w:type="dxa"/>
            <w:vAlign w:val="bottom"/>
            <w:vMerge w:val="restart"/>
          </w:tcPr>
          <w:p>
            <w:pPr>
              <w:spacing w:after="0"/>
              <w:rPr>
                <w:sz w:val="16"/>
                <w:szCs w:val="16"/>
                <w:color w:val="auto"/>
              </w:rPr>
            </w:pPr>
          </w:p>
        </w:tc>
        <w:tc>
          <w:tcPr>
            <w:tcW w:w="56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560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Year ending December 31,</w:t>
            </w:r>
          </w:p>
        </w:tc>
        <w:tc>
          <w:tcPr>
            <w:tcW w:w="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600" w:type="dxa"/>
            <w:vAlign w:val="bottom"/>
          </w:tcPr>
          <w:p>
            <w:pPr>
              <w:spacing w:after="0"/>
              <w:rPr>
                <w:sz w:val="20"/>
                <w:szCs w:val="20"/>
                <w:color w:val="auto"/>
              </w:rPr>
            </w:pPr>
            <w:r>
              <w:rPr>
                <w:rFonts w:ascii="Arial" w:cs="Arial" w:eastAsia="Arial" w:hAnsi="Arial"/>
                <w:sz w:val="16"/>
                <w:szCs w:val="16"/>
                <w:color w:val="auto"/>
              </w:rPr>
              <w:t>2018</w:t>
            </w:r>
          </w:p>
        </w:tc>
        <w:tc>
          <w:tcPr>
            <w:tcW w:w="240" w:type="dxa"/>
            <w:vAlign w:val="bottom"/>
            <w:gridSpan w:val="2"/>
          </w:tcPr>
          <w:p>
            <w:pPr>
              <w:jc w:val="right"/>
              <w:ind w:right="109"/>
              <w:spacing w:after="0"/>
              <w:rPr>
                <w:sz w:val="20"/>
                <w:szCs w:val="20"/>
                <w:color w:val="auto"/>
              </w:rPr>
            </w:pPr>
            <w:r>
              <w:rPr>
                <w:rFonts w:ascii="Arial" w:cs="Arial" w:eastAsia="Arial" w:hAnsi="Arial"/>
                <w:sz w:val="15"/>
                <w:szCs w:val="15"/>
                <w:color w:val="auto"/>
                <w:w w:val="71"/>
              </w:rPr>
              <w:t>$</w:t>
            </w:r>
          </w:p>
        </w:tc>
        <w:tc>
          <w:tcPr>
            <w:tcW w:w="640" w:type="dxa"/>
            <w:vAlign w:val="bottom"/>
          </w:tcPr>
          <w:p>
            <w:pPr>
              <w:jc w:val="right"/>
              <w:spacing w:after="0"/>
              <w:rPr>
                <w:sz w:val="20"/>
                <w:szCs w:val="20"/>
                <w:color w:val="auto"/>
              </w:rPr>
            </w:pPr>
            <w:r>
              <w:rPr>
                <w:rFonts w:ascii="Arial" w:cs="Arial" w:eastAsia="Arial" w:hAnsi="Arial"/>
                <w:sz w:val="16"/>
                <w:szCs w:val="16"/>
                <w:color w:val="auto"/>
              </w:rPr>
              <w:t>12,119</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600" w:type="dxa"/>
            <w:vAlign w:val="bottom"/>
            <w:shd w:val="clear" w:color="auto" w:fill="CCEEFF"/>
          </w:tcPr>
          <w:p>
            <w:pPr>
              <w:spacing w:after="0"/>
              <w:rPr>
                <w:sz w:val="20"/>
                <w:szCs w:val="20"/>
                <w:color w:val="auto"/>
              </w:rPr>
            </w:pPr>
            <w:r>
              <w:rPr>
                <w:rFonts w:ascii="Arial" w:cs="Arial" w:eastAsia="Arial" w:hAnsi="Arial"/>
                <w:sz w:val="16"/>
                <w:szCs w:val="16"/>
                <w:color w:val="auto"/>
              </w:rPr>
              <w:t>2019</w:t>
            </w:r>
          </w:p>
        </w:tc>
        <w:tc>
          <w:tcPr>
            <w:tcW w:w="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10,286</w:t>
            </w: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600" w:type="dxa"/>
            <w:vAlign w:val="bottom"/>
          </w:tcPr>
          <w:p>
            <w:pPr>
              <w:spacing w:after="0"/>
              <w:rPr>
                <w:sz w:val="20"/>
                <w:szCs w:val="20"/>
                <w:color w:val="auto"/>
              </w:rPr>
            </w:pPr>
            <w:r>
              <w:rPr>
                <w:rFonts w:ascii="Arial" w:cs="Arial" w:eastAsia="Arial" w:hAnsi="Arial"/>
                <w:sz w:val="16"/>
                <w:szCs w:val="16"/>
                <w:color w:val="auto"/>
              </w:rPr>
              <w:t>2020</w:t>
            </w:r>
          </w:p>
        </w:tc>
        <w:tc>
          <w:tcPr>
            <w:tcW w:w="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8,447</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600" w:type="dxa"/>
            <w:vAlign w:val="bottom"/>
            <w:shd w:val="clear" w:color="auto" w:fill="CCEEFF"/>
          </w:tcPr>
          <w:p>
            <w:pPr>
              <w:spacing w:after="0"/>
              <w:rPr>
                <w:sz w:val="20"/>
                <w:szCs w:val="20"/>
                <w:color w:val="auto"/>
              </w:rPr>
            </w:pPr>
            <w:r>
              <w:rPr>
                <w:rFonts w:ascii="Arial" w:cs="Arial" w:eastAsia="Arial" w:hAnsi="Arial"/>
                <w:sz w:val="16"/>
                <w:szCs w:val="16"/>
                <w:color w:val="auto"/>
              </w:rPr>
              <w:t>2021</w:t>
            </w:r>
          </w:p>
        </w:tc>
        <w:tc>
          <w:tcPr>
            <w:tcW w:w="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6,247</w:t>
            </w: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600" w:type="dxa"/>
            <w:vAlign w:val="bottom"/>
          </w:tcPr>
          <w:p>
            <w:pPr>
              <w:spacing w:after="0"/>
              <w:rPr>
                <w:sz w:val="20"/>
                <w:szCs w:val="20"/>
                <w:color w:val="auto"/>
              </w:rPr>
            </w:pPr>
            <w:r>
              <w:rPr>
                <w:rFonts w:ascii="Arial" w:cs="Arial" w:eastAsia="Arial" w:hAnsi="Arial"/>
                <w:sz w:val="16"/>
                <w:szCs w:val="16"/>
                <w:color w:val="auto"/>
              </w:rPr>
              <w:t>2022</w:t>
            </w:r>
          </w:p>
        </w:tc>
        <w:tc>
          <w:tcPr>
            <w:tcW w:w="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4,228</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600" w:type="dxa"/>
            <w:vAlign w:val="bottom"/>
            <w:shd w:val="clear" w:color="auto" w:fill="CCEEFF"/>
          </w:tcPr>
          <w:p>
            <w:pPr>
              <w:spacing w:after="0"/>
              <w:rPr>
                <w:sz w:val="20"/>
                <w:szCs w:val="20"/>
                <w:color w:val="auto"/>
              </w:rPr>
            </w:pPr>
            <w:r>
              <w:rPr>
                <w:rFonts w:ascii="Arial" w:cs="Arial" w:eastAsia="Arial" w:hAnsi="Arial"/>
                <w:sz w:val="16"/>
                <w:szCs w:val="16"/>
                <w:color w:val="auto"/>
              </w:rPr>
              <w:t>Thereafter</w:t>
            </w:r>
          </w:p>
        </w:tc>
        <w:tc>
          <w:tcPr>
            <w:tcW w:w="20" w:type="dxa"/>
            <w:vAlign w:val="bottom"/>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spacing w:after="0"/>
              <w:rPr>
                <w:sz w:val="17"/>
                <w:szCs w:val="17"/>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14,418</w:t>
            </w: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600" w:type="dxa"/>
            <w:vAlign w:val="bottom"/>
          </w:tcPr>
          <w:p>
            <w:pPr>
              <w:ind w:left="520"/>
              <w:spacing w:after="0"/>
              <w:rPr>
                <w:sz w:val="20"/>
                <w:szCs w:val="20"/>
                <w:color w:val="auto"/>
              </w:rPr>
            </w:pPr>
            <w:r>
              <w:rPr>
                <w:rFonts w:ascii="Arial" w:cs="Arial" w:eastAsia="Arial" w:hAnsi="Arial"/>
                <w:sz w:val="16"/>
                <w:szCs w:val="16"/>
                <w:color w:val="auto"/>
              </w:rPr>
              <w:t>Total minimum rental payments</w:t>
            </w:r>
          </w:p>
        </w:tc>
        <w:tc>
          <w:tcPr>
            <w:tcW w:w="20" w:type="dxa"/>
            <w:vAlign w:val="bottom"/>
            <w:tcBorders>
              <w:bottom w:val="single" w:sz="8" w:color="auto"/>
            </w:tcBorders>
          </w:tcPr>
          <w:p>
            <w:pPr>
              <w:spacing w:after="0"/>
              <w:rPr>
                <w:sz w:val="17"/>
                <w:szCs w:val="17"/>
                <w:color w:val="auto"/>
              </w:rPr>
            </w:pPr>
          </w:p>
        </w:tc>
        <w:tc>
          <w:tcPr>
            <w:tcW w:w="220" w:type="dxa"/>
            <w:vAlign w:val="bottom"/>
            <w:tcBorders>
              <w:bottom w:val="single" w:sz="8" w:color="auto"/>
            </w:tcBorders>
          </w:tcPr>
          <w:p>
            <w:pPr>
              <w:jc w:val="right"/>
              <w:ind w:right="109"/>
              <w:spacing w:after="0"/>
              <w:rPr>
                <w:sz w:val="20"/>
                <w:szCs w:val="20"/>
                <w:color w:val="auto"/>
              </w:rPr>
            </w:pPr>
            <w:r>
              <w:rPr>
                <w:rFonts w:ascii="Arial" w:cs="Arial" w:eastAsia="Arial" w:hAnsi="Arial"/>
                <w:sz w:val="10"/>
                <w:szCs w:val="10"/>
                <w:color w:val="auto"/>
                <w:w w:val="71"/>
              </w:rPr>
              <w:t>$</w:t>
            </w: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55,745</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1240" w:right="1239" w:firstLine="648"/>
        <w:spacing w:after="0" w:line="257" w:lineRule="auto"/>
        <w:rPr>
          <w:sz w:val="20"/>
          <w:szCs w:val="20"/>
          <w:color w:val="auto"/>
        </w:rPr>
      </w:pPr>
      <w:r>
        <w:rPr>
          <w:rFonts w:ascii="Arial" w:cs="Arial" w:eastAsia="Arial" w:hAnsi="Arial"/>
          <w:sz w:val="18"/>
          <w:szCs w:val="18"/>
          <w:color w:val="auto"/>
        </w:rPr>
        <w:t>The Company leases certain warehouses, distribution and office facilities, vehicles and office equipment under operating leases. Most lease arrangements provide the Company with the option to renew leases at defined terms. The future operating lease obligations would change if the Company were to exercise these options or if it were to enter into additional operating leases.</w:t>
      </w:r>
    </w:p>
    <w:p>
      <w:pPr>
        <w:spacing w:after="0" w:line="188" w:lineRule="exact"/>
        <w:rPr>
          <w:sz w:val="20"/>
          <w:szCs w:val="20"/>
          <w:color w:val="auto"/>
        </w:rPr>
      </w:pPr>
    </w:p>
    <w:p>
      <w:pPr>
        <w:ind w:left="1880"/>
        <w:spacing w:after="0"/>
        <w:rPr>
          <w:sz w:val="20"/>
          <w:szCs w:val="20"/>
          <w:color w:val="auto"/>
        </w:rPr>
      </w:pPr>
      <w:r>
        <w:rPr>
          <w:rFonts w:ascii="Arial" w:cs="Arial" w:eastAsia="Arial" w:hAnsi="Arial"/>
          <w:sz w:val="18"/>
          <w:szCs w:val="18"/>
          <w:color w:val="auto"/>
        </w:rPr>
        <w:t>Total rental expense for all operating leases amounted to $16.3 million,</w:t>
      </w:r>
    </w:p>
    <w:p>
      <w:pPr>
        <w:spacing w:after="0" w:line="23" w:lineRule="exact"/>
        <w:rPr>
          <w:sz w:val="20"/>
          <w:szCs w:val="20"/>
          <w:color w:val="auto"/>
        </w:rPr>
      </w:pPr>
    </w:p>
    <w:p>
      <w:pPr>
        <w:ind w:left="1240"/>
        <w:spacing w:after="0"/>
        <w:rPr>
          <w:sz w:val="20"/>
          <w:szCs w:val="20"/>
          <w:color w:val="auto"/>
        </w:rPr>
      </w:pPr>
      <w:r>
        <w:rPr>
          <w:rFonts w:ascii="Arial" w:cs="Arial" w:eastAsia="Arial" w:hAnsi="Arial"/>
          <w:sz w:val="16"/>
          <w:szCs w:val="16"/>
          <w:color w:val="auto"/>
        </w:rPr>
        <w:t>$16.5 million and $15.8 million for the years ended December 31, 2017, 2016 and 2015,</w:t>
      </w:r>
    </w:p>
    <w:p>
      <w:pPr>
        <w:spacing w:after="0" w:line="32" w:lineRule="exact"/>
        <w:rPr>
          <w:sz w:val="20"/>
          <w:szCs w:val="20"/>
          <w:color w:val="auto"/>
        </w:rPr>
      </w:pPr>
    </w:p>
    <w:p>
      <w:pPr>
        <w:ind w:left="1240"/>
        <w:spacing w:after="0"/>
        <w:rPr>
          <w:sz w:val="20"/>
          <w:szCs w:val="20"/>
          <w:color w:val="auto"/>
        </w:rPr>
      </w:pPr>
      <w:r>
        <w:rPr>
          <w:rFonts w:ascii="Arial" w:cs="Arial" w:eastAsia="Arial" w:hAnsi="Arial"/>
          <w:sz w:val="18"/>
          <w:szCs w:val="18"/>
          <w:color w:val="auto"/>
        </w:rPr>
        <w:t>respectively.</w:t>
      </w:r>
    </w:p>
    <w:p>
      <w:pPr>
        <w:spacing w:after="0" w:line="207"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Contingencies</w:t>
      </w:r>
    </w:p>
    <w:p>
      <w:pPr>
        <w:spacing w:after="0" w:line="229" w:lineRule="exact"/>
        <w:rPr>
          <w:sz w:val="20"/>
          <w:szCs w:val="20"/>
          <w:color w:val="auto"/>
        </w:rPr>
      </w:pPr>
    </w:p>
    <w:p>
      <w:pPr>
        <w:ind w:left="1240" w:right="1419" w:firstLine="648"/>
        <w:spacing w:after="0" w:line="297" w:lineRule="auto"/>
        <w:rPr>
          <w:sz w:val="20"/>
          <w:szCs w:val="20"/>
          <w:color w:val="auto"/>
        </w:rPr>
      </w:pPr>
      <w:r>
        <w:rPr>
          <w:rFonts w:ascii="Arial" w:cs="Arial" w:eastAsia="Arial" w:hAnsi="Arial"/>
          <w:sz w:val="16"/>
          <w:szCs w:val="16"/>
          <w:color w:val="auto"/>
        </w:rPr>
        <w:t>In connection with the Company’s acquisition of Acushnet Company, Beam indemnified the Company for certain tax related obligations that relate to periods during which Fortune Brands, Inc. owned Acushnet Company. As of December 31, 2017, the Company’s estimate of its receivable for these indemnifications is $8.7 million, which is recorded in other noncurrent assets on the consolidated balance sheet.</w:t>
      </w:r>
    </w:p>
    <w:p>
      <w:pPr>
        <w:spacing w:after="0" w:line="154"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Litigation</w:t>
      </w:r>
    </w:p>
    <w:p>
      <w:pPr>
        <w:spacing w:after="0" w:line="229" w:lineRule="exact"/>
        <w:rPr>
          <w:sz w:val="20"/>
          <w:szCs w:val="20"/>
          <w:color w:val="auto"/>
        </w:rPr>
      </w:pPr>
    </w:p>
    <w:p>
      <w:pPr>
        <w:ind w:left="1240"/>
        <w:spacing w:after="0"/>
        <w:rPr>
          <w:sz w:val="20"/>
          <w:szCs w:val="20"/>
          <w:color w:val="auto"/>
        </w:rPr>
      </w:pPr>
      <w:r>
        <w:rPr>
          <w:rFonts w:ascii="Arial" w:cs="Arial" w:eastAsia="Arial" w:hAnsi="Arial"/>
          <w:sz w:val="18"/>
          <w:szCs w:val="18"/>
          <w:b w:val="1"/>
          <w:bCs w:val="1"/>
          <w:i w:val="1"/>
          <w:iCs w:val="1"/>
          <w:color w:val="auto"/>
        </w:rPr>
        <w:t>Beam</w:t>
      </w:r>
    </w:p>
    <w:p>
      <w:pPr>
        <w:spacing w:after="0" w:line="225" w:lineRule="exact"/>
        <w:rPr>
          <w:sz w:val="20"/>
          <w:szCs w:val="20"/>
          <w:color w:val="auto"/>
        </w:rPr>
      </w:pPr>
    </w:p>
    <w:p>
      <w:pPr>
        <w:ind w:left="1240" w:right="1239" w:firstLine="648"/>
        <w:spacing w:after="0" w:line="267" w:lineRule="auto"/>
        <w:rPr>
          <w:sz w:val="20"/>
          <w:szCs w:val="20"/>
          <w:color w:val="auto"/>
        </w:rPr>
      </w:pPr>
      <w:r>
        <w:rPr>
          <w:rFonts w:ascii="Arial" w:cs="Arial" w:eastAsia="Arial" w:hAnsi="Arial"/>
          <w:sz w:val="17"/>
          <w:szCs w:val="17"/>
          <w:color w:val="auto"/>
        </w:rPr>
        <w:t>A dispute recently concluded between Acushnet Company and Beam with respect to approximately $16.6 million of value-added tax (“VAT”) trade receivables. These receivables were reflected on Acushnet Company’s consolidated balance sheet at the time of the Company’s acquisition of Acushnet Company. Acushnet Company believed that these VAT trade receivables were assets of the Company; Beam claimed that these are tax credits or refunds from the period prior to the acquisition of Acushnet Company which were payable to Beam, pursuant to the terms of the Stock Purchase Agreement that covers the sale of the stock of Acushnet Company. Beam has withheld payments in this amount which the Company believed were payable to Acushnet Company in reimbursement of certain other tax liabilities which existed prior to the acquisition of Acushnet Company. On March 27, 2012, Acushnet Company filed a complaint seeking reimbursement of these funds in the Commonwealth of Massachusetts Superior Court Department, Business Litigation Section. Each party filed Motions for Summary Judgment, which motions were denied by the Court on July 29, 2015. Trial was conducted in early June, 2016. On June 21, 2016, the Court ruled that Beam had a contractual right to the VAT trade receivables actually collected from Acushnet Company's customers prior to the closing of the Company's acquisition of Acushnet Company, but that Beam should pay $972,288 plus pre-judgment interest of $494,859 to the Company to compensate for amounts Beam withheld, but which were not collected from Acushnet Company's customers. The Company recorded the total value of the judgment as other (income) expense, net on the consolidated statement of operations for the year ended December 31, 2016. Acushnet filed a Notice of Appeal on July 20, 2016. On February 2, 2018, the Appeals Court issued its decision affirming the lower Court's decision. The Company did not appeal the Appeals Court ruling.</w:t>
      </w:r>
    </w:p>
    <w:p>
      <w:pPr>
        <w:spacing w:after="0" w:line="183" w:lineRule="exact"/>
        <w:rPr>
          <w:sz w:val="20"/>
          <w:szCs w:val="20"/>
          <w:color w:val="auto"/>
        </w:rPr>
      </w:pPr>
    </w:p>
    <w:p>
      <w:pPr>
        <w:ind w:left="1240"/>
        <w:spacing w:after="0"/>
        <w:rPr>
          <w:sz w:val="20"/>
          <w:szCs w:val="20"/>
          <w:color w:val="auto"/>
        </w:rPr>
      </w:pPr>
      <w:r>
        <w:rPr>
          <w:rFonts w:ascii="Arial" w:cs="Arial" w:eastAsia="Arial" w:hAnsi="Arial"/>
          <w:sz w:val="18"/>
          <w:szCs w:val="18"/>
          <w:b w:val="1"/>
          <w:bCs w:val="1"/>
          <w:i w:val="1"/>
          <w:iCs w:val="1"/>
          <w:color w:val="auto"/>
        </w:rPr>
        <w:t>Other Litigation</w:t>
      </w:r>
    </w:p>
    <w:p>
      <w:pPr>
        <w:spacing w:after="0" w:line="225" w:lineRule="exact"/>
        <w:rPr>
          <w:sz w:val="20"/>
          <w:szCs w:val="20"/>
          <w:color w:val="auto"/>
        </w:rPr>
      </w:pPr>
    </w:p>
    <w:p>
      <w:pPr>
        <w:ind w:left="1240" w:right="1399" w:firstLine="648"/>
        <w:spacing w:after="0" w:line="302" w:lineRule="auto"/>
        <w:rPr>
          <w:sz w:val="20"/>
          <w:szCs w:val="20"/>
          <w:color w:val="auto"/>
        </w:rPr>
      </w:pPr>
      <w:r>
        <w:rPr>
          <w:rFonts w:ascii="Arial" w:cs="Arial" w:eastAsia="Arial" w:hAnsi="Arial"/>
          <w:sz w:val="16"/>
          <w:szCs w:val="16"/>
          <w:color w:val="auto"/>
        </w:rPr>
        <w:t>In addition to the lawsuit described above, the Company and its subsidiaries are defendants in lawsuits associated with the normal conduct of their businesses and operations. It is not possible to predict the outcome of the pending actions, and, as with any litigation, it is possible that some of these actions could be decided unfavorably.</w:t>
      </w:r>
    </w:p>
    <w:p>
      <w:pPr>
        <w:spacing w:after="0" w:line="370"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F-44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786765</wp:posOffset>
            </wp:positionH>
            <wp:positionV relativeFrom="paragraph">
              <wp:posOffset>83185</wp:posOffset>
            </wp:positionV>
            <wp:extent cx="4159250" cy="26035"/>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75">
                      <a:extLst>
                        <a:ext uri="{28A0092B-C50C-407E-A947-70E740481C1C}"/>
                      </a:extLst>
                    </a:blip>
                    <a:srcRect/>
                    <a:stretch>
                      <a:fillRect/>
                    </a:stretch>
                  </pic:blipFill>
                  <pic:spPr bwMode="auto">
                    <a:xfrm>
                      <a:off x="0" y="0"/>
                      <a:ext cx="4159250" cy="26035"/>
                    </a:xfrm>
                    <a:prstGeom prst="rect">
                      <a:avLst/>
                    </a:prstGeom>
                    <a:noFill/>
                  </pic:spPr>
                </pic:pic>
              </a:graphicData>
            </a:graphic>
          </wp:anchor>
        </w:drawing>
      </w:r>
    </w:p>
    <w:p>
      <w:pPr>
        <w:sectPr>
          <w:pgSz w:w="11900" w:h="16838" w:orient="portrait"/>
          <w:cols w:equalWidth="0" w:num="1">
            <w:col w:w="9019"/>
          </w:cols>
          <w:pgMar w:left="1440" w:top="125" w:right="1440" w:bottom="397" w:gutter="0" w:footer="0" w:header="0"/>
        </w:sectPr>
      </w:pPr>
    </w:p>
    <w:bookmarkStart w:id="141" w:name="page142"/>
    <w:bookmarkEnd w:id="141"/>
    <w:p>
      <w:pPr>
        <w:ind w:left="124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1240" w:right="1319"/>
        <w:spacing w:after="0" w:line="297" w:lineRule="auto"/>
        <w:rPr>
          <w:sz w:val="20"/>
          <w:szCs w:val="20"/>
          <w:color w:val="auto"/>
        </w:rPr>
      </w:pPr>
      <w:r>
        <w:rPr>
          <w:rFonts w:ascii="Arial" w:cs="Arial" w:eastAsia="Arial" w:hAnsi="Arial"/>
          <w:sz w:val="16"/>
          <w:szCs w:val="16"/>
          <w:color w:val="auto"/>
        </w:rPr>
        <w:t>Consequently, the Company is unable to estimate the ultimate aggregate amount of monetary loss, amounts covered by insurance or the financial impact that will result from such matters and has not recorded a liability related to potential losses. The Company believes that there are meritorious defenses to these actions and that these actions will not have a material adverse effect on the consolidated financial statements.</w:t>
      </w:r>
    </w:p>
    <w:p>
      <w:pPr>
        <w:spacing w:after="0" w:line="154"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22. Unaudited Quarterly Financial Data</w:t>
      </w:r>
    </w:p>
    <w:p>
      <w:pPr>
        <w:spacing w:after="0" w:line="216"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The tables below summarize quarterly results for fiscal 2017 and 2016:</w:t>
      </w:r>
    </w:p>
    <w:p>
      <w:pPr>
        <w:spacing w:after="0" w:line="284" w:lineRule="exact"/>
        <w:rPr>
          <w:sz w:val="20"/>
          <w:szCs w:val="20"/>
          <w:color w:val="auto"/>
        </w:rPr>
      </w:pPr>
    </w:p>
    <w:tbl>
      <w:tblPr>
        <w:tblLayout w:type="fixed"/>
        <w:tblInd w:w="1240" w:type="dxa"/>
        <w:tblCellMar>
          <w:top w:w="0" w:type="dxa"/>
          <w:left w:w="0" w:type="dxa"/>
          <w:bottom w:w="0" w:type="dxa"/>
          <w:right w:w="0" w:type="dxa"/>
        </w:tblCellMar>
      </w:tblPr>
      <w:tr>
        <w:trPr>
          <w:trHeight w:val="171"/>
        </w:trPr>
        <w:tc>
          <w:tcPr>
            <w:tcW w:w="2880" w:type="dxa"/>
            <w:vAlign w:val="bottom"/>
            <w:gridSpan w:val="2"/>
            <w:vMerge w:val="restart"/>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12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spacing w:after="0"/>
              <w:rPr>
                <w:sz w:val="14"/>
                <w:szCs w:val="14"/>
                <w:color w:val="auto"/>
              </w:rPr>
            </w:pPr>
          </w:p>
        </w:tc>
        <w:tc>
          <w:tcPr>
            <w:tcW w:w="1860" w:type="dxa"/>
            <w:vAlign w:val="bottom"/>
            <w:tcBorders>
              <w:bottom w:val="single" w:sz="8" w:color="auto"/>
            </w:tcBorders>
            <w:gridSpan w:val="5"/>
          </w:tcPr>
          <w:p>
            <w:pPr>
              <w:jc w:val="right"/>
              <w:ind w:right="48"/>
              <w:spacing w:after="0"/>
              <w:rPr>
                <w:sz w:val="20"/>
                <w:szCs w:val="20"/>
                <w:color w:val="auto"/>
              </w:rPr>
            </w:pPr>
            <w:r>
              <w:rPr>
                <w:rFonts w:ascii="Arial" w:cs="Arial" w:eastAsia="Arial" w:hAnsi="Arial"/>
                <w:sz w:val="14"/>
                <w:szCs w:val="14"/>
                <w:b w:val="1"/>
                <w:bCs w:val="1"/>
                <w:color w:val="auto"/>
                <w:w w:val="97"/>
              </w:rPr>
              <w:t>Quarter ended (unaudited)</w:t>
            </w:r>
          </w:p>
        </w:tc>
        <w:tc>
          <w:tcPr>
            <w:tcW w:w="16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88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860" w:type="dxa"/>
            <w:vAlign w:val="bottom"/>
            <w:gridSpan w:val="2"/>
          </w:tcPr>
          <w:p>
            <w:pPr>
              <w:spacing w:after="0" w:line="142" w:lineRule="exact"/>
              <w:rPr>
                <w:sz w:val="20"/>
                <w:szCs w:val="20"/>
                <w:color w:val="auto"/>
              </w:rPr>
            </w:pPr>
            <w:r>
              <w:rPr>
                <w:rFonts w:ascii="Arial" w:cs="Arial" w:eastAsia="Arial" w:hAnsi="Arial"/>
                <w:sz w:val="14"/>
                <w:szCs w:val="14"/>
                <w:b w:val="1"/>
                <w:bCs w:val="1"/>
                <w:color w:val="auto"/>
                <w:w w:val="92"/>
              </w:rPr>
              <w:t>December 31,</w:t>
            </w:r>
          </w:p>
        </w:tc>
        <w:tc>
          <w:tcPr>
            <w:tcW w:w="1060" w:type="dxa"/>
            <w:vAlign w:val="bottom"/>
            <w:gridSpan w:val="3"/>
          </w:tcPr>
          <w:p>
            <w:pPr>
              <w:ind w:left="140"/>
              <w:spacing w:after="0" w:line="142" w:lineRule="exact"/>
              <w:rPr>
                <w:sz w:val="20"/>
                <w:szCs w:val="20"/>
                <w:color w:val="auto"/>
              </w:rPr>
            </w:pPr>
            <w:r>
              <w:rPr>
                <w:rFonts w:ascii="Arial" w:cs="Arial" w:eastAsia="Arial" w:hAnsi="Arial"/>
                <w:sz w:val="14"/>
                <w:szCs w:val="14"/>
                <w:b w:val="1"/>
                <w:bCs w:val="1"/>
                <w:color w:val="auto"/>
                <w:w w:val="93"/>
              </w:rPr>
              <w:t>September 30,</w:t>
            </w:r>
          </w:p>
        </w:tc>
        <w:tc>
          <w:tcPr>
            <w:tcW w:w="140" w:type="dxa"/>
            <w:vAlign w:val="bottom"/>
          </w:tcPr>
          <w:p>
            <w:pPr>
              <w:spacing w:after="0"/>
              <w:rPr>
                <w:sz w:val="12"/>
                <w:szCs w:val="12"/>
                <w:color w:val="auto"/>
              </w:rPr>
            </w:pPr>
          </w:p>
        </w:tc>
        <w:tc>
          <w:tcPr>
            <w:tcW w:w="660" w:type="dxa"/>
            <w:vAlign w:val="bottom"/>
          </w:tcPr>
          <w:p>
            <w:pPr>
              <w:jc w:val="right"/>
              <w:ind w:right="28"/>
              <w:spacing w:after="0" w:line="142" w:lineRule="exact"/>
              <w:rPr>
                <w:sz w:val="20"/>
                <w:szCs w:val="20"/>
                <w:color w:val="auto"/>
              </w:rPr>
            </w:pPr>
            <w:r>
              <w:rPr>
                <w:rFonts w:ascii="Arial" w:cs="Arial" w:eastAsia="Arial" w:hAnsi="Arial"/>
                <w:sz w:val="14"/>
                <w:szCs w:val="14"/>
                <w:b w:val="1"/>
                <w:bCs w:val="1"/>
                <w:color w:val="auto"/>
                <w:w w:val="96"/>
              </w:rPr>
              <w:t>June 30,</w:t>
            </w:r>
          </w:p>
        </w:tc>
        <w:tc>
          <w:tcPr>
            <w:tcW w:w="820" w:type="dxa"/>
            <w:vAlign w:val="bottom"/>
            <w:gridSpan w:val="2"/>
          </w:tcPr>
          <w:p>
            <w:pPr>
              <w:jc w:val="right"/>
              <w:ind w:right="40"/>
              <w:spacing w:after="0" w:line="142" w:lineRule="exact"/>
              <w:rPr>
                <w:sz w:val="20"/>
                <w:szCs w:val="20"/>
                <w:color w:val="auto"/>
              </w:rPr>
            </w:pPr>
            <w:r>
              <w:rPr>
                <w:rFonts w:ascii="Arial" w:cs="Arial" w:eastAsia="Arial" w:hAnsi="Arial"/>
                <w:sz w:val="14"/>
                <w:szCs w:val="14"/>
                <w:b w:val="1"/>
                <w:bCs w:val="1"/>
                <w:color w:val="auto"/>
              </w:rPr>
              <w:t>March 31,</w:t>
            </w:r>
          </w:p>
        </w:tc>
        <w:tc>
          <w:tcPr>
            <w:tcW w:w="0" w:type="dxa"/>
            <w:vAlign w:val="bottom"/>
          </w:tcPr>
          <w:p>
            <w:pPr>
              <w:spacing w:after="0"/>
              <w:rPr>
                <w:sz w:val="1"/>
                <w:szCs w:val="1"/>
                <w:color w:val="auto"/>
              </w:rPr>
            </w:pPr>
          </w:p>
        </w:tc>
      </w:tr>
      <w:tr>
        <w:trPr>
          <w:trHeight w:val="183"/>
        </w:trPr>
        <w:tc>
          <w:tcPr>
            <w:tcW w:w="20" w:type="dxa"/>
            <w:vAlign w:val="bottom"/>
          </w:tcPr>
          <w:p>
            <w:pPr>
              <w:spacing w:after="0"/>
              <w:rPr>
                <w:sz w:val="15"/>
                <w:szCs w:val="15"/>
                <w:color w:val="auto"/>
              </w:rPr>
            </w:pPr>
          </w:p>
        </w:tc>
        <w:tc>
          <w:tcPr>
            <w:tcW w:w="2860" w:type="dxa"/>
            <w:vAlign w:val="bottom"/>
            <w:tcBorders>
              <w:top w:val="single" w:sz="8" w:color="CCEEFF"/>
            </w:tcBorders>
            <w:shd w:val="clear" w:color="auto" w:fill="CCEEFF"/>
          </w:tcPr>
          <w:p>
            <w:pPr>
              <w:spacing w:after="0" w:line="183" w:lineRule="exact"/>
              <w:rPr>
                <w:sz w:val="20"/>
                <w:szCs w:val="20"/>
                <w:color w:val="auto"/>
              </w:rPr>
            </w:pPr>
            <w:r>
              <w:rPr>
                <w:rFonts w:ascii="Arial" w:cs="Arial" w:eastAsia="Arial" w:hAnsi="Arial"/>
                <w:sz w:val="16"/>
                <w:szCs w:val="16"/>
                <w:b w:val="1"/>
                <w:bCs w:val="1"/>
                <w:color w:val="auto"/>
              </w:rPr>
              <w:t>2017</w:t>
            </w:r>
          </w:p>
        </w:tc>
        <w:tc>
          <w:tcPr>
            <w:tcW w:w="120" w:type="dxa"/>
            <w:vAlign w:val="bottom"/>
            <w:tcBorders>
              <w:top w:val="single" w:sz="8" w:color="CCEEFF"/>
            </w:tcBorders>
            <w:shd w:val="clear" w:color="auto" w:fill="CCEEFF"/>
          </w:tcPr>
          <w:p>
            <w:pPr>
              <w:spacing w:after="0"/>
              <w:rPr>
                <w:sz w:val="15"/>
                <w:szCs w:val="15"/>
                <w:color w:val="auto"/>
              </w:rPr>
            </w:pPr>
          </w:p>
        </w:tc>
        <w:tc>
          <w:tcPr>
            <w:tcW w:w="180" w:type="dxa"/>
            <w:vAlign w:val="bottom"/>
            <w:tcBorders>
              <w:top w:val="single" w:sz="8" w:color="auto"/>
            </w:tcBorders>
            <w:shd w:val="clear" w:color="auto" w:fill="CCEEFF"/>
          </w:tcPr>
          <w:p>
            <w:pPr>
              <w:spacing w:after="0"/>
              <w:rPr>
                <w:sz w:val="15"/>
                <w:szCs w:val="15"/>
                <w:color w:val="auto"/>
              </w:rPr>
            </w:pPr>
          </w:p>
        </w:tc>
        <w:tc>
          <w:tcPr>
            <w:tcW w:w="680" w:type="dxa"/>
            <w:vAlign w:val="bottom"/>
            <w:tcBorders>
              <w:top w:val="single" w:sz="8" w:color="auto"/>
            </w:tcBorders>
            <w:shd w:val="clear" w:color="auto" w:fill="CCEEFF"/>
          </w:tcPr>
          <w:p>
            <w:pPr>
              <w:spacing w:after="0"/>
              <w:rPr>
                <w:sz w:val="15"/>
                <w:szCs w:val="15"/>
                <w:color w:val="auto"/>
              </w:rPr>
            </w:pPr>
          </w:p>
        </w:tc>
        <w:tc>
          <w:tcPr>
            <w:tcW w:w="160" w:type="dxa"/>
            <w:vAlign w:val="bottom"/>
            <w:tcBorders>
              <w:top w:val="single" w:sz="8" w:color="CCEEFF"/>
            </w:tcBorders>
            <w:shd w:val="clear" w:color="auto" w:fill="CCEEFF"/>
          </w:tcPr>
          <w:p>
            <w:pPr>
              <w:spacing w:after="0"/>
              <w:rPr>
                <w:sz w:val="15"/>
                <w:szCs w:val="15"/>
                <w:color w:val="auto"/>
              </w:rPr>
            </w:pPr>
          </w:p>
        </w:tc>
        <w:tc>
          <w:tcPr>
            <w:tcW w:w="180" w:type="dxa"/>
            <w:vAlign w:val="bottom"/>
            <w:tcBorders>
              <w:top w:val="single" w:sz="8" w:color="auto"/>
            </w:tcBorders>
            <w:shd w:val="clear" w:color="auto" w:fill="CCEEFF"/>
          </w:tcPr>
          <w:p>
            <w:pPr>
              <w:spacing w:after="0"/>
              <w:rPr>
                <w:sz w:val="15"/>
                <w:szCs w:val="15"/>
                <w:color w:val="auto"/>
              </w:rPr>
            </w:pPr>
          </w:p>
        </w:tc>
        <w:tc>
          <w:tcPr>
            <w:tcW w:w="720" w:type="dxa"/>
            <w:vAlign w:val="bottom"/>
            <w:tcBorders>
              <w:top w:val="single" w:sz="8" w:color="auto"/>
            </w:tcBorders>
            <w:shd w:val="clear" w:color="auto" w:fill="CCEEFF"/>
          </w:tcPr>
          <w:p>
            <w:pPr>
              <w:spacing w:after="0"/>
              <w:rPr>
                <w:sz w:val="15"/>
                <w:szCs w:val="15"/>
                <w:color w:val="auto"/>
              </w:rPr>
            </w:pPr>
          </w:p>
        </w:tc>
        <w:tc>
          <w:tcPr>
            <w:tcW w:w="140" w:type="dxa"/>
            <w:vAlign w:val="bottom"/>
            <w:tcBorders>
              <w:top w:val="single" w:sz="8" w:color="CCEEFF"/>
            </w:tcBorders>
            <w:shd w:val="clear" w:color="auto" w:fill="CCEEFF"/>
          </w:tcPr>
          <w:p>
            <w:pPr>
              <w:spacing w:after="0"/>
              <w:rPr>
                <w:sz w:val="15"/>
                <w:szCs w:val="15"/>
                <w:color w:val="auto"/>
              </w:rPr>
            </w:pPr>
          </w:p>
        </w:tc>
        <w:tc>
          <w:tcPr>
            <w:tcW w:w="660" w:type="dxa"/>
            <w:vAlign w:val="bottom"/>
            <w:tcBorders>
              <w:top w:val="single" w:sz="8" w:color="auto"/>
            </w:tcBorders>
            <w:shd w:val="clear" w:color="auto" w:fill="CCEEFF"/>
          </w:tcPr>
          <w:p>
            <w:pPr>
              <w:spacing w:after="0"/>
              <w:rPr>
                <w:sz w:val="15"/>
                <w:szCs w:val="15"/>
                <w:color w:val="auto"/>
              </w:rPr>
            </w:pPr>
          </w:p>
        </w:tc>
        <w:tc>
          <w:tcPr>
            <w:tcW w:w="160" w:type="dxa"/>
            <w:vAlign w:val="bottom"/>
            <w:tcBorders>
              <w:top w:val="single" w:sz="8" w:color="CCEEFF"/>
            </w:tcBorders>
            <w:shd w:val="clear" w:color="auto" w:fill="CCEEFF"/>
          </w:tcPr>
          <w:p>
            <w:pPr>
              <w:spacing w:after="0"/>
              <w:rPr>
                <w:sz w:val="15"/>
                <w:szCs w:val="15"/>
                <w:color w:val="auto"/>
              </w:rPr>
            </w:pPr>
          </w:p>
        </w:tc>
        <w:tc>
          <w:tcPr>
            <w:tcW w:w="660" w:type="dxa"/>
            <w:vAlign w:val="bottom"/>
            <w:tcBorders>
              <w:top w:val="single" w:sz="8" w:color="auto"/>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860" w:type="dxa"/>
            <w:vAlign w:val="bottom"/>
          </w:tcPr>
          <w:p>
            <w:pPr>
              <w:spacing w:after="0"/>
              <w:rPr>
                <w:sz w:val="20"/>
                <w:szCs w:val="20"/>
                <w:color w:val="auto"/>
              </w:rPr>
            </w:pPr>
            <w:r>
              <w:rPr>
                <w:rFonts w:ascii="Arial" w:cs="Arial" w:eastAsia="Arial" w:hAnsi="Arial"/>
                <w:sz w:val="16"/>
                <w:szCs w:val="16"/>
                <w:color w:val="auto"/>
              </w:rPr>
              <w:t>Net sales</w:t>
            </w:r>
          </w:p>
        </w:tc>
        <w:tc>
          <w:tcPr>
            <w:tcW w:w="300" w:type="dxa"/>
            <w:vAlign w:val="bottom"/>
            <w:gridSpan w:val="2"/>
          </w:tcPr>
          <w:p>
            <w:pPr>
              <w:ind w:left="120"/>
              <w:spacing w:after="0"/>
              <w:rPr>
                <w:sz w:val="20"/>
                <w:szCs w:val="20"/>
                <w:color w:val="auto"/>
              </w:rPr>
            </w:pPr>
            <w:r>
              <w:rPr>
                <w:rFonts w:ascii="Arial" w:cs="Arial" w:eastAsia="Arial" w:hAnsi="Arial"/>
                <w:sz w:val="16"/>
                <w:szCs w:val="16"/>
                <w:color w:val="auto"/>
              </w:rPr>
              <w:t>$</w:t>
            </w:r>
          </w:p>
        </w:tc>
        <w:tc>
          <w:tcPr>
            <w:tcW w:w="680" w:type="dxa"/>
            <w:vAlign w:val="bottom"/>
          </w:tcPr>
          <w:p>
            <w:pPr>
              <w:jc w:val="right"/>
              <w:spacing w:after="0"/>
              <w:rPr>
                <w:sz w:val="20"/>
                <w:szCs w:val="20"/>
                <w:color w:val="auto"/>
              </w:rPr>
            </w:pPr>
            <w:r>
              <w:rPr>
                <w:rFonts w:ascii="Arial" w:cs="Arial" w:eastAsia="Arial" w:hAnsi="Arial"/>
                <w:sz w:val="16"/>
                <w:szCs w:val="16"/>
                <w:color w:val="auto"/>
              </w:rPr>
              <w:t>351,392</w:t>
            </w:r>
          </w:p>
        </w:tc>
        <w:tc>
          <w:tcPr>
            <w:tcW w:w="340" w:type="dxa"/>
            <w:vAlign w:val="bottom"/>
            <w:gridSpan w:val="2"/>
          </w:tcPr>
          <w:p>
            <w:pPr>
              <w:ind w:left="140"/>
              <w:spacing w:after="0"/>
              <w:rPr>
                <w:sz w:val="20"/>
                <w:szCs w:val="20"/>
                <w:color w:val="auto"/>
              </w:rPr>
            </w:pPr>
            <w:r>
              <w:rPr>
                <w:rFonts w:ascii="Arial" w:cs="Arial" w:eastAsia="Arial" w:hAnsi="Arial"/>
                <w:sz w:val="16"/>
                <w:szCs w:val="16"/>
                <w:color w:val="auto"/>
              </w:rPr>
              <w:t>$</w:t>
            </w:r>
          </w:p>
        </w:tc>
        <w:tc>
          <w:tcPr>
            <w:tcW w:w="720" w:type="dxa"/>
            <w:vAlign w:val="bottom"/>
          </w:tcPr>
          <w:p>
            <w:pPr>
              <w:jc w:val="right"/>
              <w:spacing w:after="0"/>
              <w:rPr>
                <w:sz w:val="20"/>
                <w:szCs w:val="20"/>
                <w:color w:val="auto"/>
              </w:rPr>
            </w:pPr>
            <w:r>
              <w:rPr>
                <w:rFonts w:ascii="Arial" w:cs="Arial" w:eastAsia="Arial" w:hAnsi="Arial"/>
                <w:sz w:val="16"/>
                <w:szCs w:val="16"/>
                <w:color w:val="auto"/>
              </w:rPr>
              <w:t>347,263</w:t>
            </w:r>
          </w:p>
        </w:tc>
        <w:tc>
          <w:tcPr>
            <w:tcW w:w="800" w:type="dxa"/>
            <w:vAlign w:val="bottom"/>
            <w:gridSpan w:val="2"/>
          </w:tcPr>
          <w:p>
            <w:pPr>
              <w:jc w:val="right"/>
              <w:spacing w:after="0"/>
              <w:rPr>
                <w:sz w:val="20"/>
                <w:szCs w:val="20"/>
                <w:color w:val="auto"/>
              </w:rPr>
            </w:pPr>
            <w:r>
              <w:rPr>
                <w:rFonts w:ascii="Arial" w:cs="Arial" w:eastAsia="Arial" w:hAnsi="Arial"/>
                <w:sz w:val="16"/>
                <w:szCs w:val="16"/>
                <w:color w:val="auto"/>
              </w:rPr>
              <w:t>$427,988</w:t>
            </w:r>
          </w:p>
        </w:tc>
        <w:tc>
          <w:tcPr>
            <w:tcW w:w="820" w:type="dxa"/>
            <w:vAlign w:val="bottom"/>
            <w:gridSpan w:val="2"/>
          </w:tcPr>
          <w:p>
            <w:pPr>
              <w:jc w:val="right"/>
              <w:ind w:right="60"/>
              <w:spacing w:after="0"/>
              <w:rPr>
                <w:sz w:val="20"/>
                <w:szCs w:val="20"/>
                <w:color w:val="auto"/>
              </w:rPr>
            </w:pPr>
            <w:r>
              <w:rPr>
                <w:rFonts w:ascii="Arial" w:cs="Arial" w:eastAsia="Arial" w:hAnsi="Arial"/>
                <w:sz w:val="16"/>
                <w:szCs w:val="16"/>
                <w:color w:val="auto"/>
              </w:rPr>
              <w:t>$433,615</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860" w:type="dxa"/>
            <w:vAlign w:val="bottom"/>
            <w:shd w:val="clear" w:color="auto" w:fill="CCEEFF"/>
          </w:tcPr>
          <w:p>
            <w:pPr>
              <w:spacing w:after="0"/>
              <w:rPr>
                <w:sz w:val="20"/>
                <w:szCs w:val="20"/>
                <w:color w:val="auto"/>
              </w:rPr>
            </w:pPr>
            <w:r>
              <w:rPr>
                <w:rFonts w:ascii="Arial" w:cs="Arial" w:eastAsia="Arial" w:hAnsi="Arial"/>
                <w:sz w:val="16"/>
                <w:szCs w:val="16"/>
                <w:color w:val="auto"/>
              </w:rPr>
              <w:t>Gross profit</w:t>
            </w:r>
          </w:p>
        </w:tc>
        <w:tc>
          <w:tcPr>
            <w:tcW w:w="1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178,500</w:t>
            </w:r>
          </w:p>
        </w:tc>
        <w:tc>
          <w:tcPr>
            <w:tcW w:w="1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172,968</w:t>
            </w: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222,909</w:t>
            </w:r>
          </w:p>
        </w:tc>
        <w:tc>
          <w:tcPr>
            <w:tcW w:w="82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226,415</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860" w:type="dxa"/>
            <w:vAlign w:val="bottom"/>
          </w:tcPr>
          <w:p>
            <w:pPr>
              <w:spacing w:after="0"/>
              <w:rPr>
                <w:sz w:val="20"/>
                <w:szCs w:val="20"/>
                <w:color w:val="auto"/>
              </w:rPr>
            </w:pPr>
            <w:r>
              <w:rPr>
                <w:rFonts w:ascii="Arial" w:cs="Arial" w:eastAsia="Arial" w:hAnsi="Arial"/>
                <w:sz w:val="16"/>
                <w:szCs w:val="16"/>
                <w:color w:val="auto"/>
              </w:rPr>
              <w:t>Income from operations</w:t>
            </w: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26,370</w:t>
            </w:r>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18,265</w:t>
            </w:r>
          </w:p>
        </w:tc>
        <w:tc>
          <w:tcPr>
            <w:tcW w:w="800" w:type="dxa"/>
            <w:vAlign w:val="bottom"/>
            <w:gridSpan w:val="2"/>
          </w:tcPr>
          <w:p>
            <w:pPr>
              <w:jc w:val="right"/>
              <w:spacing w:after="0"/>
              <w:rPr>
                <w:sz w:val="20"/>
                <w:szCs w:val="20"/>
                <w:color w:val="auto"/>
              </w:rPr>
            </w:pPr>
            <w:r>
              <w:rPr>
                <w:rFonts w:ascii="Arial" w:cs="Arial" w:eastAsia="Arial" w:hAnsi="Arial"/>
                <w:sz w:val="16"/>
                <w:szCs w:val="16"/>
                <w:color w:val="auto"/>
              </w:rPr>
              <w:t>57,385</w:t>
            </w:r>
          </w:p>
        </w:tc>
        <w:tc>
          <w:tcPr>
            <w:tcW w:w="820" w:type="dxa"/>
            <w:vAlign w:val="bottom"/>
            <w:gridSpan w:val="2"/>
          </w:tcPr>
          <w:p>
            <w:pPr>
              <w:jc w:val="right"/>
              <w:ind w:right="60"/>
              <w:spacing w:after="0"/>
              <w:rPr>
                <w:sz w:val="20"/>
                <w:szCs w:val="20"/>
                <w:color w:val="auto"/>
              </w:rPr>
            </w:pPr>
            <w:r>
              <w:rPr>
                <w:rFonts w:ascii="Arial" w:cs="Arial" w:eastAsia="Arial" w:hAnsi="Arial"/>
                <w:sz w:val="16"/>
                <w:szCs w:val="16"/>
                <w:color w:val="auto"/>
              </w:rPr>
              <w:t>64,288</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860" w:type="dxa"/>
            <w:vAlign w:val="bottom"/>
            <w:shd w:val="clear" w:color="auto" w:fill="CCEEFF"/>
          </w:tcPr>
          <w:p>
            <w:pPr>
              <w:spacing w:after="0"/>
              <w:rPr>
                <w:sz w:val="20"/>
                <w:szCs w:val="20"/>
                <w:color w:val="auto"/>
              </w:rPr>
            </w:pPr>
            <w:r>
              <w:rPr>
                <w:rFonts w:ascii="Arial" w:cs="Arial" w:eastAsia="Arial" w:hAnsi="Arial"/>
                <w:sz w:val="16"/>
                <w:szCs w:val="16"/>
                <w:color w:val="auto"/>
              </w:rPr>
              <w:t>Net income</w:t>
            </w:r>
          </w:p>
        </w:tc>
        <w:tc>
          <w:tcPr>
            <w:tcW w:w="1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12,318</w:t>
            </w:r>
          </w:p>
        </w:tc>
        <w:tc>
          <w:tcPr>
            <w:tcW w:w="1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10,634</w:t>
            </w: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34,038</w:t>
            </w:r>
          </w:p>
        </w:tc>
        <w:tc>
          <w:tcPr>
            <w:tcW w:w="82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39,630</w:t>
            </w: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2860" w:type="dxa"/>
            <w:vAlign w:val="bottom"/>
          </w:tcPr>
          <w:p>
            <w:pPr>
              <w:spacing w:after="0"/>
              <w:rPr>
                <w:sz w:val="20"/>
                <w:szCs w:val="20"/>
                <w:color w:val="auto"/>
              </w:rPr>
            </w:pPr>
            <w:r>
              <w:rPr>
                <w:rFonts w:ascii="Arial" w:cs="Arial" w:eastAsia="Arial" w:hAnsi="Arial"/>
                <w:sz w:val="16"/>
                <w:szCs w:val="16"/>
                <w:color w:val="auto"/>
              </w:rPr>
              <w:t>Net income attributable to Acushnet</w:t>
            </w: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2880" w:type="dxa"/>
            <w:vAlign w:val="bottom"/>
            <w:gridSpan w:val="2"/>
          </w:tcPr>
          <w:p>
            <w:pPr>
              <w:spacing w:after="0"/>
              <w:rPr>
                <w:sz w:val="20"/>
                <w:szCs w:val="20"/>
                <w:color w:val="auto"/>
              </w:rPr>
            </w:pPr>
            <w:r>
              <w:rPr>
                <w:rFonts w:ascii="Arial" w:cs="Arial" w:eastAsia="Arial" w:hAnsi="Arial"/>
                <w:sz w:val="16"/>
                <w:szCs w:val="16"/>
                <w:color w:val="auto"/>
              </w:rPr>
              <w:t>Holdings Corp.</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11,666</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9,318</w:t>
            </w:r>
          </w:p>
        </w:tc>
        <w:tc>
          <w:tcPr>
            <w:tcW w:w="800" w:type="dxa"/>
            <w:vAlign w:val="bottom"/>
            <w:gridSpan w:val="2"/>
          </w:tcPr>
          <w:p>
            <w:pPr>
              <w:jc w:val="right"/>
              <w:spacing w:after="0"/>
              <w:rPr>
                <w:sz w:val="20"/>
                <w:szCs w:val="20"/>
                <w:color w:val="auto"/>
              </w:rPr>
            </w:pPr>
            <w:r>
              <w:rPr>
                <w:rFonts w:ascii="Arial" w:cs="Arial" w:eastAsia="Arial" w:hAnsi="Arial"/>
                <w:sz w:val="16"/>
                <w:szCs w:val="16"/>
                <w:color w:val="auto"/>
              </w:rPr>
              <w:t>33,016</w:t>
            </w:r>
          </w:p>
        </w:tc>
        <w:tc>
          <w:tcPr>
            <w:tcW w:w="820" w:type="dxa"/>
            <w:vAlign w:val="bottom"/>
            <w:gridSpan w:val="2"/>
          </w:tcPr>
          <w:p>
            <w:pPr>
              <w:jc w:val="right"/>
              <w:ind w:right="60"/>
              <w:spacing w:after="0"/>
              <w:rPr>
                <w:sz w:val="20"/>
                <w:szCs w:val="20"/>
                <w:color w:val="auto"/>
              </w:rPr>
            </w:pPr>
            <w:r>
              <w:rPr>
                <w:rFonts w:ascii="Arial" w:cs="Arial" w:eastAsia="Arial" w:hAnsi="Arial"/>
                <w:sz w:val="16"/>
                <w:szCs w:val="16"/>
                <w:color w:val="auto"/>
              </w:rPr>
              <w:t>38,114</w:t>
            </w:r>
          </w:p>
        </w:tc>
        <w:tc>
          <w:tcPr>
            <w:tcW w:w="0" w:type="dxa"/>
            <w:vAlign w:val="bottom"/>
          </w:tcPr>
          <w:p>
            <w:pPr>
              <w:spacing w:after="0"/>
              <w:rPr>
                <w:sz w:val="1"/>
                <w:szCs w:val="1"/>
                <w:color w:val="auto"/>
              </w:rPr>
            </w:pPr>
          </w:p>
        </w:tc>
      </w:tr>
      <w:tr>
        <w:trPr>
          <w:trHeight w:val="206"/>
        </w:trPr>
        <w:tc>
          <w:tcPr>
            <w:tcW w:w="20" w:type="dxa"/>
            <w:vAlign w:val="bottom"/>
            <w:vMerge w:val="restart"/>
          </w:tcPr>
          <w:p>
            <w:pPr>
              <w:spacing w:after="0"/>
              <w:rPr>
                <w:sz w:val="17"/>
                <w:szCs w:val="17"/>
                <w:color w:val="auto"/>
              </w:rPr>
            </w:pPr>
          </w:p>
        </w:tc>
        <w:tc>
          <w:tcPr>
            <w:tcW w:w="28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3"/>
        </w:trPr>
        <w:tc>
          <w:tcPr>
            <w:tcW w:w="20" w:type="dxa"/>
            <w:vAlign w:val="bottom"/>
            <w:vMerge w:val="continue"/>
          </w:tcPr>
          <w:p>
            <w:pPr>
              <w:spacing w:after="0"/>
              <w:rPr>
                <w:sz w:val="16"/>
                <w:szCs w:val="16"/>
                <w:color w:val="auto"/>
              </w:rPr>
            </w:pPr>
          </w:p>
        </w:tc>
        <w:tc>
          <w:tcPr>
            <w:tcW w:w="2860" w:type="dxa"/>
            <w:vAlign w:val="bottom"/>
          </w:tcPr>
          <w:p>
            <w:pPr>
              <w:spacing w:after="0"/>
              <w:rPr>
                <w:sz w:val="20"/>
                <w:szCs w:val="20"/>
                <w:color w:val="auto"/>
              </w:rPr>
            </w:pPr>
            <w:r>
              <w:rPr>
                <w:rFonts w:ascii="Arial" w:cs="Arial" w:eastAsia="Arial" w:hAnsi="Arial"/>
                <w:sz w:val="16"/>
                <w:szCs w:val="16"/>
                <w:color w:val="auto"/>
                <w:w w:val="93"/>
              </w:rPr>
              <w:t>Net income per common share attributable</w:t>
            </w: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2880" w:type="dxa"/>
            <w:vAlign w:val="bottom"/>
            <w:gridSpan w:val="2"/>
          </w:tcPr>
          <w:p>
            <w:pPr>
              <w:spacing w:after="0"/>
              <w:rPr>
                <w:sz w:val="20"/>
                <w:szCs w:val="20"/>
                <w:color w:val="auto"/>
              </w:rPr>
            </w:pPr>
            <w:r>
              <w:rPr>
                <w:rFonts w:ascii="Arial" w:cs="Arial" w:eastAsia="Arial" w:hAnsi="Arial"/>
                <w:sz w:val="16"/>
                <w:szCs w:val="16"/>
                <w:color w:val="auto"/>
              </w:rPr>
              <w:t>to Acushnet Holdings Corp.:</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2860" w:type="dxa"/>
            <w:vAlign w:val="bottom"/>
            <w:shd w:val="clear" w:color="auto" w:fill="CCEEFF"/>
          </w:tcPr>
          <w:p>
            <w:pPr>
              <w:ind w:left="520"/>
              <w:spacing w:after="0"/>
              <w:rPr>
                <w:sz w:val="20"/>
                <w:szCs w:val="20"/>
                <w:color w:val="auto"/>
              </w:rPr>
            </w:pPr>
            <w:r>
              <w:rPr>
                <w:rFonts w:ascii="Arial" w:cs="Arial" w:eastAsia="Arial" w:hAnsi="Arial"/>
                <w:sz w:val="16"/>
                <w:szCs w:val="16"/>
                <w:color w:val="auto"/>
              </w:rPr>
              <w:t>Basic</w:t>
            </w:r>
          </w:p>
        </w:tc>
        <w:tc>
          <w:tcPr>
            <w:tcW w:w="1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$ 0.16</w:t>
            </w:r>
          </w:p>
        </w:tc>
        <w:tc>
          <w:tcPr>
            <w:tcW w:w="1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$ 0.13</w:t>
            </w: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$ 0.44</w:t>
            </w:r>
          </w:p>
        </w:tc>
        <w:tc>
          <w:tcPr>
            <w:tcW w:w="82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$ 0.51</w:t>
            </w: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2860" w:type="dxa"/>
            <w:vAlign w:val="bottom"/>
          </w:tcPr>
          <w:p>
            <w:pPr>
              <w:ind w:left="520"/>
              <w:spacing w:after="0"/>
              <w:rPr>
                <w:sz w:val="20"/>
                <w:szCs w:val="20"/>
                <w:color w:val="auto"/>
              </w:rPr>
            </w:pPr>
            <w:r>
              <w:rPr>
                <w:rFonts w:ascii="Arial" w:cs="Arial" w:eastAsia="Arial" w:hAnsi="Arial"/>
                <w:sz w:val="16"/>
                <w:szCs w:val="16"/>
                <w:color w:val="auto"/>
              </w:rPr>
              <w:t>Diluted</w:t>
            </w: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$ 0.16</w:t>
            </w:r>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$ 0.12</w:t>
            </w:r>
          </w:p>
        </w:tc>
        <w:tc>
          <w:tcPr>
            <w:tcW w:w="800" w:type="dxa"/>
            <w:vAlign w:val="bottom"/>
            <w:gridSpan w:val="2"/>
          </w:tcPr>
          <w:p>
            <w:pPr>
              <w:jc w:val="right"/>
              <w:spacing w:after="0"/>
              <w:rPr>
                <w:sz w:val="20"/>
                <w:szCs w:val="20"/>
                <w:color w:val="auto"/>
              </w:rPr>
            </w:pPr>
            <w:r>
              <w:rPr>
                <w:rFonts w:ascii="Arial" w:cs="Arial" w:eastAsia="Arial" w:hAnsi="Arial"/>
                <w:sz w:val="16"/>
                <w:szCs w:val="16"/>
                <w:color w:val="auto"/>
              </w:rPr>
              <w:t>$ 0.44</w:t>
            </w:r>
          </w:p>
        </w:tc>
        <w:tc>
          <w:tcPr>
            <w:tcW w:w="820" w:type="dxa"/>
            <w:vAlign w:val="bottom"/>
            <w:gridSpan w:val="2"/>
          </w:tcPr>
          <w:p>
            <w:pPr>
              <w:jc w:val="right"/>
              <w:ind w:right="60"/>
              <w:spacing w:after="0"/>
              <w:rPr>
                <w:sz w:val="20"/>
                <w:szCs w:val="20"/>
                <w:color w:val="auto"/>
              </w:rPr>
            </w:pPr>
            <w:r>
              <w:rPr>
                <w:rFonts w:ascii="Arial" w:cs="Arial" w:eastAsia="Arial" w:hAnsi="Arial"/>
                <w:sz w:val="16"/>
                <w:szCs w:val="16"/>
                <w:color w:val="auto"/>
              </w:rPr>
              <w:t>$ 0.51</w:t>
            </w:r>
          </w:p>
        </w:tc>
        <w:tc>
          <w:tcPr>
            <w:tcW w:w="0" w:type="dxa"/>
            <w:vAlign w:val="bottom"/>
          </w:tcPr>
          <w:p>
            <w:pPr>
              <w:spacing w:after="0"/>
              <w:rPr>
                <w:sz w:val="1"/>
                <w:szCs w:val="1"/>
                <w:color w:val="auto"/>
              </w:rPr>
            </w:pPr>
          </w:p>
        </w:tc>
      </w:tr>
      <w:tr>
        <w:trPr>
          <w:trHeight w:val="428"/>
        </w:trPr>
        <w:tc>
          <w:tcPr>
            <w:tcW w:w="2880" w:type="dxa"/>
            <w:vAlign w:val="bottom"/>
            <w:gridSpan w:val="2"/>
            <w:vMerge w:val="restart"/>
          </w:tcPr>
          <w:p>
            <w:pPr>
              <w:spacing w:after="0"/>
              <w:rPr>
                <w:sz w:val="20"/>
                <w:szCs w:val="20"/>
                <w:color w:val="auto"/>
              </w:rPr>
            </w:pPr>
            <w:r>
              <w:rPr>
                <w:rFonts w:ascii="Arial" w:cs="Arial" w:eastAsia="Arial" w:hAnsi="Arial"/>
                <w:sz w:val="14"/>
                <w:szCs w:val="14"/>
                <w:b w:val="1"/>
                <w:bCs w:val="1"/>
                <w:i w:val="1"/>
                <w:iCs w:val="1"/>
                <w:color w:val="auto"/>
              </w:rPr>
              <w:t>(in thousands)</w:t>
            </w:r>
          </w:p>
        </w:tc>
        <w:tc>
          <w:tcPr>
            <w:tcW w:w="12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1860" w:type="dxa"/>
            <w:vAlign w:val="bottom"/>
            <w:tcBorders>
              <w:bottom w:val="single" w:sz="8" w:color="auto"/>
            </w:tcBorders>
            <w:gridSpan w:val="5"/>
          </w:tcPr>
          <w:p>
            <w:pPr>
              <w:jc w:val="right"/>
              <w:ind w:right="48"/>
              <w:spacing w:after="0"/>
              <w:rPr>
                <w:sz w:val="20"/>
                <w:szCs w:val="20"/>
                <w:color w:val="auto"/>
              </w:rPr>
            </w:pPr>
            <w:r>
              <w:rPr>
                <w:rFonts w:ascii="Arial" w:cs="Arial" w:eastAsia="Arial" w:hAnsi="Arial"/>
                <w:sz w:val="14"/>
                <w:szCs w:val="14"/>
                <w:b w:val="1"/>
                <w:bCs w:val="1"/>
                <w:color w:val="auto"/>
                <w:w w:val="97"/>
              </w:rPr>
              <w:t>Quarter ended (unaudited)</w:t>
            </w:r>
          </w:p>
        </w:tc>
        <w:tc>
          <w:tcPr>
            <w:tcW w:w="160" w:type="dxa"/>
            <w:vAlign w:val="bottom"/>
            <w:tcBorders>
              <w:bottom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288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860" w:type="dxa"/>
            <w:vAlign w:val="bottom"/>
            <w:gridSpan w:val="2"/>
          </w:tcPr>
          <w:p>
            <w:pPr>
              <w:spacing w:after="0" w:line="142" w:lineRule="exact"/>
              <w:rPr>
                <w:sz w:val="20"/>
                <w:szCs w:val="20"/>
                <w:color w:val="auto"/>
              </w:rPr>
            </w:pPr>
            <w:r>
              <w:rPr>
                <w:rFonts w:ascii="Arial" w:cs="Arial" w:eastAsia="Arial" w:hAnsi="Arial"/>
                <w:sz w:val="14"/>
                <w:szCs w:val="14"/>
                <w:b w:val="1"/>
                <w:bCs w:val="1"/>
                <w:color w:val="auto"/>
                <w:w w:val="92"/>
              </w:rPr>
              <w:t>December 31,</w:t>
            </w:r>
          </w:p>
        </w:tc>
        <w:tc>
          <w:tcPr>
            <w:tcW w:w="1060" w:type="dxa"/>
            <w:vAlign w:val="bottom"/>
            <w:gridSpan w:val="3"/>
          </w:tcPr>
          <w:p>
            <w:pPr>
              <w:ind w:left="140"/>
              <w:spacing w:after="0" w:line="142" w:lineRule="exact"/>
              <w:rPr>
                <w:sz w:val="20"/>
                <w:szCs w:val="20"/>
                <w:color w:val="auto"/>
              </w:rPr>
            </w:pPr>
            <w:r>
              <w:rPr>
                <w:rFonts w:ascii="Arial" w:cs="Arial" w:eastAsia="Arial" w:hAnsi="Arial"/>
                <w:sz w:val="14"/>
                <w:szCs w:val="14"/>
                <w:b w:val="1"/>
                <w:bCs w:val="1"/>
                <w:color w:val="auto"/>
                <w:w w:val="93"/>
              </w:rPr>
              <w:t>September 30,</w:t>
            </w:r>
          </w:p>
        </w:tc>
        <w:tc>
          <w:tcPr>
            <w:tcW w:w="140" w:type="dxa"/>
            <w:vAlign w:val="bottom"/>
          </w:tcPr>
          <w:p>
            <w:pPr>
              <w:spacing w:after="0"/>
              <w:rPr>
                <w:sz w:val="12"/>
                <w:szCs w:val="12"/>
                <w:color w:val="auto"/>
              </w:rPr>
            </w:pPr>
          </w:p>
        </w:tc>
        <w:tc>
          <w:tcPr>
            <w:tcW w:w="660" w:type="dxa"/>
            <w:vAlign w:val="bottom"/>
          </w:tcPr>
          <w:p>
            <w:pPr>
              <w:jc w:val="right"/>
              <w:ind w:right="28"/>
              <w:spacing w:after="0" w:line="142" w:lineRule="exact"/>
              <w:rPr>
                <w:sz w:val="20"/>
                <w:szCs w:val="20"/>
                <w:color w:val="auto"/>
              </w:rPr>
            </w:pPr>
            <w:r>
              <w:rPr>
                <w:rFonts w:ascii="Arial" w:cs="Arial" w:eastAsia="Arial" w:hAnsi="Arial"/>
                <w:sz w:val="14"/>
                <w:szCs w:val="14"/>
                <w:b w:val="1"/>
                <w:bCs w:val="1"/>
                <w:color w:val="auto"/>
                <w:w w:val="96"/>
              </w:rPr>
              <w:t>June 30,</w:t>
            </w:r>
          </w:p>
        </w:tc>
        <w:tc>
          <w:tcPr>
            <w:tcW w:w="820" w:type="dxa"/>
            <w:vAlign w:val="bottom"/>
            <w:gridSpan w:val="2"/>
          </w:tcPr>
          <w:p>
            <w:pPr>
              <w:jc w:val="right"/>
              <w:ind w:right="40"/>
              <w:spacing w:after="0" w:line="142" w:lineRule="exact"/>
              <w:rPr>
                <w:sz w:val="20"/>
                <w:szCs w:val="20"/>
                <w:color w:val="auto"/>
              </w:rPr>
            </w:pPr>
            <w:r>
              <w:rPr>
                <w:rFonts w:ascii="Arial" w:cs="Arial" w:eastAsia="Arial" w:hAnsi="Arial"/>
                <w:sz w:val="14"/>
                <w:szCs w:val="14"/>
                <w:b w:val="1"/>
                <w:bCs w:val="1"/>
                <w:color w:val="auto"/>
              </w:rPr>
              <w:t>March 31,</w:t>
            </w:r>
          </w:p>
        </w:tc>
        <w:tc>
          <w:tcPr>
            <w:tcW w:w="0" w:type="dxa"/>
            <w:vAlign w:val="bottom"/>
          </w:tcPr>
          <w:p>
            <w:pPr>
              <w:spacing w:after="0"/>
              <w:rPr>
                <w:sz w:val="1"/>
                <w:szCs w:val="1"/>
                <w:color w:val="auto"/>
              </w:rPr>
            </w:pPr>
          </w:p>
        </w:tc>
      </w:tr>
      <w:tr>
        <w:trPr>
          <w:trHeight w:val="183"/>
        </w:trPr>
        <w:tc>
          <w:tcPr>
            <w:tcW w:w="20" w:type="dxa"/>
            <w:vAlign w:val="bottom"/>
          </w:tcPr>
          <w:p>
            <w:pPr>
              <w:spacing w:after="0"/>
              <w:rPr>
                <w:sz w:val="15"/>
                <w:szCs w:val="15"/>
                <w:color w:val="auto"/>
              </w:rPr>
            </w:pPr>
          </w:p>
        </w:tc>
        <w:tc>
          <w:tcPr>
            <w:tcW w:w="2860" w:type="dxa"/>
            <w:vAlign w:val="bottom"/>
            <w:tcBorders>
              <w:top w:val="single" w:sz="8" w:color="CCEEFF"/>
            </w:tcBorders>
            <w:shd w:val="clear" w:color="auto" w:fill="CCEEFF"/>
          </w:tcPr>
          <w:p>
            <w:pPr>
              <w:spacing w:after="0" w:line="183" w:lineRule="exact"/>
              <w:rPr>
                <w:sz w:val="20"/>
                <w:szCs w:val="20"/>
                <w:color w:val="auto"/>
              </w:rPr>
            </w:pPr>
            <w:r>
              <w:rPr>
                <w:rFonts w:ascii="Arial" w:cs="Arial" w:eastAsia="Arial" w:hAnsi="Arial"/>
                <w:sz w:val="16"/>
                <w:szCs w:val="16"/>
                <w:b w:val="1"/>
                <w:bCs w:val="1"/>
                <w:color w:val="auto"/>
              </w:rPr>
              <w:t>2016</w:t>
            </w:r>
          </w:p>
        </w:tc>
        <w:tc>
          <w:tcPr>
            <w:tcW w:w="120" w:type="dxa"/>
            <w:vAlign w:val="bottom"/>
            <w:tcBorders>
              <w:top w:val="single" w:sz="8" w:color="CCEEFF"/>
            </w:tcBorders>
            <w:shd w:val="clear" w:color="auto" w:fill="CCEEFF"/>
          </w:tcPr>
          <w:p>
            <w:pPr>
              <w:spacing w:after="0"/>
              <w:rPr>
                <w:sz w:val="15"/>
                <w:szCs w:val="15"/>
                <w:color w:val="auto"/>
              </w:rPr>
            </w:pPr>
          </w:p>
        </w:tc>
        <w:tc>
          <w:tcPr>
            <w:tcW w:w="180" w:type="dxa"/>
            <w:vAlign w:val="bottom"/>
            <w:tcBorders>
              <w:top w:val="single" w:sz="8" w:color="auto"/>
            </w:tcBorders>
            <w:shd w:val="clear" w:color="auto" w:fill="CCEEFF"/>
          </w:tcPr>
          <w:p>
            <w:pPr>
              <w:spacing w:after="0"/>
              <w:rPr>
                <w:sz w:val="15"/>
                <w:szCs w:val="15"/>
                <w:color w:val="auto"/>
              </w:rPr>
            </w:pPr>
          </w:p>
        </w:tc>
        <w:tc>
          <w:tcPr>
            <w:tcW w:w="680" w:type="dxa"/>
            <w:vAlign w:val="bottom"/>
            <w:tcBorders>
              <w:top w:val="single" w:sz="8" w:color="auto"/>
            </w:tcBorders>
            <w:shd w:val="clear" w:color="auto" w:fill="CCEEFF"/>
          </w:tcPr>
          <w:p>
            <w:pPr>
              <w:spacing w:after="0"/>
              <w:rPr>
                <w:sz w:val="15"/>
                <w:szCs w:val="15"/>
                <w:color w:val="auto"/>
              </w:rPr>
            </w:pPr>
          </w:p>
        </w:tc>
        <w:tc>
          <w:tcPr>
            <w:tcW w:w="160" w:type="dxa"/>
            <w:vAlign w:val="bottom"/>
            <w:tcBorders>
              <w:top w:val="single" w:sz="8" w:color="CCEEFF"/>
            </w:tcBorders>
            <w:shd w:val="clear" w:color="auto" w:fill="CCEEFF"/>
          </w:tcPr>
          <w:p>
            <w:pPr>
              <w:spacing w:after="0"/>
              <w:rPr>
                <w:sz w:val="15"/>
                <w:szCs w:val="15"/>
                <w:color w:val="auto"/>
              </w:rPr>
            </w:pPr>
          </w:p>
        </w:tc>
        <w:tc>
          <w:tcPr>
            <w:tcW w:w="180" w:type="dxa"/>
            <w:vAlign w:val="bottom"/>
            <w:tcBorders>
              <w:top w:val="single" w:sz="8" w:color="auto"/>
            </w:tcBorders>
            <w:shd w:val="clear" w:color="auto" w:fill="CCEEFF"/>
          </w:tcPr>
          <w:p>
            <w:pPr>
              <w:spacing w:after="0"/>
              <w:rPr>
                <w:sz w:val="15"/>
                <w:szCs w:val="15"/>
                <w:color w:val="auto"/>
              </w:rPr>
            </w:pPr>
          </w:p>
        </w:tc>
        <w:tc>
          <w:tcPr>
            <w:tcW w:w="720" w:type="dxa"/>
            <w:vAlign w:val="bottom"/>
            <w:tcBorders>
              <w:top w:val="single" w:sz="8" w:color="auto"/>
            </w:tcBorders>
            <w:shd w:val="clear" w:color="auto" w:fill="CCEEFF"/>
          </w:tcPr>
          <w:p>
            <w:pPr>
              <w:spacing w:after="0"/>
              <w:rPr>
                <w:sz w:val="15"/>
                <w:szCs w:val="15"/>
                <w:color w:val="auto"/>
              </w:rPr>
            </w:pPr>
          </w:p>
        </w:tc>
        <w:tc>
          <w:tcPr>
            <w:tcW w:w="140" w:type="dxa"/>
            <w:vAlign w:val="bottom"/>
            <w:tcBorders>
              <w:top w:val="single" w:sz="8" w:color="CCEEFF"/>
            </w:tcBorders>
            <w:shd w:val="clear" w:color="auto" w:fill="CCEEFF"/>
          </w:tcPr>
          <w:p>
            <w:pPr>
              <w:spacing w:after="0"/>
              <w:rPr>
                <w:sz w:val="15"/>
                <w:szCs w:val="15"/>
                <w:color w:val="auto"/>
              </w:rPr>
            </w:pPr>
          </w:p>
        </w:tc>
        <w:tc>
          <w:tcPr>
            <w:tcW w:w="660" w:type="dxa"/>
            <w:vAlign w:val="bottom"/>
            <w:tcBorders>
              <w:top w:val="single" w:sz="8" w:color="auto"/>
            </w:tcBorders>
            <w:shd w:val="clear" w:color="auto" w:fill="CCEEFF"/>
          </w:tcPr>
          <w:p>
            <w:pPr>
              <w:spacing w:after="0"/>
              <w:rPr>
                <w:sz w:val="15"/>
                <w:szCs w:val="15"/>
                <w:color w:val="auto"/>
              </w:rPr>
            </w:pPr>
          </w:p>
        </w:tc>
        <w:tc>
          <w:tcPr>
            <w:tcW w:w="160" w:type="dxa"/>
            <w:vAlign w:val="bottom"/>
            <w:tcBorders>
              <w:top w:val="single" w:sz="8" w:color="CCEEFF"/>
            </w:tcBorders>
            <w:shd w:val="clear" w:color="auto" w:fill="CCEEFF"/>
          </w:tcPr>
          <w:p>
            <w:pPr>
              <w:spacing w:after="0"/>
              <w:rPr>
                <w:sz w:val="15"/>
                <w:szCs w:val="15"/>
                <w:color w:val="auto"/>
              </w:rPr>
            </w:pPr>
          </w:p>
        </w:tc>
        <w:tc>
          <w:tcPr>
            <w:tcW w:w="660" w:type="dxa"/>
            <w:vAlign w:val="bottom"/>
            <w:tcBorders>
              <w:top w:val="single" w:sz="8" w:color="auto"/>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860" w:type="dxa"/>
            <w:vAlign w:val="bottom"/>
          </w:tcPr>
          <w:p>
            <w:pPr>
              <w:spacing w:after="0"/>
              <w:rPr>
                <w:sz w:val="20"/>
                <w:szCs w:val="20"/>
                <w:color w:val="auto"/>
              </w:rPr>
            </w:pPr>
            <w:r>
              <w:rPr>
                <w:rFonts w:ascii="Arial" w:cs="Arial" w:eastAsia="Arial" w:hAnsi="Arial"/>
                <w:sz w:val="16"/>
                <w:szCs w:val="16"/>
                <w:color w:val="auto"/>
              </w:rPr>
              <w:t>Net sales</w:t>
            </w:r>
          </w:p>
        </w:tc>
        <w:tc>
          <w:tcPr>
            <w:tcW w:w="300" w:type="dxa"/>
            <w:vAlign w:val="bottom"/>
            <w:gridSpan w:val="2"/>
          </w:tcPr>
          <w:p>
            <w:pPr>
              <w:ind w:left="120"/>
              <w:spacing w:after="0"/>
              <w:rPr>
                <w:sz w:val="20"/>
                <w:szCs w:val="20"/>
                <w:color w:val="auto"/>
              </w:rPr>
            </w:pPr>
            <w:r>
              <w:rPr>
                <w:rFonts w:ascii="Arial" w:cs="Arial" w:eastAsia="Arial" w:hAnsi="Arial"/>
                <w:sz w:val="16"/>
                <w:szCs w:val="16"/>
                <w:color w:val="auto"/>
              </w:rPr>
              <w:t>$</w:t>
            </w:r>
          </w:p>
        </w:tc>
        <w:tc>
          <w:tcPr>
            <w:tcW w:w="680" w:type="dxa"/>
            <w:vAlign w:val="bottom"/>
          </w:tcPr>
          <w:p>
            <w:pPr>
              <w:jc w:val="right"/>
              <w:spacing w:after="0"/>
              <w:rPr>
                <w:sz w:val="20"/>
                <w:szCs w:val="20"/>
                <w:color w:val="auto"/>
              </w:rPr>
            </w:pPr>
            <w:r>
              <w:rPr>
                <w:rFonts w:ascii="Arial" w:cs="Arial" w:eastAsia="Arial" w:hAnsi="Arial"/>
                <w:sz w:val="16"/>
                <w:szCs w:val="16"/>
                <w:color w:val="auto"/>
              </w:rPr>
              <w:t>329,761</w:t>
            </w:r>
          </w:p>
        </w:tc>
        <w:tc>
          <w:tcPr>
            <w:tcW w:w="340" w:type="dxa"/>
            <w:vAlign w:val="bottom"/>
            <w:gridSpan w:val="2"/>
          </w:tcPr>
          <w:p>
            <w:pPr>
              <w:ind w:left="140"/>
              <w:spacing w:after="0"/>
              <w:rPr>
                <w:sz w:val="20"/>
                <w:szCs w:val="20"/>
                <w:color w:val="auto"/>
              </w:rPr>
            </w:pPr>
            <w:r>
              <w:rPr>
                <w:rFonts w:ascii="Arial" w:cs="Arial" w:eastAsia="Arial" w:hAnsi="Arial"/>
                <w:sz w:val="16"/>
                <w:szCs w:val="16"/>
                <w:color w:val="auto"/>
              </w:rPr>
              <w:t>$</w:t>
            </w:r>
          </w:p>
        </w:tc>
        <w:tc>
          <w:tcPr>
            <w:tcW w:w="720" w:type="dxa"/>
            <w:vAlign w:val="bottom"/>
          </w:tcPr>
          <w:p>
            <w:pPr>
              <w:jc w:val="right"/>
              <w:spacing w:after="0"/>
              <w:rPr>
                <w:sz w:val="20"/>
                <w:szCs w:val="20"/>
                <w:color w:val="auto"/>
              </w:rPr>
            </w:pPr>
            <w:r>
              <w:rPr>
                <w:rFonts w:ascii="Arial" w:cs="Arial" w:eastAsia="Arial" w:hAnsi="Arial"/>
                <w:sz w:val="16"/>
                <w:szCs w:val="16"/>
                <w:color w:val="auto"/>
              </w:rPr>
              <w:t>339,318</w:t>
            </w:r>
          </w:p>
        </w:tc>
        <w:tc>
          <w:tcPr>
            <w:tcW w:w="800" w:type="dxa"/>
            <w:vAlign w:val="bottom"/>
            <w:gridSpan w:val="2"/>
          </w:tcPr>
          <w:p>
            <w:pPr>
              <w:jc w:val="right"/>
              <w:spacing w:after="0"/>
              <w:rPr>
                <w:sz w:val="20"/>
                <w:szCs w:val="20"/>
                <w:color w:val="auto"/>
              </w:rPr>
            </w:pPr>
            <w:r>
              <w:rPr>
                <w:rFonts w:ascii="Arial" w:cs="Arial" w:eastAsia="Arial" w:hAnsi="Arial"/>
                <w:sz w:val="16"/>
                <w:szCs w:val="16"/>
                <w:color w:val="auto"/>
              </w:rPr>
              <w:t>$463,261</w:t>
            </w:r>
          </w:p>
        </w:tc>
        <w:tc>
          <w:tcPr>
            <w:tcW w:w="820" w:type="dxa"/>
            <w:vAlign w:val="bottom"/>
            <w:gridSpan w:val="2"/>
          </w:tcPr>
          <w:p>
            <w:pPr>
              <w:jc w:val="right"/>
              <w:ind w:right="60"/>
              <w:spacing w:after="0"/>
              <w:rPr>
                <w:sz w:val="20"/>
                <w:szCs w:val="20"/>
                <w:color w:val="auto"/>
              </w:rPr>
            </w:pPr>
            <w:r>
              <w:rPr>
                <w:rFonts w:ascii="Arial" w:cs="Arial" w:eastAsia="Arial" w:hAnsi="Arial"/>
                <w:sz w:val="16"/>
                <w:szCs w:val="16"/>
                <w:color w:val="auto"/>
              </w:rPr>
              <w:t>$439,935</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860" w:type="dxa"/>
            <w:vAlign w:val="bottom"/>
            <w:shd w:val="clear" w:color="auto" w:fill="CCEEFF"/>
          </w:tcPr>
          <w:p>
            <w:pPr>
              <w:spacing w:after="0"/>
              <w:rPr>
                <w:sz w:val="20"/>
                <w:szCs w:val="20"/>
                <w:color w:val="auto"/>
              </w:rPr>
            </w:pPr>
            <w:r>
              <w:rPr>
                <w:rFonts w:ascii="Arial" w:cs="Arial" w:eastAsia="Arial" w:hAnsi="Arial"/>
                <w:sz w:val="16"/>
                <w:szCs w:val="16"/>
                <w:color w:val="auto"/>
              </w:rPr>
              <w:t>Gross profit</w:t>
            </w:r>
          </w:p>
        </w:tc>
        <w:tc>
          <w:tcPr>
            <w:tcW w:w="1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167,994</w:t>
            </w:r>
          </w:p>
        </w:tc>
        <w:tc>
          <w:tcPr>
            <w:tcW w:w="1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166,902</w:t>
            </w: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237,960</w:t>
            </w:r>
          </w:p>
        </w:tc>
        <w:tc>
          <w:tcPr>
            <w:tcW w:w="82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225,869</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860" w:type="dxa"/>
            <w:vAlign w:val="bottom"/>
          </w:tcPr>
          <w:p>
            <w:pPr>
              <w:spacing w:after="0"/>
              <w:rPr>
                <w:sz w:val="20"/>
                <w:szCs w:val="20"/>
                <w:color w:val="auto"/>
              </w:rPr>
            </w:pPr>
            <w:r>
              <w:rPr>
                <w:rFonts w:ascii="Arial" w:cs="Arial" w:eastAsia="Arial" w:hAnsi="Arial"/>
                <w:sz w:val="16"/>
                <w:szCs w:val="16"/>
                <w:color w:val="auto"/>
              </w:rPr>
              <w:t>Income from operations</w:t>
            </w: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7,608</w:t>
            </w:r>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9,606</w:t>
            </w:r>
          </w:p>
        </w:tc>
        <w:tc>
          <w:tcPr>
            <w:tcW w:w="800" w:type="dxa"/>
            <w:vAlign w:val="bottom"/>
            <w:gridSpan w:val="2"/>
          </w:tcPr>
          <w:p>
            <w:pPr>
              <w:jc w:val="right"/>
              <w:spacing w:after="0"/>
              <w:rPr>
                <w:sz w:val="20"/>
                <w:szCs w:val="20"/>
                <w:color w:val="auto"/>
              </w:rPr>
            </w:pPr>
            <w:r>
              <w:rPr>
                <w:rFonts w:ascii="Arial" w:cs="Arial" w:eastAsia="Arial" w:hAnsi="Arial"/>
                <w:sz w:val="16"/>
                <w:szCs w:val="16"/>
                <w:color w:val="auto"/>
              </w:rPr>
              <w:t>66,437</w:t>
            </w:r>
          </w:p>
        </w:tc>
        <w:tc>
          <w:tcPr>
            <w:tcW w:w="820" w:type="dxa"/>
            <w:vAlign w:val="bottom"/>
            <w:gridSpan w:val="2"/>
          </w:tcPr>
          <w:p>
            <w:pPr>
              <w:jc w:val="right"/>
              <w:ind w:right="60"/>
              <w:spacing w:after="0"/>
              <w:rPr>
                <w:sz w:val="20"/>
                <w:szCs w:val="20"/>
                <w:color w:val="auto"/>
              </w:rPr>
            </w:pPr>
            <w:r>
              <w:rPr>
                <w:rFonts w:ascii="Arial" w:cs="Arial" w:eastAsia="Arial" w:hAnsi="Arial"/>
                <w:sz w:val="16"/>
                <w:szCs w:val="16"/>
                <w:color w:val="auto"/>
              </w:rPr>
              <w:t>57,185</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860" w:type="dxa"/>
            <w:vAlign w:val="bottom"/>
            <w:shd w:val="clear" w:color="auto" w:fill="CCEEFF"/>
          </w:tcPr>
          <w:p>
            <w:pPr>
              <w:spacing w:after="0"/>
              <w:rPr>
                <w:sz w:val="20"/>
                <w:szCs w:val="20"/>
                <w:color w:val="auto"/>
              </w:rPr>
            </w:pPr>
            <w:r>
              <w:rPr>
                <w:rFonts w:ascii="Arial" w:cs="Arial" w:eastAsia="Arial" w:hAnsi="Arial"/>
                <w:sz w:val="16"/>
                <w:szCs w:val="16"/>
                <w:color w:val="auto"/>
              </w:rPr>
              <w:t>Net income (loss)</w:t>
            </w:r>
          </w:p>
        </w:tc>
        <w:tc>
          <w:tcPr>
            <w:tcW w:w="1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1,247</w:t>
            </w:r>
          </w:p>
        </w:tc>
        <w:tc>
          <w:tcPr>
            <w:tcW w:w="1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(4,402)</w:t>
            </w: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27,478</w:t>
            </w:r>
          </w:p>
        </w:tc>
        <w:tc>
          <w:tcPr>
            <w:tcW w:w="82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25,192</w:t>
            </w: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2860" w:type="dxa"/>
            <w:vAlign w:val="bottom"/>
          </w:tcPr>
          <w:p>
            <w:pPr>
              <w:spacing w:after="0"/>
              <w:rPr>
                <w:sz w:val="20"/>
                <w:szCs w:val="20"/>
                <w:color w:val="auto"/>
              </w:rPr>
            </w:pPr>
            <w:r>
              <w:rPr>
                <w:rFonts w:ascii="Arial" w:cs="Arial" w:eastAsia="Arial" w:hAnsi="Arial"/>
                <w:sz w:val="16"/>
                <w:szCs w:val="16"/>
                <w:color w:val="auto"/>
                <w:w w:val="95"/>
              </w:rPr>
              <w:t>Net income (loss) attributable to Acushnet</w:t>
            </w: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2880" w:type="dxa"/>
            <w:vAlign w:val="bottom"/>
            <w:gridSpan w:val="2"/>
          </w:tcPr>
          <w:p>
            <w:pPr>
              <w:spacing w:after="0"/>
              <w:rPr>
                <w:sz w:val="20"/>
                <w:szCs w:val="20"/>
                <w:color w:val="auto"/>
              </w:rPr>
            </w:pPr>
            <w:r>
              <w:rPr>
                <w:rFonts w:ascii="Arial" w:cs="Arial" w:eastAsia="Arial" w:hAnsi="Arial"/>
                <w:sz w:val="16"/>
                <w:szCs w:val="16"/>
                <w:color w:val="auto"/>
              </w:rPr>
              <w:t>Holdings Corp.</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(179)</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(5,526)</w:t>
            </w:r>
          </w:p>
        </w:tc>
        <w:tc>
          <w:tcPr>
            <w:tcW w:w="800" w:type="dxa"/>
            <w:vAlign w:val="bottom"/>
            <w:gridSpan w:val="2"/>
          </w:tcPr>
          <w:p>
            <w:pPr>
              <w:jc w:val="right"/>
              <w:spacing w:after="0"/>
              <w:rPr>
                <w:sz w:val="20"/>
                <w:szCs w:val="20"/>
                <w:color w:val="auto"/>
              </w:rPr>
            </w:pPr>
            <w:r>
              <w:rPr>
                <w:rFonts w:ascii="Arial" w:cs="Arial" w:eastAsia="Arial" w:hAnsi="Arial"/>
                <w:sz w:val="16"/>
                <w:szCs w:val="16"/>
                <w:color w:val="auto"/>
              </w:rPr>
              <w:t>27,055</w:t>
            </w:r>
          </w:p>
        </w:tc>
        <w:tc>
          <w:tcPr>
            <w:tcW w:w="820" w:type="dxa"/>
            <w:vAlign w:val="bottom"/>
            <w:gridSpan w:val="2"/>
          </w:tcPr>
          <w:p>
            <w:pPr>
              <w:jc w:val="right"/>
              <w:ind w:right="60"/>
              <w:spacing w:after="0"/>
              <w:rPr>
                <w:sz w:val="20"/>
                <w:szCs w:val="20"/>
                <w:color w:val="auto"/>
              </w:rPr>
            </w:pPr>
            <w:r>
              <w:rPr>
                <w:rFonts w:ascii="Arial" w:cs="Arial" w:eastAsia="Arial" w:hAnsi="Arial"/>
                <w:sz w:val="16"/>
                <w:szCs w:val="16"/>
                <w:color w:val="auto"/>
              </w:rPr>
              <w:t>23,662</w:t>
            </w:r>
          </w:p>
        </w:tc>
        <w:tc>
          <w:tcPr>
            <w:tcW w:w="0" w:type="dxa"/>
            <w:vAlign w:val="bottom"/>
          </w:tcPr>
          <w:p>
            <w:pPr>
              <w:spacing w:after="0"/>
              <w:rPr>
                <w:sz w:val="1"/>
                <w:szCs w:val="1"/>
                <w:color w:val="auto"/>
              </w:rPr>
            </w:pPr>
          </w:p>
        </w:tc>
      </w:tr>
      <w:tr>
        <w:trPr>
          <w:trHeight w:val="206"/>
        </w:trPr>
        <w:tc>
          <w:tcPr>
            <w:tcW w:w="20" w:type="dxa"/>
            <w:vAlign w:val="bottom"/>
            <w:vMerge w:val="restart"/>
          </w:tcPr>
          <w:p>
            <w:pPr>
              <w:spacing w:after="0"/>
              <w:rPr>
                <w:sz w:val="17"/>
                <w:szCs w:val="17"/>
                <w:color w:val="auto"/>
              </w:rPr>
            </w:pPr>
          </w:p>
        </w:tc>
        <w:tc>
          <w:tcPr>
            <w:tcW w:w="28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3"/>
        </w:trPr>
        <w:tc>
          <w:tcPr>
            <w:tcW w:w="20" w:type="dxa"/>
            <w:vAlign w:val="bottom"/>
            <w:vMerge w:val="continue"/>
          </w:tcPr>
          <w:p>
            <w:pPr>
              <w:spacing w:after="0"/>
              <w:rPr>
                <w:sz w:val="16"/>
                <w:szCs w:val="16"/>
                <w:color w:val="auto"/>
              </w:rPr>
            </w:pPr>
          </w:p>
        </w:tc>
        <w:tc>
          <w:tcPr>
            <w:tcW w:w="2860" w:type="dxa"/>
            <w:vAlign w:val="bottom"/>
          </w:tcPr>
          <w:p>
            <w:pPr>
              <w:spacing w:after="0"/>
              <w:rPr>
                <w:sz w:val="20"/>
                <w:szCs w:val="20"/>
                <w:color w:val="auto"/>
              </w:rPr>
            </w:pPr>
            <w:r>
              <w:rPr>
                <w:rFonts w:ascii="Arial" w:cs="Arial" w:eastAsia="Arial" w:hAnsi="Arial"/>
                <w:sz w:val="16"/>
                <w:szCs w:val="16"/>
                <w:color w:val="auto"/>
              </w:rPr>
              <w:t>Net income (loss) per common share</w:t>
            </w: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2880" w:type="dxa"/>
            <w:vAlign w:val="bottom"/>
            <w:gridSpan w:val="2"/>
          </w:tcPr>
          <w:p>
            <w:pPr>
              <w:spacing w:after="0"/>
              <w:rPr>
                <w:sz w:val="20"/>
                <w:szCs w:val="20"/>
                <w:color w:val="auto"/>
              </w:rPr>
            </w:pPr>
            <w:r>
              <w:rPr>
                <w:rFonts w:ascii="Arial" w:cs="Arial" w:eastAsia="Arial" w:hAnsi="Arial"/>
                <w:sz w:val="16"/>
                <w:szCs w:val="16"/>
                <w:color w:val="auto"/>
              </w:rPr>
              <w:t>attributable to Acushnet Holdings Corp.:</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2860" w:type="dxa"/>
            <w:vAlign w:val="bottom"/>
            <w:shd w:val="clear" w:color="auto" w:fill="CCEEFF"/>
          </w:tcPr>
          <w:p>
            <w:pPr>
              <w:ind w:left="520"/>
              <w:spacing w:after="0"/>
              <w:rPr>
                <w:sz w:val="20"/>
                <w:szCs w:val="20"/>
                <w:color w:val="auto"/>
              </w:rPr>
            </w:pPr>
            <w:r>
              <w:rPr>
                <w:rFonts w:ascii="Arial" w:cs="Arial" w:eastAsia="Arial" w:hAnsi="Arial"/>
                <w:sz w:val="16"/>
                <w:szCs w:val="16"/>
                <w:color w:val="auto"/>
              </w:rPr>
              <w:t>Basic</w:t>
            </w:r>
          </w:p>
        </w:tc>
        <w:tc>
          <w:tcPr>
            <w:tcW w:w="1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 (0.02)</w:t>
            </w:r>
          </w:p>
        </w:tc>
        <w:tc>
          <w:tcPr>
            <w:tcW w:w="1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 (0.38)</w:t>
            </w: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$ 0.62</w:t>
            </w:r>
          </w:p>
        </w:tc>
        <w:tc>
          <w:tcPr>
            <w:tcW w:w="82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$ 0.53</w:t>
            </w: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2860" w:type="dxa"/>
            <w:vAlign w:val="bottom"/>
          </w:tcPr>
          <w:p>
            <w:pPr>
              <w:ind w:left="520"/>
              <w:spacing w:after="0"/>
              <w:rPr>
                <w:sz w:val="20"/>
                <w:szCs w:val="20"/>
                <w:color w:val="auto"/>
              </w:rPr>
            </w:pPr>
            <w:r>
              <w:rPr>
                <w:rFonts w:ascii="Arial" w:cs="Arial" w:eastAsia="Arial" w:hAnsi="Arial"/>
                <w:sz w:val="16"/>
                <w:szCs w:val="16"/>
                <w:color w:val="auto"/>
              </w:rPr>
              <w:t>Diluted</w:t>
            </w: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 (0.02)</w:t>
            </w:r>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 (0.38)</w:t>
            </w:r>
          </w:p>
        </w:tc>
        <w:tc>
          <w:tcPr>
            <w:tcW w:w="800" w:type="dxa"/>
            <w:vAlign w:val="bottom"/>
            <w:gridSpan w:val="2"/>
          </w:tcPr>
          <w:p>
            <w:pPr>
              <w:jc w:val="right"/>
              <w:spacing w:after="0"/>
              <w:rPr>
                <w:sz w:val="20"/>
                <w:szCs w:val="20"/>
                <w:color w:val="auto"/>
              </w:rPr>
            </w:pPr>
            <w:r>
              <w:rPr>
                <w:rFonts w:ascii="Arial" w:cs="Arial" w:eastAsia="Arial" w:hAnsi="Arial"/>
                <w:sz w:val="16"/>
                <w:szCs w:val="16"/>
                <w:color w:val="auto"/>
              </w:rPr>
              <w:t>$ 0.39</w:t>
            </w:r>
          </w:p>
        </w:tc>
        <w:tc>
          <w:tcPr>
            <w:tcW w:w="820" w:type="dxa"/>
            <w:vAlign w:val="bottom"/>
            <w:gridSpan w:val="2"/>
          </w:tcPr>
          <w:p>
            <w:pPr>
              <w:jc w:val="right"/>
              <w:ind w:right="60"/>
              <w:spacing w:after="0"/>
              <w:rPr>
                <w:sz w:val="20"/>
                <w:szCs w:val="20"/>
                <w:color w:val="auto"/>
              </w:rPr>
            </w:pPr>
            <w:r>
              <w:rPr>
                <w:rFonts w:ascii="Arial" w:cs="Arial" w:eastAsia="Arial" w:hAnsi="Arial"/>
                <w:sz w:val="16"/>
                <w:szCs w:val="16"/>
                <w:color w:val="auto"/>
              </w:rPr>
              <w:t>$ 0.35</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786765</wp:posOffset>
            </wp:positionH>
            <wp:positionV relativeFrom="paragraph">
              <wp:posOffset>83185</wp:posOffset>
            </wp:positionV>
            <wp:extent cx="4159250" cy="26035"/>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76">
                      <a:extLst>
                        <a:ext uri="{28A0092B-C50C-407E-A947-70E740481C1C}"/>
                      </a:extLst>
                    </a:blip>
                    <a:srcRect/>
                    <a:stretch>
                      <a:fillRect/>
                    </a:stretch>
                  </pic:blipFill>
                  <pic:spPr bwMode="auto">
                    <a:xfrm>
                      <a:off x="0" y="0"/>
                      <a:ext cx="415925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142" w:name="page143"/>
    <w:bookmarkEnd w:id="142"/>
    <w:p>
      <w:pPr>
        <w:jc w:val="right"/>
        <w:ind w:right="1339"/>
        <w:spacing w:after="0"/>
        <w:rPr>
          <w:sz w:val="20"/>
          <w:szCs w:val="20"/>
          <w:color w:val="auto"/>
        </w:rPr>
      </w:pPr>
      <w:r>
        <w:rPr>
          <w:rFonts w:ascii="Arial" w:cs="Arial" w:eastAsia="Arial" w:hAnsi="Arial"/>
          <w:sz w:val="18"/>
          <w:szCs w:val="18"/>
          <w:b w:val="1"/>
          <w:bCs w:val="1"/>
          <w:color w:val="auto"/>
        </w:rPr>
        <w:t>Exhibit 10.17</w:t>
      </w:r>
    </w:p>
    <w:p>
      <w:pPr>
        <w:ind w:left="2980" w:right="1339" w:firstLine="2346"/>
        <w:spacing w:after="0" w:line="398" w:lineRule="auto"/>
        <w:rPr>
          <w:sz w:val="20"/>
          <w:szCs w:val="20"/>
          <w:color w:val="auto"/>
        </w:rPr>
      </w:pPr>
      <w:r>
        <w:rPr>
          <w:rFonts w:ascii="Arial" w:cs="Arial" w:eastAsia="Arial" w:hAnsi="Arial"/>
          <w:sz w:val="22"/>
          <w:szCs w:val="22"/>
          <w:b w:val="1"/>
          <w:bCs w:val="1"/>
          <w:color w:val="auto"/>
        </w:rPr>
        <w:t>EXECUTION VERSION EMPLOYMENT AGREEMENT</w:t>
      </w:r>
    </w:p>
    <w:p>
      <w:pPr>
        <w:ind w:left="2660"/>
        <w:spacing w:after="0" w:line="229" w:lineRule="auto"/>
        <w:rPr>
          <w:sz w:val="20"/>
          <w:szCs w:val="20"/>
          <w:color w:val="auto"/>
        </w:rPr>
      </w:pPr>
      <w:r>
        <w:rPr>
          <w:rFonts w:ascii="Arial" w:cs="Arial" w:eastAsia="Arial" w:hAnsi="Arial"/>
          <w:sz w:val="22"/>
          <w:szCs w:val="22"/>
          <w:color w:val="auto"/>
        </w:rPr>
        <w:t xml:space="preserve">This </w:t>
      </w:r>
      <w:r>
        <w:rPr>
          <w:rFonts w:ascii="Arial" w:cs="Arial" w:eastAsia="Arial" w:hAnsi="Arial"/>
          <w:sz w:val="22"/>
          <w:szCs w:val="22"/>
          <w:b w:val="1"/>
          <w:bCs w:val="1"/>
          <w:color w:val="auto"/>
        </w:rPr>
        <w:t>EMPLOYMENT AGREEMENT</w:t>
      </w:r>
      <w:r>
        <w:rPr>
          <w:rFonts w:ascii="Arial" w:cs="Arial" w:eastAsia="Arial" w:hAnsi="Arial"/>
          <w:sz w:val="22"/>
          <w:szCs w:val="22"/>
          <w:color w:val="auto"/>
        </w:rPr>
        <w:t xml:space="preserve"> (this</w:t>
      </w:r>
    </w:p>
    <w:p>
      <w:pPr>
        <w:ind w:left="1360"/>
        <w:spacing w:after="0" w:line="237"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Agreement</w:t>
      </w:r>
      <w:r>
        <w:rPr>
          <w:rFonts w:ascii="Arial" w:cs="Arial" w:eastAsia="Arial" w:hAnsi="Arial"/>
          <w:sz w:val="19"/>
          <w:szCs w:val="19"/>
          <w:color w:val="auto"/>
        </w:rPr>
        <w:t>”) is made and entered into as of December 22, 2017, by and</w:t>
      </w:r>
    </w:p>
    <w:p>
      <w:pPr>
        <w:ind w:left="1360"/>
        <w:spacing w:after="0" w:line="237" w:lineRule="auto"/>
        <w:rPr>
          <w:sz w:val="20"/>
          <w:szCs w:val="20"/>
          <w:color w:val="auto"/>
        </w:rPr>
      </w:pPr>
      <w:r>
        <w:rPr>
          <w:rFonts w:ascii="Arial" w:cs="Arial" w:eastAsia="Arial" w:hAnsi="Arial"/>
          <w:sz w:val="19"/>
          <w:szCs w:val="19"/>
          <w:color w:val="auto"/>
        </w:rPr>
        <w:t>among Acushnet Company, a Delaware corporation (the “</w:t>
      </w:r>
      <w:r>
        <w:rPr>
          <w:rFonts w:ascii="Arial" w:cs="Arial" w:eastAsia="Arial" w:hAnsi="Arial"/>
          <w:sz w:val="19"/>
          <w:szCs w:val="19"/>
          <w:u w:val="single" w:color="auto"/>
          <w:color w:val="auto"/>
        </w:rPr>
        <w:t>Employer</w:t>
      </w:r>
      <w:r>
        <w:rPr>
          <w:rFonts w:ascii="Arial" w:cs="Arial" w:eastAsia="Arial" w:hAnsi="Arial"/>
          <w:sz w:val="19"/>
          <w:szCs w:val="19"/>
          <w:color w:val="auto"/>
        </w:rPr>
        <w:t>”),</w:t>
      </w:r>
    </w:p>
    <w:p>
      <w:pPr>
        <w:ind w:left="1360"/>
        <w:spacing w:after="0" w:line="238" w:lineRule="auto"/>
        <w:rPr>
          <w:sz w:val="20"/>
          <w:szCs w:val="20"/>
          <w:color w:val="auto"/>
        </w:rPr>
      </w:pPr>
      <w:r>
        <w:rPr>
          <w:rFonts w:ascii="Arial" w:cs="Arial" w:eastAsia="Arial" w:hAnsi="Arial"/>
          <w:sz w:val="19"/>
          <w:szCs w:val="19"/>
          <w:color w:val="auto"/>
        </w:rPr>
        <w:t>Acushnet Holdings Corp. (the “Company” and, together with its direct</w:t>
      </w:r>
    </w:p>
    <w:p>
      <w:pPr>
        <w:ind w:left="1360"/>
        <w:spacing w:after="0" w:line="205" w:lineRule="auto"/>
        <w:rPr>
          <w:sz w:val="20"/>
          <w:szCs w:val="20"/>
          <w:color w:val="auto"/>
        </w:rPr>
      </w:pPr>
      <w:r>
        <w:rPr>
          <w:rFonts w:ascii="Arial" w:cs="Arial" w:eastAsia="Arial" w:hAnsi="Arial"/>
          <w:sz w:val="22"/>
          <w:szCs w:val="22"/>
          <w:color w:val="auto"/>
        </w:rPr>
        <w:t>and indirect subsidiaries, “</w:t>
      </w:r>
      <w:r>
        <w:rPr>
          <w:rFonts w:ascii="Arial" w:cs="Arial" w:eastAsia="Arial" w:hAnsi="Arial"/>
          <w:sz w:val="22"/>
          <w:szCs w:val="22"/>
          <w:u w:val="single" w:color="auto"/>
          <w:color w:val="auto"/>
        </w:rPr>
        <w:t>Acushnet</w:t>
      </w:r>
      <w:r>
        <w:rPr>
          <w:rFonts w:ascii="Arial" w:cs="Arial" w:eastAsia="Arial" w:hAnsi="Arial"/>
          <w:sz w:val="22"/>
          <w:szCs w:val="22"/>
          <w:color w:val="auto"/>
        </w:rPr>
        <w:t>”) and David E. Maher (the</w:t>
      </w:r>
    </w:p>
    <w:p>
      <w:pPr>
        <w:ind w:left="13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Executive</w:t>
      </w:r>
      <w:r>
        <w:rPr>
          <w:rFonts w:ascii="Arial" w:cs="Arial" w:eastAsia="Arial" w:hAnsi="Arial"/>
          <w:sz w:val="22"/>
          <w:szCs w:val="22"/>
          <w:color w:val="auto"/>
        </w:rPr>
        <w:t>”).</w:t>
      </w:r>
    </w:p>
    <w:p>
      <w:pPr>
        <w:spacing w:after="0" w:line="155" w:lineRule="exact"/>
        <w:rPr>
          <w:sz w:val="20"/>
          <w:szCs w:val="20"/>
          <w:color w:val="auto"/>
        </w:rPr>
      </w:pPr>
    </w:p>
    <w:p>
      <w:pPr>
        <w:jc w:val="center"/>
        <w:ind w:right="-20"/>
        <w:spacing w:after="0"/>
        <w:rPr>
          <w:sz w:val="20"/>
          <w:szCs w:val="20"/>
          <w:color w:val="auto"/>
        </w:rPr>
      </w:pPr>
      <w:r>
        <w:rPr>
          <w:rFonts w:ascii="Arial" w:cs="Arial" w:eastAsia="Arial" w:hAnsi="Arial"/>
          <w:sz w:val="22"/>
          <w:szCs w:val="22"/>
          <w:b w:val="1"/>
          <w:bCs w:val="1"/>
          <w:color w:val="auto"/>
        </w:rPr>
        <w:t>W I T N E S S E T H</w:t>
      </w:r>
    </w:p>
    <w:p>
      <w:pPr>
        <w:spacing w:after="0" w:line="179" w:lineRule="exact"/>
        <w:rPr>
          <w:sz w:val="20"/>
          <w:szCs w:val="20"/>
          <w:color w:val="auto"/>
        </w:rPr>
      </w:pPr>
    </w:p>
    <w:p>
      <w:pPr>
        <w:ind w:left="1360" w:right="1539" w:firstLine="1297"/>
        <w:spacing w:after="0" w:line="235" w:lineRule="auto"/>
        <w:rPr>
          <w:sz w:val="20"/>
          <w:szCs w:val="20"/>
          <w:color w:val="auto"/>
        </w:rPr>
      </w:pPr>
      <w:r>
        <w:rPr>
          <w:rFonts w:ascii="Arial" w:cs="Arial" w:eastAsia="Arial" w:hAnsi="Arial"/>
          <w:sz w:val="22"/>
          <w:szCs w:val="22"/>
          <w:b w:val="1"/>
          <w:bCs w:val="1"/>
          <w:color w:val="auto"/>
        </w:rPr>
        <w:t>WHEREAS</w:t>
      </w:r>
      <w:r>
        <w:rPr>
          <w:rFonts w:ascii="Arial" w:cs="Arial" w:eastAsia="Arial" w:hAnsi="Arial"/>
          <w:sz w:val="22"/>
          <w:szCs w:val="22"/>
          <w:color w:val="auto"/>
        </w:rPr>
        <w:t>, the Company desires that Executive serve</w:t>
      </w:r>
      <w:r>
        <w:rPr>
          <w:rFonts w:ascii="Arial" w:cs="Arial" w:eastAsia="Arial" w:hAnsi="Arial"/>
          <w:sz w:val="22"/>
          <w:szCs w:val="22"/>
          <w:b w:val="1"/>
          <w:bCs w:val="1"/>
          <w:color w:val="auto"/>
        </w:rPr>
        <w:t xml:space="preserve"> </w:t>
      </w:r>
      <w:r>
        <w:rPr>
          <w:rFonts w:ascii="Arial" w:cs="Arial" w:eastAsia="Arial" w:hAnsi="Arial"/>
          <w:sz w:val="22"/>
          <w:szCs w:val="22"/>
          <w:color w:val="auto"/>
        </w:rPr>
        <w:t>as its President and Chief Effective Officer; and</w:t>
      </w:r>
    </w:p>
    <w:p>
      <w:pPr>
        <w:spacing w:after="0" w:line="153" w:lineRule="exact"/>
        <w:rPr>
          <w:sz w:val="20"/>
          <w:szCs w:val="20"/>
          <w:color w:val="auto"/>
        </w:rPr>
      </w:pPr>
    </w:p>
    <w:p>
      <w:pPr>
        <w:jc w:val="both"/>
        <w:ind w:left="1360" w:right="1419" w:firstLine="1297"/>
        <w:spacing w:after="0" w:line="236" w:lineRule="auto"/>
        <w:rPr>
          <w:sz w:val="20"/>
          <w:szCs w:val="20"/>
          <w:color w:val="auto"/>
        </w:rPr>
      </w:pPr>
      <w:r>
        <w:rPr>
          <w:rFonts w:ascii="Arial" w:cs="Arial" w:eastAsia="Arial" w:hAnsi="Arial"/>
          <w:sz w:val="21"/>
          <w:szCs w:val="21"/>
          <w:b w:val="1"/>
          <w:bCs w:val="1"/>
          <w:color w:val="auto"/>
        </w:rPr>
        <w:t>WHEREAS</w:t>
      </w:r>
      <w:r>
        <w:rPr>
          <w:rFonts w:ascii="Arial" w:cs="Arial" w:eastAsia="Arial" w:hAnsi="Arial"/>
          <w:sz w:val="21"/>
          <w:szCs w:val="21"/>
          <w:color w:val="auto"/>
        </w:rPr>
        <w:t>, Executive desires to serve as President and</w:t>
      </w:r>
      <w:r>
        <w:rPr>
          <w:rFonts w:ascii="Arial" w:cs="Arial" w:eastAsia="Arial" w:hAnsi="Arial"/>
          <w:sz w:val="21"/>
          <w:szCs w:val="21"/>
          <w:b w:val="1"/>
          <w:bCs w:val="1"/>
          <w:color w:val="auto"/>
        </w:rPr>
        <w:t xml:space="preserve"> </w:t>
      </w:r>
      <w:r>
        <w:rPr>
          <w:rFonts w:ascii="Arial" w:cs="Arial" w:eastAsia="Arial" w:hAnsi="Arial"/>
          <w:sz w:val="21"/>
          <w:szCs w:val="21"/>
          <w:color w:val="auto"/>
        </w:rPr>
        <w:t>Chief Executive Officer of the Company, on the terms and subject to the conditions more fully set forth in this Agreement.</w:t>
      </w:r>
    </w:p>
    <w:p>
      <w:pPr>
        <w:spacing w:after="0" w:line="152" w:lineRule="exact"/>
        <w:rPr>
          <w:sz w:val="20"/>
          <w:szCs w:val="20"/>
          <w:color w:val="auto"/>
        </w:rPr>
      </w:pPr>
    </w:p>
    <w:p>
      <w:pPr>
        <w:ind w:left="1360" w:right="1519" w:firstLine="1297"/>
        <w:spacing w:after="0" w:line="271" w:lineRule="auto"/>
        <w:rPr>
          <w:sz w:val="20"/>
          <w:szCs w:val="20"/>
          <w:color w:val="auto"/>
        </w:rPr>
      </w:pPr>
      <w:r>
        <w:rPr>
          <w:rFonts w:ascii="Arial" w:cs="Arial" w:eastAsia="Arial" w:hAnsi="Arial"/>
          <w:sz w:val="19"/>
          <w:szCs w:val="19"/>
          <w:b w:val="1"/>
          <w:bCs w:val="1"/>
          <w:color w:val="auto"/>
        </w:rPr>
        <w:t>NOW, THEREFORE</w:t>
      </w:r>
      <w:r>
        <w:rPr>
          <w:rFonts w:ascii="Arial" w:cs="Arial" w:eastAsia="Arial" w:hAnsi="Arial"/>
          <w:sz w:val="19"/>
          <w:szCs w:val="19"/>
          <w:color w:val="auto"/>
        </w:rPr>
        <w:t>, in consideration of the premises</w:t>
      </w:r>
      <w:r>
        <w:rPr>
          <w:rFonts w:ascii="Arial" w:cs="Arial" w:eastAsia="Arial" w:hAnsi="Arial"/>
          <w:sz w:val="19"/>
          <w:szCs w:val="19"/>
          <w:b w:val="1"/>
          <w:bCs w:val="1"/>
          <w:color w:val="auto"/>
        </w:rPr>
        <w:t xml:space="preserve"> </w:t>
      </w:r>
      <w:r>
        <w:rPr>
          <w:rFonts w:ascii="Arial" w:cs="Arial" w:eastAsia="Arial" w:hAnsi="Arial"/>
          <w:sz w:val="19"/>
          <w:szCs w:val="19"/>
          <w:color w:val="auto"/>
        </w:rPr>
        <w:t>and the mutual covenants and agreements herein contained, the Company and the Executive hereby agree as follows:</w:t>
      </w:r>
    </w:p>
    <w:p>
      <w:pPr>
        <w:spacing w:after="0" w:line="124" w:lineRule="exact"/>
        <w:rPr>
          <w:sz w:val="20"/>
          <w:szCs w:val="20"/>
          <w:color w:val="auto"/>
        </w:rPr>
      </w:pPr>
    </w:p>
    <w:p>
      <w:pPr>
        <w:ind w:left="1360" w:right="1419" w:firstLine="1291"/>
        <w:spacing w:after="0" w:line="243" w:lineRule="auto"/>
        <w:tabs>
          <w:tab w:leader="none" w:pos="3332" w:val="left"/>
        </w:tabs>
        <w:numPr>
          <w:ilvl w:val="0"/>
          <w:numId w:val="44"/>
        </w:numPr>
        <w:rPr>
          <w:rFonts w:ascii="Arial" w:cs="Arial" w:eastAsia="Arial" w:hAnsi="Arial"/>
          <w:sz w:val="19"/>
          <w:szCs w:val="19"/>
          <w:color w:val="010000"/>
        </w:rPr>
      </w:pPr>
      <w:r>
        <w:rPr>
          <w:rFonts w:ascii="Arial" w:cs="Arial" w:eastAsia="Arial" w:hAnsi="Arial"/>
          <w:sz w:val="19"/>
          <w:szCs w:val="19"/>
          <w:b w:val="1"/>
          <w:bCs w:val="1"/>
          <w:u w:val="single" w:color="auto"/>
          <w:color w:val="auto"/>
        </w:rPr>
        <w:t>Employment Term</w:t>
      </w:r>
      <w:r>
        <w:rPr>
          <w:rFonts w:ascii="Arial" w:cs="Arial" w:eastAsia="Arial" w:hAnsi="Arial"/>
          <w:sz w:val="19"/>
          <w:szCs w:val="19"/>
          <w:color w:val="auto"/>
        </w:rPr>
        <w:t>. Executive shall be</w:t>
      </w:r>
      <w:r>
        <w:rPr>
          <w:rFonts w:ascii="Arial" w:cs="Arial" w:eastAsia="Arial" w:hAnsi="Arial"/>
          <w:sz w:val="19"/>
          <w:szCs w:val="19"/>
          <w:b w:val="1"/>
          <w:bCs w:val="1"/>
          <w:color w:val="auto"/>
        </w:rPr>
        <w:t xml:space="preserve"> </w:t>
      </w:r>
      <w:r>
        <w:rPr>
          <w:rFonts w:ascii="Arial" w:cs="Arial" w:eastAsia="Arial" w:hAnsi="Arial"/>
          <w:sz w:val="19"/>
          <w:szCs w:val="19"/>
          <w:color w:val="auto"/>
        </w:rPr>
        <w:t>employed by the Employer on the terms and conditions set forth in this Agreement for a period commencing on January 1, 2018 (the “</w:t>
      </w:r>
      <w:r>
        <w:rPr>
          <w:rFonts w:ascii="Arial" w:cs="Arial" w:eastAsia="Arial" w:hAnsi="Arial"/>
          <w:sz w:val="19"/>
          <w:szCs w:val="19"/>
          <w:u w:val="single" w:color="auto"/>
          <w:color w:val="auto"/>
        </w:rPr>
        <w:t>Effective</w:t>
      </w:r>
      <w:r>
        <w:rPr>
          <w:rFonts w:ascii="Arial" w:cs="Arial" w:eastAsia="Arial" w:hAnsi="Arial"/>
          <w:sz w:val="19"/>
          <w:szCs w:val="19"/>
          <w:color w:val="auto"/>
        </w:rPr>
        <w:t xml:space="preserve"> </w:t>
      </w:r>
      <w:r>
        <w:rPr>
          <w:rFonts w:ascii="Arial" w:cs="Arial" w:eastAsia="Arial" w:hAnsi="Arial"/>
          <w:sz w:val="19"/>
          <w:szCs w:val="19"/>
          <w:u w:val="single" w:color="auto"/>
          <w:color w:val="auto"/>
        </w:rPr>
        <w:t>Date</w:t>
      </w:r>
      <w:r>
        <w:rPr>
          <w:rFonts w:ascii="Arial" w:cs="Arial" w:eastAsia="Arial" w:hAnsi="Arial"/>
          <w:sz w:val="19"/>
          <w:szCs w:val="19"/>
          <w:color w:val="auto"/>
        </w:rPr>
        <w:t>”) and continuing for a period of three (3) years (the “</w:t>
      </w:r>
      <w:r>
        <w:rPr>
          <w:rFonts w:ascii="Arial" w:cs="Arial" w:eastAsia="Arial" w:hAnsi="Arial"/>
          <w:sz w:val="19"/>
          <w:szCs w:val="19"/>
          <w:u w:val="single" w:color="auto"/>
          <w:color w:val="auto"/>
        </w:rPr>
        <w:t>Initial Term</w:t>
      </w:r>
      <w:r>
        <w:rPr>
          <w:rFonts w:ascii="Arial" w:cs="Arial" w:eastAsia="Arial" w:hAnsi="Arial"/>
          <w:sz w:val="19"/>
          <w:szCs w:val="19"/>
          <w:color w:val="auto"/>
        </w:rPr>
        <w:t>”) and then automatically renewing for additional periods of one (1) year (the “</w:t>
      </w:r>
      <w:r>
        <w:rPr>
          <w:rFonts w:ascii="Arial" w:cs="Arial" w:eastAsia="Arial" w:hAnsi="Arial"/>
          <w:sz w:val="19"/>
          <w:szCs w:val="19"/>
          <w:u w:val="single" w:color="auto"/>
          <w:color w:val="auto"/>
        </w:rPr>
        <w:t>Renewal Terms</w:t>
      </w:r>
      <w:r>
        <w:rPr>
          <w:rFonts w:ascii="Arial" w:cs="Arial" w:eastAsia="Arial" w:hAnsi="Arial"/>
          <w:sz w:val="19"/>
          <w:szCs w:val="19"/>
          <w:color w:val="auto"/>
        </w:rPr>
        <w:t>”), unless either party provides written notice of non-renewal at least ninety days prior to the end of such Initial Term or Renewal Term to the other party or until terminated pursuant to Section 5 of this Agreement (Executive’s actual period of employment with the Company, the “</w:t>
      </w:r>
      <w:r>
        <w:rPr>
          <w:rFonts w:ascii="Arial" w:cs="Arial" w:eastAsia="Arial" w:hAnsi="Arial"/>
          <w:sz w:val="19"/>
          <w:szCs w:val="19"/>
          <w:u w:val="single" w:color="auto"/>
          <w:color w:val="auto"/>
        </w:rPr>
        <w:t>Employment Term</w:t>
      </w:r>
      <w:r>
        <w:rPr>
          <w:rFonts w:ascii="Arial" w:cs="Arial" w:eastAsia="Arial" w:hAnsi="Arial"/>
          <w:sz w:val="19"/>
          <w:szCs w:val="19"/>
          <w:color w:val="auto"/>
        </w:rPr>
        <w:t xml:space="preserve">”). For the avoidance of doubt, if Executive’s employment with Acushnet terminates for any reason prior to the Effective Date, this Agreement shall be </w:t>
      </w:r>
      <w:r>
        <w:rPr>
          <w:rFonts w:ascii="Arial" w:cs="Arial" w:eastAsia="Arial" w:hAnsi="Arial"/>
          <w:sz w:val="19"/>
          <w:szCs w:val="19"/>
          <w:i w:val="1"/>
          <w:iCs w:val="1"/>
          <w:color w:val="auto"/>
        </w:rPr>
        <w:t>void ab initio</w:t>
      </w:r>
      <w:r>
        <w:rPr>
          <w:rFonts w:ascii="Arial" w:cs="Arial" w:eastAsia="Arial" w:hAnsi="Arial"/>
          <w:sz w:val="19"/>
          <w:szCs w:val="19"/>
          <w:color w:val="auto"/>
        </w:rPr>
        <w:t xml:space="preserve"> and Executive shall have no rights or entitlements hereunder.</w:t>
      </w:r>
    </w:p>
    <w:p>
      <w:pPr>
        <w:spacing w:after="0" w:line="149" w:lineRule="exact"/>
        <w:rPr>
          <w:rFonts w:ascii="Arial" w:cs="Arial" w:eastAsia="Arial" w:hAnsi="Arial"/>
          <w:sz w:val="19"/>
          <w:szCs w:val="19"/>
          <w:color w:val="010000"/>
        </w:rPr>
      </w:pPr>
    </w:p>
    <w:p>
      <w:pPr>
        <w:ind w:left="3320" w:hanging="669"/>
        <w:spacing w:after="0"/>
        <w:tabs>
          <w:tab w:leader="none" w:pos="3320" w:val="left"/>
        </w:tabs>
        <w:numPr>
          <w:ilvl w:val="0"/>
          <w:numId w:val="44"/>
        </w:numPr>
        <w:rPr>
          <w:rFonts w:ascii="Arial" w:cs="Arial" w:eastAsia="Arial" w:hAnsi="Arial"/>
          <w:sz w:val="22"/>
          <w:szCs w:val="22"/>
          <w:color w:val="010000"/>
        </w:rPr>
      </w:pPr>
      <w:r>
        <w:rPr>
          <w:rFonts w:ascii="Arial" w:cs="Arial" w:eastAsia="Arial" w:hAnsi="Arial"/>
          <w:sz w:val="22"/>
          <w:szCs w:val="22"/>
          <w:b w:val="1"/>
          <w:bCs w:val="1"/>
          <w:u w:val="single" w:color="auto"/>
          <w:color w:val="auto"/>
        </w:rPr>
        <w:t>Position and Duties</w:t>
      </w:r>
      <w:r>
        <w:rPr>
          <w:rFonts w:ascii="Arial" w:cs="Arial" w:eastAsia="Arial" w:hAnsi="Arial"/>
          <w:sz w:val="22"/>
          <w:szCs w:val="22"/>
          <w:color w:val="auto"/>
        </w:rPr>
        <w:t>.</w:t>
      </w:r>
    </w:p>
    <w:p>
      <w:pPr>
        <w:spacing w:after="0" w:line="185" w:lineRule="exact"/>
        <w:rPr>
          <w:sz w:val="20"/>
          <w:szCs w:val="20"/>
          <w:color w:val="auto"/>
        </w:rPr>
      </w:pPr>
    </w:p>
    <w:p>
      <w:pPr>
        <w:ind w:left="1360" w:right="1379" w:firstLine="1291"/>
        <w:spacing w:after="0" w:line="224" w:lineRule="auto"/>
        <w:tabs>
          <w:tab w:leader="none" w:pos="3342" w:val="left"/>
        </w:tabs>
        <w:numPr>
          <w:ilvl w:val="0"/>
          <w:numId w:val="45"/>
        </w:numPr>
        <w:rPr>
          <w:rFonts w:ascii="Arial" w:cs="Arial" w:eastAsia="Arial" w:hAnsi="Arial"/>
          <w:sz w:val="21"/>
          <w:szCs w:val="21"/>
          <w:color w:val="010000"/>
        </w:rPr>
      </w:pPr>
      <w:r>
        <w:rPr>
          <w:rFonts w:ascii="Arial" w:cs="Arial" w:eastAsia="Arial" w:hAnsi="Arial"/>
          <w:sz w:val="21"/>
          <w:szCs w:val="21"/>
          <w:color w:val="auto"/>
        </w:rPr>
        <w:t>During the Employment Term, Executive shall be employed by the Employer and serve as President and Chief Executive Officer of the Company. Executive shall report directly to the Company’s board of directors (the “</w:t>
      </w:r>
      <w:r>
        <w:rPr>
          <w:rFonts w:ascii="Arial" w:cs="Arial" w:eastAsia="Arial" w:hAnsi="Arial"/>
          <w:sz w:val="21"/>
          <w:szCs w:val="21"/>
          <w:u w:val="single" w:color="auto"/>
          <w:color w:val="auto"/>
        </w:rPr>
        <w:t>Board</w:t>
      </w:r>
      <w:r>
        <w:rPr>
          <w:rFonts w:ascii="Arial" w:cs="Arial" w:eastAsia="Arial" w:hAnsi="Arial"/>
          <w:sz w:val="21"/>
          <w:szCs w:val="21"/>
          <w:color w:val="auto"/>
        </w:rPr>
        <w:t>”), and shall have such duties, authorities and responsibilities commensurate with such title and as the Board may designate from time to time.</w:t>
      </w:r>
    </w:p>
    <w:p>
      <w:pPr>
        <w:spacing w:after="0" w:line="160" w:lineRule="exact"/>
        <w:rPr>
          <w:rFonts w:ascii="Arial" w:cs="Arial" w:eastAsia="Arial" w:hAnsi="Arial"/>
          <w:sz w:val="21"/>
          <w:szCs w:val="21"/>
          <w:color w:val="010000"/>
        </w:rPr>
      </w:pPr>
    </w:p>
    <w:p>
      <w:pPr>
        <w:ind w:left="1360" w:right="1519" w:firstLine="1291"/>
        <w:spacing w:after="0" w:line="243" w:lineRule="auto"/>
        <w:tabs>
          <w:tab w:leader="none" w:pos="3354" w:val="left"/>
        </w:tabs>
        <w:numPr>
          <w:ilvl w:val="0"/>
          <w:numId w:val="45"/>
        </w:numPr>
        <w:rPr>
          <w:rFonts w:ascii="Arial" w:cs="Arial" w:eastAsia="Arial" w:hAnsi="Arial"/>
          <w:sz w:val="19"/>
          <w:szCs w:val="19"/>
          <w:color w:val="010000"/>
        </w:rPr>
      </w:pPr>
      <w:r>
        <w:rPr>
          <w:rFonts w:ascii="Arial" w:cs="Arial" w:eastAsia="Arial" w:hAnsi="Arial"/>
          <w:sz w:val="19"/>
          <w:szCs w:val="19"/>
          <w:color w:val="auto"/>
        </w:rPr>
        <w:t xml:space="preserve">During the Employment Term, Executive will devote Executive’s full working time, attention, knowledge and skill faithfully and to the best of his ability, to the duties and responsibilities so assigned by the Company in furtherance of the business affairs and activities of Acushnet, and will not render commercial or professional services to any person or entity or otherwise engage in any other business, profession or occupation, for compensation or otherwise, without the prior written consent of the Board;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nothing herein shall preclude Executive from (i) managing his personal and/or family investments and/or (ii) subject to prior approval of the Board, which shall be granted in the Board’s sole discretion, engaging 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864235</wp:posOffset>
            </wp:positionH>
            <wp:positionV relativeFrom="paragraph">
              <wp:posOffset>260985</wp:posOffset>
            </wp:positionV>
            <wp:extent cx="4004945" cy="26035"/>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77">
                      <a:extLst>
                        <a:ext uri="{28A0092B-C50C-407E-A947-70E740481C1C}"/>
                      </a:extLst>
                    </a:blip>
                    <a:srcRect/>
                    <a:stretch>
                      <a:fillRect/>
                    </a:stretch>
                  </pic:blipFill>
                  <pic:spPr bwMode="auto">
                    <a:xfrm>
                      <a:off x="0" y="0"/>
                      <a:ext cx="4004945" cy="26035"/>
                    </a:xfrm>
                    <a:prstGeom prst="rect">
                      <a:avLst/>
                    </a:prstGeom>
                    <a:noFill/>
                  </pic:spPr>
                </pic:pic>
              </a:graphicData>
            </a:graphic>
          </wp:anchor>
        </w:drawing>
      </w:r>
    </w:p>
    <w:p>
      <w:pPr>
        <w:sectPr>
          <w:pgSz w:w="11900" w:h="16838" w:orient="portrait"/>
          <w:cols w:equalWidth="0" w:num="1">
            <w:col w:w="9019"/>
          </w:cols>
          <w:pgMar w:left="1440" w:top="91" w:right="1440" w:bottom="1440" w:gutter="0" w:footer="0" w:header="0"/>
        </w:sectPr>
      </w:pPr>
    </w:p>
    <w:bookmarkStart w:id="143" w:name="page144"/>
    <w:bookmarkEnd w:id="143"/>
    <w:p>
      <w:pPr>
        <w:ind w:left="1360" w:right="1459"/>
        <w:spacing w:after="0" w:line="216" w:lineRule="auto"/>
        <w:rPr>
          <w:sz w:val="20"/>
          <w:szCs w:val="20"/>
          <w:color w:val="auto"/>
        </w:rPr>
      </w:pPr>
      <w:r>
        <w:rPr>
          <w:rFonts w:ascii="Arial" w:cs="Arial" w:eastAsia="Arial" w:hAnsi="Arial"/>
          <w:sz w:val="22"/>
          <w:szCs w:val="22"/>
          <w:color w:val="auto"/>
        </w:rPr>
        <w:t xml:space="preserve">charitable and civic activities, including accepting appointment to serve on any board of directors or trustees of any charitable organization; </w:t>
      </w:r>
      <w:r>
        <w:rPr>
          <w:rFonts w:ascii="Arial" w:cs="Arial" w:eastAsia="Arial" w:hAnsi="Arial"/>
          <w:sz w:val="22"/>
          <w:szCs w:val="22"/>
          <w:u w:val="single" w:color="auto"/>
          <w:color w:val="auto"/>
        </w:rPr>
        <w:t>provided</w:t>
      </w:r>
      <w:r>
        <w:rPr>
          <w:rFonts w:ascii="Arial" w:cs="Arial" w:eastAsia="Arial" w:hAnsi="Arial"/>
          <w:sz w:val="22"/>
          <w:szCs w:val="22"/>
          <w:color w:val="auto"/>
        </w:rPr>
        <w:t xml:space="preserve">, </w:t>
      </w:r>
      <w:r>
        <w:rPr>
          <w:rFonts w:ascii="Arial" w:cs="Arial" w:eastAsia="Arial" w:hAnsi="Arial"/>
          <w:sz w:val="22"/>
          <w:szCs w:val="22"/>
          <w:u w:val="single" w:color="auto"/>
          <w:color w:val="auto"/>
        </w:rPr>
        <w:t>however</w:t>
      </w:r>
      <w:r>
        <w:rPr>
          <w:rFonts w:ascii="Arial" w:cs="Arial" w:eastAsia="Arial" w:hAnsi="Arial"/>
          <w:sz w:val="22"/>
          <w:szCs w:val="22"/>
          <w:color w:val="auto"/>
        </w:rPr>
        <w:t>, that any such activities do not conflict or interfere with the performance of Executive’s duties hereunder or violate Section 6 of this Agreement.</w:t>
      </w:r>
    </w:p>
    <w:p>
      <w:pPr>
        <w:spacing w:after="0" w:line="152" w:lineRule="exact"/>
        <w:rPr>
          <w:sz w:val="20"/>
          <w:szCs w:val="20"/>
          <w:color w:val="auto"/>
        </w:rPr>
      </w:pPr>
    </w:p>
    <w:p>
      <w:pPr>
        <w:ind w:left="3320" w:hanging="669"/>
        <w:spacing w:after="0"/>
        <w:tabs>
          <w:tab w:leader="none" w:pos="3320" w:val="left"/>
        </w:tabs>
        <w:numPr>
          <w:ilvl w:val="0"/>
          <w:numId w:val="46"/>
        </w:numPr>
        <w:rPr>
          <w:rFonts w:ascii="Arial" w:cs="Arial" w:eastAsia="Arial" w:hAnsi="Arial"/>
          <w:sz w:val="22"/>
          <w:szCs w:val="22"/>
          <w:color w:val="010000"/>
        </w:rPr>
      </w:pPr>
      <w:r>
        <w:rPr>
          <w:rFonts w:ascii="Arial" w:cs="Arial" w:eastAsia="Arial" w:hAnsi="Arial"/>
          <w:sz w:val="22"/>
          <w:szCs w:val="22"/>
          <w:b w:val="1"/>
          <w:bCs w:val="1"/>
          <w:u w:val="single" w:color="auto"/>
          <w:color w:val="auto"/>
        </w:rPr>
        <w:t>Compensation</w:t>
      </w:r>
      <w:r>
        <w:rPr>
          <w:rFonts w:ascii="Arial" w:cs="Arial" w:eastAsia="Arial" w:hAnsi="Arial"/>
          <w:sz w:val="22"/>
          <w:szCs w:val="22"/>
          <w:color w:val="auto"/>
        </w:rPr>
        <w:t>.</w:t>
      </w:r>
    </w:p>
    <w:p>
      <w:pPr>
        <w:spacing w:after="0" w:line="185" w:lineRule="exact"/>
        <w:rPr>
          <w:sz w:val="20"/>
          <w:szCs w:val="20"/>
          <w:color w:val="auto"/>
        </w:rPr>
      </w:pPr>
    </w:p>
    <w:p>
      <w:pPr>
        <w:ind w:left="1360" w:right="1379" w:firstLine="1291"/>
        <w:spacing w:after="0" w:line="246" w:lineRule="auto"/>
        <w:tabs>
          <w:tab w:leader="none" w:pos="3342" w:val="left"/>
        </w:tabs>
        <w:numPr>
          <w:ilvl w:val="0"/>
          <w:numId w:val="47"/>
        </w:numPr>
        <w:rPr>
          <w:rFonts w:ascii="Arial" w:cs="Arial" w:eastAsia="Arial" w:hAnsi="Arial"/>
          <w:sz w:val="19"/>
          <w:szCs w:val="19"/>
          <w:color w:val="010000"/>
        </w:rPr>
      </w:pPr>
      <w:r>
        <w:rPr>
          <w:rFonts w:ascii="Arial" w:cs="Arial" w:eastAsia="Arial" w:hAnsi="Arial"/>
          <w:sz w:val="19"/>
          <w:szCs w:val="19"/>
          <w:u w:val="single" w:color="auto"/>
          <w:color w:val="auto"/>
        </w:rPr>
        <w:t>Base Salary</w:t>
      </w:r>
      <w:r>
        <w:rPr>
          <w:rFonts w:ascii="Arial" w:cs="Arial" w:eastAsia="Arial" w:hAnsi="Arial"/>
          <w:sz w:val="19"/>
          <w:szCs w:val="19"/>
          <w:color w:val="auto"/>
        </w:rPr>
        <w:t>. During the Employment Term, Executive shall receive a base salary at the annual rate of $750,000, payable in regular installments in accordance with the Employer’s regular payment practices (prorated for any partial years). Executive’s Base Salary shall be reviewed on an annual basis by the Compensation Committee of the Board (the “</w:t>
      </w:r>
      <w:r>
        <w:rPr>
          <w:rFonts w:ascii="Arial" w:cs="Arial" w:eastAsia="Arial" w:hAnsi="Arial"/>
          <w:sz w:val="19"/>
          <w:szCs w:val="19"/>
          <w:u w:val="single" w:color="auto"/>
          <w:color w:val="auto"/>
        </w:rPr>
        <w:t>Compensation Committee</w:t>
      </w:r>
      <w:r>
        <w:rPr>
          <w:rFonts w:ascii="Arial" w:cs="Arial" w:eastAsia="Arial" w:hAnsi="Arial"/>
          <w:sz w:val="19"/>
          <w:szCs w:val="19"/>
          <w:color w:val="auto"/>
        </w:rPr>
        <w:t>”) and may be increased, from time to time. Executive’s annual base salary, as in effect from time to time, is hereinafter referred to as the “</w:t>
      </w:r>
      <w:r>
        <w:rPr>
          <w:rFonts w:ascii="Arial" w:cs="Arial" w:eastAsia="Arial" w:hAnsi="Arial"/>
          <w:sz w:val="19"/>
          <w:szCs w:val="19"/>
          <w:u w:val="single" w:color="auto"/>
          <w:color w:val="auto"/>
        </w:rPr>
        <w:t>Base Salary</w:t>
      </w:r>
      <w:r>
        <w:rPr>
          <w:rFonts w:ascii="Arial" w:cs="Arial" w:eastAsia="Arial" w:hAnsi="Arial"/>
          <w:sz w:val="19"/>
          <w:szCs w:val="19"/>
          <w:color w:val="auto"/>
        </w:rPr>
        <w:t>.”</w:t>
      </w:r>
    </w:p>
    <w:p>
      <w:pPr>
        <w:spacing w:after="0" w:line="153" w:lineRule="exact"/>
        <w:rPr>
          <w:rFonts w:ascii="Arial" w:cs="Arial" w:eastAsia="Arial" w:hAnsi="Arial"/>
          <w:sz w:val="19"/>
          <w:szCs w:val="19"/>
          <w:color w:val="010000"/>
        </w:rPr>
      </w:pPr>
    </w:p>
    <w:p>
      <w:pPr>
        <w:ind w:left="1360" w:right="1359" w:firstLine="1291"/>
        <w:spacing w:after="0" w:line="242" w:lineRule="auto"/>
        <w:tabs>
          <w:tab w:leader="none" w:pos="3354" w:val="left"/>
        </w:tabs>
        <w:numPr>
          <w:ilvl w:val="0"/>
          <w:numId w:val="47"/>
        </w:numPr>
        <w:rPr>
          <w:rFonts w:ascii="Arial" w:cs="Arial" w:eastAsia="Arial" w:hAnsi="Arial"/>
          <w:sz w:val="19"/>
          <w:szCs w:val="19"/>
          <w:color w:val="010000"/>
        </w:rPr>
      </w:pPr>
      <w:r>
        <w:rPr>
          <w:rFonts w:ascii="Arial" w:cs="Arial" w:eastAsia="Arial" w:hAnsi="Arial"/>
          <w:sz w:val="19"/>
          <w:szCs w:val="19"/>
          <w:u w:val="single" w:color="auto"/>
          <w:color w:val="auto"/>
        </w:rPr>
        <w:t>Annual Bonus</w:t>
      </w:r>
      <w:r>
        <w:rPr>
          <w:rFonts w:ascii="Arial" w:cs="Arial" w:eastAsia="Arial" w:hAnsi="Arial"/>
          <w:sz w:val="19"/>
          <w:szCs w:val="19"/>
          <w:color w:val="auto"/>
        </w:rPr>
        <w:t>. During the Employment Term, Executive shall be eligible to participate in the Company’s annual bonus plan, subject to the terms and conditions thereof (the “</w:t>
      </w:r>
      <w:r>
        <w:rPr>
          <w:rFonts w:ascii="Arial" w:cs="Arial" w:eastAsia="Arial" w:hAnsi="Arial"/>
          <w:sz w:val="19"/>
          <w:szCs w:val="19"/>
          <w:u w:val="single" w:color="auto"/>
          <w:color w:val="auto"/>
        </w:rPr>
        <w:t>Annual</w:t>
      </w:r>
      <w:r>
        <w:rPr>
          <w:rFonts w:ascii="Arial" w:cs="Arial" w:eastAsia="Arial" w:hAnsi="Arial"/>
          <w:sz w:val="19"/>
          <w:szCs w:val="19"/>
          <w:color w:val="auto"/>
        </w:rPr>
        <w:t xml:space="preserve"> </w:t>
      </w:r>
      <w:r>
        <w:rPr>
          <w:rFonts w:ascii="Arial" w:cs="Arial" w:eastAsia="Arial" w:hAnsi="Arial"/>
          <w:sz w:val="19"/>
          <w:szCs w:val="19"/>
          <w:u w:val="single" w:color="auto"/>
          <w:color w:val="auto"/>
        </w:rPr>
        <w:t>Bonus</w:t>
      </w:r>
      <w:r>
        <w:rPr>
          <w:rFonts w:ascii="Arial" w:cs="Arial" w:eastAsia="Arial" w:hAnsi="Arial"/>
          <w:sz w:val="19"/>
          <w:szCs w:val="19"/>
          <w:color w:val="auto"/>
        </w:rPr>
        <w:t>”). Executive’s target annual bonus will equal 100% of the Base Salary (the “</w:t>
      </w:r>
      <w:r>
        <w:rPr>
          <w:rFonts w:ascii="Arial" w:cs="Arial" w:eastAsia="Arial" w:hAnsi="Arial"/>
          <w:sz w:val="19"/>
          <w:szCs w:val="19"/>
          <w:u w:val="single" w:color="auto"/>
          <w:color w:val="auto"/>
        </w:rPr>
        <w:t>Target Bonus</w:t>
      </w:r>
      <w:r>
        <w:rPr>
          <w:rFonts w:ascii="Arial" w:cs="Arial" w:eastAsia="Arial" w:hAnsi="Arial"/>
          <w:sz w:val="19"/>
          <w:szCs w:val="19"/>
          <w:color w:val="auto"/>
        </w:rPr>
        <w:t>”). The actual amount of the Annual Bonus, if any, will be determined by the Compensation Committee, in its sole discretion, based on criteria established for Executive by the Compensation Committee. Executive’s Annual Bonus shall generally only be paid if Executive remains continuously employed with the Employer through the applicable payment date (except as set forth in Section 5 of this Agreement). The Annual Bonus, if any, shall be paid to Executive no later than two and one-half (2.5) months after the end of the applicable fiscal year.</w:t>
      </w:r>
    </w:p>
    <w:p>
      <w:pPr>
        <w:spacing w:after="0" w:line="381" w:lineRule="exact"/>
        <w:rPr>
          <w:rFonts w:ascii="Arial" w:cs="Arial" w:eastAsia="Arial" w:hAnsi="Arial"/>
          <w:sz w:val="19"/>
          <w:szCs w:val="19"/>
          <w:color w:val="010000"/>
        </w:rPr>
      </w:pPr>
    </w:p>
    <w:p>
      <w:pPr>
        <w:ind w:left="1360" w:right="1399" w:firstLine="1291"/>
        <w:spacing w:after="0" w:line="244" w:lineRule="auto"/>
        <w:tabs>
          <w:tab w:leader="none" w:pos="3355" w:val="left"/>
        </w:tabs>
        <w:numPr>
          <w:ilvl w:val="0"/>
          <w:numId w:val="47"/>
        </w:numPr>
        <w:rPr>
          <w:rFonts w:ascii="Arial" w:cs="Arial" w:eastAsia="Arial" w:hAnsi="Arial"/>
          <w:sz w:val="19"/>
          <w:szCs w:val="19"/>
          <w:color w:val="010000"/>
        </w:rPr>
      </w:pPr>
      <w:r>
        <w:rPr>
          <w:rFonts w:ascii="Arial" w:cs="Arial" w:eastAsia="Arial" w:hAnsi="Arial"/>
          <w:sz w:val="19"/>
          <w:szCs w:val="19"/>
          <w:u w:val="single" w:color="auto"/>
          <w:color w:val="auto"/>
        </w:rPr>
        <w:t>Long-Term Incentives</w:t>
      </w:r>
      <w:r>
        <w:rPr>
          <w:rFonts w:ascii="Arial" w:cs="Arial" w:eastAsia="Arial" w:hAnsi="Arial"/>
          <w:sz w:val="19"/>
          <w:szCs w:val="19"/>
          <w:color w:val="auto"/>
        </w:rPr>
        <w:t>. Subject to the approval of the Compensation Committee and continued employment with the Employer as of the Effective Date, Executive shall be granted an award of Restricted Stock Units (“RSUs”) of Acushnet with a grant date fair value of $3,000,000, subject to the terms and conditions of the Acushnet Holdings Corp. 2015 Omnibus Incentive Plan (the “</w:t>
      </w:r>
      <w:r>
        <w:rPr>
          <w:rFonts w:ascii="Arial" w:cs="Arial" w:eastAsia="Arial" w:hAnsi="Arial"/>
          <w:sz w:val="19"/>
          <w:szCs w:val="19"/>
          <w:u w:val="single" w:color="auto"/>
          <w:color w:val="auto"/>
        </w:rPr>
        <w:t>Plan</w:t>
      </w:r>
      <w:r>
        <w:rPr>
          <w:rFonts w:ascii="Arial" w:cs="Arial" w:eastAsia="Arial" w:hAnsi="Arial"/>
          <w:sz w:val="19"/>
          <w:szCs w:val="19"/>
          <w:color w:val="auto"/>
        </w:rPr>
        <w:t>”) and the applicable award agreement, which shall vest as to one-third (1/3) of such grant on each of the first three anniversaries of the Effective Date, subject to the terms and conditions set forth in the Plan and the applicable award agreement.</w:t>
      </w:r>
    </w:p>
    <w:p>
      <w:pPr>
        <w:spacing w:after="0" w:line="377" w:lineRule="exact"/>
        <w:rPr>
          <w:rFonts w:ascii="Arial" w:cs="Arial" w:eastAsia="Arial" w:hAnsi="Arial"/>
          <w:sz w:val="19"/>
          <w:szCs w:val="19"/>
          <w:color w:val="010000"/>
        </w:rPr>
      </w:pPr>
    </w:p>
    <w:p>
      <w:pPr>
        <w:jc w:val="both"/>
        <w:ind w:left="1360" w:right="1939" w:firstLine="1291"/>
        <w:spacing w:after="0" w:line="268" w:lineRule="auto"/>
        <w:tabs>
          <w:tab w:leader="none" w:pos="3354" w:val="left"/>
        </w:tabs>
        <w:numPr>
          <w:ilvl w:val="0"/>
          <w:numId w:val="47"/>
        </w:numPr>
        <w:rPr>
          <w:rFonts w:ascii="Arial" w:cs="Arial" w:eastAsia="Arial" w:hAnsi="Arial"/>
          <w:sz w:val="19"/>
          <w:szCs w:val="19"/>
          <w:color w:val="010000"/>
        </w:rPr>
      </w:pPr>
      <w:r>
        <w:rPr>
          <w:rFonts w:ascii="Arial" w:cs="Arial" w:eastAsia="Arial" w:hAnsi="Arial"/>
          <w:sz w:val="19"/>
          <w:szCs w:val="19"/>
          <w:u w:val="single" w:color="auto"/>
          <w:color w:val="auto"/>
        </w:rPr>
        <w:t>Stock Ownership Requirement</w:t>
      </w:r>
      <w:r>
        <w:rPr>
          <w:rFonts w:ascii="Arial" w:cs="Arial" w:eastAsia="Arial" w:hAnsi="Arial"/>
          <w:sz w:val="19"/>
          <w:szCs w:val="19"/>
          <w:color w:val="auto"/>
        </w:rPr>
        <w:t>. During the Employment Term, Executive shall be subject to Acushnet’s stock ownership policy, as may be in effect from time to time.</w:t>
      </w:r>
    </w:p>
    <w:p>
      <w:pPr>
        <w:spacing w:after="0" w:line="126" w:lineRule="exact"/>
        <w:rPr>
          <w:sz w:val="20"/>
          <w:szCs w:val="20"/>
          <w:color w:val="auto"/>
        </w:rPr>
      </w:pPr>
    </w:p>
    <w:p>
      <w:pPr>
        <w:ind w:left="3320" w:hanging="669"/>
        <w:spacing w:after="0"/>
        <w:tabs>
          <w:tab w:leader="none" w:pos="3320" w:val="left"/>
        </w:tabs>
        <w:numPr>
          <w:ilvl w:val="0"/>
          <w:numId w:val="48"/>
        </w:numPr>
        <w:rPr>
          <w:rFonts w:ascii="Arial" w:cs="Arial" w:eastAsia="Arial" w:hAnsi="Arial"/>
          <w:sz w:val="22"/>
          <w:szCs w:val="22"/>
          <w:color w:val="010000"/>
        </w:rPr>
      </w:pPr>
      <w:r>
        <w:rPr>
          <w:rFonts w:ascii="Arial" w:cs="Arial" w:eastAsia="Arial" w:hAnsi="Arial"/>
          <w:sz w:val="22"/>
          <w:szCs w:val="22"/>
          <w:b w:val="1"/>
          <w:bCs w:val="1"/>
          <w:u w:val="single" w:color="auto"/>
          <w:color w:val="auto"/>
        </w:rPr>
        <w:t>Employee Benefits/Vacation</w:t>
      </w:r>
      <w:r>
        <w:rPr>
          <w:rFonts w:ascii="Arial" w:cs="Arial" w:eastAsia="Arial" w:hAnsi="Arial"/>
          <w:sz w:val="22"/>
          <w:szCs w:val="22"/>
          <w:color w:val="auto"/>
        </w:rPr>
        <w:t>.</w:t>
      </w:r>
    </w:p>
    <w:p>
      <w:pPr>
        <w:spacing w:after="0" w:line="185" w:lineRule="exact"/>
        <w:rPr>
          <w:sz w:val="20"/>
          <w:szCs w:val="20"/>
          <w:color w:val="auto"/>
        </w:rPr>
      </w:pPr>
    </w:p>
    <w:p>
      <w:pPr>
        <w:ind w:left="1360" w:right="1359" w:firstLine="1291"/>
        <w:spacing w:after="0" w:line="243" w:lineRule="auto"/>
        <w:tabs>
          <w:tab w:leader="none" w:pos="3342" w:val="left"/>
        </w:tabs>
        <w:numPr>
          <w:ilvl w:val="0"/>
          <w:numId w:val="49"/>
        </w:numPr>
        <w:rPr>
          <w:rFonts w:ascii="Arial" w:cs="Arial" w:eastAsia="Arial" w:hAnsi="Arial"/>
          <w:sz w:val="19"/>
          <w:szCs w:val="19"/>
          <w:color w:val="010000"/>
        </w:rPr>
      </w:pPr>
      <w:r>
        <w:rPr>
          <w:rFonts w:ascii="Arial" w:cs="Arial" w:eastAsia="Arial" w:hAnsi="Arial"/>
          <w:sz w:val="19"/>
          <w:szCs w:val="19"/>
          <w:u w:val="single" w:color="auto"/>
          <w:color w:val="auto"/>
        </w:rPr>
        <w:t>Employee Benefits</w:t>
      </w:r>
      <w:r>
        <w:rPr>
          <w:rFonts w:ascii="Arial" w:cs="Arial" w:eastAsia="Arial" w:hAnsi="Arial"/>
          <w:sz w:val="19"/>
          <w:szCs w:val="19"/>
          <w:color w:val="auto"/>
        </w:rPr>
        <w:t>. During the Employment Term, in addition to the compensation and benefits set forth in Section 3, Executive shall be eligible to participate in the Acushnet employee benefit plans as in effect from time to time (such other employee benefit plans, collectively “</w:t>
      </w:r>
      <w:r>
        <w:rPr>
          <w:rFonts w:ascii="Arial" w:cs="Arial" w:eastAsia="Arial" w:hAnsi="Arial"/>
          <w:sz w:val="19"/>
          <w:szCs w:val="19"/>
          <w:u w:val="single" w:color="auto"/>
          <w:color w:val="auto"/>
        </w:rPr>
        <w:t>Employee Benefits</w:t>
      </w:r>
      <w:r>
        <w:rPr>
          <w:rFonts w:ascii="Arial" w:cs="Arial" w:eastAsia="Arial" w:hAnsi="Arial"/>
          <w:sz w:val="19"/>
          <w:szCs w:val="19"/>
          <w:color w:val="auto"/>
        </w:rPr>
        <w:t>”), on the same basis as those benefits are generally made available to other executive officers of the Company. For the avoidance of doubt, nothing in this Section 4(a) shall be construed to terminate Executive’s participation in any Employee Benefits in which Executive participates as of the Effective Date, other than the Acushnet Executive Severance Plan. If Executive continues to be employed by the Company following the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864235</wp:posOffset>
            </wp:positionH>
            <wp:positionV relativeFrom="paragraph">
              <wp:posOffset>260985</wp:posOffset>
            </wp:positionV>
            <wp:extent cx="4004945" cy="2603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78">
                      <a:extLst>
                        <a:ext uri="{28A0092B-C50C-407E-A947-70E740481C1C}"/>
                      </a:extLst>
                    </a:blip>
                    <a:srcRect/>
                    <a:stretch>
                      <a:fillRect/>
                    </a:stretch>
                  </pic:blipFill>
                  <pic:spPr bwMode="auto">
                    <a:xfrm>
                      <a:off x="0" y="0"/>
                      <a:ext cx="4004945" cy="26035"/>
                    </a:xfrm>
                    <a:prstGeom prst="rect">
                      <a:avLst/>
                    </a:prstGeom>
                    <a:noFill/>
                  </pic:spPr>
                </pic:pic>
              </a:graphicData>
            </a:graphic>
          </wp:anchor>
        </w:drawing>
      </w:r>
    </w:p>
    <w:p>
      <w:pPr>
        <w:sectPr>
          <w:pgSz w:w="11900" w:h="16838" w:orient="portrait"/>
          <w:cols w:equalWidth="0" w:num="1">
            <w:col w:w="9019"/>
          </w:cols>
          <w:pgMar w:left="1440" w:top="321" w:right="1440" w:bottom="1440" w:gutter="0" w:footer="0" w:header="0"/>
        </w:sectPr>
      </w:pPr>
    </w:p>
    <w:bookmarkStart w:id="144" w:name="page145"/>
    <w:bookmarkEnd w:id="144"/>
    <w:p>
      <w:pPr>
        <w:ind w:left="1360" w:right="1499"/>
        <w:spacing w:after="0" w:line="223" w:lineRule="auto"/>
        <w:rPr>
          <w:sz w:val="20"/>
          <w:szCs w:val="20"/>
          <w:color w:val="auto"/>
        </w:rPr>
      </w:pPr>
      <w:r>
        <w:rPr>
          <w:rFonts w:ascii="Arial" w:cs="Arial" w:eastAsia="Arial" w:hAnsi="Arial"/>
          <w:sz w:val="22"/>
          <w:szCs w:val="22"/>
          <w:color w:val="auto"/>
        </w:rPr>
        <w:t>termination of this Agreement, then Executive shall be entitled to participate in the severance plan generally applicable to the Company’s senior management.</w:t>
      </w:r>
    </w:p>
    <w:p>
      <w:pPr>
        <w:spacing w:after="0" w:line="152" w:lineRule="exact"/>
        <w:rPr>
          <w:sz w:val="20"/>
          <w:szCs w:val="20"/>
          <w:color w:val="auto"/>
        </w:rPr>
      </w:pPr>
    </w:p>
    <w:p>
      <w:pPr>
        <w:ind w:left="3340" w:hanging="689"/>
        <w:spacing w:after="0"/>
        <w:tabs>
          <w:tab w:leader="none" w:pos="3340" w:val="left"/>
        </w:tabs>
        <w:numPr>
          <w:ilvl w:val="0"/>
          <w:numId w:val="50"/>
        </w:numPr>
        <w:rPr>
          <w:rFonts w:ascii="Arial" w:cs="Arial" w:eastAsia="Arial" w:hAnsi="Arial"/>
          <w:sz w:val="21"/>
          <w:szCs w:val="21"/>
          <w:color w:val="010000"/>
        </w:rPr>
      </w:pPr>
      <w:r>
        <w:rPr>
          <w:rFonts w:ascii="Arial" w:cs="Arial" w:eastAsia="Arial" w:hAnsi="Arial"/>
          <w:sz w:val="21"/>
          <w:szCs w:val="21"/>
          <w:u w:val="single" w:color="auto"/>
          <w:color w:val="auto"/>
        </w:rPr>
        <w:t>Business Expenses</w:t>
      </w:r>
      <w:r>
        <w:rPr>
          <w:rFonts w:ascii="Arial" w:cs="Arial" w:eastAsia="Arial" w:hAnsi="Arial"/>
          <w:sz w:val="21"/>
          <w:szCs w:val="21"/>
          <w:color w:val="auto"/>
        </w:rPr>
        <w:t>. During the Employment</w:t>
      </w:r>
    </w:p>
    <w:p>
      <w:pPr>
        <w:ind w:left="1360" w:right="1419"/>
        <w:spacing w:after="0" w:line="221" w:lineRule="auto"/>
        <w:rPr>
          <w:rFonts w:ascii="Arial" w:cs="Arial" w:eastAsia="Arial" w:hAnsi="Arial"/>
          <w:sz w:val="21"/>
          <w:szCs w:val="21"/>
          <w:color w:val="010000"/>
        </w:rPr>
      </w:pPr>
      <w:r>
        <w:rPr>
          <w:rFonts w:ascii="Arial" w:cs="Arial" w:eastAsia="Arial" w:hAnsi="Arial"/>
          <w:sz w:val="21"/>
          <w:szCs w:val="21"/>
          <w:color w:val="auto"/>
        </w:rPr>
        <w:t xml:space="preserve">Term, reasonable business expenses incurred by Executive in the performance of Executive’s duties hereunder shall be reimbursed by the Employer in accordance with Employer policies; </w:t>
      </w:r>
      <w:r>
        <w:rPr>
          <w:rFonts w:ascii="Arial" w:cs="Arial" w:eastAsia="Arial" w:hAnsi="Arial"/>
          <w:sz w:val="21"/>
          <w:szCs w:val="21"/>
          <w:u w:val="single" w:color="auto"/>
          <w:color w:val="auto"/>
        </w:rPr>
        <w:t>provided</w:t>
      </w:r>
      <w:r>
        <w:rPr>
          <w:rFonts w:ascii="Arial" w:cs="Arial" w:eastAsia="Arial" w:hAnsi="Arial"/>
          <w:sz w:val="21"/>
          <w:szCs w:val="21"/>
          <w:color w:val="auto"/>
        </w:rPr>
        <w:t xml:space="preserve"> that claims for such reimbursement (accompanied by appropriate supporting documentation) are submitted to the Employer within 90 days following the date such expenses are incurred.</w:t>
      </w:r>
    </w:p>
    <w:p>
      <w:pPr>
        <w:spacing w:after="0" w:line="160" w:lineRule="exact"/>
        <w:rPr>
          <w:rFonts w:ascii="Arial" w:cs="Arial" w:eastAsia="Arial" w:hAnsi="Arial"/>
          <w:sz w:val="21"/>
          <w:szCs w:val="21"/>
          <w:color w:val="010000"/>
        </w:rPr>
      </w:pPr>
    </w:p>
    <w:p>
      <w:pPr>
        <w:ind w:left="1360" w:right="1499" w:firstLine="1291"/>
        <w:spacing w:after="0" w:line="223" w:lineRule="auto"/>
        <w:tabs>
          <w:tab w:leader="none" w:pos="3355" w:val="left"/>
        </w:tabs>
        <w:numPr>
          <w:ilvl w:val="0"/>
          <w:numId w:val="50"/>
        </w:numPr>
        <w:rPr>
          <w:rFonts w:ascii="Arial" w:cs="Arial" w:eastAsia="Arial" w:hAnsi="Arial"/>
          <w:sz w:val="22"/>
          <w:szCs w:val="22"/>
          <w:color w:val="010000"/>
        </w:rPr>
      </w:pPr>
      <w:r>
        <w:rPr>
          <w:rFonts w:ascii="Arial" w:cs="Arial" w:eastAsia="Arial" w:hAnsi="Arial"/>
          <w:sz w:val="22"/>
          <w:szCs w:val="22"/>
          <w:u w:val="single" w:color="auto"/>
          <w:color w:val="auto"/>
        </w:rPr>
        <w:t>Vacation</w:t>
      </w:r>
      <w:r>
        <w:rPr>
          <w:rFonts w:ascii="Arial" w:cs="Arial" w:eastAsia="Arial" w:hAnsi="Arial"/>
          <w:sz w:val="22"/>
          <w:szCs w:val="22"/>
          <w:color w:val="auto"/>
        </w:rPr>
        <w:t>. During the Employment Term, Executive shall be entitled to paid vacation in accordance the Acushnet vacation policy.</w:t>
      </w:r>
    </w:p>
    <w:p>
      <w:pPr>
        <w:spacing w:after="0" w:line="153" w:lineRule="exact"/>
        <w:rPr>
          <w:sz w:val="20"/>
          <w:szCs w:val="20"/>
          <w:color w:val="auto"/>
        </w:rPr>
      </w:pPr>
    </w:p>
    <w:p>
      <w:pPr>
        <w:ind w:left="3320" w:hanging="669"/>
        <w:spacing w:after="0"/>
        <w:tabs>
          <w:tab w:leader="none" w:pos="3320" w:val="left"/>
        </w:tabs>
        <w:numPr>
          <w:ilvl w:val="0"/>
          <w:numId w:val="51"/>
        </w:numPr>
        <w:rPr>
          <w:rFonts w:ascii="Arial" w:cs="Arial" w:eastAsia="Arial" w:hAnsi="Arial"/>
          <w:sz w:val="22"/>
          <w:szCs w:val="22"/>
          <w:color w:val="010000"/>
        </w:rPr>
      </w:pPr>
      <w:r>
        <w:rPr>
          <w:rFonts w:ascii="Arial" w:cs="Arial" w:eastAsia="Arial" w:hAnsi="Arial"/>
          <w:sz w:val="22"/>
          <w:szCs w:val="22"/>
          <w:b w:val="1"/>
          <w:bCs w:val="1"/>
          <w:u w:val="single" w:color="auto"/>
          <w:color w:val="auto"/>
        </w:rPr>
        <w:t>Termination of Employment</w:t>
      </w:r>
      <w:r>
        <w:rPr>
          <w:rFonts w:ascii="Arial" w:cs="Arial" w:eastAsia="Arial" w:hAnsi="Arial"/>
          <w:sz w:val="22"/>
          <w:szCs w:val="22"/>
          <w:color w:val="auto"/>
        </w:rPr>
        <w:t>.</w:t>
      </w:r>
    </w:p>
    <w:p>
      <w:pPr>
        <w:spacing w:after="0" w:line="185" w:lineRule="exact"/>
        <w:rPr>
          <w:sz w:val="20"/>
          <w:szCs w:val="20"/>
          <w:color w:val="auto"/>
        </w:rPr>
      </w:pPr>
    </w:p>
    <w:p>
      <w:pPr>
        <w:ind w:left="1360" w:right="1359" w:firstLine="1291"/>
        <w:spacing w:after="0" w:line="241" w:lineRule="auto"/>
        <w:tabs>
          <w:tab w:leader="none" w:pos="3342" w:val="left"/>
        </w:tabs>
        <w:numPr>
          <w:ilvl w:val="1"/>
          <w:numId w:val="52"/>
        </w:numPr>
        <w:rPr>
          <w:rFonts w:ascii="Arial" w:cs="Arial" w:eastAsia="Arial" w:hAnsi="Arial"/>
          <w:sz w:val="19"/>
          <w:szCs w:val="19"/>
          <w:color w:val="010000"/>
        </w:rPr>
      </w:pPr>
      <w:r>
        <w:rPr>
          <w:rFonts w:ascii="Arial" w:cs="Arial" w:eastAsia="Arial" w:hAnsi="Arial"/>
          <w:sz w:val="19"/>
          <w:szCs w:val="19"/>
          <w:u w:val="single" w:color="auto"/>
          <w:color w:val="auto"/>
        </w:rPr>
        <w:t>Termination</w:t>
      </w:r>
      <w:r>
        <w:rPr>
          <w:rFonts w:ascii="Arial" w:cs="Arial" w:eastAsia="Arial" w:hAnsi="Arial"/>
          <w:sz w:val="19"/>
          <w:szCs w:val="19"/>
          <w:color w:val="auto"/>
        </w:rPr>
        <w:t xml:space="preserve">. The Employment Term and Executive’s employment hereunder may be terminated by the Employer and the Executive at any time and for any reason;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Executive will be required to give the Employer at least ninety (90) days advance written notice of any termination of Executive’s employment by Executive without Good Reason (the “</w:t>
      </w:r>
      <w:r>
        <w:rPr>
          <w:rFonts w:ascii="Arial" w:cs="Arial" w:eastAsia="Arial" w:hAnsi="Arial"/>
          <w:sz w:val="19"/>
          <w:szCs w:val="19"/>
          <w:u w:val="single" w:color="auto"/>
          <w:color w:val="auto"/>
        </w:rPr>
        <w:t>Notice Period</w:t>
      </w:r>
      <w:r>
        <w:rPr>
          <w:rFonts w:ascii="Arial" w:cs="Arial" w:eastAsia="Arial" w:hAnsi="Arial"/>
          <w:sz w:val="19"/>
          <w:szCs w:val="19"/>
          <w:color w:val="auto"/>
        </w:rPr>
        <w:t xml:space="preserve">”);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further</w:t>
      </w:r>
      <w:r>
        <w:rPr>
          <w:rFonts w:ascii="Arial" w:cs="Arial" w:eastAsia="Arial" w:hAnsi="Arial"/>
          <w:sz w:val="19"/>
          <w:szCs w:val="19"/>
          <w:color w:val="auto"/>
        </w:rPr>
        <w:t>, that in the event of termination of employment by Executive without Good Reason, the Employer may, in its sole and absolute discretion, by written notice accelerate such date of termination without changing the characterization of such termination as a termination by Executive without Good Reason. The provisions of this Section 5 shall exclusively govern Executive’s rights upon termination of employment with the Employer and its affiliates and shall replace and supersede any other severance benefits payable upon a Qualifying Termination, including any such amounts payable under any Other Severance Arrangements.</w:t>
      </w:r>
    </w:p>
    <w:p>
      <w:pPr>
        <w:spacing w:after="0" w:line="363" w:lineRule="exact"/>
        <w:rPr>
          <w:rFonts w:ascii="Arial" w:cs="Arial" w:eastAsia="Arial" w:hAnsi="Arial"/>
          <w:sz w:val="19"/>
          <w:szCs w:val="19"/>
          <w:color w:val="010000"/>
        </w:rPr>
      </w:pPr>
    </w:p>
    <w:p>
      <w:pPr>
        <w:ind w:left="3340" w:hanging="689"/>
        <w:spacing w:after="0"/>
        <w:tabs>
          <w:tab w:leader="none" w:pos="3340" w:val="left"/>
        </w:tabs>
        <w:numPr>
          <w:ilvl w:val="1"/>
          <w:numId w:val="52"/>
        </w:numPr>
        <w:rPr>
          <w:rFonts w:ascii="Arial" w:cs="Arial" w:eastAsia="Arial" w:hAnsi="Arial"/>
          <w:sz w:val="22"/>
          <w:szCs w:val="22"/>
          <w:color w:val="010000"/>
        </w:rPr>
      </w:pPr>
      <w:r>
        <w:rPr>
          <w:rFonts w:ascii="Arial" w:cs="Arial" w:eastAsia="Arial" w:hAnsi="Arial"/>
          <w:sz w:val="22"/>
          <w:szCs w:val="22"/>
          <w:u w:val="single" w:color="auto"/>
          <w:color w:val="auto"/>
        </w:rPr>
        <w:t>Payments on Qualifying Termination;</w:t>
      </w:r>
    </w:p>
    <w:p>
      <w:pPr>
        <w:ind w:left="1360"/>
        <w:spacing w:after="0"/>
        <w:rPr>
          <w:rFonts w:ascii="Arial" w:cs="Arial" w:eastAsia="Arial" w:hAnsi="Arial"/>
          <w:sz w:val="22"/>
          <w:szCs w:val="22"/>
          <w:color w:val="010000"/>
        </w:rPr>
      </w:pPr>
      <w:r>
        <w:rPr>
          <w:rFonts w:ascii="Arial" w:cs="Arial" w:eastAsia="Arial" w:hAnsi="Arial"/>
          <w:sz w:val="22"/>
          <w:szCs w:val="22"/>
          <w:u w:val="single" w:color="auto"/>
          <w:color w:val="auto"/>
        </w:rPr>
        <w:t>Death/Disability</w:t>
      </w:r>
      <w:r>
        <w:rPr>
          <w:rFonts w:ascii="Arial" w:cs="Arial" w:eastAsia="Arial" w:hAnsi="Arial"/>
          <w:sz w:val="22"/>
          <w:szCs w:val="22"/>
          <w:color w:val="auto"/>
        </w:rPr>
        <w:t>.</w:t>
      </w:r>
    </w:p>
    <w:p>
      <w:pPr>
        <w:spacing w:after="0" w:line="142" w:lineRule="exact"/>
        <w:rPr>
          <w:rFonts w:ascii="Arial" w:cs="Arial" w:eastAsia="Arial" w:hAnsi="Arial"/>
          <w:sz w:val="22"/>
          <w:szCs w:val="22"/>
          <w:color w:val="010000"/>
        </w:rPr>
      </w:pPr>
    </w:p>
    <w:p>
      <w:pPr>
        <w:ind w:left="4020" w:hanging="721"/>
        <w:spacing w:after="0"/>
        <w:tabs>
          <w:tab w:leader="none" w:pos="4020" w:val="left"/>
        </w:tabs>
        <w:numPr>
          <w:ilvl w:val="2"/>
          <w:numId w:val="52"/>
        </w:numPr>
        <w:rPr>
          <w:rFonts w:ascii="Arial" w:cs="Arial" w:eastAsia="Arial" w:hAnsi="Arial"/>
          <w:sz w:val="22"/>
          <w:szCs w:val="22"/>
          <w:color w:val="010000"/>
        </w:rPr>
      </w:pPr>
      <w:r>
        <w:rPr>
          <w:rFonts w:ascii="Arial" w:cs="Arial" w:eastAsia="Arial" w:hAnsi="Arial"/>
          <w:sz w:val="22"/>
          <w:szCs w:val="22"/>
          <w:u w:val="single" w:color="auto"/>
          <w:color w:val="auto"/>
        </w:rPr>
        <w:t>Qualifying Termination Not in</w:t>
      </w:r>
    </w:p>
    <w:p>
      <w:pPr>
        <w:ind w:left="2000" w:right="1719"/>
        <w:spacing w:after="0" w:line="237" w:lineRule="auto"/>
        <w:rPr>
          <w:rFonts w:ascii="Arial" w:cs="Arial" w:eastAsia="Arial" w:hAnsi="Arial"/>
          <w:sz w:val="22"/>
          <w:szCs w:val="22"/>
          <w:color w:val="010000"/>
        </w:rPr>
      </w:pPr>
      <w:r>
        <w:rPr>
          <w:rFonts w:ascii="Arial" w:cs="Arial" w:eastAsia="Arial" w:hAnsi="Arial"/>
          <w:sz w:val="19"/>
          <w:szCs w:val="19"/>
          <w:u w:val="single" w:color="auto"/>
          <w:color w:val="auto"/>
        </w:rPr>
        <w:t>Connection with a Change in Control</w:t>
      </w:r>
      <w:r>
        <w:rPr>
          <w:rFonts w:ascii="Arial" w:cs="Arial" w:eastAsia="Arial" w:hAnsi="Arial"/>
          <w:sz w:val="19"/>
          <w:szCs w:val="19"/>
          <w:color w:val="auto"/>
        </w:rPr>
        <w:t>. If the Executive undergoes a Qualifying Termination other than within twelve</w:t>
      </w:r>
    </w:p>
    <w:p>
      <w:pPr>
        <w:ind w:left="2000" w:right="1379" w:firstLine="3"/>
        <w:spacing w:after="0" w:line="237" w:lineRule="auto"/>
        <w:tabs>
          <w:tab w:leader="none" w:pos="2414" w:val="left"/>
        </w:tabs>
        <w:numPr>
          <w:ilvl w:val="0"/>
          <w:numId w:val="53"/>
        </w:numPr>
        <w:rPr>
          <w:rFonts w:ascii="Arial" w:cs="Arial" w:eastAsia="Arial" w:hAnsi="Arial"/>
          <w:sz w:val="19"/>
          <w:szCs w:val="19"/>
          <w:color w:val="auto"/>
        </w:rPr>
      </w:pPr>
      <w:r>
        <w:rPr>
          <w:rFonts w:ascii="Arial" w:cs="Arial" w:eastAsia="Arial" w:hAnsi="Arial"/>
          <w:sz w:val="19"/>
          <w:szCs w:val="19"/>
          <w:color w:val="auto"/>
        </w:rPr>
        <w:t>months following a Change in Control, in addition to any Accrued Obligations and subject to the Executive’s (i) execution, delivery to the Company, and non-revocation of the release agreement substantially in the form attached as Exhibit A (provided that the parties shall work together in good faith to update such release agreement at the time of a Qualifying Termination or termination due to death or Disability to reflect any applicable changes in law or otherwise agreed modifications) (the “</w:t>
      </w:r>
      <w:r>
        <w:rPr>
          <w:rFonts w:ascii="Arial" w:cs="Arial" w:eastAsia="Arial" w:hAnsi="Arial"/>
          <w:sz w:val="19"/>
          <w:szCs w:val="19"/>
          <w:u w:val="single" w:color="auto"/>
          <w:color w:val="auto"/>
        </w:rPr>
        <w:t>Release Agreement</w:t>
      </w:r>
      <w:r>
        <w:rPr>
          <w:rFonts w:ascii="Arial" w:cs="Arial" w:eastAsia="Arial" w:hAnsi="Arial"/>
          <w:sz w:val="19"/>
          <w:szCs w:val="19"/>
          <w:color w:val="auto"/>
        </w:rPr>
        <w:t>”), as contemplated in Section 5(e) below and (ii) continued compliance with any written policies of Acushnet in effect as of the termination date or provided to Executive following the termination date and the provisions set forth in Section 6 of this Agreement (and any similar provision applicable to Executive under a written agreement between Executive and the Company or its affiliates from time to time), the Executive shall receive an amount equal to the sum of (w) one and one-half times (1.5X) the Base Salary,</w:t>
      </w:r>
    </w:p>
    <w:p>
      <w:pPr>
        <w:spacing w:after="0" w:line="5" w:lineRule="exact"/>
        <w:rPr>
          <w:rFonts w:ascii="Arial" w:cs="Arial" w:eastAsia="Arial" w:hAnsi="Arial"/>
          <w:sz w:val="19"/>
          <w:szCs w:val="19"/>
          <w:color w:val="auto"/>
        </w:rPr>
      </w:pPr>
    </w:p>
    <w:p>
      <w:pPr>
        <w:ind w:left="2000" w:right="1359"/>
        <w:spacing w:after="0" w:line="245" w:lineRule="auto"/>
        <w:rPr>
          <w:rFonts w:ascii="Arial" w:cs="Arial" w:eastAsia="Arial" w:hAnsi="Arial"/>
          <w:sz w:val="19"/>
          <w:szCs w:val="19"/>
          <w:color w:val="auto"/>
        </w:rPr>
      </w:pPr>
      <w:r>
        <w:rPr>
          <w:rFonts w:ascii="Arial" w:cs="Arial" w:eastAsia="Arial" w:hAnsi="Arial"/>
          <w:sz w:val="19"/>
          <w:szCs w:val="19"/>
          <w:color w:val="auto"/>
        </w:rPr>
        <w:t>(x) the Target Bonus, (y) any earned but unpaid Annual Bonus for the prior year, and (z) a pro-rata Target Bonus based on actual service time during the calendar year in which such Qualifying Termination occurs, such amount to be paid in one cash lump sum as soon as practicable after such Qualifying Termination and, in no event, later than 60 days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864235</wp:posOffset>
            </wp:positionH>
            <wp:positionV relativeFrom="paragraph">
              <wp:posOffset>258445</wp:posOffset>
            </wp:positionV>
            <wp:extent cx="4004945" cy="2603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79">
                      <a:extLst>
                        <a:ext uri="{28A0092B-C50C-407E-A947-70E740481C1C}"/>
                      </a:extLst>
                    </a:blip>
                    <a:srcRect/>
                    <a:stretch>
                      <a:fillRect/>
                    </a:stretch>
                  </pic:blipFill>
                  <pic:spPr bwMode="auto">
                    <a:xfrm>
                      <a:off x="0" y="0"/>
                      <a:ext cx="4004945" cy="26035"/>
                    </a:xfrm>
                    <a:prstGeom prst="rect">
                      <a:avLst/>
                    </a:prstGeom>
                    <a:noFill/>
                  </pic:spPr>
                </pic:pic>
              </a:graphicData>
            </a:graphic>
          </wp:anchor>
        </w:drawing>
      </w:r>
    </w:p>
    <w:p>
      <w:pPr>
        <w:sectPr>
          <w:pgSz w:w="11900" w:h="16838" w:orient="portrait"/>
          <w:cols w:equalWidth="0" w:num="1">
            <w:col w:w="9019"/>
          </w:cols>
          <w:pgMar w:left="1440" w:top="321" w:right="1440" w:bottom="1440" w:gutter="0" w:footer="0" w:header="0"/>
        </w:sectPr>
      </w:pPr>
    </w:p>
    <w:bookmarkStart w:id="145" w:name="page146"/>
    <w:bookmarkEnd w:id="145"/>
    <w:p>
      <w:pPr>
        <w:ind w:left="2000" w:right="1659"/>
        <w:spacing w:after="0" w:line="249" w:lineRule="auto"/>
        <w:rPr>
          <w:sz w:val="20"/>
          <w:szCs w:val="20"/>
          <w:color w:val="auto"/>
        </w:rPr>
      </w:pPr>
      <w:r>
        <w:rPr>
          <w:rFonts w:ascii="Arial" w:cs="Arial" w:eastAsia="Arial" w:hAnsi="Arial"/>
          <w:sz w:val="19"/>
          <w:szCs w:val="19"/>
          <w:color w:val="auto"/>
        </w:rPr>
        <w:t>after the date of such Qualifying Termination. Following Executive’s termination of employment due to a Qualifying Termination other than within twelve (12) months following a Change in Control, except as set forth in this Section 5(b)(i), Executive shall have no further rights to any compensation or any other benefits under this Agreement.</w:t>
      </w:r>
    </w:p>
    <w:p>
      <w:pPr>
        <w:spacing w:after="0" w:line="134" w:lineRule="exact"/>
        <w:rPr>
          <w:sz w:val="20"/>
          <w:szCs w:val="20"/>
          <w:color w:val="auto"/>
        </w:rPr>
      </w:pPr>
    </w:p>
    <w:p>
      <w:pPr>
        <w:ind w:left="4040" w:hanging="741"/>
        <w:spacing w:after="0"/>
        <w:tabs>
          <w:tab w:leader="none" w:pos="4040" w:val="left"/>
        </w:tabs>
        <w:numPr>
          <w:ilvl w:val="1"/>
          <w:numId w:val="54"/>
        </w:numPr>
        <w:rPr>
          <w:rFonts w:ascii="Arial" w:cs="Arial" w:eastAsia="Arial" w:hAnsi="Arial"/>
          <w:sz w:val="22"/>
          <w:szCs w:val="22"/>
          <w:color w:val="010000"/>
        </w:rPr>
      </w:pPr>
      <w:r>
        <w:rPr>
          <w:rFonts w:ascii="Arial" w:cs="Arial" w:eastAsia="Arial" w:hAnsi="Arial"/>
          <w:sz w:val="22"/>
          <w:szCs w:val="22"/>
          <w:u w:val="single" w:color="auto"/>
          <w:color w:val="auto"/>
        </w:rPr>
        <w:t>Qualifying Termination in Connection</w:t>
      </w:r>
    </w:p>
    <w:p>
      <w:pPr>
        <w:ind w:left="2000" w:right="1359"/>
        <w:spacing w:after="0"/>
        <w:rPr>
          <w:rFonts w:ascii="Arial" w:cs="Arial" w:eastAsia="Arial" w:hAnsi="Arial"/>
          <w:sz w:val="22"/>
          <w:szCs w:val="22"/>
          <w:color w:val="010000"/>
        </w:rPr>
      </w:pPr>
      <w:r>
        <w:rPr>
          <w:rFonts w:ascii="Arial" w:cs="Arial" w:eastAsia="Arial" w:hAnsi="Arial"/>
          <w:sz w:val="19"/>
          <w:szCs w:val="19"/>
          <w:u w:val="single" w:color="auto"/>
          <w:color w:val="auto"/>
        </w:rPr>
        <w:t>with a Change in Control</w:t>
      </w:r>
      <w:r>
        <w:rPr>
          <w:rFonts w:ascii="Arial" w:cs="Arial" w:eastAsia="Arial" w:hAnsi="Arial"/>
          <w:sz w:val="19"/>
          <w:szCs w:val="19"/>
          <w:color w:val="auto"/>
        </w:rPr>
        <w:t>. If the Executive undergoes a Qualifying Termination within twelve (12) months following a Change in Control, in addition to any Accrued Obligations and subject to the Executive’s (i) execution, delivery to the Company, and non-revocation of the Release Agreement, as contemplated by Section 5(e) below and (ii) continued compliance with any written policies of Acushnet in effect as of the termination date or provided to Executive following the termination date and the provisions set forth in Section 6 of this Agreement (and any similar provision applicable to Executive under a written agreement between Executive and the Company or its affiliates from time to time), the Executive shall receive, an amount equal to the sum of (w) two times (2X) the Base Salary, (x) two times (2X) the Target Bonus, (y) any earned but unpaid Annual Bonus for the prior year, and (z) a pro-rata Target Bonus based on actual service time during the calendar year in which such Qualifying Termination occurs, such amount to be paid in one cash lump sum as soon as practicable after such Qualifying Termination and, in no event, later than 60 days after the date of such Qualifying Termination. In addition, any outstanding grants of equity interests in the Company which have not yet vested will vest in full as of such Qualifying Termination. Following Executive’s termination of employment due to a Qualifying Termination in connection with a Change in Control, except as set forth in this Section 5(b)(ii), Executive shall have no further rights to any compensation or any other benefits under this Agreement.</w:t>
      </w:r>
    </w:p>
    <w:p>
      <w:pPr>
        <w:spacing w:after="0" w:line="351" w:lineRule="exact"/>
        <w:rPr>
          <w:rFonts w:ascii="Arial" w:cs="Arial" w:eastAsia="Arial" w:hAnsi="Arial"/>
          <w:sz w:val="22"/>
          <w:szCs w:val="22"/>
          <w:color w:val="010000"/>
        </w:rPr>
      </w:pPr>
    </w:p>
    <w:p>
      <w:pPr>
        <w:ind w:left="2000" w:right="1439" w:firstLine="1299"/>
        <w:spacing w:after="0"/>
        <w:tabs>
          <w:tab w:leader="none" w:pos="4066" w:val="left"/>
        </w:tabs>
        <w:numPr>
          <w:ilvl w:val="1"/>
          <w:numId w:val="54"/>
        </w:numPr>
        <w:rPr>
          <w:rFonts w:ascii="Arial" w:cs="Arial" w:eastAsia="Arial" w:hAnsi="Arial"/>
          <w:sz w:val="19"/>
          <w:szCs w:val="19"/>
          <w:color w:val="010000"/>
        </w:rPr>
      </w:pPr>
      <w:r>
        <w:rPr>
          <w:rFonts w:ascii="Arial" w:cs="Arial" w:eastAsia="Arial" w:hAnsi="Arial"/>
          <w:sz w:val="19"/>
          <w:szCs w:val="19"/>
          <w:u w:val="single" w:color="auto"/>
          <w:color w:val="auto"/>
        </w:rPr>
        <w:t>Death/Disability</w:t>
      </w:r>
      <w:r>
        <w:rPr>
          <w:rFonts w:ascii="Arial" w:cs="Arial" w:eastAsia="Arial" w:hAnsi="Arial"/>
          <w:sz w:val="19"/>
          <w:szCs w:val="19"/>
          <w:color w:val="auto"/>
        </w:rPr>
        <w:t>. If the Executive’s employment is terminated by the Company as a result of the Executive’s death or Disability (as defined in the Plan or any successor equity incentive plan in effect at the time of a termination), in addition to any Accrued Obligations and subject to the Executive’s (or Executive’s estate’s, as applicable) (i) execution, delivery to the Company, and non-revocation of the Release Agreement and (ii) continued compliance with any written policies of Acushnet in effect as of the termination date or provided to Executive following the termination date and the provisions set forth in Section 6 of this Agreement (and any similar provision applicable to Executive under a written agreement between Executive and the Company or its affiliates from time to time), the Executive shall receive an amount equal to the sum of (x) any earned but unpaid Annual Bonus for the prior year and (y) a pro-rata Target Bonus based on actual service time during the calendar year in which such termination occurs, such amount to be paid in one cash lump sum as soon as practicable after such termination and, in no event, later than 60 days after the date of such termination.</w:t>
      </w:r>
    </w:p>
    <w:p>
      <w:pPr>
        <w:spacing w:after="0" w:line="149" w:lineRule="exact"/>
        <w:rPr>
          <w:rFonts w:ascii="Arial" w:cs="Arial" w:eastAsia="Arial" w:hAnsi="Arial"/>
          <w:sz w:val="19"/>
          <w:szCs w:val="19"/>
          <w:color w:val="010000"/>
        </w:rPr>
      </w:pPr>
    </w:p>
    <w:p>
      <w:pPr>
        <w:ind w:left="3340" w:hanging="689"/>
        <w:spacing w:after="0"/>
        <w:tabs>
          <w:tab w:leader="none" w:pos="3340" w:val="left"/>
        </w:tabs>
        <w:numPr>
          <w:ilvl w:val="0"/>
          <w:numId w:val="55"/>
        </w:numPr>
        <w:rPr>
          <w:rFonts w:ascii="Arial" w:cs="Arial" w:eastAsia="Arial" w:hAnsi="Arial"/>
          <w:sz w:val="22"/>
          <w:szCs w:val="22"/>
          <w:color w:val="010000"/>
        </w:rPr>
      </w:pPr>
      <w:r>
        <w:rPr>
          <w:rFonts w:ascii="Arial" w:cs="Arial" w:eastAsia="Arial" w:hAnsi="Arial"/>
          <w:sz w:val="22"/>
          <w:szCs w:val="22"/>
          <w:u w:val="single" w:color="auto"/>
          <w:color w:val="auto"/>
        </w:rPr>
        <w:t>Other Termination Events</w:t>
      </w:r>
      <w:r>
        <w:rPr>
          <w:rFonts w:ascii="Arial" w:cs="Arial" w:eastAsia="Arial" w:hAnsi="Arial"/>
          <w:sz w:val="22"/>
          <w:szCs w:val="22"/>
          <w:color w:val="auto"/>
        </w:rPr>
        <w:t>. If the Executive’s</w:t>
      </w:r>
    </w:p>
    <w:p>
      <w:pPr>
        <w:ind w:left="1360" w:right="1539"/>
        <w:spacing w:after="0" w:line="251" w:lineRule="auto"/>
        <w:rPr>
          <w:rFonts w:ascii="Arial" w:cs="Arial" w:eastAsia="Arial" w:hAnsi="Arial"/>
          <w:sz w:val="22"/>
          <w:szCs w:val="22"/>
          <w:color w:val="010000"/>
        </w:rPr>
      </w:pPr>
      <w:r>
        <w:rPr>
          <w:rFonts w:ascii="Arial" w:cs="Arial" w:eastAsia="Arial" w:hAnsi="Arial"/>
          <w:sz w:val="19"/>
          <w:szCs w:val="19"/>
          <w:color w:val="auto"/>
        </w:rPr>
        <w:t>employment terminates for any reason other than pursuant to a Qualifying Termination, the Executive shall not be entitled to the payment of any severance or other benefits pursuant to this Agreement or Other Severance Arrangements other than the Accrued Obligations.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864235</wp:posOffset>
            </wp:positionH>
            <wp:positionV relativeFrom="paragraph">
              <wp:posOffset>253365</wp:posOffset>
            </wp:positionV>
            <wp:extent cx="4004945" cy="2603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80">
                      <a:extLst>
                        <a:ext uri="{28A0092B-C50C-407E-A947-70E740481C1C}"/>
                      </a:extLst>
                    </a:blip>
                    <a:srcRect/>
                    <a:stretch>
                      <a:fillRect/>
                    </a:stretch>
                  </pic:blipFill>
                  <pic:spPr bwMode="auto">
                    <a:xfrm>
                      <a:off x="0" y="0"/>
                      <a:ext cx="4004945" cy="26035"/>
                    </a:xfrm>
                    <a:prstGeom prst="rect">
                      <a:avLst/>
                    </a:prstGeom>
                    <a:noFill/>
                  </pic:spPr>
                </pic:pic>
              </a:graphicData>
            </a:graphic>
          </wp:anchor>
        </w:drawing>
      </w:r>
    </w:p>
    <w:p>
      <w:pPr>
        <w:sectPr>
          <w:pgSz w:w="11900" w:h="16838" w:orient="portrait"/>
          <w:cols w:equalWidth="0" w:num="1">
            <w:col w:w="9019"/>
          </w:cols>
          <w:pgMar w:left="1440" w:top="321" w:right="1440" w:bottom="1440" w:gutter="0" w:footer="0" w:header="0"/>
        </w:sectPr>
      </w:pPr>
    </w:p>
    <w:bookmarkStart w:id="146" w:name="page147"/>
    <w:bookmarkEnd w:id="146"/>
    <w:p>
      <w:pPr>
        <w:ind w:left="3340" w:hanging="689"/>
        <w:spacing w:after="0"/>
        <w:tabs>
          <w:tab w:leader="none" w:pos="3340" w:val="left"/>
        </w:tabs>
        <w:numPr>
          <w:ilvl w:val="1"/>
          <w:numId w:val="56"/>
        </w:numPr>
        <w:rPr>
          <w:rFonts w:ascii="Arial" w:cs="Arial" w:eastAsia="Arial" w:hAnsi="Arial"/>
          <w:sz w:val="22"/>
          <w:szCs w:val="22"/>
          <w:color w:val="010000"/>
        </w:rPr>
      </w:pPr>
      <w:r>
        <w:rPr>
          <w:rFonts w:ascii="Arial" w:cs="Arial" w:eastAsia="Arial" w:hAnsi="Arial"/>
          <w:sz w:val="22"/>
          <w:szCs w:val="22"/>
          <w:u w:val="single" w:color="auto"/>
          <w:color w:val="auto"/>
        </w:rPr>
        <w:t>Definitions</w:t>
      </w:r>
      <w:r>
        <w:rPr>
          <w:rFonts w:ascii="Arial" w:cs="Arial" w:eastAsia="Arial" w:hAnsi="Arial"/>
          <w:sz w:val="22"/>
          <w:szCs w:val="22"/>
          <w:color w:val="auto"/>
        </w:rPr>
        <w:t>.</w:t>
      </w:r>
    </w:p>
    <w:p>
      <w:pPr>
        <w:spacing w:after="0" w:line="160" w:lineRule="exact"/>
        <w:rPr>
          <w:rFonts w:ascii="Arial" w:cs="Arial" w:eastAsia="Arial" w:hAnsi="Arial"/>
          <w:sz w:val="22"/>
          <w:szCs w:val="22"/>
          <w:color w:val="010000"/>
        </w:rPr>
      </w:pPr>
    </w:p>
    <w:p>
      <w:pPr>
        <w:ind w:left="4020" w:hanging="721"/>
        <w:spacing w:after="0"/>
        <w:tabs>
          <w:tab w:leader="none" w:pos="4020" w:val="left"/>
        </w:tabs>
        <w:numPr>
          <w:ilvl w:val="2"/>
          <w:numId w:val="56"/>
        </w:numPr>
        <w:rPr>
          <w:rFonts w:ascii="Arial" w:cs="Arial" w:eastAsia="Arial" w:hAnsi="Arial"/>
          <w:sz w:val="22"/>
          <w:szCs w:val="22"/>
          <w:color w:val="010000"/>
        </w:rPr>
      </w:pPr>
      <w:r>
        <w:rPr>
          <w:rFonts w:ascii="Arial" w:cs="Arial" w:eastAsia="Arial" w:hAnsi="Arial"/>
          <w:sz w:val="22"/>
          <w:szCs w:val="22"/>
          <w:color w:val="auto"/>
        </w:rPr>
        <w:t>“</w:t>
      </w:r>
      <w:r>
        <w:rPr>
          <w:rFonts w:ascii="Arial" w:cs="Arial" w:eastAsia="Arial" w:hAnsi="Arial"/>
          <w:sz w:val="22"/>
          <w:szCs w:val="22"/>
          <w:u w:val="single" w:color="auto"/>
          <w:color w:val="auto"/>
        </w:rPr>
        <w:t>Accrued Obligations</w:t>
      </w:r>
      <w:r>
        <w:rPr>
          <w:rFonts w:ascii="Arial" w:cs="Arial" w:eastAsia="Arial" w:hAnsi="Arial"/>
          <w:sz w:val="22"/>
          <w:szCs w:val="22"/>
          <w:color w:val="auto"/>
        </w:rPr>
        <w:t>” means (i) all</w:t>
      </w:r>
    </w:p>
    <w:p>
      <w:pPr>
        <w:ind w:left="2000" w:right="1399"/>
        <w:spacing w:after="0" w:line="242" w:lineRule="auto"/>
        <w:rPr>
          <w:rFonts w:ascii="Arial" w:cs="Arial" w:eastAsia="Arial" w:hAnsi="Arial"/>
          <w:sz w:val="22"/>
          <w:szCs w:val="22"/>
          <w:color w:val="010000"/>
        </w:rPr>
      </w:pPr>
      <w:r>
        <w:rPr>
          <w:rFonts w:ascii="Arial" w:cs="Arial" w:eastAsia="Arial" w:hAnsi="Arial"/>
          <w:sz w:val="19"/>
          <w:szCs w:val="19"/>
          <w:color w:val="auto"/>
        </w:rPr>
        <w:t>accrued but unpaid Base Salary through the date of a termination of employment, (ii) any unpaid or unreimbursed expenses incurred in accordance with the policies of Acushnet, and (iii) any benefits provided under the employee benefit plans and programs of Acushnet (excluding any Other Severance Arrangements) in connection with a termination of employment, in each case, in accordance with the terms contained therein, including, without limitation, payment of accrued but unused vacation days through the date of a termination of employment in accordance with the Acushnet vacation policy.</w:t>
      </w:r>
    </w:p>
    <w:p>
      <w:pPr>
        <w:spacing w:after="0" w:line="155" w:lineRule="exact"/>
        <w:rPr>
          <w:rFonts w:ascii="Arial" w:cs="Arial" w:eastAsia="Arial" w:hAnsi="Arial"/>
          <w:sz w:val="22"/>
          <w:szCs w:val="22"/>
          <w:color w:val="010000"/>
        </w:rPr>
      </w:pPr>
    </w:p>
    <w:p>
      <w:pPr>
        <w:ind w:left="4040" w:hanging="741"/>
        <w:spacing w:after="0"/>
        <w:tabs>
          <w:tab w:leader="none" w:pos="4040" w:val="left"/>
        </w:tabs>
        <w:numPr>
          <w:ilvl w:val="2"/>
          <w:numId w:val="56"/>
        </w:numPr>
        <w:rPr>
          <w:rFonts w:ascii="Arial" w:cs="Arial" w:eastAsia="Arial" w:hAnsi="Arial"/>
          <w:sz w:val="19"/>
          <w:szCs w:val="19"/>
          <w:color w:val="010000"/>
        </w:rPr>
      </w:pPr>
      <w:r>
        <w:rPr>
          <w:rFonts w:ascii="Arial" w:cs="Arial" w:eastAsia="Arial" w:hAnsi="Arial"/>
          <w:sz w:val="19"/>
          <w:szCs w:val="19"/>
          <w:color w:val="auto"/>
        </w:rPr>
        <w:t>“</w:t>
      </w:r>
      <w:r>
        <w:rPr>
          <w:rFonts w:ascii="Arial" w:cs="Arial" w:eastAsia="Arial" w:hAnsi="Arial"/>
          <w:sz w:val="19"/>
          <w:szCs w:val="19"/>
          <w:u w:val="single" w:color="auto"/>
          <w:color w:val="auto"/>
        </w:rPr>
        <w:t>Cause</w:t>
      </w:r>
      <w:r>
        <w:rPr>
          <w:rFonts w:ascii="Arial" w:cs="Arial" w:eastAsia="Arial" w:hAnsi="Arial"/>
          <w:sz w:val="19"/>
          <w:szCs w:val="19"/>
          <w:color w:val="auto"/>
        </w:rPr>
        <w:t>” means the Executive’s (i) willful</w:t>
      </w:r>
    </w:p>
    <w:p>
      <w:pPr>
        <w:spacing w:after="0" w:line="15" w:lineRule="exact"/>
        <w:rPr>
          <w:rFonts w:ascii="Arial" w:cs="Arial" w:eastAsia="Arial" w:hAnsi="Arial"/>
          <w:sz w:val="19"/>
          <w:szCs w:val="19"/>
          <w:color w:val="010000"/>
        </w:rPr>
      </w:pPr>
    </w:p>
    <w:p>
      <w:pPr>
        <w:ind w:left="2000" w:right="1419"/>
        <w:spacing w:after="0" w:line="237" w:lineRule="auto"/>
        <w:rPr>
          <w:rFonts w:ascii="Arial" w:cs="Arial" w:eastAsia="Arial" w:hAnsi="Arial"/>
          <w:sz w:val="19"/>
          <w:szCs w:val="19"/>
          <w:color w:val="010000"/>
        </w:rPr>
      </w:pPr>
      <w:r>
        <w:rPr>
          <w:rFonts w:ascii="Arial" w:cs="Arial" w:eastAsia="Arial" w:hAnsi="Arial"/>
          <w:sz w:val="19"/>
          <w:szCs w:val="19"/>
          <w:color w:val="auto"/>
        </w:rPr>
        <w:t>neglect in the performance of the Executive’s duties for Acushnet or willful failure or refusal to perform such duties, (ii) willful misconduct in connection with the Executive’s service as the Company’s President and Chief Executive Officer, (iii) conviction of, or plea of guilty or no contest to, (x) any felony or</w:t>
      </w:r>
    </w:p>
    <w:p>
      <w:pPr>
        <w:spacing w:after="0" w:line="1" w:lineRule="exact"/>
        <w:rPr>
          <w:rFonts w:ascii="Arial" w:cs="Arial" w:eastAsia="Arial" w:hAnsi="Arial"/>
          <w:sz w:val="19"/>
          <w:szCs w:val="19"/>
          <w:color w:val="010000"/>
        </w:rPr>
      </w:pPr>
    </w:p>
    <w:p>
      <w:pPr>
        <w:ind w:left="2000" w:right="1459" w:firstLine="3"/>
        <w:spacing w:after="0" w:line="237" w:lineRule="auto"/>
        <w:tabs>
          <w:tab w:leader="none" w:pos="2306" w:val="left"/>
        </w:tabs>
        <w:numPr>
          <w:ilvl w:val="0"/>
          <w:numId w:val="57"/>
        </w:numPr>
        <w:rPr>
          <w:rFonts w:ascii="Arial" w:cs="Arial" w:eastAsia="Arial" w:hAnsi="Arial"/>
          <w:sz w:val="19"/>
          <w:szCs w:val="19"/>
          <w:color w:val="auto"/>
        </w:rPr>
      </w:pPr>
      <w:r>
        <w:rPr>
          <w:rFonts w:ascii="Arial" w:cs="Arial" w:eastAsia="Arial" w:hAnsi="Arial"/>
          <w:sz w:val="19"/>
          <w:szCs w:val="19"/>
          <w:color w:val="auto"/>
        </w:rPr>
        <w:t xml:space="preserve">a misdemeanor involving moral turpitude, (iv) theft, misappropriation or embezzlement of property of Acushnet or act of fraud, (v) material breach of Executive’s fiduciary duties to, or any material written policies of, Acushnet (including, without limitation, Acushnet’s code of ethics, sexual harassment policy, insider trading policy, and policies regarding protection of confidential information and misappropriation of intellectual property) or (vi) material breach of this Agreement; </w:t>
      </w:r>
      <w:r>
        <w:rPr>
          <w:rFonts w:ascii="Arial" w:cs="Arial" w:eastAsia="Arial" w:hAnsi="Arial"/>
          <w:sz w:val="19"/>
          <w:szCs w:val="19"/>
          <w:i w:val="1"/>
          <w:iCs w:val="1"/>
          <w:color w:val="auto"/>
        </w:rPr>
        <w:t>provided</w:t>
      </w:r>
      <w:r>
        <w:rPr>
          <w:rFonts w:ascii="Arial" w:cs="Arial" w:eastAsia="Arial" w:hAnsi="Arial"/>
          <w:sz w:val="19"/>
          <w:szCs w:val="19"/>
          <w:color w:val="auto"/>
        </w:rPr>
        <w:t>, that to the extent any of the events described in clauses (i), (ii),</w:t>
      </w:r>
    </w:p>
    <w:p>
      <w:pPr>
        <w:spacing w:after="0" w:line="2" w:lineRule="exact"/>
        <w:rPr>
          <w:rFonts w:ascii="Arial" w:cs="Arial" w:eastAsia="Arial" w:hAnsi="Arial"/>
          <w:sz w:val="19"/>
          <w:szCs w:val="19"/>
          <w:color w:val="auto"/>
        </w:rPr>
      </w:pPr>
    </w:p>
    <w:p>
      <w:pPr>
        <w:ind w:left="2000" w:right="1479" w:firstLine="3"/>
        <w:spacing w:after="0" w:line="224" w:lineRule="auto"/>
        <w:tabs>
          <w:tab w:leader="none" w:pos="2306" w:val="left"/>
        </w:tabs>
        <w:numPr>
          <w:ilvl w:val="0"/>
          <w:numId w:val="58"/>
        </w:numPr>
        <w:rPr>
          <w:rFonts w:ascii="Arial" w:cs="Arial" w:eastAsia="Arial" w:hAnsi="Arial"/>
          <w:sz w:val="21"/>
          <w:szCs w:val="21"/>
          <w:color w:val="auto"/>
        </w:rPr>
      </w:pPr>
      <w:r>
        <w:rPr>
          <w:rFonts w:ascii="Arial" w:cs="Arial" w:eastAsia="Arial" w:hAnsi="Arial"/>
          <w:sz w:val="21"/>
          <w:szCs w:val="21"/>
          <w:color w:val="auto"/>
        </w:rPr>
        <w:t>or (vi) above are capable of being cured, such event shall constitute Cause only if the Executive fails to cure such event within 15 days after receipt from the Employer of written notice of the event which constitutes Cause.</w:t>
      </w:r>
    </w:p>
    <w:p>
      <w:pPr>
        <w:spacing w:after="0" w:line="142" w:lineRule="exact"/>
        <w:rPr>
          <w:rFonts w:ascii="Arial" w:cs="Arial" w:eastAsia="Arial" w:hAnsi="Arial"/>
          <w:sz w:val="21"/>
          <w:szCs w:val="21"/>
          <w:color w:val="auto"/>
        </w:rPr>
      </w:pPr>
    </w:p>
    <w:p>
      <w:pPr>
        <w:ind w:left="4120" w:hanging="821"/>
        <w:spacing w:after="0"/>
        <w:tabs>
          <w:tab w:leader="none" w:pos="4120" w:val="left"/>
        </w:tabs>
        <w:numPr>
          <w:ilvl w:val="2"/>
          <w:numId w:val="58"/>
        </w:numPr>
        <w:rPr>
          <w:rFonts w:ascii="Arial" w:cs="Arial" w:eastAsia="Arial" w:hAnsi="Arial"/>
          <w:sz w:val="22"/>
          <w:szCs w:val="22"/>
          <w:color w:val="010000"/>
        </w:rPr>
      </w:pPr>
      <w:r>
        <w:rPr>
          <w:rFonts w:ascii="Arial" w:cs="Arial" w:eastAsia="Arial" w:hAnsi="Arial"/>
          <w:sz w:val="22"/>
          <w:szCs w:val="22"/>
          <w:color w:val="auto"/>
        </w:rPr>
        <w:t>“</w:t>
      </w:r>
      <w:r>
        <w:rPr>
          <w:rFonts w:ascii="Arial" w:cs="Arial" w:eastAsia="Arial" w:hAnsi="Arial"/>
          <w:sz w:val="22"/>
          <w:szCs w:val="22"/>
          <w:u w:val="single" w:color="auto"/>
          <w:color w:val="auto"/>
        </w:rPr>
        <w:t>Change in Control</w:t>
      </w:r>
      <w:r>
        <w:rPr>
          <w:rFonts w:ascii="Arial" w:cs="Arial" w:eastAsia="Arial" w:hAnsi="Arial"/>
          <w:sz w:val="22"/>
          <w:szCs w:val="22"/>
          <w:color w:val="auto"/>
        </w:rPr>
        <w:t>” shall have the</w:t>
      </w:r>
    </w:p>
    <w:p>
      <w:pPr>
        <w:ind w:left="2000" w:right="1599"/>
        <w:spacing w:after="0" w:line="234" w:lineRule="auto"/>
        <w:rPr>
          <w:rFonts w:ascii="Arial" w:cs="Arial" w:eastAsia="Arial" w:hAnsi="Arial"/>
          <w:sz w:val="22"/>
          <w:szCs w:val="22"/>
          <w:color w:val="010000"/>
        </w:rPr>
      </w:pPr>
      <w:r>
        <w:rPr>
          <w:rFonts w:ascii="Arial" w:cs="Arial" w:eastAsia="Arial" w:hAnsi="Arial"/>
          <w:sz w:val="21"/>
          <w:szCs w:val="21"/>
          <w:color w:val="auto"/>
        </w:rPr>
        <w:t>meaning set forth in the Plan or any successor equity incentive plan in effect at the time of a Change in Control.</w:t>
      </w:r>
    </w:p>
    <w:p>
      <w:pPr>
        <w:spacing w:after="0" w:line="159" w:lineRule="exact"/>
        <w:rPr>
          <w:rFonts w:ascii="Arial" w:cs="Arial" w:eastAsia="Arial" w:hAnsi="Arial"/>
          <w:sz w:val="22"/>
          <w:szCs w:val="22"/>
          <w:color w:val="010000"/>
        </w:rPr>
      </w:pPr>
    </w:p>
    <w:p>
      <w:pPr>
        <w:ind w:left="2000" w:right="1599" w:firstLine="1299"/>
        <w:spacing w:after="0" w:line="257" w:lineRule="auto"/>
        <w:tabs>
          <w:tab w:leader="none" w:pos="4108" w:val="left"/>
        </w:tabs>
        <w:numPr>
          <w:ilvl w:val="2"/>
          <w:numId w:val="58"/>
        </w:numPr>
        <w:rPr>
          <w:rFonts w:ascii="Arial" w:cs="Arial" w:eastAsia="Arial" w:hAnsi="Arial"/>
          <w:sz w:val="19"/>
          <w:szCs w:val="19"/>
          <w:color w:val="010000"/>
        </w:rPr>
      </w:pPr>
      <w:r>
        <w:rPr>
          <w:rFonts w:ascii="Arial" w:cs="Arial" w:eastAsia="Arial" w:hAnsi="Arial"/>
          <w:sz w:val="19"/>
          <w:szCs w:val="19"/>
          <w:color w:val="auto"/>
        </w:rPr>
        <w:t>“</w:t>
      </w:r>
      <w:r>
        <w:rPr>
          <w:rFonts w:ascii="Arial" w:cs="Arial" w:eastAsia="Arial" w:hAnsi="Arial"/>
          <w:sz w:val="19"/>
          <w:szCs w:val="19"/>
          <w:u w:val="single" w:color="auto"/>
          <w:color w:val="auto"/>
        </w:rPr>
        <w:t>Code</w:t>
      </w:r>
      <w:r>
        <w:rPr>
          <w:rFonts w:ascii="Arial" w:cs="Arial" w:eastAsia="Arial" w:hAnsi="Arial"/>
          <w:sz w:val="19"/>
          <w:szCs w:val="19"/>
          <w:color w:val="auto"/>
        </w:rPr>
        <w:t>” means the Internal Revenue Code of 1986, as amended, and the rules, regulations or other interpretative guidance promulgated thereunder, as well as any successor laws in replacement thereof.</w:t>
      </w:r>
    </w:p>
    <w:p>
      <w:pPr>
        <w:spacing w:after="0" w:line="125" w:lineRule="exact"/>
        <w:rPr>
          <w:rFonts w:ascii="Arial" w:cs="Arial" w:eastAsia="Arial" w:hAnsi="Arial"/>
          <w:sz w:val="19"/>
          <w:szCs w:val="19"/>
          <w:color w:val="010000"/>
        </w:rPr>
      </w:pPr>
    </w:p>
    <w:p>
      <w:pPr>
        <w:ind w:left="4060" w:hanging="761"/>
        <w:spacing w:after="0"/>
        <w:tabs>
          <w:tab w:leader="none" w:pos="4060" w:val="left"/>
        </w:tabs>
        <w:numPr>
          <w:ilvl w:val="2"/>
          <w:numId w:val="58"/>
        </w:numPr>
        <w:rPr>
          <w:rFonts w:ascii="Arial" w:cs="Arial" w:eastAsia="Arial" w:hAnsi="Arial"/>
          <w:sz w:val="22"/>
          <w:szCs w:val="22"/>
          <w:color w:val="010000"/>
        </w:rPr>
      </w:pPr>
      <w:r>
        <w:rPr>
          <w:rFonts w:ascii="Arial" w:cs="Arial" w:eastAsia="Arial" w:hAnsi="Arial"/>
          <w:sz w:val="22"/>
          <w:szCs w:val="22"/>
          <w:color w:val="auto"/>
        </w:rPr>
        <w:t>“</w:t>
      </w:r>
      <w:r>
        <w:rPr>
          <w:rFonts w:ascii="Arial" w:cs="Arial" w:eastAsia="Arial" w:hAnsi="Arial"/>
          <w:sz w:val="22"/>
          <w:szCs w:val="22"/>
          <w:u w:val="single" w:color="auto"/>
          <w:color w:val="auto"/>
        </w:rPr>
        <w:t>Good Reason</w:t>
      </w:r>
      <w:r>
        <w:rPr>
          <w:rFonts w:ascii="Arial" w:cs="Arial" w:eastAsia="Arial" w:hAnsi="Arial"/>
          <w:sz w:val="22"/>
          <w:szCs w:val="22"/>
          <w:color w:val="auto"/>
        </w:rPr>
        <w:t>” means, without the</w:t>
      </w:r>
    </w:p>
    <w:p>
      <w:pPr>
        <w:ind w:left="2000" w:right="1439"/>
        <w:spacing w:after="0"/>
        <w:rPr>
          <w:rFonts w:ascii="Arial" w:cs="Arial" w:eastAsia="Arial" w:hAnsi="Arial"/>
          <w:sz w:val="22"/>
          <w:szCs w:val="22"/>
          <w:color w:val="010000"/>
        </w:rPr>
      </w:pPr>
      <w:r>
        <w:rPr>
          <w:rFonts w:ascii="Arial" w:cs="Arial" w:eastAsia="Arial" w:hAnsi="Arial"/>
          <w:sz w:val="19"/>
          <w:szCs w:val="19"/>
          <w:color w:val="auto"/>
        </w:rPr>
        <w:t xml:space="preserve">Executive’s consent, (i) a material diminution in the Executive’s authority, reporting relationships or duties, (ii) a material reduction in Base Salary or Target Bonus, or (iii) the relocation of the principal place of the Executive’s employment that would make it unreasonably difficult for Executive to maintain the principal residence that Executive had immediately prior to such requirement; </w:t>
      </w:r>
      <w:r>
        <w:rPr>
          <w:rFonts w:ascii="Arial" w:cs="Arial" w:eastAsia="Arial" w:hAnsi="Arial"/>
          <w:sz w:val="19"/>
          <w:szCs w:val="19"/>
          <w:i w:val="1"/>
          <w:iCs w:val="1"/>
          <w:color w:val="auto"/>
        </w:rPr>
        <w:t>provided</w:t>
      </w:r>
      <w:r>
        <w:rPr>
          <w:rFonts w:ascii="Arial" w:cs="Arial" w:eastAsia="Arial" w:hAnsi="Arial"/>
          <w:sz w:val="19"/>
          <w:szCs w:val="19"/>
          <w:color w:val="auto"/>
        </w:rPr>
        <w:t xml:space="preserve">, that any of the events described in clauses (i) through (iii) above shall constitute Good Reason only if the Employer fails to cure such event within 30 days after receipt from the Executive of written notice of the event which constitutes Good Reason; and </w:t>
      </w:r>
      <w:r>
        <w:rPr>
          <w:rFonts w:ascii="Arial" w:cs="Arial" w:eastAsia="Arial" w:hAnsi="Arial"/>
          <w:sz w:val="19"/>
          <w:szCs w:val="19"/>
          <w:i w:val="1"/>
          <w:iCs w:val="1"/>
          <w:color w:val="auto"/>
        </w:rPr>
        <w:t>provided further</w:t>
      </w:r>
      <w:r>
        <w:rPr>
          <w:rFonts w:ascii="Arial" w:cs="Arial" w:eastAsia="Arial" w:hAnsi="Arial"/>
          <w:sz w:val="19"/>
          <w:szCs w:val="19"/>
          <w:color w:val="auto"/>
        </w:rPr>
        <w:t>, that the Executive shall cease to have a right to terminate due to any Good Reason event on the 90</w:t>
      </w:r>
      <w:r>
        <w:rPr>
          <w:rFonts w:ascii="Arial" w:cs="Arial" w:eastAsia="Arial" w:hAnsi="Arial"/>
          <w:sz w:val="9"/>
          <w:szCs w:val="9"/>
          <w:color w:val="auto"/>
        </w:rPr>
        <w:t>th</w:t>
      </w:r>
      <w:r>
        <w:rPr>
          <w:rFonts w:ascii="Arial" w:cs="Arial" w:eastAsia="Arial" w:hAnsi="Arial"/>
          <w:sz w:val="19"/>
          <w:szCs w:val="19"/>
          <w:color w:val="auto"/>
        </w:rPr>
        <w:t xml:space="preserve"> day following the later of the occurrence of the event or the Executive’s knowledge thereof, unless the Executive has given the Employer written notice thereof prior to such 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864235</wp:posOffset>
            </wp:positionH>
            <wp:positionV relativeFrom="paragraph">
              <wp:posOffset>399415</wp:posOffset>
            </wp:positionV>
            <wp:extent cx="4004945" cy="26035"/>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81">
                      <a:extLst>
                        <a:ext uri="{28A0092B-C50C-407E-A947-70E740481C1C}"/>
                      </a:extLst>
                    </a:blip>
                    <a:srcRect/>
                    <a:stretch>
                      <a:fillRect/>
                    </a:stretch>
                  </pic:blipFill>
                  <pic:spPr bwMode="auto">
                    <a:xfrm>
                      <a:off x="0" y="0"/>
                      <a:ext cx="4004945" cy="26035"/>
                    </a:xfrm>
                    <a:prstGeom prst="rect">
                      <a:avLst/>
                    </a:prstGeom>
                    <a:noFill/>
                  </pic:spPr>
                </pic:pic>
              </a:graphicData>
            </a:graphic>
          </wp:anchor>
        </w:drawing>
      </w:r>
    </w:p>
    <w:p>
      <w:pPr>
        <w:sectPr>
          <w:pgSz w:w="11900" w:h="16838" w:orient="portrait"/>
          <w:cols w:equalWidth="0" w:num="1">
            <w:col w:w="9019"/>
          </w:cols>
          <w:pgMar w:left="1440" w:top="496" w:right="1440" w:bottom="1440" w:gutter="0" w:footer="0" w:header="0"/>
        </w:sectPr>
      </w:pPr>
    </w:p>
    <w:bookmarkStart w:id="147" w:name="page148"/>
    <w:bookmarkEnd w:id="147"/>
    <w:p>
      <w:pPr>
        <w:ind w:left="2000" w:right="1379" w:firstLine="1299"/>
        <w:spacing w:after="0" w:line="246" w:lineRule="auto"/>
        <w:tabs>
          <w:tab w:leader="none" w:pos="4108" w:val="left"/>
        </w:tabs>
        <w:numPr>
          <w:ilvl w:val="1"/>
          <w:numId w:val="59"/>
        </w:numPr>
        <w:rPr>
          <w:rFonts w:ascii="Arial" w:cs="Arial" w:eastAsia="Arial" w:hAnsi="Arial"/>
          <w:sz w:val="19"/>
          <w:szCs w:val="19"/>
          <w:color w:val="010000"/>
        </w:rPr>
      </w:pPr>
      <w:r>
        <w:rPr>
          <w:rFonts w:ascii="Arial" w:cs="Arial" w:eastAsia="Arial" w:hAnsi="Arial"/>
          <w:sz w:val="19"/>
          <w:szCs w:val="19"/>
          <w:color w:val="auto"/>
        </w:rPr>
        <w:t>“</w:t>
      </w:r>
      <w:r>
        <w:rPr>
          <w:rFonts w:ascii="Arial" w:cs="Arial" w:eastAsia="Arial" w:hAnsi="Arial"/>
          <w:sz w:val="19"/>
          <w:szCs w:val="19"/>
          <w:u w:val="single" w:color="auto"/>
          <w:color w:val="auto"/>
        </w:rPr>
        <w:t>Other Severance Arrangements</w:t>
      </w:r>
      <w:r>
        <w:rPr>
          <w:rFonts w:ascii="Arial" w:cs="Arial" w:eastAsia="Arial" w:hAnsi="Arial"/>
          <w:sz w:val="19"/>
          <w:szCs w:val="19"/>
          <w:color w:val="auto"/>
        </w:rPr>
        <w:t>” means any plans, policies, guidelines, arrangements, agreements, letters and/or other communication, whether formal or informal, written or oral sponsored by any the Company or any of its affiliates and/or entered into by any representative of the Company or any of its affiliates that might otherwise provide severance benefits upon a Qualifying Termination including, without limitation, the Acushnet Executive Severance Plan.</w:t>
      </w:r>
    </w:p>
    <w:p>
      <w:pPr>
        <w:spacing w:after="0" w:line="134" w:lineRule="exact"/>
        <w:rPr>
          <w:rFonts w:ascii="Arial" w:cs="Arial" w:eastAsia="Arial" w:hAnsi="Arial"/>
          <w:sz w:val="19"/>
          <w:szCs w:val="19"/>
          <w:color w:val="010000"/>
        </w:rPr>
      </w:pPr>
    </w:p>
    <w:p>
      <w:pPr>
        <w:ind w:left="4080" w:hanging="781"/>
        <w:spacing w:after="0"/>
        <w:tabs>
          <w:tab w:leader="none" w:pos="4080" w:val="left"/>
        </w:tabs>
        <w:numPr>
          <w:ilvl w:val="1"/>
          <w:numId w:val="59"/>
        </w:numPr>
        <w:rPr>
          <w:rFonts w:ascii="Arial" w:cs="Arial" w:eastAsia="Arial" w:hAnsi="Arial"/>
          <w:sz w:val="22"/>
          <w:szCs w:val="22"/>
          <w:color w:val="010000"/>
        </w:rPr>
      </w:pPr>
      <w:r>
        <w:rPr>
          <w:rFonts w:ascii="Arial" w:cs="Arial" w:eastAsia="Arial" w:hAnsi="Arial"/>
          <w:sz w:val="22"/>
          <w:szCs w:val="22"/>
          <w:color w:val="auto"/>
        </w:rPr>
        <w:t>“</w:t>
      </w:r>
      <w:r>
        <w:rPr>
          <w:rFonts w:ascii="Arial" w:cs="Arial" w:eastAsia="Arial" w:hAnsi="Arial"/>
          <w:sz w:val="22"/>
          <w:szCs w:val="22"/>
          <w:u w:val="single" w:color="auto"/>
          <w:color w:val="auto"/>
        </w:rPr>
        <w:t>Qualifying Termination</w:t>
      </w:r>
      <w:r>
        <w:rPr>
          <w:rFonts w:ascii="Arial" w:cs="Arial" w:eastAsia="Arial" w:hAnsi="Arial"/>
          <w:sz w:val="22"/>
          <w:szCs w:val="22"/>
          <w:color w:val="auto"/>
        </w:rPr>
        <w:t>” means the</w:t>
      </w:r>
    </w:p>
    <w:p>
      <w:pPr>
        <w:ind w:left="2000" w:right="1399"/>
        <w:spacing w:after="0" w:line="258" w:lineRule="auto"/>
        <w:rPr>
          <w:rFonts w:ascii="Arial" w:cs="Arial" w:eastAsia="Arial" w:hAnsi="Arial"/>
          <w:sz w:val="22"/>
          <w:szCs w:val="22"/>
          <w:color w:val="010000"/>
        </w:rPr>
      </w:pPr>
      <w:r>
        <w:rPr>
          <w:rFonts w:ascii="Arial" w:cs="Arial" w:eastAsia="Arial" w:hAnsi="Arial"/>
          <w:sz w:val="19"/>
          <w:szCs w:val="19"/>
          <w:color w:val="auto"/>
        </w:rPr>
        <w:t>Executive’s termination of employment by the Company without Cause (including as a result of the Company’s non-renewal of the Employment Term) or by the Executive with Good Reason.</w:t>
      </w:r>
    </w:p>
    <w:p>
      <w:pPr>
        <w:spacing w:after="0" w:line="141" w:lineRule="exact"/>
        <w:rPr>
          <w:rFonts w:ascii="Arial" w:cs="Arial" w:eastAsia="Arial" w:hAnsi="Arial"/>
          <w:sz w:val="22"/>
          <w:szCs w:val="22"/>
          <w:color w:val="010000"/>
        </w:rPr>
      </w:pPr>
    </w:p>
    <w:p>
      <w:pPr>
        <w:ind w:left="1360" w:right="1379" w:firstLine="1291"/>
        <w:spacing w:after="0"/>
        <w:tabs>
          <w:tab w:leader="none" w:pos="3342" w:val="left"/>
        </w:tabs>
        <w:numPr>
          <w:ilvl w:val="0"/>
          <w:numId w:val="60"/>
        </w:numPr>
        <w:rPr>
          <w:rFonts w:ascii="Arial" w:cs="Arial" w:eastAsia="Arial" w:hAnsi="Arial"/>
          <w:sz w:val="19"/>
          <w:szCs w:val="19"/>
          <w:color w:val="010000"/>
        </w:rPr>
      </w:pPr>
      <w:r>
        <w:rPr>
          <w:rFonts w:ascii="Arial" w:cs="Arial" w:eastAsia="Arial" w:hAnsi="Arial"/>
          <w:sz w:val="19"/>
          <w:szCs w:val="19"/>
          <w:u w:val="single" w:color="auto"/>
          <w:color w:val="auto"/>
        </w:rPr>
        <w:t>Release Agreement</w:t>
      </w:r>
      <w:r>
        <w:rPr>
          <w:rFonts w:ascii="Arial" w:cs="Arial" w:eastAsia="Arial" w:hAnsi="Arial"/>
          <w:sz w:val="19"/>
          <w:szCs w:val="19"/>
          <w:color w:val="auto"/>
        </w:rPr>
        <w:t>. Notwithstanding any provision herein to the contrary, the payment of any amount pursuant to Section 5(b) above (other than the Accrued Obligations) shall be conditioned upon the Executive’s execution, delivery to the Employer, and non-revocation of the Release Agreement (and the expiration of any revocation period contained in such Release Agreement) within 60 days following the date of a Qualifying Termination. If the Executive fails to execute the Release Agreement in such a timely manner so as to permit any revocation period to expire prior to the end of such 60 day period, or timely revokes his acceptance of such release following its execution, the Executive shall not be entitled to payment of any severance or other benefits under this Agreement. Further, to the extent that any of the payments hereunder are determined to constitute “nonqualified deferred compensation” for purposes of Section 409A of the Code, any payment of any amount or provision of any benefit otherwise scheduled to occur prior to the 60</w:t>
      </w:r>
      <w:r>
        <w:rPr>
          <w:rFonts w:ascii="Arial" w:cs="Arial" w:eastAsia="Arial" w:hAnsi="Arial"/>
          <w:sz w:val="9"/>
          <w:szCs w:val="9"/>
          <w:color w:val="auto"/>
        </w:rPr>
        <w:t>th</w:t>
      </w:r>
      <w:r>
        <w:rPr>
          <w:rFonts w:ascii="Arial" w:cs="Arial" w:eastAsia="Arial" w:hAnsi="Arial"/>
          <w:sz w:val="19"/>
          <w:szCs w:val="19"/>
          <w:color w:val="auto"/>
        </w:rPr>
        <w:t xml:space="preserve"> day following the date of such Qualifying Termination, but for the condition on executing the Release Agreement as set forth herein, shall not be made until the first regularly scheduled payroll date following such 60</w:t>
      </w:r>
      <w:r>
        <w:rPr>
          <w:rFonts w:ascii="Arial" w:cs="Arial" w:eastAsia="Arial" w:hAnsi="Arial"/>
          <w:sz w:val="9"/>
          <w:szCs w:val="9"/>
          <w:color w:val="auto"/>
        </w:rPr>
        <w:t>th</w:t>
      </w:r>
      <w:r>
        <w:rPr>
          <w:rFonts w:ascii="Arial" w:cs="Arial" w:eastAsia="Arial" w:hAnsi="Arial"/>
          <w:sz w:val="19"/>
          <w:szCs w:val="19"/>
          <w:color w:val="auto"/>
        </w:rPr>
        <w:t xml:space="preserve"> day, after which any remaining payments shall thereafter be provided to the Executive according to the applicable schedule set forth herein.</w:t>
      </w:r>
    </w:p>
    <w:p>
      <w:pPr>
        <w:spacing w:after="0" w:line="146" w:lineRule="exact"/>
        <w:rPr>
          <w:rFonts w:ascii="Arial" w:cs="Arial" w:eastAsia="Arial" w:hAnsi="Arial"/>
          <w:sz w:val="19"/>
          <w:szCs w:val="19"/>
          <w:color w:val="010000"/>
        </w:rPr>
      </w:pPr>
    </w:p>
    <w:p>
      <w:pPr>
        <w:ind w:left="3360" w:hanging="709"/>
        <w:spacing w:after="0"/>
        <w:tabs>
          <w:tab w:leader="none" w:pos="3360" w:val="left"/>
        </w:tabs>
        <w:numPr>
          <w:ilvl w:val="0"/>
          <w:numId w:val="60"/>
        </w:numPr>
        <w:rPr>
          <w:rFonts w:ascii="Arial" w:cs="Arial" w:eastAsia="Arial" w:hAnsi="Arial"/>
          <w:sz w:val="22"/>
          <w:szCs w:val="22"/>
          <w:color w:val="010000"/>
        </w:rPr>
      </w:pPr>
      <w:r>
        <w:rPr>
          <w:rFonts w:ascii="Arial" w:cs="Arial" w:eastAsia="Arial" w:hAnsi="Arial"/>
          <w:sz w:val="22"/>
          <w:szCs w:val="22"/>
          <w:u w:val="single" w:color="auto"/>
          <w:color w:val="auto"/>
        </w:rPr>
        <w:t>Board/Committee and Officer</w:t>
      </w:r>
    </w:p>
    <w:p>
      <w:pPr>
        <w:ind w:left="1360" w:right="1359"/>
        <w:spacing w:after="0" w:line="219" w:lineRule="auto"/>
        <w:rPr>
          <w:sz w:val="20"/>
          <w:szCs w:val="20"/>
          <w:color w:val="auto"/>
        </w:rPr>
      </w:pPr>
      <w:r>
        <w:rPr>
          <w:rFonts w:ascii="Arial" w:cs="Arial" w:eastAsia="Arial" w:hAnsi="Arial"/>
          <w:sz w:val="21"/>
          <w:szCs w:val="21"/>
          <w:u w:val="single" w:color="auto"/>
          <w:color w:val="auto"/>
        </w:rPr>
        <w:t>Resignations</w:t>
      </w:r>
      <w:r>
        <w:rPr>
          <w:rFonts w:ascii="Arial" w:cs="Arial" w:eastAsia="Arial" w:hAnsi="Arial"/>
          <w:sz w:val="21"/>
          <w:szCs w:val="21"/>
          <w:color w:val="auto"/>
        </w:rPr>
        <w:t>. Upon termination of Executive’s employment for any reason, Executive agrees to resign, as of the date of such termination and to the extent applicable, (i) from the board of directors (and any committees thereof) of the Company and any of its subsidiaries or affiliates on which Executive is a member and (ii) as an officer of the Company and any of its subsidiaries or affiliates. The Executive agrees to sign all necessary documentation and to take any and all other necessary measures to effectuate any such resignation requested by the Company.</w:t>
      </w:r>
    </w:p>
    <w:p>
      <w:pPr>
        <w:spacing w:after="0" w:line="154" w:lineRule="exact"/>
        <w:rPr>
          <w:sz w:val="20"/>
          <w:szCs w:val="20"/>
          <w:color w:val="auto"/>
        </w:rPr>
      </w:pPr>
    </w:p>
    <w:p>
      <w:pPr>
        <w:ind w:left="1360" w:right="1459" w:firstLine="1291"/>
        <w:spacing w:after="0" w:line="260" w:lineRule="auto"/>
        <w:tabs>
          <w:tab w:leader="none" w:pos="3332" w:val="left"/>
        </w:tabs>
        <w:numPr>
          <w:ilvl w:val="0"/>
          <w:numId w:val="61"/>
        </w:numPr>
        <w:rPr>
          <w:rFonts w:ascii="Arial" w:cs="Arial" w:eastAsia="Arial" w:hAnsi="Arial"/>
          <w:sz w:val="19"/>
          <w:szCs w:val="19"/>
          <w:color w:val="010000"/>
        </w:rPr>
      </w:pPr>
      <w:r>
        <w:rPr>
          <w:rFonts w:ascii="Arial" w:cs="Arial" w:eastAsia="Arial" w:hAnsi="Arial"/>
          <w:sz w:val="19"/>
          <w:szCs w:val="19"/>
          <w:b w:val="1"/>
          <w:bCs w:val="1"/>
          <w:u w:val="single" w:color="auto"/>
          <w:color w:val="auto"/>
        </w:rPr>
        <w:t>Covenants and Agreements</w:t>
      </w:r>
      <w:r>
        <w:rPr>
          <w:rFonts w:ascii="Arial" w:cs="Arial" w:eastAsia="Arial" w:hAnsi="Arial"/>
          <w:sz w:val="19"/>
          <w:szCs w:val="19"/>
          <w:color w:val="auto"/>
        </w:rPr>
        <w:t>. In addition to</w:t>
      </w:r>
      <w:r>
        <w:rPr>
          <w:rFonts w:ascii="Arial" w:cs="Arial" w:eastAsia="Arial" w:hAnsi="Arial"/>
          <w:sz w:val="19"/>
          <w:szCs w:val="19"/>
          <w:b w:val="1"/>
          <w:bCs w:val="1"/>
          <w:color w:val="auto"/>
        </w:rPr>
        <w:t xml:space="preserve"> </w:t>
      </w:r>
      <w:r>
        <w:rPr>
          <w:rFonts w:ascii="Arial" w:cs="Arial" w:eastAsia="Arial" w:hAnsi="Arial"/>
          <w:sz w:val="19"/>
          <w:szCs w:val="19"/>
          <w:color w:val="auto"/>
        </w:rPr>
        <w:t>any obligations the Executive may have with respect to any covenant to or written policy of Acushnet in effect on the date of the Executive’s termination of employment, the Executive agrees to the following:</w:t>
      </w:r>
    </w:p>
    <w:p>
      <w:pPr>
        <w:spacing w:after="0" w:line="140" w:lineRule="exact"/>
        <w:rPr>
          <w:sz w:val="20"/>
          <w:szCs w:val="20"/>
          <w:color w:val="auto"/>
        </w:rPr>
      </w:pPr>
    </w:p>
    <w:p>
      <w:pPr>
        <w:ind w:left="1360" w:right="1359" w:firstLine="1291"/>
        <w:spacing w:after="0" w:line="244" w:lineRule="auto"/>
        <w:tabs>
          <w:tab w:leader="none" w:pos="3342" w:val="left"/>
        </w:tabs>
        <w:numPr>
          <w:ilvl w:val="0"/>
          <w:numId w:val="62"/>
        </w:numPr>
        <w:rPr>
          <w:rFonts w:ascii="Arial" w:cs="Arial" w:eastAsia="Arial" w:hAnsi="Arial"/>
          <w:sz w:val="19"/>
          <w:szCs w:val="19"/>
          <w:color w:val="010000"/>
        </w:rPr>
      </w:pPr>
      <w:r>
        <w:rPr>
          <w:rFonts w:ascii="Arial" w:cs="Arial" w:eastAsia="Arial" w:hAnsi="Arial"/>
          <w:sz w:val="19"/>
          <w:szCs w:val="19"/>
          <w:u w:val="single" w:color="auto"/>
          <w:color w:val="auto"/>
        </w:rPr>
        <w:t>Confidential Information</w:t>
      </w:r>
      <w:r>
        <w:rPr>
          <w:rFonts w:ascii="Arial" w:cs="Arial" w:eastAsia="Arial" w:hAnsi="Arial"/>
          <w:sz w:val="19"/>
          <w:szCs w:val="19"/>
          <w:color w:val="auto"/>
        </w:rPr>
        <w:t>. The Executive acknowledges that, during the course of the Executive’s employment, the Executive has had and will have access to information about Acushnet and that the Executive’s employment with the Employer and service as the Company’s President and Chief Executive Officer has brought and shall bring the Executive into close contact with confidential and proprietary information of Acushnet. In recognition of the foregoing, the Executive agrees, at all times during the term of the Executive’s employment with the Employer and thereafter, to hold in the strictest confidence, and not to use,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864235</wp:posOffset>
            </wp:positionH>
            <wp:positionV relativeFrom="paragraph">
              <wp:posOffset>399415</wp:posOffset>
            </wp:positionV>
            <wp:extent cx="4004945" cy="2603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82">
                      <a:extLst>
                        <a:ext uri="{28A0092B-C50C-407E-A947-70E740481C1C}"/>
                      </a:extLst>
                    </a:blip>
                    <a:srcRect/>
                    <a:stretch>
                      <a:fillRect/>
                    </a:stretch>
                  </pic:blipFill>
                  <pic:spPr bwMode="auto">
                    <a:xfrm>
                      <a:off x="0" y="0"/>
                      <a:ext cx="4004945" cy="26035"/>
                    </a:xfrm>
                    <a:prstGeom prst="rect">
                      <a:avLst/>
                    </a:prstGeom>
                    <a:noFill/>
                  </pic:spPr>
                </pic:pic>
              </a:graphicData>
            </a:graphic>
          </wp:anchor>
        </w:drawing>
      </w:r>
    </w:p>
    <w:p>
      <w:pPr>
        <w:sectPr>
          <w:pgSz w:w="11900" w:h="16838" w:orient="portrait"/>
          <w:cols w:equalWidth="0" w:num="1">
            <w:col w:w="9019"/>
          </w:cols>
          <w:pgMar w:left="1440" w:top="496" w:right="1440" w:bottom="1440" w:gutter="0" w:footer="0" w:header="0"/>
        </w:sectPr>
      </w:pPr>
    </w:p>
    <w:bookmarkStart w:id="148" w:name="page149"/>
    <w:bookmarkEnd w:id="148"/>
    <w:p>
      <w:pPr>
        <w:ind w:left="1360" w:right="1440"/>
        <w:spacing w:after="0"/>
        <w:rPr>
          <w:sz w:val="20"/>
          <w:szCs w:val="20"/>
          <w:color w:val="auto"/>
        </w:rPr>
      </w:pPr>
      <w:r>
        <w:rPr>
          <w:rFonts w:ascii="Arial" w:cs="Arial" w:eastAsia="Arial" w:hAnsi="Arial"/>
          <w:sz w:val="19"/>
          <w:szCs w:val="19"/>
          <w:color w:val="auto"/>
        </w:rPr>
        <w:t>except for the benefit of Acushnet, or to disclose to any person, firm, corporation or other entity, without written authorization of the Company, any Confidential Information that the Executive obtains or creates. The Executive further agree not to make copies of such Confidential Information except as authorized by the Company. For purposes of this Agreement, “</w:t>
      </w:r>
      <w:r>
        <w:rPr>
          <w:rFonts w:ascii="Arial" w:cs="Arial" w:eastAsia="Arial" w:hAnsi="Arial"/>
          <w:sz w:val="19"/>
          <w:szCs w:val="19"/>
          <w:u w:val="single" w:color="auto"/>
          <w:color w:val="auto"/>
        </w:rPr>
        <w:t>Confidential Information</w:t>
      </w:r>
      <w:r>
        <w:rPr>
          <w:rFonts w:ascii="Arial" w:cs="Arial" w:eastAsia="Arial" w:hAnsi="Arial"/>
          <w:sz w:val="19"/>
          <w:szCs w:val="19"/>
          <w:color w:val="auto"/>
        </w:rPr>
        <w:t>” means confidential or proprietary information that Acushnet has or will develop, acquire, create, compile, discover, or own, that has value in or to the business of Acushnet and that is not publicly known. Confidential Information includes, but is not limited to, any and all non-public information that relates to the actual or anticipated business and/or products, research, or development of Acushnet, or to Acushnet’s technical data, trade secrets, or know-how, including, but not limited to, research, product plans, or other information regarding Acushnet’s products or services and markets, customer lists, forecasts, customers, business opportunities, software, developments, inventions, processes, formulas, technology, designs, drawings, engineering, hardware configuration information, marketing, finances, and other confidential business information. Confidential Information may be in any medium or form, including without limitation, physical documents, computer files or discs, videotapes, audiotapes or oral</w:t>
      </w:r>
    </w:p>
    <w:p>
      <w:pPr>
        <w:spacing w:after="0" w:line="186" w:lineRule="exact"/>
        <w:rPr>
          <w:sz w:val="20"/>
          <w:szCs w:val="20"/>
          <w:color w:val="auto"/>
        </w:rPr>
      </w:pPr>
    </w:p>
    <w:p>
      <w:pPr>
        <w:ind w:left="1360" w:right="1440"/>
        <w:spacing w:after="0" w:line="241" w:lineRule="auto"/>
        <w:rPr>
          <w:sz w:val="20"/>
          <w:szCs w:val="20"/>
          <w:color w:val="auto"/>
        </w:rPr>
      </w:pPr>
      <w:r>
        <w:rPr>
          <w:rFonts w:ascii="Arial" w:cs="Arial" w:eastAsia="Arial" w:hAnsi="Arial"/>
          <w:sz w:val="19"/>
          <w:szCs w:val="19"/>
          <w:color w:val="auto"/>
        </w:rPr>
        <w:t xml:space="preserve">communications. Notwithstanding the foregoing, the Executive may disclose Confidential Information to the extent such disclosure is required by law or regulation or by any court, regulatory authority or self-regulatory organization having jurisdiction over the Executive; </w:t>
      </w:r>
      <w:r>
        <w:rPr>
          <w:rFonts w:ascii="Arial" w:cs="Arial" w:eastAsia="Arial" w:hAnsi="Arial"/>
          <w:sz w:val="19"/>
          <w:szCs w:val="19"/>
          <w:i w:val="1"/>
          <w:iCs w:val="1"/>
          <w:color w:val="auto"/>
        </w:rPr>
        <w:t>provided</w:t>
      </w:r>
      <w:r>
        <w:rPr>
          <w:rFonts w:ascii="Arial" w:cs="Arial" w:eastAsia="Arial" w:hAnsi="Arial"/>
          <w:sz w:val="19"/>
          <w:szCs w:val="19"/>
          <w:color w:val="auto"/>
        </w:rPr>
        <w:t>, that prior to making any disclosure required by law,</w:t>
      </w:r>
      <w:r>
        <w:rPr>
          <w:rFonts w:ascii="Arial" w:cs="Arial" w:eastAsia="Arial" w:hAnsi="Arial"/>
          <w:sz w:val="19"/>
          <w:szCs w:val="19"/>
          <w:i w:val="1"/>
          <w:iCs w:val="1"/>
          <w:color w:val="auto"/>
        </w:rPr>
        <w:t xml:space="preserve"> </w:t>
      </w:r>
      <w:r>
        <w:rPr>
          <w:rFonts w:ascii="Arial" w:cs="Arial" w:eastAsia="Arial" w:hAnsi="Arial"/>
          <w:sz w:val="19"/>
          <w:szCs w:val="19"/>
          <w:color w:val="auto"/>
        </w:rPr>
        <w:t>regulation, court, regulatory authority or self-regulatory organization, the Executive will notify the Company of such disclosure. The term Confidential Information shall not include information which (i) is in the public domain other than as a result of a disclosure by the Executive or the Executive’s representatives or (ii) is lawfully disclosed to the Executive by a third-party without restriction on disclosure.</w:t>
      </w:r>
    </w:p>
    <w:p>
      <w:pPr>
        <w:spacing w:after="0" w:line="162" w:lineRule="exact"/>
        <w:rPr>
          <w:sz w:val="20"/>
          <w:szCs w:val="20"/>
          <w:color w:val="auto"/>
        </w:rPr>
      </w:pPr>
    </w:p>
    <w:p>
      <w:pPr>
        <w:ind w:left="1360" w:right="2460" w:firstLine="648"/>
        <w:spacing w:after="0" w:line="213" w:lineRule="auto"/>
        <w:rPr>
          <w:sz w:val="20"/>
          <w:szCs w:val="20"/>
          <w:color w:val="auto"/>
        </w:rPr>
      </w:pPr>
      <w:r>
        <w:rPr>
          <w:rFonts w:ascii="Arial" w:cs="Arial" w:eastAsia="Arial" w:hAnsi="Arial"/>
          <w:sz w:val="22"/>
          <w:szCs w:val="22"/>
          <w:color w:val="auto"/>
        </w:rPr>
        <w:t>Nothing in this Agreement or the Release Agreement shall prohibit or impede the</w:t>
      </w:r>
    </w:p>
    <w:p>
      <w:pPr>
        <w:spacing w:after="0" w:line="1" w:lineRule="exact"/>
        <w:rPr>
          <w:sz w:val="20"/>
          <w:szCs w:val="20"/>
          <w:color w:val="auto"/>
        </w:rPr>
      </w:pPr>
    </w:p>
    <w:p>
      <w:pPr>
        <w:ind w:left="1400" w:right="2980" w:hanging="53"/>
        <w:spacing w:after="0" w:line="205" w:lineRule="auto"/>
        <w:rPr>
          <w:sz w:val="20"/>
          <w:szCs w:val="20"/>
          <w:color w:val="auto"/>
        </w:rPr>
      </w:pPr>
      <w:r>
        <w:rPr>
          <w:rFonts w:ascii="Arial" w:cs="Arial" w:eastAsia="Arial" w:hAnsi="Arial"/>
          <w:sz w:val="22"/>
          <w:szCs w:val="22"/>
          <w:color w:val="auto"/>
        </w:rPr>
        <w:t>Executive from communicating, cooperating or filing a complaint with any U.S.</w:t>
      </w:r>
    </w:p>
    <w:p>
      <w:pPr>
        <w:ind w:left="1360" w:right="2260"/>
        <w:spacing w:after="0" w:line="205" w:lineRule="auto"/>
        <w:rPr>
          <w:sz w:val="20"/>
          <w:szCs w:val="20"/>
          <w:color w:val="auto"/>
        </w:rPr>
      </w:pPr>
      <w:r>
        <w:rPr>
          <w:rFonts w:ascii="Arial" w:cs="Arial" w:eastAsia="Arial" w:hAnsi="Arial"/>
          <w:sz w:val="22"/>
          <w:szCs w:val="22"/>
          <w:color w:val="auto"/>
        </w:rPr>
        <w:t>federal, state or local governmental or law enforcement branch, agency or</w:t>
      </w:r>
    </w:p>
    <w:p>
      <w:pPr>
        <w:ind w:left="1360"/>
        <w:spacing w:after="0" w:line="205" w:lineRule="auto"/>
        <w:rPr>
          <w:sz w:val="20"/>
          <w:szCs w:val="20"/>
          <w:color w:val="auto"/>
        </w:rPr>
      </w:pPr>
      <w:r>
        <w:rPr>
          <w:rFonts w:ascii="Arial" w:cs="Arial" w:eastAsia="Arial" w:hAnsi="Arial"/>
          <w:sz w:val="22"/>
          <w:szCs w:val="22"/>
          <w:color w:val="auto"/>
        </w:rPr>
        <w:t>entity (collectively, a “</w:t>
      </w:r>
      <w:r>
        <w:rPr>
          <w:rFonts w:ascii="Arial" w:cs="Arial" w:eastAsia="Arial" w:hAnsi="Arial"/>
          <w:sz w:val="22"/>
          <w:szCs w:val="22"/>
          <w:u w:val="single" w:color="auto"/>
          <w:color w:val="auto"/>
        </w:rPr>
        <w:t>Governmental Entity</w:t>
      </w:r>
      <w:r>
        <w:rPr>
          <w:rFonts w:ascii="Arial" w:cs="Arial" w:eastAsia="Arial" w:hAnsi="Arial"/>
          <w:sz w:val="22"/>
          <w:szCs w:val="22"/>
          <w:color w:val="auto"/>
        </w:rPr>
        <w:t>”) with respect to possible</w:t>
      </w:r>
    </w:p>
    <w:p>
      <w:pPr>
        <w:ind w:left="1360" w:right="180"/>
        <w:spacing w:after="0" w:line="205" w:lineRule="auto"/>
        <w:rPr>
          <w:sz w:val="20"/>
          <w:szCs w:val="20"/>
          <w:color w:val="auto"/>
        </w:rPr>
      </w:pPr>
      <w:r>
        <w:rPr>
          <w:rFonts w:ascii="Arial" w:cs="Arial" w:eastAsia="Arial" w:hAnsi="Arial"/>
          <w:sz w:val="22"/>
          <w:szCs w:val="22"/>
          <w:color w:val="auto"/>
        </w:rPr>
        <w:t>violations of any U.S. federal, state or local law or regulation, or otherwise making disclosures to any Governmental Entity, in each case, that are protected under the whistleblower provisions of any such law or regulation, provided that in each case such communications and disclosures are</w:t>
      </w:r>
    </w:p>
    <w:p>
      <w:pPr>
        <w:ind w:left="1400"/>
        <w:spacing w:after="0" w:line="205" w:lineRule="auto"/>
        <w:rPr>
          <w:sz w:val="20"/>
          <w:szCs w:val="20"/>
          <w:color w:val="auto"/>
        </w:rPr>
      </w:pPr>
      <w:r>
        <w:rPr>
          <w:rFonts w:ascii="Arial" w:cs="Arial" w:eastAsia="Arial" w:hAnsi="Arial"/>
          <w:sz w:val="22"/>
          <w:szCs w:val="22"/>
          <w:color w:val="auto"/>
        </w:rPr>
        <w:t>consistent with applicable law. The Executive understands and</w:t>
      </w:r>
    </w:p>
    <w:p>
      <w:pPr>
        <w:ind w:left="1360"/>
        <w:spacing w:after="0" w:line="237" w:lineRule="auto"/>
        <w:rPr>
          <w:sz w:val="20"/>
          <w:szCs w:val="20"/>
          <w:color w:val="auto"/>
        </w:rPr>
      </w:pPr>
      <w:r>
        <w:rPr>
          <w:rFonts w:ascii="Arial" w:cs="Arial" w:eastAsia="Arial" w:hAnsi="Arial"/>
          <w:sz w:val="19"/>
          <w:szCs w:val="19"/>
          <w:color w:val="auto"/>
        </w:rPr>
        <w:t>acknowledges that an individual shall not be held criminally or civilly liable under any</w:t>
      </w:r>
    </w:p>
    <w:p>
      <w:pPr>
        <w:ind w:left="1400"/>
        <w:spacing w:after="0" w:line="237" w:lineRule="auto"/>
        <w:rPr>
          <w:sz w:val="20"/>
          <w:szCs w:val="20"/>
          <w:color w:val="auto"/>
        </w:rPr>
      </w:pPr>
      <w:r>
        <w:rPr>
          <w:rFonts w:ascii="Arial" w:cs="Arial" w:eastAsia="Arial" w:hAnsi="Arial"/>
          <w:sz w:val="19"/>
          <w:szCs w:val="19"/>
          <w:color w:val="auto"/>
        </w:rPr>
        <w:t>federal or state trade secret law for the disclosure of a trade secret that is made (x) in</w:t>
      </w:r>
    </w:p>
    <w:p>
      <w:pPr>
        <w:ind w:left="1400"/>
        <w:spacing w:after="0" w:line="205" w:lineRule="auto"/>
        <w:rPr>
          <w:sz w:val="20"/>
          <w:szCs w:val="20"/>
          <w:color w:val="auto"/>
        </w:rPr>
      </w:pPr>
      <w:r>
        <w:rPr>
          <w:rFonts w:ascii="Arial" w:cs="Arial" w:eastAsia="Arial" w:hAnsi="Arial"/>
          <w:sz w:val="22"/>
          <w:szCs w:val="22"/>
          <w:color w:val="auto"/>
        </w:rPr>
        <w:t>confidence to a federal, state, or local</w:t>
      </w:r>
    </w:p>
    <w:p>
      <w:pPr>
        <w:ind w:left="1400"/>
        <w:spacing w:after="0" w:line="205" w:lineRule="auto"/>
        <w:rPr>
          <w:sz w:val="20"/>
          <w:szCs w:val="20"/>
          <w:color w:val="auto"/>
        </w:rPr>
      </w:pPr>
      <w:r>
        <w:rPr>
          <w:rFonts w:ascii="Arial" w:cs="Arial" w:eastAsia="Arial" w:hAnsi="Arial"/>
          <w:sz w:val="22"/>
          <w:szCs w:val="22"/>
          <w:color w:val="auto"/>
        </w:rPr>
        <w:t>government official or to an attorney solely for the</w:t>
      </w:r>
    </w:p>
    <w:p>
      <w:pPr>
        <w:spacing w:after="0" w:line="1" w:lineRule="exact"/>
        <w:rPr>
          <w:sz w:val="20"/>
          <w:szCs w:val="20"/>
          <w:color w:val="auto"/>
        </w:rPr>
      </w:pPr>
    </w:p>
    <w:p>
      <w:pPr>
        <w:ind w:left="1360"/>
        <w:spacing w:after="0" w:line="205" w:lineRule="auto"/>
        <w:rPr>
          <w:sz w:val="20"/>
          <w:szCs w:val="20"/>
          <w:color w:val="auto"/>
        </w:rPr>
      </w:pPr>
      <w:r>
        <w:rPr>
          <w:rFonts w:ascii="Arial" w:cs="Arial" w:eastAsia="Arial" w:hAnsi="Arial"/>
          <w:sz w:val="22"/>
          <w:szCs w:val="22"/>
          <w:color w:val="auto"/>
        </w:rPr>
        <w:t>purpose of reporting or investigating a suspected violation of law, or (y) in a complaint or other document filed in a lawsuit or other proceeding, if such</w:t>
      </w:r>
    </w:p>
    <w:p>
      <w:pPr>
        <w:ind w:left="1360" w:right="2320" w:firstLine="54"/>
        <w:spacing w:after="0" w:line="237" w:lineRule="auto"/>
        <w:rPr>
          <w:sz w:val="20"/>
          <w:szCs w:val="20"/>
          <w:color w:val="auto"/>
        </w:rPr>
      </w:pPr>
      <w:r>
        <w:rPr>
          <w:rFonts w:ascii="Arial" w:cs="Arial" w:eastAsia="Arial" w:hAnsi="Arial"/>
          <w:sz w:val="19"/>
          <w:szCs w:val="19"/>
          <w:color w:val="auto"/>
        </w:rPr>
        <w:t>filing is made under seal. The Executive understands and acknowledges further that an individual who files a lawsuit for</w:t>
      </w:r>
    </w:p>
    <w:p>
      <w:pPr>
        <w:spacing w:after="0" w:line="1" w:lineRule="exact"/>
        <w:rPr>
          <w:sz w:val="20"/>
          <w:szCs w:val="20"/>
          <w:color w:val="auto"/>
        </w:rPr>
      </w:pPr>
    </w:p>
    <w:p>
      <w:pPr>
        <w:jc w:val="both"/>
        <w:ind w:left="1360" w:right="220"/>
        <w:spacing w:after="0" w:line="214" w:lineRule="auto"/>
        <w:rPr>
          <w:sz w:val="20"/>
          <w:szCs w:val="20"/>
          <w:color w:val="auto"/>
        </w:rPr>
      </w:pPr>
      <w:r>
        <w:rPr>
          <w:rFonts w:ascii="Arial" w:cs="Arial" w:eastAsia="Arial" w:hAnsi="Arial"/>
          <w:sz w:val="21"/>
          <w:szCs w:val="21"/>
          <w:color w:val="auto"/>
        </w:rPr>
        <w:t>retaliation by an employer for reporting a suspected violation of law may disclose the trade secret to the attorney of the individual and use the trade secret information in the court proceeding, if the individual files any document containing the trade secret under seal and does not disclose the trade secret, except pursuant to court order. For purposes of this Agreement and the Release</w:t>
      </w:r>
    </w:p>
    <w:p>
      <w:pPr>
        <w:ind w:left="1360"/>
        <w:spacing w:after="0" w:line="208" w:lineRule="auto"/>
        <w:rPr>
          <w:sz w:val="20"/>
          <w:szCs w:val="20"/>
          <w:color w:val="auto"/>
        </w:rPr>
      </w:pPr>
      <w:r>
        <w:rPr>
          <w:rFonts w:ascii="Arial" w:cs="Arial" w:eastAsia="Arial" w:hAnsi="Arial"/>
          <w:sz w:val="22"/>
          <w:szCs w:val="22"/>
          <w:color w:val="auto"/>
        </w:rPr>
        <w:t>Agreement, each of the foregoing communications or</w:t>
      </w:r>
    </w:p>
    <w:p>
      <w:pPr>
        <w:spacing w:after="0" w:line="1" w:lineRule="exact"/>
        <w:rPr>
          <w:sz w:val="20"/>
          <w:szCs w:val="20"/>
          <w:color w:val="auto"/>
        </w:rPr>
      </w:pPr>
    </w:p>
    <w:p>
      <w:pPr>
        <w:ind w:left="1400" w:right="1580" w:hanging="53"/>
        <w:spacing w:after="0" w:line="205" w:lineRule="auto"/>
        <w:rPr>
          <w:sz w:val="20"/>
          <w:szCs w:val="20"/>
          <w:color w:val="auto"/>
        </w:rPr>
      </w:pPr>
      <w:r>
        <w:rPr>
          <w:rFonts w:ascii="Arial" w:cs="Arial" w:eastAsia="Arial" w:hAnsi="Arial"/>
          <w:sz w:val="22"/>
          <w:szCs w:val="22"/>
          <w:color w:val="auto"/>
        </w:rPr>
        <w:t>disclosures is a “</w:t>
      </w:r>
      <w:r>
        <w:rPr>
          <w:rFonts w:ascii="Arial" w:cs="Arial" w:eastAsia="Arial" w:hAnsi="Arial"/>
          <w:sz w:val="22"/>
          <w:szCs w:val="22"/>
          <w:u w:val="single" w:color="auto"/>
          <w:color w:val="auto"/>
        </w:rPr>
        <w:t>Protected Disclosure</w:t>
      </w:r>
      <w:r>
        <w:rPr>
          <w:rFonts w:ascii="Arial" w:cs="Arial" w:eastAsia="Arial" w:hAnsi="Arial"/>
          <w:sz w:val="22"/>
          <w:szCs w:val="22"/>
          <w:color w:val="auto"/>
        </w:rPr>
        <w:t>.” The Executive does not need to give prior notice to (or get</w:t>
      </w:r>
    </w:p>
    <w:p>
      <w:pPr>
        <w:ind w:left="1360" w:right="680" w:firstLine="54"/>
        <w:spacing w:after="0" w:line="205" w:lineRule="auto"/>
        <w:rPr>
          <w:sz w:val="20"/>
          <w:szCs w:val="20"/>
          <w:color w:val="auto"/>
        </w:rPr>
      </w:pPr>
      <w:r>
        <w:rPr>
          <w:rFonts w:ascii="Arial" w:cs="Arial" w:eastAsia="Arial" w:hAnsi="Arial"/>
          <w:sz w:val="22"/>
          <w:szCs w:val="22"/>
          <w:color w:val="auto"/>
        </w:rPr>
        <w:t>authorization from) the Company regarding any Protected Disclosure. Except as otherwise provided in this paragraph or under applicable law, notwithstanding the foregoing, under no circumstance will the Executive be authorized to disclose any information</w:t>
      </w:r>
    </w:p>
    <w:p>
      <w:pPr>
        <w:ind w:left="1360" w:right="2220"/>
        <w:spacing w:after="0" w:line="224" w:lineRule="auto"/>
        <w:rPr>
          <w:sz w:val="20"/>
          <w:szCs w:val="20"/>
          <w:color w:val="auto"/>
        </w:rPr>
      </w:pPr>
      <w:r>
        <w:rPr>
          <w:rFonts w:ascii="Arial" w:cs="Arial" w:eastAsia="Arial" w:hAnsi="Arial"/>
          <w:sz w:val="22"/>
          <w:szCs w:val="22"/>
          <w:color w:val="auto"/>
        </w:rPr>
        <w:t>covered by attorney-client privilege or attorney work product of Acushnet, 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864235</wp:posOffset>
            </wp:positionH>
            <wp:positionV relativeFrom="paragraph">
              <wp:posOffset>122555</wp:posOffset>
            </wp:positionV>
            <wp:extent cx="4004945" cy="26035"/>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83">
                      <a:extLst>
                        <a:ext uri="{28A0092B-C50C-407E-A947-70E740481C1C}"/>
                      </a:extLst>
                    </a:blip>
                    <a:srcRect/>
                    <a:stretch>
                      <a:fillRect/>
                    </a:stretch>
                  </pic:blipFill>
                  <pic:spPr bwMode="auto">
                    <a:xfrm>
                      <a:off x="0" y="0"/>
                      <a:ext cx="4004945" cy="26035"/>
                    </a:xfrm>
                    <a:prstGeom prst="rect">
                      <a:avLst/>
                    </a:prstGeom>
                    <a:noFill/>
                  </pic:spPr>
                </pic:pic>
              </a:graphicData>
            </a:graphic>
          </wp:anchor>
        </w:drawing>
      </w:r>
    </w:p>
    <w:p>
      <w:pPr>
        <w:sectPr>
          <w:pgSz w:w="11900" w:h="16838" w:orient="portrait"/>
          <w:cols w:equalWidth="0" w:num="1">
            <w:col w:w="9100"/>
          </w:cols>
          <w:pgMar w:left="1440" w:top="321" w:right="1359" w:bottom="1440" w:gutter="0" w:footer="0" w:header="0"/>
        </w:sectPr>
      </w:pPr>
    </w:p>
    <w:bookmarkStart w:id="149" w:name="page150"/>
    <w:bookmarkEnd w:id="149"/>
    <w:p>
      <w:pPr>
        <w:ind w:left="1360"/>
        <w:spacing w:after="0"/>
        <w:rPr>
          <w:sz w:val="20"/>
          <w:szCs w:val="20"/>
          <w:color w:val="auto"/>
        </w:rPr>
      </w:pPr>
      <w:r>
        <w:rPr>
          <w:rFonts w:ascii="Arial" w:cs="Arial" w:eastAsia="Arial" w:hAnsi="Arial"/>
          <w:sz w:val="22"/>
          <w:szCs w:val="22"/>
          <w:color w:val="auto"/>
        </w:rPr>
        <w:t>Acushnet’s trade secrets, without prior written consent of the</w:t>
      </w:r>
    </w:p>
    <w:p>
      <w:pPr>
        <w:ind w:left="1360"/>
        <w:spacing w:after="0"/>
        <w:rPr>
          <w:sz w:val="20"/>
          <w:szCs w:val="20"/>
          <w:color w:val="auto"/>
        </w:rPr>
      </w:pPr>
      <w:r>
        <w:rPr>
          <w:rFonts w:ascii="Arial" w:cs="Arial" w:eastAsia="Arial" w:hAnsi="Arial"/>
          <w:sz w:val="19"/>
          <w:szCs w:val="19"/>
          <w:color w:val="auto"/>
        </w:rPr>
        <w:t>Company’s Chief Legal Officer or other officer designated by the Company.</w:t>
      </w:r>
    </w:p>
    <w:p>
      <w:pPr>
        <w:spacing w:after="0" w:line="177" w:lineRule="exact"/>
        <w:rPr>
          <w:sz w:val="20"/>
          <w:szCs w:val="20"/>
          <w:color w:val="auto"/>
        </w:rPr>
      </w:pPr>
    </w:p>
    <w:p>
      <w:pPr>
        <w:ind w:left="3340" w:hanging="689"/>
        <w:spacing w:after="0"/>
        <w:tabs>
          <w:tab w:leader="none" w:pos="3340" w:val="left"/>
        </w:tabs>
        <w:numPr>
          <w:ilvl w:val="0"/>
          <w:numId w:val="63"/>
        </w:numPr>
        <w:rPr>
          <w:rFonts w:ascii="Arial" w:cs="Arial" w:eastAsia="Arial" w:hAnsi="Arial"/>
          <w:sz w:val="22"/>
          <w:szCs w:val="22"/>
          <w:color w:val="010000"/>
        </w:rPr>
      </w:pPr>
      <w:r>
        <w:rPr>
          <w:rFonts w:ascii="Arial" w:cs="Arial" w:eastAsia="Arial" w:hAnsi="Arial"/>
          <w:sz w:val="22"/>
          <w:szCs w:val="22"/>
          <w:u w:val="single" w:color="auto"/>
          <w:color w:val="auto"/>
        </w:rPr>
        <w:t>Noncompetition, Nonsolicitation and</w:t>
      </w:r>
    </w:p>
    <w:p>
      <w:pPr>
        <w:ind w:left="1360"/>
        <w:spacing w:after="0"/>
        <w:rPr>
          <w:rFonts w:ascii="Arial" w:cs="Arial" w:eastAsia="Arial" w:hAnsi="Arial"/>
          <w:sz w:val="22"/>
          <w:szCs w:val="22"/>
          <w:color w:val="010000"/>
        </w:rPr>
      </w:pPr>
      <w:r>
        <w:rPr>
          <w:rFonts w:ascii="Arial" w:cs="Arial" w:eastAsia="Arial" w:hAnsi="Arial"/>
          <w:sz w:val="22"/>
          <w:szCs w:val="22"/>
          <w:u w:val="single" w:color="auto"/>
          <w:color w:val="auto"/>
        </w:rPr>
        <w:t>Nondisparagement</w:t>
      </w:r>
      <w:r>
        <w:rPr>
          <w:rFonts w:ascii="Arial" w:cs="Arial" w:eastAsia="Arial" w:hAnsi="Arial"/>
          <w:sz w:val="22"/>
          <w:szCs w:val="22"/>
          <w:color w:val="auto"/>
        </w:rPr>
        <w:t>.</w:t>
      </w:r>
    </w:p>
    <w:p>
      <w:pPr>
        <w:spacing w:after="0" w:line="142" w:lineRule="exact"/>
        <w:rPr>
          <w:rFonts w:ascii="Arial" w:cs="Arial" w:eastAsia="Arial" w:hAnsi="Arial"/>
          <w:sz w:val="22"/>
          <w:szCs w:val="22"/>
          <w:color w:val="010000"/>
        </w:rPr>
      </w:pPr>
    </w:p>
    <w:p>
      <w:pPr>
        <w:ind w:left="4020" w:hanging="721"/>
        <w:spacing w:after="0"/>
        <w:tabs>
          <w:tab w:leader="none" w:pos="4020" w:val="left"/>
        </w:tabs>
        <w:numPr>
          <w:ilvl w:val="1"/>
          <w:numId w:val="63"/>
        </w:numPr>
        <w:rPr>
          <w:rFonts w:ascii="Arial" w:cs="Arial" w:eastAsia="Arial" w:hAnsi="Arial"/>
          <w:sz w:val="22"/>
          <w:szCs w:val="22"/>
          <w:color w:val="010000"/>
        </w:rPr>
      </w:pPr>
      <w:r>
        <w:rPr>
          <w:rFonts w:ascii="Arial" w:cs="Arial" w:eastAsia="Arial" w:hAnsi="Arial"/>
          <w:sz w:val="22"/>
          <w:szCs w:val="22"/>
          <w:u w:val="single" w:color="auto"/>
          <w:color w:val="auto"/>
        </w:rPr>
        <w:t>Noncompetition</w:t>
      </w:r>
      <w:r>
        <w:rPr>
          <w:rFonts w:ascii="Arial" w:cs="Arial" w:eastAsia="Arial" w:hAnsi="Arial"/>
          <w:sz w:val="22"/>
          <w:szCs w:val="22"/>
          <w:color w:val="auto"/>
        </w:rPr>
        <w:t>. The Executive</w:t>
      </w:r>
    </w:p>
    <w:p>
      <w:pPr>
        <w:ind w:left="2000" w:right="1359"/>
        <w:spacing w:after="0"/>
        <w:rPr>
          <w:rFonts w:ascii="Arial" w:cs="Arial" w:eastAsia="Arial" w:hAnsi="Arial"/>
          <w:sz w:val="22"/>
          <w:szCs w:val="22"/>
          <w:color w:val="010000"/>
        </w:rPr>
      </w:pPr>
      <w:r>
        <w:rPr>
          <w:rFonts w:ascii="Arial" w:cs="Arial" w:eastAsia="Arial" w:hAnsi="Arial"/>
          <w:sz w:val="19"/>
          <w:szCs w:val="19"/>
          <w:color w:val="auto"/>
        </w:rPr>
        <w:t>acknowledges that in the course of his employment he will become familiar, and during his employment with the Employer prior to the date of this Agreement he has become familiar, with Confidential Information that would unfairly and inappropriately assist in competition against Acushnet, that his services are of special, unique and extraordinary value to Acushnet and that the Executive’s performance of such services to a competing business will result in irreparable harm to Acushnet. Therefore, the Executive agrees that, during his employment by the Employer and for twenty-four (24) months following the Executive’s termination of employment for any reason (the “</w:t>
      </w:r>
      <w:r>
        <w:rPr>
          <w:rFonts w:ascii="Arial" w:cs="Arial" w:eastAsia="Arial" w:hAnsi="Arial"/>
          <w:sz w:val="19"/>
          <w:szCs w:val="19"/>
          <w:u w:val="single" w:color="auto"/>
          <w:color w:val="auto"/>
        </w:rPr>
        <w:t>Noncompete Period</w:t>
      </w:r>
      <w:r>
        <w:rPr>
          <w:rFonts w:ascii="Arial" w:cs="Arial" w:eastAsia="Arial" w:hAnsi="Arial"/>
          <w:sz w:val="19"/>
          <w:szCs w:val="19"/>
          <w:color w:val="auto"/>
        </w:rPr>
        <w:t>”), he shall not directly or indirectly own, manage, control, participate in, consult with, assist, render services for, or in any manner engage in any business competing with, or otherwise substantially similar to, any of the existing or future businesses of Acushnet as such businesses exist or are actively in process on the date of the Executive’s termination of employment (or which existed during the two year period prior to the date of termination) in any country in which Acushnet conducts business. For purposes of this Section 6(b)(i), “actively in process” means an activity that Acushnet has been planning to engage in prior to the Executive’s termination of employment. The restrictions described in this Section 6(b)(i) shall not apply to the Executive’s purchase of stock not to exceed 5% of the outstanding shares of capital stock or any corporation whose securities are listed on any national securities exchange.</w:t>
      </w:r>
    </w:p>
    <w:p>
      <w:pPr>
        <w:spacing w:after="0" w:line="335" w:lineRule="exact"/>
        <w:rPr>
          <w:rFonts w:ascii="Arial" w:cs="Arial" w:eastAsia="Arial" w:hAnsi="Arial"/>
          <w:sz w:val="22"/>
          <w:szCs w:val="22"/>
          <w:color w:val="010000"/>
        </w:rPr>
      </w:pPr>
    </w:p>
    <w:p>
      <w:pPr>
        <w:ind w:left="4040" w:hanging="741"/>
        <w:spacing w:after="0"/>
        <w:tabs>
          <w:tab w:leader="none" w:pos="4040" w:val="left"/>
        </w:tabs>
        <w:numPr>
          <w:ilvl w:val="1"/>
          <w:numId w:val="63"/>
        </w:numPr>
        <w:rPr>
          <w:rFonts w:ascii="Arial" w:cs="Arial" w:eastAsia="Arial" w:hAnsi="Arial"/>
          <w:sz w:val="22"/>
          <w:szCs w:val="22"/>
          <w:color w:val="010000"/>
        </w:rPr>
      </w:pPr>
      <w:r>
        <w:rPr>
          <w:rFonts w:ascii="Arial" w:cs="Arial" w:eastAsia="Arial" w:hAnsi="Arial"/>
          <w:sz w:val="22"/>
          <w:szCs w:val="22"/>
          <w:u w:val="single" w:color="auto"/>
          <w:color w:val="auto"/>
        </w:rPr>
        <w:t>Nonsolicitation</w:t>
      </w:r>
      <w:r>
        <w:rPr>
          <w:rFonts w:ascii="Arial" w:cs="Arial" w:eastAsia="Arial" w:hAnsi="Arial"/>
          <w:sz w:val="22"/>
          <w:szCs w:val="22"/>
          <w:color w:val="auto"/>
        </w:rPr>
        <w:t>. During the Noncompete</w:t>
      </w:r>
    </w:p>
    <w:p>
      <w:pPr>
        <w:ind w:left="2000" w:right="1419"/>
        <w:spacing w:after="0" w:line="217" w:lineRule="auto"/>
        <w:rPr>
          <w:rFonts w:ascii="Arial" w:cs="Arial" w:eastAsia="Arial" w:hAnsi="Arial"/>
          <w:sz w:val="22"/>
          <w:szCs w:val="22"/>
          <w:color w:val="010000"/>
        </w:rPr>
      </w:pPr>
      <w:r>
        <w:rPr>
          <w:rFonts w:ascii="Arial" w:cs="Arial" w:eastAsia="Arial" w:hAnsi="Arial"/>
          <w:sz w:val="21"/>
          <w:szCs w:val="21"/>
          <w:color w:val="auto"/>
        </w:rPr>
        <w:t>Period, the Executive shall not directly or indirectly through another entity (x) induce or attempt to induce any employee of Acushnet to leave the employ of Acushnet, or in any way interfere with the relationship between Acushnet and any employee thereof, (y) offer employment to, hire or retain any person who was an employee of Acushnet at any time during the six-month period prior to the Executive’s termination of employment, or (z) induce or attempt to induce any customer, supplier, licensee or other business relation of Acushnet to cease doing business with Acushnet, or take or attempt to take any action that adversely impacts the relationship between Acushnet and any customer, supplier, licensee or business relation of Acushnet.</w:t>
      </w:r>
    </w:p>
    <w:p>
      <w:pPr>
        <w:spacing w:after="0" w:line="149" w:lineRule="exact"/>
        <w:rPr>
          <w:rFonts w:ascii="Arial" w:cs="Arial" w:eastAsia="Arial" w:hAnsi="Arial"/>
          <w:sz w:val="22"/>
          <w:szCs w:val="22"/>
          <w:color w:val="010000"/>
        </w:rPr>
      </w:pPr>
    </w:p>
    <w:p>
      <w:pPr>
        <w:ind w:left="4060" w:hanging="761"/>
        <w:spacing w:after="0"/>
        <w:tabs>
          <w:tab w:leader="none" w:pos="4060" w:val="left"/>
        </w:tabs>
        <w:numPr>
          <w:ilvl w:val="1"/>
          <w:numId w:val="63"/>
        </w:numPr>
        <w:rPr>
          <w:rFonts w:ascii="Arial" w:cs="Arial" w:eastAsia="Arial" w:hAnsi="Arial"/>
          <w:sz w:val="22"/>
          <w:szCs w:val="22"/>
          <w:color w:val="010000"/>
        </w:rPr>
      </w:pPr>
      <w:r>
        <w:rPr>
          <w:rFonts w:ascii="Arial" w:cs="Arial" w:eastAsia="Arial" w:hAnsi="Arial"/>
          <w:sz w:val="22"/>
          <w:szCs w:val="22"/>
          <w:u w:val="single" w:color="auto"/>
          <w:color w:val="auto"/>
        </w:rPr>
        <w:t>Nondisparagement</w:t>
      </w:r>
      <w:r>
        <w:rPr>
          <w:rFonts w:ascii="Arial" w:cs="Arial" w:eastAsia="Arial" w:hAnsi="Arial"/>
          <w:sz w:val="22"/>
          <w:szCs w:val="22"/>
          <w:color w:val="auto"/>
        </w:rPr>
        <w:t>. During any period</w:t>
      </w:r>
    </w:p>
    <w:p>
      <w:pPr>
        <w:ind w:left="2000" w:right="1379"/>
        <w:spacing w:after="0"/>
        <w:rPr>
          <w:rFonts w:ascii="Arial" w:cs="Arial" w:eastAsia="Arial" w:hAnsi="Arial"/>
          <w:sz w:val="22"/>
          <w:szCs w:val="22"/>
          <w:color w:val="010000"/>
        </w:rPr>
      </w:pPr>
      <w:r>
        <w:rPr>
          <w:rFonts w:ascii="Arial" w:cs="Arial" w:eastAsia="Arial" w:hAnsi="Arial"/>
          <w:sz w:val="19"/>
          <w:szCs w:val="19"/>
          <w:color w:val="auto"/>
        </w:rPr>
        <w:t>of employment and the Noncompete Period, the Executive agrees not to make disparaging or defamatory comments in any respect regarding Acushnet, its products or services, or otherwise disparage Acushnet or its officers, directors, or employees, other than in the good faith performance of the Executive’s duties to Acushnet during the Executive’s employment with the Employer. Following termination of Executive’s employment, the Board shall instruct the Company’s officers not to make disparaging or defamatory comments regarding any aspect of Executive’s relationship with Acushnet or the events that precipitated Executive’s termination of employment. The foregoing shall not be violated by truthful statements in response to legal process, required governmental testimony 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864235</wp:posOffset>
            </wp:positionH>
            <wp:positionV relativeFrom="paragraph">
              <wp:posOffset>265430</wp:posOffset>
            </wp:positionV>
            <wp:extent cx="4004945" cy="26035"/>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84">
                      <a:extLst>
                        <a:ext uri="{28A0092B-C50C-407E-A947-70E740481C1C}"/>
                      </a:extLst>
                    </a:blip>
                    <a:srcRect/>
                    <a:stretch>
                      <a:fillRect/>
                    </a:stretch>
                  </pic:blipFill>
                  <pic:spPr bwMode="auto">
                    <a:xfrm>
                      <a:off x="0" y="0"/>
                      <a:ext cx="4004945" cy="26035"/>
                    </a:xfrm>
                    <a:prstGeom prst="rect">
                      <a:avLst/>
                    </a:prstGeom>
                    <a:noFill/>
                  </pic:spPr>
                </pic:pic>
              </a:graphicData>
            </a:graphic>
          </wp:anchor>
        </w:drawing>
      </w:r>
    </w:p>
    <w:p>
      <w:pPr>
        <w:sectPr>
          <w:pgSz w:w="11900" w:h="16838" w:orient="portrait"/>
          <w:cols w:equalWidth="0" w:num="1">
            <w:col w:w="9019"/>
          </w:cols>
          <w:pgMar w:left="1440" w:top="302" w:right="1440" w:bottom="1440" w:gutter="0" w:footer="0" w:header="0"/>
        </w:sectPr>
      </w:pPr>
    </w:p>
    <w:bookmarkStart w:id="150" w:name="page151"/>
    <w:bookmarkEnd w:id="150"/>
    <w:p>
      <w:pPr>
        <w:ind w:left="2000" w:right="1879"/>
        <w:spacing w:after="0" w:line="223" w:lineRule="auto"/>
        <w:rPr>
          <w:sz w:val="20"/>
          <w:szCs w:val="20"/>
          <w:color w:val="auto"/>
        </w:rPr>
      </w:pPr>
      <w:r>
        <w:rPr>
          <w:rFonts w:ascii="Arial" w:cs="Arial" w:eastAsia="Arial" w:hAnsi="Arial"/>
          <w:sz w:val="22"/>
          <w:szCs w:val="22"/>
          <w:color w:val="auto"/>
        </w:rPr>
        <w:t>filings, or administrative or arbitral proceedings (including, without limitation, depositions in connection with such proceedings).</w:t>
      </w:r>
    </w:p>
    <w:p>
      <w:pPr>
        <w:spacing w:after="0" w:line="140" w:lineRule="exact"/>
        <w:rPr>
          <w:sz w:val="20"/>
          <w:szCs w:val="20"/>
          <w:color w:val="auto"/>
        </w:rPr>
      </w:pPr>
    </w:p>
    <w:p>
      <w:pPr>
        <w:ind w:left="3340" w:hanging="689"/>
        <w:spacing w:after="0"/>
        <w:tabs>
          <w:tab w:leader="none" w:pos="3340" w:val="left"/>
        </w:tabs>
        <w:numPr>
          <w:ilvl w:val="0"/>
          <w:numId w:val="64"/>
        </w:numPr>
        <w:rPr>
          <w:rFonts w:ascii="Arial" w:cs="Arial" w:eastAsia="Arial" w:hAnsi="Arial"/>
          <w:sz w:val="22"/>
          <w:szCs w:val="22"/>
          <w:color w:val="010000"/>
        </w:rPr>
      </w:pPr>
      <w:r>
        <w:rPr>
          <w:rFonts w:ascii="Arial" w:cs="Arial" w:eastAsia="Arial" w:hAnsi="Arial"/>
          <w:sz w:val="22"/>
          <w:szCs w:val="22"/>
          <w:u w:val="single" w:color="auto"/>
          <w:color w:val="auto"/>
        </w:rPr>
        <w:t>Return of Acushnet Property</w:t>
      </w:r>
      <w:r>
        <w:rPr>
          <w:rFonts w:ascii="Arial" w:cs="Arial" w:eastAsia="Arial" w:hAnsi="Arial"/>
          <w:sz w:val="22"/>
          <w:szCs w:val="22"/>
          <w:color w:val="auto"/>
        </w:rPr>
        <w:t>. At the time of</w:t>
      </w:r>
    </w:p>
    <w:p>
      <w:pPr>
        <w:ind w:left="1360" w:right="1579"/>
        <w:spacing w:after="0" w:line="245" w:lineRule="auto"/>
        <w:rPr>
          <w:rFonts w:ascii="Arial" w:cs="Arial" w:eastAsia="Arial" w:hAnsi="Arial"/>
          <w:sz w:val="22"/>
          <w:szCs w:val="22"/>
          <w:color w:val="010000"/>
        </w:rPr>
      </w:pPr>
      <w:r>
        <w:rPr>
          <w:rFonts w:ascii="Arial" w:cs="Arial" w:eastAsia="Arial" w:hAnsi="Arial"/>
          <w:sz w:val="19"/>
          <w:szCs w:val="19"/>
          <w:color w:val="auto"/>
        </w:rPr>
        <w:t>termination of the Executive’s employment for any reason, the Executive will deliver to the Company (and will not keep in the Executive’s possession, recreate, or deliver to anyone else) any and all Confidential Information and all other documents, materials, information, and property developed by the Executive pursuant to the Executive’s employment or otherwise belonging to Acushnet.</w:t>
      </w:r>
    </w:p>
    <w:p>
      <w:pPr>
        <w:spacing w:after="0" w:line="156" w:lineRule="exact"/>
        <w:rPr>
          <w:rFonts w:ascii="Arial" w:cs="Arial" w:eastAsia="Arial" w:hAnsi="Arial"/>
          <w:sz w:val="22"/>
          <w:szCs w:val="22"/>
          <w:color w:val="010000"/>
        </w:rPr>
      </w:pPr>
    </w:p>
    <w:p>
      <w:pPr>
        <w:ind w:left="1360" w:right="1379" w:firstLine="1291"/>
        <w:spacing w:after="0"/>
        <w:tabs>
          <w:tab w:leader="none" w:pos="3354" w:val="left"/>
        </w:tabs>
        <w:numPr>
          <w:ilvl w:val="0"/>
          <w:numId w:val="64"/>
        </w:numPr>
        <w:rPr>
          <w:rFonts w:ascii="Arial" w:cs="Arial" w:eastAsia="Arial" w:hAnsi="Arial"/>
          <w:sz w:val="19"/>
          <w:szCs w:val="19"/>
          <w:color w:val="010000"/>
        </w:rPr>
      </w:pPr>
      <w:r>
        <w:rPr>
          <w:rFonts w:ascii="Arial" w:cs="Arial" w:eastAsia="Arial" w:hAnsi="Arial"/>
          <w:sz w:val="19"/>
          <w:szCs w:val="19"/>
          <w:u w:val="single" w:color="auto"/>
          <w:color w:val="auto"/>
        </w:rPr>
        <w:t>Cooperation</w:t>
      </w:r>
      <w:r>
        <w:rPr>
          <w:rFonts w:ascii="Arial" w:cs="Arial" w:eastAsia="Arial" w:hAnsi="Arial"/>
          <w:sz w:val="19"/>
          <w:szCs w:val="19"/>
          <w:color w:val="auto"/>
        </w:rPr>
        <w:t>. The Executive agrees that, following any termination of the Executive’s employment, the Executive will continue to provide reasonable cooperation to Acushnet and its counsel in connection with any investigation, administrative proceeding, or litigation relating to any matter that occurred during the Executive’s employment in which the Executive was involved or of which the Executive has knowledge. As a condition of such cooperation, the Employer shall reimburse the Executive for reasonable out-of-pocket expenses incurred at the request of Acushnet with respect to the Executive’s compliance with this paragraph. The Executive also agrees that, in the event the Executive is subpoenaed by any person or entity (including, but not limited to, any government agency) to give testimony or provide documents (in a deposition, court proceeding, or otherwise), that in any way relates to the Executive’s service with Acushnet, the Executive will give prompt notice of such request to the Company and will make no disclosure until the Company or its affiliate has had a reasonable opportunity to contest the right of the requesting person or entity to such disclosure.</w:t>
      </w:r>
    </w:p>
    <w:p>
      <w:pPr>
        <w:spacing w:after="0" w:line="391" w:lineRule="exact"/>
        <w:rPr>
          <w:rFonts w:ascii="Arial" w:cs="Arial" w:eastAsia="Arial" w:hAnsi="Arial"/>
          <w:sz w:val="19"/>
          <w:szCs w:val="19"/>
          <w:color w:val="010000"/>
        </w:rPr>
      </w:pPr>
    </w:p>
    <w:p>
      <w:pPr>
        <w:ind w:left="3340" w:hanging="689"/>
        <w:spacing w:after="0"/>
        <w:tabs>
          <w:tab w:leader="none" w:pos="3340" w:val="left"/>
        </w:tabs>
        <w:numPr>
          <w:ilvl w:val="0"/>
          <w:numId w:val="64"/>
        </w:numPr>
        <w:rPr>
          <w:rFonts w:ascii="Arial" w:cs="Arial" w:eastAsia="Arial" w:hAnsi="Arial"/>
          <w:sz w:val="19"/>
          <w:szCs w:val="19"/>
          <w:color w:val="010000"/>
        </w:rPr>
      </w:pPr>
      <w:r>
        <w:rPr>
          <w:rFonts w:ascii="Arial" w:cs="Arial" w:eastAsia="Arial" w:hAnsi="Arial"/>
          <w:sz w:val="19"/>
          <w:szCs w:val="19"/>
          <w:u w:val="single" w:color="auto"/>
          <w:color w:val="auto"/>
        </w:rPr>
        <w:t>Reasonableness of Restrictions</w:t>
      </w:r>
      <w:r>
        <w:rPr>
          <w:rFonts w:ascii="Arial" w:cs="Arial" w:eastAsia="Arial" w:hAnsi="Arial"/>
          <w:sz w:val="19"/>
          <w:szCs w:val="19"/>
          <w:color w:val="auto"/>
        </w:rPr>
        <w:t>. The Executive</w:t>
      </w:r>
    </w:p>
    <w:p>
      <w:pPr>
        <w:spacing w:after="0" w:line="15" w:lineRule="exact"/>
        <w:rPr>
          <w:rFonts w:ascii="Arial" w:cs="Arial" w:eastAsia="Arial" w:hAnsi="Arial"/>
          <w:sz w:val="19"/>
          <w:szCs w:val="19"/>
          <w:color w:val="010000"/>
        </w:rPr>
      </w:pPr>
    </w:p>
    <w:p>
      <w:pPr>
        <w:ind w:left="1360" w:right="1439"/>
        <w:spacing w:after="0"/>
        <w:rPr>
          <w:rFonts w:ascii="Arial" w:cs="Arial" w:eastAsia="Arial" w:hAnsi="Arial"/>
          <w:sz w:val="19"/>
          <w:szCs w:val="19"/>
          <w:color w:val="010000"/>
        </w:rPr>
      </w:pPr>
      <w:r>
        <w:rPr>
          <w:rFonts w:ascii="Arial" w:cs="Arial" w:eastAsia="Arial" w:hAnsi="Arial"/>
          <w:sz w:val="19"/>
          <w:szCs w:val="19"/>
          <w:color w:val="auto"/>
        </w:rPr>
        <w:t>acknowledges and recognizes the highly competitive nature of Acushnet’s business, that access to Confidential Information renders the Executive special and unique within Acushnet’s industry, and that the Executive has developed and will have the opportunity to develop substantial relationships with existing and prospective clients, accounts, customers, employees, consultants, contractors, investors, and strategic partners of Acushnet during the course of and as a result of the Executive’s employment. In light of the foregoing, the Executive recognizes and acknowledges that the restrictions and limitations set forth in this Section 6 are reasonable and valid in geographical and temporal scope and in all other respects and are essential to protect the value of the business and assets of Acushnet. The Executive further acknowledges that the restrictions and limitations set forth in this Section 6 will not materially interfere with the Executive’s ability to earn a living following the termination of the Executive’s employment and that the Executive’s ability to earn a livelihood without violating such restrictions is a material condition to the Executive’s employment with the Employer.</w:t>
      </w:r>
    </w:p>
    <w:p>
      <w:pPr>
        <w:spacing w:after="0" w:line="373" w:lineRule="exact"/>
        <w:rPr>
          <w:rFonts w:ascii="Arial" w:cs="Arial" w:eastAsia="Arial" w:hAnsi="Arial"/>
          <w:sz w:val="19"/>
          <w:szCs w:val="19"/>
          <w:color w:val="010000"/>
        </w:rPr>
      </w:pPr>
    </w:p>
    <w:p>
      <w:pPr>
        <w:ind w:left="1360" w:right="1359" w:firstLine="1291"/>
        <w:spacing w:after="0" w:line="242" w:lineRule="auto"/>
        <w:tabs>
          <w:tab w:leader="none" w:pos="3372" w:val="left"/>
        </w:tabs>
        <w:numPr>
          <w:ilvl w:val="0"/>
          <w:numId w:val="64"/>
        </w:numPr>
        <w:rPr>
          <w:rFonts w:ascii="Arial" w:cs="Arial" w:eastAsia="Arial" w:hAnsi="Arial"/>
          <w:sz w:val="19"/>
          <w:szCs w:val="19"/>
          <w:color w:val="010000"/>
        </w:rPr>
      </w:pPr>
      <w:r>
        <w:rPr>
          <w:rFonts w:ascii="Arial" w:cs="Arial" w:eastAsia="Arial" w:hAnsi="Arial"/>
          <w:sz w:val="19"/>
          <w:szCs w:val="19"/>
          <w:u w:val="single" w:color="auto"/>
          <w:color w:val="auto"/>
        </w:rPr>
        <w:t>Injunctive Relief</w:t>
      </w:r>
      <w:r>
        <w:rPr>
          <w:rFonts w:ascii="Arial" w:cs="Arial" w:eastAsia="Arial" w:hAnsi="Arial"/>
          <w:sz w:val="19"/>
          <w:szCs w:val="19"/>
          <w:color w:val="auto"/>
        </w:rPr>
        <w:t>. The Executive expressly acknowledges that any breach or threatened breach of any of the terms and/or conditions set forth in this Section 6 may result in substantial, continuing, and irreparable injury to Acushnet. Therefore, the Executive hereby agrees that, in addition to any other remedy that may be available to Acushnet, any of the Company or its affiliates shall be entitled to seek injunctive relief, specific performance, monetary damages (</w:t>
      </w:r>
      <w:r>
        <w:rPr>
          <w:rFonts w:ascii="Arial" w:cs="Arial" w:eastAsia="Arial" w:hAnsi="Arial"/>
          <w:sz w:val="19"/>
          <w:szCs w:val="19"/>
          <w:i w:val="1"/>
          <w:iCs w:val="1"/>
          <w:color w:val="auto"/>
        </w:rPr>
        <w:t>e.g</w:t>
      </w:r>
      <w:r>
        <w:rPr>
          <w:rFonts w:ascii="Arial" w:cs="Arial" w:eastAsia="Arial" w:hAnsi="Arial"/>
          <w:sz w:val="19"/>
          <w:szCs w:val="19"/>
          <w:color w:val="auto"/>
        </w:rPr>
        <w:t>., disgorgement of profits or recoupment or forfeiture of any payments or benefits provided under Section 5 of this Agreement) or other equitable relief by a court of appropriate jurisdiction in the event of any breach or threatened breach of the terms of this Section 6 without the necessity of proving irreparable harm or injury as a result of such breach 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864235</wp:posOffset>
            </wp:positionH>
            <wp:positionV relativeFrom="paragraph">
              <wp:posOffset>264160</wp:posOffset>
            </wp:positionV>
            <wp:extent cx="4004945" cy="26035"/>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85">
                      <a:extLst>
                        <a:ext uri="{28A0092B-C50C-407E-A947-70E740481C1C}"/>
                      </a:extLst>
                    </a:blip>
                    <a:srcRect/>
                    <a:stretch>
                      <a:fillRect/>
                    </a:stretch>
                  </pic:blipFill>
                  <pic:spPr bwMode="auto">
                    <a:xfrm>
                      <a:off x="0" y="0"/>
                      <a:ext cx="4004945" cy="26035"/>
                    </a:xfrm>
                    <a:prstGeom prst="rect">
                      <a:avLst/>
                    </a:prstGeom>
                    <a:noFill/>
                  </pic:spPr>
                </pic:pic>
              </a:graphicData>
            </a:graphic>
          </wp:anchor>
        </w:drawing>
      </w:r>
    </w:p>
    <w:p>
      <w:pPr>
        <w:sectPr>
          <w:pgSz w:w="11900" w:h="16838" w:orient="portrait"/>
          <w:cols w:equalWidth="0" w:num="1">
            <w:col w:w="9019"/>
          </w:cols>
          <w:pgMar w:left="1440" w:top="321" w:right="1440" w:bottom="1440" w:gutter="0" w:footer="0" w:header="0"/>
        </w:sectPr>
      </w:pPr>
    </w:p>
    <w:bookmarkStart w:id="151" w:name="page152"/>
    <w:bookmarkEnd w:id="151"/>
    <w:p>
      <w:pPr>
        <w:ind w:left="1360" w:right="1499"/>
        <w:spacing w:after="0" w:line="247" w:lineRule="auto"/>
        <w:rPr>
          <w:sz w:val="20"/>
          <w:szCs w:val="20"/>
          <w:color w:val="auto"/>
        </w:rPr>
      </w:pPr>
      <w:r>
        <w:rPr>
          <w:rFonts w:ascii="Arial" w:cs="Arial" w:eastAsia="Arial" w:hAnsi="Arial"/>
          <w:sz w:val="19"/>
          <w:szCs w:val="19"/>
          <w:color w:val="auto"/>
        </w:rPr>
        <w:t>threatened breach. Notwithstanding any other provision to the contrary, the Executive acknowledges and agrees that the Noncompete Period shall be tolled during any period of violation of any of the covenants in Section 6 hereof and during any other period required for litigation during which the Company or any of its affiliates seeks to enforce such covenants against the Executive if it is ultimately determined that the Executive was in breach of such covenants.</w:t>
      </w:r>
    </w:p>
    <w:p>
      <w:pPr>
        <w:spacing w:after="0" w:line="147" w:lineRule="exact"/>
        <w:rPr>
          <w:sz w:val="20"/>
          <w:szCs w:val="20"/>
          <w:color w:val="auto"/>
        </w:rPr>
      </w:pPr>
    </w:p>
    <w:p>
      <w:pPr>
        <w:ind w:left="3340" w:hanging="689"/>
        <w:spacing w:after="0"/>
        <w:tabs>
          <w:tab w:leader="none" w:pos="3340" w:val="left"/>
        </w:tabs>
        <w:numPr>
          <w:ilvl w:val="0"/>
          <w:numId w:val="65"/>
        </w:numPr>
        <w:rPr>
          <w:rFonts w:ascii="Arial" w:cs="Arial" w:eastAsia="Arial" w:hAnsi="Arial"/>
          <w:sz w:val="21"/>
          <w:szCs w:val="21"/>
          <w:color w:val="010000"/>
        </w:rPr>
      </w:pPr>
      <w:r>
        <w:rPr>
          <w:rFonts w:ascii="Arial" w:cs="Arial" w:eastAsia="Arial" w:hAnsi="Arial"/>
          <w:sz w:val="21"/>
          <w:szCs w:val="21"/>
          <w:u w:val="single" w:color="auto"/>
          <w:color w:val="auto"/>
        </w:rPr>
        <w:t>Enforcement</w:t>
      </w:r>
      <w:r>
        <w:rPr>
          <w:rFonts w:ascii="Arial" w:cs="Arial" w:eastAsia="Arial" w:hAnsi="Arial"/>
          <w:sz w:val="21"/>
          <w:szCs w:val="21"/>
          <w:color w:val="auto"/>
        </w:rPr>
        <w:t>. If, at the time of enforcement of</w:t>
      </w:r>
    </w:p>
    <w:p>
      <w:pPr>
        <w:ind w:left="1360" w:right="1419"/>
        <w:spacing w:after="0" w:line="220" w:lineRule="auto"/>
        <w:rPr>
          <w:rFonts w:ascii="Arial" w:cs="Arial" w:eastAsia="Arial" w:hAnsi="Arial"/>
          <w:sz w:val="21"/>
          <w:szCs w:val="21"/>
          <w:color w:val="010000"/>
        </w:rPr>
      </w:pPr>
      <w:r>
        <w:rPr>
          <w:rFonts w:ascii="Arial" w:cs="Arial" w:eastAsia="Arial" w:hAnsi="Arial"/>
          <w:sz w:val="21"/>
          <w:szCs w:val="21"/>
          <w:color w:val="auto"/>
        </w:rPr>
        <w:t>this Section 6, a court holds that the restrictions stated herein are unreasonable under circumstances then existing, the parties hereto agree that the maximum duration, scope and geographical area reasonable under such circumstances shall be substituted for the stated period, scope and area and that the court shall be allowed to reduce the restrictions contained herein to cover the maximum duration, scope and area permitted by law.</w:t>
      </w:r>
    </w:p>
    <w:p>
      <w:pPr>
        <w:spacing w:after="0" w:line="155" w:lineRule="exact"/>
        <w:rPr>
          <w:sz w:val="20"/>
          <w:szCs w:val="20"/>
          <w:color w:val="auto"/>
        </w:rPr>
      </w:pPr>
    </w:p>
    <w:p>
      <w:pPr>
        <w:ind w:left="3320" w:hanging="669"/>
        <w:spacing w:after="0"/>
        <w:tabs>
          <w:tab w:leader="none" w:pos="3320" w:val="left"/>
        </w:tabs>
        <w:numPr>
          <w:ilvl w:val="0"/>
          <w:numId w:val="66"/>
        </w:numPr>
        <w:rPr>
          <w:rFonts w:ascii="Arial" w:cs="Arial" w:eastAsia="Arial" w:hAnsi="Arial"/>
          <w:sz w:val="22"/>
          <w:szCs w:val="22"/>
          <w:color w:val="010000"/>
        </w:rPr>
      </w:pPr>
      <w:r>
        <w:rPr>
          <w:rFonts w:ascii="Arial" w:cs="Arial" w:eastAsia="Arial" w:hAnsi="Arial"/>
          <w:sz w:val="22"/>
          <w:szCs w:val="22"/>
          <w:b w:val="1"/>
          <w:bCs w:val="1"/>
          <w:u w:val="single" w:color="auto"/>
          <w:color w:val="auto"/>
        </w:rPr>
        <w:t>Taxes</w:t>
      </w:r>
      <w:r>
        <w:rPr>
          <w:rFonts w:ascii="Arial" w:cs="Arial" w:eastAsia="Arial" w:hAnsi="Arial"/>
          <w:sz w:val="22"/>
          <w:szCs w:val="22"/>
          <w:color w:val="auto"/>
        </w:rPr>
        <w:t>.</w:t>
      </w:r>
    </w:p>
    <w:p>
      <w:pPr>
        <w:spacing w:after="0" w:line="185" w:lineRule="exact"/>
        <w:rPr>
          <w:sz w:val="20"/>
          <w:szCs w:val="20"/>
          <w:color w:val="auto"/>
        </w:rPr>
      </w:pPr>
    </w:p>
    <w:p>
      <w:pPr>
        <w:ind w:left="1360" w:right="1439" w:firstLine="1297"/>
        <w:spacing w:after="0" w:line="218" w:lineRule="auto"/>
        <w:rPr>
          <w:sz w:val="20"/>
          <w:szCs w:val="20"/>
          <w:color w:val="auto"/>
        </w:rPr>
      </w:pPr>
      <w:r>
        <w:rPr>
          <w:rFonts w:ascii="Arial" w:cs="Arial" w:eastAsia="Arial" w:hAnsi="Arial"/>
          <w:sz w:val="22"/>
          <w:szCs w:val="22"/>
          <w:color w:val="auto"/>
        </w:rPr>
        <w:t>The Company may withhold from any payments made under this Agreement all applicable taxes, including but not limited to income, employment, and social insurance taxes, as shall be required by law.</w:t>
      </w:r>
    </w:p>
    <w:p>
      <w:pPr>
        <w:spacing w:after="0" w:line="155" w:lineRule="exact"/>
        <w:rPr>
          <w:sz w:val="20"/>
          <w:szCs w:val="20"/>
          <w:color w:val="auto"/>
        </w:rPr>
      </w:pPr>
    </w:p>
    <w:p>
      <w:pPr>
        <w:ind w:left="3320" w:hanging="669"/>
        <w:spacing w:after="0"/>
        <w:tabs>
          <w:tab w:leader="none" w:pos="3320" w:val="left"/>
        </w:tabs>
        <w:numPr>
          <w:ilvl w:val="0"/>
          <w:numId w:val="67"/>
        </w:numPr>
        <w:rPr>
          <w:rFonts w:ascii="Arial" w:cs="Arial" w:eastAsia="Arial" w:hAnsi="Arial"/>
          <w:sz w:val="22"/>
          <w:szCs w:val="22"/>
          <w:color w:val="010000"/>
        </w:rPr>
      </w:pPr>
      <w:r>
        <w:rPr>
          <w:rFonts w:ascii="Arial" w:cs="Arial" w:eastAsia="Arial" w:hAnsi="Arial"/>
          <w:sz w:val="22"/>
          <w:szCs w:val="22"/>
          <w:b w:val="1"/>
          <w:bCs w:val="1"/>
          <w:u w:val="single" w:color="auto"/>
          <w:color w:val="auto"/>
        </w:rPr>
        <w:t>Set Off; Mitigation</w:t>
      </w:r>
      <w:r>
        <w:rPr>
          <w:rFonts w:ascii="Arial" w:cs="Arial" w:eastAsia="Arial" w:hAnsi="Arial"/>
          <w:sz w:val="22"/>
          <w:szCs w:val="22"/>
          <w:color w:val="auto"/>
        </w:rPr>
        <w:t>.</w:t>
      </w:r>
    </w:p>
    <w:p>
      <w:pPr>
        <w:spacing w:after="0" w:line="185" w:lineRule="exact"/>
        <w:rPr>
          <w:sz w:val="20"/>
          <w:szCs w:val="20"/>
          <w:color w:val="auto"/>
        </w:rPr>
      </w:pPr>
    </w:p>
    <w:p>
      <w:pPr>
        <w:ind w:left="1360" w:right="1399" w:firstLine="1297"/>
        <w:spacing w:after="0" w:line="245" w:lineRule="auto"/>
        <w:rPr>
          <w:sz w:val="20"/>
          <w:szCs w:val="20"/>
          <w:color w:val="auto"/>
        </w:rPr>
      </w:pPr>
      <w:r>
        <w:rPr>
          <w:rFonts w:ascii="Arial" w:cs="Arial" w:eastAsia="Arial" w:hAnsi="Arial"/>
          <w:sz w:val="19"/>
          <w:szCs w:val="19"/>
          <w:color w:val="auto"/>
        </w:rPr>
        <w:t>The Company’s obligation to pay the Executive the amounts provided and to make the arrangements provided hereunder shall not be subject to set-off, counterclaim, or recoupment of amounts owed by the Executive to the Company or its affiliates. The Executive shall not be required to mitigate the amount of any payment provided pursuant to this Agreement by seeking other employment or otherwise, and the amount of any payment provided for pursuant to this Agreement shall not be reduced by any compensation earned as a result of the Executive’s other employment or otherwise.</w:t>
      </w:r>
    </w:p>
    <w:p>
      <w:pPr>
        <w:spacing w:after="0" w:line="147" w:lineRule="exact"/>
        <w:rPr>
          <w:sz w:val="20"/>
          <w:szCs w:val="20"/>
          <w:color w:val="auto"/>
        </w:rPr>
      </w:pPr>
    </w:p>
    <w:p>
      <w:pPr>
        <w:ind w:left="3320" w:hanging="669"/>
        <w:spacing w:after="0"/>
        <w:tabs>
          <w:tab w:leader="none" w:pos="3320" w:val="left"/>
        </w:tabs>
        <w:numPr>
          <w:ilvl w:val="0"/>
          <w:numId w:val="68"/>
        </w:numPr>
        <w:rPr>
          <w:rFonts w:ascii="Arial" w:cs="Arial" w:eastAsia="Arial" w:hAnsi="Arial"/>
          <w:sz w:val="22"/>
          <w:szCs w:val="22"/>
          <w:color w:val="010000"/>
        </w:rPr>
      </w:pPr>
      <w:r>
        <w:rPr>
          <w:rFonts w:ascii="Arial" w:cs="Arial" w:eastAsia="Arial" w:hAnsi="Arial"/>
          <w:sz w:val="22"/>
          <w:szCs w:val="22"/>
          <w:b w:val="1"/>
          <w:bCs w:val="1"/>
          <w:u w:val="single" w:color="auto"/>
          <w:color w:val="auto"/>
        </w:rPr>
        <w:t>Limitation of Certain Payments</w:t>
      </w:r>
      <w:r>
        <w:rPr>
          <w:rFonts w:ascii="Arial" w:cs="Arial" w:eastAsia="Arial" w:hAnsi="Arial"/>
          <w:sz w:val="22"/>
          <w:szCs w:val="22"/>
          <w:color w:val="auto"/>
        </w:rPr>
        <w:t>.</w:t>
      </w:r>
    </w:p>
    <w:p>
      <w:pPr>
        <w:spacing w:after="0" w:line="185" w:lineRule="exact"/>
        <w:rPr>
          <w:sz w:val="20"/>
          <w:szCs w:val="20"/>
          <w:color w:val="auto"/>
        </w:rPr>
      </w:pPr>
    </w:p>
    <w:p>
      <w:pPr>
        <w:ind w:left="1360" w:right="1359" w:firstLine="1297"/>
        <w:spacing w:after="0"/>
        <w:rPr>
          <w:sz w:val="20"/>
          <w:szCs w:val="20"/>
          <w:color w:val="auto"/>
        </w:rPr>
      </w:pPr>
      <w:r>
        <w:rPr>
          <w:rFonts w:ascii="Arial" w:cs="Arial" w:eastAsia="Arial" w:hAnsi="Arial"/>
          <w:sz w:val="19"/>
          <w:szCs w:val="19"/>
          <w:color w:val="auto"/>
        </w:rPr>
        <w:t>In the event that any payments and/or benefits due to the Executive under this Agreement and/or any other arrangements are determined by us to constitute “excess parachute payments” as defined under Section 280G of the Code, any such payments or benefits shall be reduced by the minimum amount necessary, subject to the last sentence of this paragraph, such that the present value of such parachute payments is below 300% of the Exeuctive’s “base amount” (as defined under Section 280G of the Code). Notwithstanding the foregoing, no payments or benefits shall be reduced under this Section 9 unless (a) the net amount of such payments and benefits, as so reduced (and after subtracting the net amount of federal, state and local income taxes on such reduced payments and after taking into account the phase out of itemized deductions and personal exemptions attributable to such reduced payments and benefits) is greater than or equal to (b) the net amount of such payments without such reduction (but after subtracting the net amount of federal, state and local income taxes on such payments and benefits and the amount of excise tax imposed under Section 4999 of the Code as to which the Executive would be subject in respect of such unreduced payments and benefits and after taking into account the phase out of itemized deductions and personal exemptions attributable to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864235</wp:posOffset>
            </wp:positionH>
            <wp:positionV relativeFrom="paragraph">
              <wp:posOffset>128905</wp:posOffset>
            </wp:positionV>
            <wp:extent cx="4004945" cy="26035"/>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86">
                      <a:extLst>
                        <a:ext uri="{28A0092B-C50C-407E-A947-70E740481C1C}"/>
                      </a:extLst>
                    </a:blip>
                    <a:srcRect/>
                    <a:stretch>
                      <a:fillRect/>
                    </a:stretch>
                  </pic:blipFill>
                  <pic:spPr bwMode="auto">
                    <a:xfrm>
                      <a:off x="0" y="0"/>
                      <a:ext cx="4004945" cy="26035"/>
                    </a:xfrm>
                    <a:prstGeom prst="rect">
                      <a:avLst/>
                    </a:prstGeom>
                    <a:noFill/>
                  </pic:spPr>
                </pic:pic>
              </a:graphicData>
            </a:graphic>
          </wp:anchor>
        </w:drawing>
      </w:r>
    </w:p>
    <w:p>
      <w:pPr>
        <w:sectPr>
          <w:pgSz w:w="11900" w:h="16838" w:orient="portrait"/>
          <w:cols w:equalWidth="0" w:num="1">
            <w:col w:w="9019"/>
          </w:cols>
          <w:pgMar w:left="1440" w:top="320" w:right="1440" w:bottom="1440" w:gutter="0" w:footer="0" w:header="0"/>
        </w:sectPr>
      </w:pPr>
    </w:p>
    <w:bookmarkStart w:id="152" w:name="page153"/>
    <w:bookmarkEnd w:id="152"/>
    <w:p>
      <w:pPr>
        <w:ind w:left="1360" w:right="1439"/>
        <w:spacing w:after="0" w:line="244" w:lineRule="auto"/>
        <w:rPr>
          <w:sz w:val="20"/>
          <w:szCs w:val="20"/>
          <w:color w:val="auto"/>
        </w:rPr>
      </w:pPr>
      <w:r>
        <w:rPr>
          <w:rFonts w:ascii="Arial" w:cs="Arial" w:eastAsia="Arial" w:hAnsi="Arial"/>
          <w:sz w:val="19"/>
          <w:szCs w:val="19"/>
          <w:color w:val="auto"/>
        </w:rPr>
        <w:t>such unreduced payments). For purposes hereof, (i) the order in which any amounts are deemed to be reduced, if applciable, is (A) cash payments; (B) other non-cash forms of benefits; and (C) equity-based payments and acceleration of vesting, and (ii) within any such category of payments and benefits (that is, (i)(A), (i)(B) or (i)(C) above), (x) a reduction shall occur first with respect to amounts that are not “deferred compensation” within the meaning of Section 409A of the Code and then with respect to amounts that are, and (y) to the extent that any such amounts are to be made over time (e.g., in installments, etc.), then the amounts shall be reduced in reverse chronological order.</w:t>
      </w:r>
    </w:p>
    <w:p>
      <w:pPr>
        <w:spacing w:after="0" w:line="150" w:lineRule="exact"/>
        <w:rPr>
          <w:sz w:val="20"/>
          <w:szCs w:val="20"/>
          <w:color w:val="auto"/>
        </w:rPr>
      </w:pPr>
    </w:p>
    <w:p>
      <w:pPr>
        <w:ind w:left="2660" w:right="1539" w:hanging="9"/>
        <w:spacing w:after="0" w:line="537" w:lineRule="auto"/>
        <w:tabs>
          <w:tab w:leader="none" w:pos="3335" w:val="left"/>
        </w:tabs>
        <w:numPr>
          <w:ilvl w:val="0"/>
          <w:numId w:val="69"/>
        </w:numPr>
        <w:rPr>
          <w:rFonts w:ascii="Arial" w:cs="Arial" w:eastAsia="Arial" w:hAnsi="Arial"/>
          <w:sz w:val="19"/>
          <w:szCs w:val="19"/>
          <w:color w:val="010000"/>
        </w:rPr>
      </w:pPr>
      <w:r>
        <w:rPr>
          <w:rFonts w:ascii="Arial" w:cs="Arial" w:eastAsia="Arial" w:hAnsi="Arial"/>
          <w:sz w:val="19"/>
          <w:szCs w:val="19"/>
          <w:b w:val="1"/>
          <w:bCs w:val="1"/>
          <w:u w:val="single" w:color="auto"/>
          <w:color w:val="auto"/>
        </w:rPr>
        <w:t>Additional Section 409A Provisions</w:t>
      </w:r>
      <w:r>
        <w:rPr>
          <w:rFonts w:ascii="Arial" w:cs="Arial" w:eastAsia="Arial" w:hAnsi="Arial"/>
          <w:sz w:val="19"/>
          <w:szCs w:val="19"/>
          <w:color w:val="auto"/>
        </w:rPr>
        <w:t>.</w:t>
      </w:r>
      <w:r>
        <w:rPr>
          <w:rFonts w:ascii="Arial" w:cs="Arial" w:eastAsia="Arial" w:hAnsi="Arial"/>
          <w:sz w:val="19"/>
          <w:szCs w:val="19"/>
          <w:b w:val="1"/>
          <w:bCs w:val="1"/>
          <w:color w:val="auto"/>
        </w:rPr>
        <w:t xml:space="preserve"> </w:t>
      </w:r>
      <w:r>
        <w:rPr>
          <w:rFonts w:ascii="Arial" w:cs="Arial" w:eastAsia="Arial" w:hAnsi="Arial"/>
          <w:sz w:val="19"/>
          <w:szCs w:val="19"/>
          <w:color w:val="auto"/>
        </w:rPr>
        <w:t>Notwithstanding any provision in this Agreement to the</w:t>
      </w:r>
    </w:p>
    <w:p>
      <w:pPr>
        <w:spacing w:after="0" w:line="1" w:lineRule="exact"/>
        <w:rPr>
          <w:sz w:val="20"/>
          <w:szCs w:val="20"/>
          <w:color w:val="auto"/>
        </w:rPr>
      </w:pPr>
    </w:p>
    <w:p>
      <w:pPr>
        <w:ind w:left="1360"/>
        <w:spacing w:after="0"/>
        <w:rPr>
          <w:sz w:val="20"/>
          <w:szCs w:val="20"/>
          <w:color w:val="auto"/>
        </w:rPr>
      </w:pPr>
      <w:r>
        <w:rPr>
          <w:rFonts w:ascii="Arial" w:cs="Arial" w:eastAsia="Arial" w:hAnsi="Arial"/>
          <w:sz w:val="22"/>
          <w:szCs w:val="22"/>
          <w:color w:val="auto"/>
        </w:rPr>
        <w:t>contrary:</w:t>
      </w:r>
    </w:p>
    <w:p>
      <w:pPr>
        <w:spacing w:after="0" w:line="71" w:lineRule="exact"/>
        <w:rPr>
          <w:sz w:val="20"/>
          <w:szCs w:val="20"/>
          <w:color w:val="auto"/>
        </w:rPr>
      </w:pPr>
    </w:p>
    <w:p>
      <w:pPr>
        <w:ind w:left="1360" w:right="1359" w:firstLine="1291"/>
        <w:spacing w:after="0" w:line="220" w:lineRule="auto"/>
        <w:tabs>
          <w:tab w:leader="none" w:pos="3342" w:val="left"/>
        </w:tabs>
        <w:numPr>
          <w:ilvl w:val="0"/>
          <w:numId w:val="70"/>
        </w:numPr>
        <w:rPr>
          <w:rFonts w:ascii="Arial" w:cs="Arial" w:eastAsia="Arial" w:hAnsi="Arial"/>
          <w:sz w:val="21"/>
          <w:szCs w:val="21"/>
          <w:color w:val="010000"/>
        </w:rPr>
      </w:pPr>
      <w:r>
        <w:rPr>
          <w:rFonts w:ascii="Arial" w:cs="Arial" w:eastAsia="Arial" w:hAnsi="Arial"/>
          <w:sz w:val="21"/>
          <w:szCs w:val="21"/>
          <w:color w:val="auto"/>
        </w:rPr>
        <w:t>If the Executive is a “specified employee” (as determined in accordance with Section 409A(a)(2)(B)(i) of the Code and Treasury Regulation Section 1.409A-1(i)) at the time of a Qualifying Termination, any payments that constitute nonqualified deferred compensation shall be delayed to the extent necessary to avoid a prohibited distribution under Section 409A(2)(B)(i) of the Code, and such amount shall be distributed to the Executive on the earlier of (i) the first business day following the expiration of the six-month period measured from the date of termination, (ii) the date of the Executive’s death, or (iii) such earlier date as is permitted under Section 409A and the Treasury Regulations thereunder.</w:t>
      </w:r>
    </w:p>
    <w:p>
      <w:pPr>
        <w:spacing w:after="0" w:line="158" w:lineRule="exact"/>
        <w:rPr>
          <w:rFonts w:ascii="Arial" w:cs="Arial" w:eastAsia="Arial" w:hAnsi="Arial"/>
          <w:sz w:val="21"/>
          <w:szCs w:val="21"/>
          <w:color w:val="010000"/>
        </w:rPr>
      </w:pPr>
    </w:p>
    <w:p>
      <w:pPr>
        <w:jc w:val="both"/>
        <w:ind w:left="1360" w:right="1479" w:firstLine="1291"/>
        <w:spacing w:after="0" w:line="223" w:lineRule="auto"/>
        <w:tabs>
          <w:tab w:leader="none" w:pos="3354" w:val="left"/>
        </w:tabs>
        <w:numPr>
          <w:ilvl w:val="0"/>
          <w:numId w:val="70"/>
        </w:numPr>
        <w:rPr>
          <w:rFonts w:ascii="Arial" w:cs="Arial" w:eastAsia="Arial" w:hAnsi="Arial"/>
          <w:sz w:val="22"/>
          <w:szCs w:val="22"/>
          <w:color w:val="010000"/>
        </w:rPr>
      </w:pPr>
      <w:r>
        <w:rPr>
          <w:rFonts w:ascii="Arial" w:cs="Arial" w:eastAsia="Arial" w:hAnsi="Arial"/>
          <w:sz w:val="22"/>
          <w:szCs w:val="22"/>
          <w:color w:val="auto"/>
        </w:rPr>
        <w:t>Each payment in a series of payments hereunder shall be deemed to be a separate payment for purposes of Section 409A of the Code.</w:t>
      </w:r>
    </w:p>
    <w:p>
      <w:pPr>
        <w:spacing w:after="0" w:line="159" w:lineRule="exact"/>
        <w:rPr>
          <w:rFonts w:ascii="Arial" w:cs="Arial" w:eastAsia="Arial" w:hAnsi="Arial"/>
          <w:sz w:val="22"/>
          <w:szCs w:val="22"/>
          <w:color w:val="010000"/>
        </w:rPr>
      </w:pPr>
    </w:p>
    <w:p>
      <w:pPr>
        <w:ind w:left="3340" w:hanging="689"/>
        <w:spacing w:after="0"/>
        <w:tabs>
          <w:tab w:leader="none" w:pos="3340" w:val="left"/>
        </w:tabs>
        <w:numPr>
          <w:ilvl w:val="0"/>
          <w:numId w:val="70"/>
        </w:numPr>
        <w:rPr>
          <w:rFonts w:ascii="Arial" w:cs="Arial" w:eastAsia="Arial" w:hAnsi="Arial"/>
          <w:sz w:val="19"/>
          <w:szCs w:val="19"/>
          <w:color w:val="010000"/>
        </w:rPr>
      </w:pPr>
      <w:r>
        <w:rPr>
          <w:rFonts w:ascii="Arial" w:cs="Arial" w:eastAsia="Arial" w:hAnsi="Arial"/>
          <w:sz w:val="19"/>
          <w:szCs w:val="19"/>
          <w:color w:val="auto"/>
        </w:rPr>
        <w:t>To the extent that any right to reimbursement of</w:t>
      </w:r>
    </w:p>
    <w:p>
      <w:pPr>
        <w:spacing w:after="0" w:line="15" w:lineRule="exact"/>
        <w:rPr>
          <w:rFonts w:ascii="Arial" w:cs="Arial" w:eastAsia="Arial" w:hAnsi="Arial"/>
          <w:sz w:val="19"/>
          <w:szCs w:val="19"/>
          <w:color w:val="010000"/>
        </w:rPr>
      </w:pPr>
    </w:p>
    <w:p>
      <w:pPr>
        <w:ind w:left="1360" w:right="1379"/>
        <w:spacing w:after="0"/>
        <w:rPr>
          <w:rFonts w:ascii="Arial" w:cs="Arial" w:eastAsia="Arial" w:hAnsi="Arial"/>
          <w:sz w:val="19"/>
          <w:szCs w:val="19"/>
          <w:color w:val="010000"/>
        </w:rPr>
      </w:pPr>
      <w:r>
        <w:rPr>
          <w:rFonts w:ascii="Arial" w:cs="Arial" w:eastAsia="Arial" w:hAnsi="Arial"/>
          <w:sz w:val="19"/>
          <w:szCs w:val="19"/>
          <w:color w:val="auto"/>
        </w:rPr>
        <w:t xml:space="preserve">expenses or payment of any benefit in-kind under this Agreement constitutes nonqualified deferred compensation (within the meaning of Section 409A of the Code), (i) any such expense reimbursement shall be made by the Company no later than the last day of the taxable year following the taxable year in which such expense was incurred by the Executive, (ii) the right to reimbursement or in-kind benefits shall not be subject to liquidation or exchange for another benefit, and (iii) the amount of expenses eligible for reimbursement or in-kind benefits provided during any taxable year shall not affect the expenses eligible for reimbursement or in-kind benefits to be provided in any other taxable year; </w:t>
      </w:r>
      <w:r>
        <w:rPr>
          <w:rFonts w:ascii="Arial" w:cs="Arial" w:eastAsia="Arial" w:hAnsi="Arial"/>
          <w:sz w:val="19"/>
          <w:szCs w:val="19"/>
          <w:i w:val="1"/>
          <w:iCs w:val="1"/>
          <w:color w:val="auto"/>
        </w:rPr>
        <w:t>provided</w:t>
      </w:r>
      <w:r>
        <w:rPr>
          <w:rFonts w:ascii="Arial" w:cs="Arial" w:eastAsia="Arial" w:hAnsi="Arial"/>
          <w:sz w:val="19"/>
          <w:szCs w:val="19"/>
          <w:color w:val="auto"/>
        </w:rPr>
        <w:t>, that the foregoing clause shall not be violated with regard to expenses reimbursed under any arrangement covered by Section 105(b) of the Code solely because such expenses are subject to a limit related to the period the arrangement is in effect.</w:t>
      </w:r>
    </w:p>
    <w:p>
      <w:pPr>
        <w:spacing w:after="0" w:line="145" w:lineRule="exact"/>
        <w:rPr>
          <w:rFonts w:ascii="Arial" w:cs="Arial" w:eastAsia="Arial" w:hAnsi="Arial"/>
          <w:sz w:val="19"/>
          <w:szCs w:val="19"/>
          <w:color w:val="010000"/>
        </w:rPr>
      </w:pPr>
    </w:p>
    <w:p>
      <w:pPr>
        <w:ind w:left="3340" w:hanging="689"/>
        <w:spacing w:after="0"/>
        <w:tabs>
          <w:tab w:leader="none" w:pos="3340" w:val="left"/>
        </w:tabs>
        <w:numPr>
          <w:ilvl w:val="0"/>
          <w:numId w:val="70"/>
        </w:numPr>
        <w:rPr>
          <w:rFonts w:ascii="Arial" w:cs="Arial" w:eastAsia="Arial" w:hAnsi="Arial"/>
          <w:sz w:val="22"/>
          <w:szCs w:val="22"/>
          <w:color w:val="010000"/>
        </w:rPr>
      </w:pPr>
      <w:r>
        <w:rPr>
          <w:rFonts w:ascii="Arial" w:cs="Arial" w:eastAsia="Arial" w:hAnsi="Arial"/>
          <w:sz w:val="22"/>
          <w:szCs w:val="22"/>
          <w:color w:val="auto"/>
        </w:rPr>
        <w:t>While the payments and benefits provided</w:t>
      </w:r>
    </w:p>
    <w:p>
      <w:pPr>
        <w:ind w:left="1360" w:right="1479"/>
        <w:spacing w:after="0" w:line="219" w:lineRule="auto"/>
        <w:rPr>
          <w:rFonts w:ascii="Arial" w:cs="Arial" w:eastAsia="Arial" w:hAnsi="Arial"/>
          <w:sz w:val="22"/>
          <w:szCs w:val="22"/>
          <w:color w:val="010000"/>
        </w:rPr>
      </w:pPr>
      <w:r>
        <w:rPr>
          <w:rFonts w:ascii="Arial" w:cs="Arial" w:eastAsia="Arial" w:hAnsi="Arial"/>
          <w:sz w:val="21"/>
          <w:szCs w:val="21"/>
          <w:color w:val="auto"/>
        </w:rPr>
        <w:t>hereunder are intended to be structured in a manner to avoid the implication of any penalty taxes under Section 409A of the Code, in no event whatsoever shall the Company or any of its affiliates be liable for any additional tax, interest, or penalties that may be imposed on the Executive as a result of Section 409A of the Code or any damages for failing to comply with Section 409A of the Code (other than for withholding obligations or other obligations applicable to employers, if any, under Section 409A of the Code).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864235</wp:posOffset>
            </wp:positionH>
            <wp:positionV relativeFrom="paragraph">
              <wp:posOffset>263525</wp:posOffset>
            </wp:positionV>
            <wp:extent cx="4004945" cy="26035"/>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87">
                      <a:extLst>
                        <a:ext uri="{28A0092B-C50C-407E-A947-70E740481C1C}"/>
                      </a:extLst>
                    </a:blip>
                    <a:srcRect/>
                    <a:stretch>
                      <a:fillRect/>
                    </a:stretch>
                  </pic:blipFill>
                  <pic:spPr bwMode="auto">
                    <a:xfrm>
                      <a:off x="0" y="0"/>
                      <a:ext cx="4004945" cy="26035"/>
                    </a:xfrm>
                    <a:prstGeom prst="rect">
                      <a:avLst/>
                    </a:prstGeom>
                    <a:noFill/>
                  </pic:spPr>
                </pic:pic>
              </a:graphicData>
            </a:graphic>
          </wp:anchor>
        </w:drawing>
      </w:r>
    </w:p>
    <w:p>
      <w:pPr>
        <w:sectPr>
          <w:pgSz w:w="11900" w:h="16838" w:orient="portrait"/>
          <w:cols w:equalWidth="0" w:num="1">
            <w:col w:w="9019"/>
          </w:cols>
          <w:pgMar w:left="1440" w:top="321" w:right="1440" w:bottom="1440" w:gutter="0" w:footer="0" w:header="0"/>
        </w:sectPr>
      </w:pPr>
    </w:p>
    <w:bookmarkStart w:id="153" w:name="page154"/>
    <w:bookmarkEnd w:id="153"/>
    <w:p>
      <w:pPr>
        <w:ind w:left="3320" w:hanging="669"/>
        <w:spacing w:after="0"/>
        <w:tabs>
          <w:tab w:leader="none" w:pos="3320" w:val="left"/>
        </w:tabs>
        <w:numPr>
          <w:ilvl w:val="0"/>
          <w:numId w:val="71"/>
        </w:numPr>
        <w:rPr>
          <w:rFonts w:ascii="Arial" w:cs="Arial" w:eastAsia="Arial" w:hAnsi="Arial"/>
          <w:sz w:val="22"/>
          <w:szCs w:val="22"/>
          <w:color w:val="010000"/>
        </w:rPr>
      </w:pPr>
      <w:r>
        <w:rPr>
          <w:rFonts w:ascii="Arial" w:cs="Arial" w:eastAsia="Arial" w:hAnsi="Arial"/>
          <w:sz w:val="22"/>
          <w:szCs w:val="22"/>
          <w:b w:val="1"/>
          <w:bCs w:val="1"/>
          <w:u w:val="single" w:color="auto"/>
          <w:color w:val="auto"/>
        </w:rPr>
        <w:t>Waiver and Amendments</w:t>
      </w:r>
      <w:r>
        <w:rPr>
          <w:rFonts w:ascii="Arial" w:cs="Arial" w:eastAsia="Arial" w:hAnsi="Arial"/>
          <w:sz w:val="22"/>
          <w:szCs w:val="22"/>
          <w:color w:val="auto"/>
        </w:rPr>
        <w:t>.</w:t>
      </w:r>
    </w:p>
    <w:p>
      <w:pPr>
        <w:spacing w:after="0" w:line="185" w:lineRule="exact"/>
        <w:rPr>
          <w:sz w:val="20"/>
          <w:szCs w:val="20"/>
          <w:color w:val="auto"/>
        </w:rPr>
      </w:pPr>
    </w:p>
    <w:p>
      <w:pPr>
        <w:ind w:left="1360" w:right="1399" w:firstLine="1297"/>
        <w:spacing w:after="0" w:line="223" w:lineRule="auto"/>
        <w:rPr>
          <w:sz w:val="20"/>
          <w:szCs w:val="20"/>
          <w:color w:val="auto"/>
        </w:rPr>
      </w:pPr>
      <w:r>
        <w:rPr>
          <w:rFonts w:ascii="Arial" w:cs="Arial" w:eastAsia="Arial" w:hAnsi="Arial"/>
          <w:sz w:val="21"/>
          <w:szCs w:val="21"/>
          <w:color w:val="auto"/>
        </w:rPr>
        <w:t>Any waiver, alteration, amendment, or modification of any of the terms of this Agreement shall be valid only if made in writing and signed by each of the parties hereto. No waiver by either of the parties hereto of their rights hereunder shall be deemed to constitute a waiver with respect to any subsequent occurrences or transactions hereunder unless such waiver specifically states that it is to be construed as a continuing waiver.</w:t>
      </w:r>
    </w:p>
    <w:p>
      <w:pPr>
        <w:spacing w:after="0" w:line="152" w:lineRule="exact"/>
        <w:rPr>
          <w:sz w:val="20"/>
          <w:szCs w:val="20"/>
          <w:color w:val="auto"/>
        </w:rPr>
      </w:pPr>
    </w:p>
    <w:p>
      <w:pPr>
        <w:ind w:left="3320" w:hanging="669"/>
        <w:spacing w:after="0"/>
        <w:tabs>
          <w:tab w:leader="none" w:pos="3320" w:val="left"/>
        </w:tabs>
        <w:numPr>
          <w:ilvl w:val="0"/>
          <w:numId w:val="72"/>
        </w:numPr>
        <w:rPr>
          <w:rFonts w:ascii="Arial" w:cs="Arial" w:eastAsia="Arial" w:hAnsi="Arial"/>
          <w:sz w:val="22"/>
          <w:szCs w:val="22"/>
          <w:color w:val="010000"/>
        </w:rPr>
      </w:pPr>
      <w:r>
        <w:rPr>
          <w:rFonts w:ascii="Arial" w:cs="Arial" w:eastAsia="Arial" w:hAnsi="Arial"/>
          <w:sz w:val="22"/>
          <w:szCs w:val="22"/>
          <w:b w:val="1"/>
          <w:bCs w:val="1"/>
          <w:u w:val="single" w:color="auto"/>
          <w:color w:val="auto"/>
        </w:rPr>
        <w:t>Severability</w:t>
      </w:r>
      <w:r>
        <w:rPr>
          <w:rFonts w:ascii="Arial" w:cs="Arial" w:eastAsia="Arial" w:hAnsi="Arial"/>
          <w:sz w:val="22"/>
          <w:szCs w:val="22"/>
          <w:color w:val="auto"/>
        </w:rPr>
        <w:t>.</w:t>
      </w:r>
    </w:p>
    <w:p>
      <w:pPr>
        <w:spacing w:after="0" w:line="185" w:lineRule="exact"/>
        <w:rPr>
          <w:sz w:val="20"/>
          <w:szCs w:val="20"/>
          <w:color w:val="auto"/>
        </w:rPr>
      </w:pPr>
    </w:p>
    <w:p>
      <w:pPr>
        <w:ind w:left="1360" w:right="1459" w:firstLine="1297"/>
        <w:spacing w:after="0" w:line="211" w:lineRule="auto"/>
        <w:rPr>
          <w:sz w:val="20"/>
          <w:szCs w:val="20"/>
          <w:color w:val="auto"/>
        </w:rPr>
      </w:pPr>
      <w:r>
        <w:rPr>
          <w:rFonts w:ascii="Arial" w:cs="Arial" w:eastAsia="Arial" w:hAnsi="Arial"/>
          <w:sz w:val="22"/>
          <w:szCs w:val="22"/>
          <w:color w:val="auto"/>
        </w:rPr>
        <w:t>If any covenants or such other provisions of this Agreement are found to be invalid or unenforceable by a final determination of a court of competent jurisdiction, (a) the remaining terms and provisions hereof shall be unimpaired, and (b) the invalid or unenforceable term or provision hereof shall be deemed replaced by a term or provision that is valid and enforceable and that comes closest to expressing the intention of the invalid or unenforceable term or provision hereof.</w:t>
      </w:r>
    </w:p>
    <w:p>
      <w:pPr>
        <w:spacing w:after="0" w:line="160" w:lineRule="exact"/>
        <w:rPr>
          <w:sz w:val="20"/>
          <w:szCs w:val="20"/>
          <w:color w:val="auto"/>
        </w:rPr>
      </w:pPr>
    </w:p>
    <w:p>
      <w:pPr>
        <w:ind w:left="3320" w:hanging="669"/>
        <w:spacing w:after="0"/>
        <w:tabs>
          <w:tab w:leader="none" w:pos="3320" w:val="left"/>
        </w:tabs>
        <w:numPr>
          <w:ilvl w:val="0"/>
          <w:numId w:val="73"/>
        </w:numPr>
        <w:rPr>
          <w:rFonts w:ascii="Arial" w:cs="Arial" w:eastAsia="Arial" w:hAnsi="Arial"/>
          <w:sz w:val="19"/>
          <w:szCs w:val="19"/>
          <w:color w:val="010000"/>
        </w:rPr>
      </w:pPr>
      <w:r>
        <w:rPr>
          <w:rFonts w:ascii="Arial" w:cs="Arial" w:eastAsia="Arial" w:hAnsi="Arial"/>
          <w:sz w:val="19"/>
          <w:szCs w:val="19"/>
          <w:b w:val="1"/>
          <w:bCs w:val="1"/>
          <w:u w:val="single" w:color="auto"/>
          <w:color w:val="auto"/>
        </w:rPr>
        <w:t>Governing Law; Waiver of Jury Trial; Venue</w:t>
      </w:r>
      <w:r>
        <w:rPr>
          <w:rFonts w:ascii="Arial" w:cs="Arial" w:eastAsia="Arial" w:hAnsi="Arial"/>
          <w:sz w:val="19"/>
          <w:szCs w:val="19"/>
          <w:color w:val="auto"/>
        </w:rPr>
        <w:t>.</w:t>
      </w:r>
    </w:p>
    <w:p>
      <w:pPr>
        <w:spacing w:after="0" w:line="220" w:lineRule="exact"/>
        <w:rPr>
          <w:sz w:val="20"/>
          <w:szCs w:val="20"/>
          <w:color w:val="auto"/>
        </w:rPr>
      </w:pPr>
    </w:p>
    <w:p>
      <w:pPr>
        <w:ind w:left="1360" w:right="1379" w:firstLine="1297"/>
        <w:spacing w:after="0" w:line="218" w:lineRule="auto"/>
        <w:rPr>
          <w:sz w:val="20"/>
          <w:szCs w:val="20"/>
          <w:color w:val="auto"/>
        </w:rPr>
      </w:pPr>
      <w:r>
        <w:rPr>
          <w:rFonts w:ascii="Arial" w:cs="Arial" w:eastAsia="Arial" w:hAnsi="Arial"/>
          <w:sz w:val="21"/>
          <w:szCs w:val="21"/>
          <w:color w:val="auto"/>
        </w:rPr>
        <w:t>THIS AGREEMENT (INCLUDING THE RELEASE AGREEMENT TO THE EXTENT EXECUTED) IS GOVERNED BY AND IS TO BE CONSTRUED UNDER THE LAWS OF THE COMMONWEALTH OF MASSACHUSETTS WITHOUT REGARD TO PRINCIPLES OF CONFLICTS OF LAW THEREUNDER. EACH PARTY TO THIS AGREEMENT (INCLUDING THE RELEASE AGREEMENT TO THE EXTENT EXECUTED) ALSO HEREBY WAIVES ANY RIGHT TO TRIAL BY JURY IN CONNECTION WITH ANY SUIT, ACTION, OR PROCEEDING UNDER OR IN CONNECTION WITH THIS AGREEMENT. ALL CLAIMS AND DISPUTES CONCERNING THIS AGREEMENT (INCLUDING THE RELEASE AGREEMENT TO THE EXTENT EXECUTED) MUST BE FILED AND ADJUDICATED IN STATE OR FEDERAL COURTS LOCATED IN THE COMMONWEALTH OF MASSACHUSETTS, AND SUCH COURTS SHALL BE THE SOLE AND EXCLUSIVE VENUE FOR THE ADJUDICATION OF ALL DISPUTES AND CLAIMS.</w:t>
      </w:r>
    </w:p>
    <w:p>
      <w:pPr>
        <w:spacing w:after="0" w:line="155" w:lineRule="exact"/>
        <w:rPr>
          <w:sz w:val="20"/>
          <w:szCs w:val="20"/>
          <w:color w:val="auto"/>
        </w:rPr>
      </w:pPr>
    </w:p>
    <w:p>
      <w:pPr>
        <w:ind w:left="3320" w:hanging="669"/>
        <w:spacing w:after="0"/>
        <w:tabs>
          <w:tab w:leader="none" w:pos="3320" w:val="left"/>
        </w:tabs>
        <w:numPr>
          <w:ilvl w:val="0"/>
          <w:numId w:val="74"/>
        </w:numPr>
        <w:rPr>
          <w:rFonts w:ascii="Arial" w:cs="Arial" w:eastAsia="Arial" w:hAnsi="Arial"/>
          <w:sz w:val="22"/>
          <w:szCs w:val="22"/>
          <w:color w:val="010000"/>
        </w:rPr>
      </w:pPr>
      <w:r>
        <w:rPr>
          <w:rFonts w:ascii="Arial" w:cs="Arial" w:eastAsia="Arial" w:hAnsi="Arial"/>
          <w:sz w:val="22"/>
          <w:szCs w:val="22"/>
          <w:b w:val="1"/>
          <w:bCs w:val="1"/>
          <w:u w:val="single" w:color="auto"/>
          <w:color w:val="auto"/>
        </w:rPr>
        <w:t>Assignability</w:t>
      </w:r>
      <w:r>
        <w:rPr>
          <w:rFonts w:ascii="Arial" w:cs="Arial" w:eastAsia="Arial" w:hAnsi="Arial"/>
          <w:sz w:val="22"/>
          <w:szCs w:val="22"/>
          <w:color w:val="auto"/>
        </w:rPr>
        <w:t>.</w:t>
      </w:r>
    </w:p>
    <w:p>
      <w:pPr>
        <w:spacing w:after="0" w:line="185" w:lineRule="exact"/>
        <w:rPr>
          <w:sz w:val="20"/>
          <w:szCs w:val="20"/>
          <w:color w:val="auto"/>
        </w:rPr>
      </w:pPr>
    </w:p>
    <w:p>
      <w:pPr>
        <w:jc w:val="both"/>
        <w:ind w:left="1360" w:right="1439" w:firstLine="1297"/>
        <w:spacing w:after="0" w:line="223" w:lineRule="auto"/>
        <w:rPr>
          <w:sz w:val="20"/>
          <w:szCs w:val="20"/>
          <w:color w:val="auto"/>
        </w:rPr>
      </w:pPr>
      <w:r>
        <w:rPr>
          <w:rFonts w:ascii="Arial" w:cs="Arial" w:eastAsia="Arial" w:hAnsi="Arial"/>
          <w:sz w:val="22"/>
          <w:szCs w:val="22"/>
          <w:color w:val="auto"/>
        </w:rPr>
        <w:t>This Agreement is personal to the parties and may not be assigned by either of the parties without the prior written consent of the other party hereto.</w:t>
      </w:r>
    </w:p>
    <w:p>
      <w:pPr>
        <w:spacing w:after="0" w:line="153" w:lineRule="exact"/>
        <w:rPr>
          <w:sz w:val="20"/>
          <w:szCs w:val="20"/>
          <w:color w:val="auto"/>
        </w:rPr>
      </w:pPr>
    </w:p>
    <w:p>
      <w:pPr>
        <w:ind w:left="3320" w:hanging="669"/>
        <w:spacing w:after="0"/>
        <w:tabs>
          <w:tab w:leader="none" w:pos="3320" w:val="left"/>
        </w:tabs>
        <w:numPr>
          <w:ilvl w:val="0"/>
          <w:numId w:val="75"/>
        </w:numPr>
        <w:rPr>
          <w:rFonts w:ascii="Arial" w:cs="Arial" w:eastAsia="Arial" w:hAnsi="Arial"/>
          <w:sz w:val="22"/>
          <w:szCs w:val="22"/>
          <w:color w:val="010000"/>
        </w:rPr>
      </w:pPr>
      <w:r>
        <w:rPr>
          <w:rFonts w:ascii="Arial" w:cs="Arial" w:eastAsia="Arial" w:hAnsi="Arial"/>
          <w:sz w:val="22"/>
          <w:szCs w:val="22"/>
          <w:b w:val="1"/>
          <w:bCs w:val="1"/>
          <w:u w:val="single" w:color="auto"/>
          <w:color w:val="auto"/>
        </w:rPr>
        <w:t>Counterparts</w:t>
      </w:r>
      <w:r>
        <w:rPr>
          <w:rFonts w:ascii="Arial" w:cs="Arial" w:eastAsia="Arial" w:hAnsi="Arial"/>
          <w:sz w:val="22"/>
          <w:szCs w:val="22"/>
          <w:color w:val="auto"/>
        </w:rPr>
        <w:t>.</w:t>
      </w:r>
    </w:p>
    <w:p>
      <w:pPr>
        <w:spacing w:after="0" w:line="185" w:lineRule="exact"/>
        <w:rPr>
          <w:sz w:val="20"/>
          <w:szCs w:val="20"/>
          <w:color w:val="auto"/>
        </w:rPr>
      </w:pPr>
    </w:p>
    <w:p>
      <w:pPr>
        <w:ind w:left="1360" w:right="1379" w:firstLine="1297"/>
        <w:spacing w:after="0" w:line="223" w:lineRule="auto"/>
        <w:rPr>
          <w:sz w:val="20"/>
          <w:szCs w:val="20"/>
          <w:color w:val="auto"/>
        </w:rPr>
      </w:pPr>
      <w:r>
        <w:rPr>
          <w:rFonts w:ascii="Arial" w:cs="Arial" w:eastAsia="Arial" w:hAnsi="Arial"/>
          <w:sz w:val="22"/>
          <w:szCs w:val="22"/>
          <w:color w:val="auto"/>
        </w:rPr>
        <w:t>This Agreement may be executed in counterparts, each of which shall be an original, with the same effect as if the signatures thereto and hereto were upon the same instrument.</w:t>
      </w:r>
    </w:p>
    <w:p>
      <w:pPr>
        <w:spacing w:after="0" w:line="153" w:lineRule="exact"/>
        <w:rPr>
          <w:sz w:val="20"/>
          <w:szCs w:val="20"/>
          <w:color w:val="auto"/>
        </w:rPr>
      </w:pPr>
    </w:p>
    <w:p>
      <w:pPr>
        <w:ind w:left="3320" w:hanging="669"/>
        <w:spacing w:after="0"/>
        <w:tabs>
          <w:tab w:leader="none" w:pos="3320" w:val="left"/>
        </w:tabs>
        <w:numPr>
          <w:ilvl w:val="0"/>
          <w:numId w:val="76"/>
        </w:numPr>
        <w:rPr>
          <w:rFonts w:ascii="Arial" w:cs="Arial" w:eastAsia="Arial" w:hAnsi="Arial"/>
          <w:sz w:val="22"/>
          <w:szCs w:val="22"/>
          <w:color w:val="010000"/>
        </w:rPr>
      </w:pPr>
      <w:r>
        <w:rPr>
          <w:rFonts w:ascii="Arial" w:cs="Arial" w:eastAsia="Arial" w:hAnsi="Arial"/>
          <w:sz w:val="22"/>
          <w:szCs w:val="22"/>
          <w:b w:val="1"/>
          <w:bCs w:val="1"/>
          <w:u w:val="single" w:color="auto"/>
          <w:color w:val="auto"/>
        </w:rPr>
        <w:t>Notices</w:t>
      </w:r>
      <w:r>
        <w:rPr>
          <w:rFonts w:ascii="Arial" w:cs="Arial" w:eastAsia="Arial" w:hAnsi="Arial"/>
          <w:sz w:val="22"/>
          <w:szCs w:val="22"/>
          <w:color w:val="auto"/>
        </w:rPr>
        <w:t>.</w:t>
      </w:r>
    </w:p>
    <w:p>
      <w:pPr>
        <w:spacing w:after="0" w:line="185" w:lineRule="exact"/>
        <w:rPr>
          <w:sz w:val="20"/>
          <w:szCs w:val="20"/>
          <w:color w:val="auto"/>
        </w:rPr>
      </w:pPr>
    </w:p>
    <w:p>
      <w:pPr>
        <w:ind w:left="1360" w:right="1499" w:firstLine="1291"/>
        <w:spacing w:after="0" w:line="223" w:lineRule="auto"/>
        <w:tabs>
          <w:tab w:leader="none" w:pos="3342" w:val="left"/>
        </w:tabs>
        <w:numPr>
          <w:ilvl w:val="0"/>
          <w:numId w:val="77"/>
        </w:numPr>
        <w:rPr>
          <w:rFonts w:ascii="Arial" w:cs="Arial" w:eastAsia="Arial" w:hAnsi="Arial"/>
          <w:sz w:val="22"/>
          <w:szCs w:val="22"/>
          <w:color w:val="010000"/>
        </w:rPr>
      </w:pPr>
      <w:r>
        <w:rPr>
          <w:rFonts w:ascii="Arial" w:cs="Arial" w:eastAsia="Arial" w:hAnsi="Arial"/>
          <w:sz w:val="22"/>
          <w:szCs w:val="22"/>
          <w:u w:val="single" w:color="auto"/>
          <w:color w:val="auto"/>
        </w:rPr>
        <w:t>Place of Delivery</w:t>
      </w:r>
      <w:r>
        <w:rPr>
          <w:rFonts w:ascii="Arial" w:cs="Arial" w:eastAsia="Arial" w:hAnsi="Arial"/>
          <w:sz w:val="22"/>
          <w:szCs w:val="22"/>
          <w:color w:val="auto"/>
        </w:rPr>
        <w:t>. Every notice or other communication relating to this Agreement shall be in writing, and shall be mailed to or delivered to the party for whom 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864235</wp:posOffset>
            </wp:positionH>
            <wp:positionV relativeFrom="paragraph">
              <wp:posOffset>260350</wp:posOffset>
            </wp:positionV>
            <wp:extent cx="4004945" cy="26035"/>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88">
                      <a:extLst>
                        <a:ext uri="{28A0092B-C50C-407E-A947-70E740481C1C}"/>
                      </a:extLst>
                    </a:blip>
                    <a:srcRect/>
                    <a:stretch>
                      <a:fillRect/>
                    </a:stretch>
                  </pic:blipFill>
                  <pic:spPr bwMode="auto">
                    <a:xfrm>
                      <a:off x="0" y="0"/>
                      <a:ext cx="4004945" cy="26035"/>
                    </a:xfrm>
                    <a:prstGeom prst="rect">
                      <a:avLst/>
                    </a:prstGeom>
                    <a:noFill/>
                  </pic:spPr>
                </pic:pic>
              </a:graphicData>
            </a:graphic>
          </wp:anchor>
        </w:drawing>
      </w:r>
    </w:p>
    <w:p>
      <w:pPr>
        <w:sectPr>
          <w:pgSz w:w="11900" w:h="16838" w:orient="portrait"/>
          <w:cols w:equalWidth="0" w:num="1">
            <w:col w:w="9019"/>
          </w:cols>
          <w:pgMar w:left="1440" w:top="491" w:right="1440" w:bottom="1440" w:gutter="0" w:footer="0" w:header="0"/>
        </w:sectPr>
      </w:pPr>
    </w:p>
    <w:bookmarkStart w:id="154" w:name="page155"/>
    <w:bookmarkEnd w:id="154"/>
    <w:p>
      <w:pPr>
        <w:ind w:left="1360" w:right="1379"/>
        <w:spacing w:after="0" w:line="245" w:lineRule="auto"/>
        <w:rPr>
          <w:sz w:val="20"/>
          <w:szCs w:val="20"/>
          <w:color w:val="auto"/>
        </w:rPr>
      </w:pPr>
      <w:r>
        <w:rPr>
          <w:rFonts w:ascii="Arial" w:cs="Arial" w:eastAsia="Arial" w:hAnsi="Arial"/>
          <w:sz w:val="19"/>
          <w:szCs w:val="19"/>
          <w:color w:val="auto"/>
        </w:rPr>
        <w:t xml:space="preserve">which it is intended at such address as may from time to time be designated by it in a notice mailed or delivered to the other party as herein provided; </w:t>
      </w:r>
      <w:r>
        <w:rPr>
          <w:rFonts w:ascii="Arial" w:cs="Arial" w:eastAsia="Arial" w:hAnsi="Arial"/>
          <w:sz w:val="19"/>
          <w:szCs w:val="19"/>
          <w:i w:val="1"/>
          <w:iCs w:val="1"/>
          <w:color w:val="auto"/>
        </w:rPr>
        <w:t>provided</w:t>
      </w:r>
      <w:r>
        <w:rPr>
          <w:rFonts w:ascii="Arial" w:cs="Arial" w:eastAsia="Arial" w:hAnsi="Arial"/>
          <w:sz w:val="19"/>
          <w:szCs w:val="19"/>
          <w:color w:val="auto"/>
        </w:rPr>
        <w:t>, that unless and until some other address be so designated, all notices and communications by the Executive to the Company or the Employer shall be mailed or delivered to the Company at its principal executive office, and all notices and communications by the Company or the Employer to the Executive may be given to the Executive personally or may be mailed to the Executive at the Executive’s last known address, as reflected in the Company’s records.</w:t>
      </w:r>
    </w:p>
    <w:p>
      <w:pPr>
        <w:spacing w:after="0" w:line="153" w:lineRule="exact"/>
        <w:rPr>
          <w:sz w:val="20"/>
          <w:szCs w:val="20"/>
          <w:color w:val="auto"/>
        </w:rPr>
      </w:pPr>
    </w:p>
    <w:p>
      <w:pPr>
        <w:ind w:left="1360" w:right="1499" w:firstLine="1291"/>
        <w:spacing w:after="0" w:line="214" w:lineRule="auto"/>
        <w:tabs>
          <w:tab w:leader="none" w:pos="3354" w:val="left"/>
        </w:tabs>
        <w:numPr>
          <w:ilvl w:val="0"/>
          <w:numId w:val="78"/>
        </w:numPr>
        <w:rPr>
          <w:rFonts w:ascii="Arial" w:cs="Arial" w:eastAsia="Arial" w:hAnsi="Arial"/>
          <w:sz w:val="22"/>
          <w:szCs w:val="22"/>
          <w:color w:val="010000"/>
        </w:rPr>
      </w:pPr>
      <w:r>
        <w:rPr>
          <w:rFonts w:ascii="Arial" w:cs="Arial" w:eastAsia="Arial" w:hAnsi="Arial"/>
          <w:sz w:val="22"/>
          <w:szCs w:val="22"/>
          <w:u w:val="single" w:color="auto"/>
          <w:color w:val="auto"/>
        </w:rPr>
        <w:t>Date of Delivery</w:t>
      </w:r>
      <w:r>
        <w:rPr>
          <w:rFonts w:ascii="Arial" w:cs="Arial" w:eastAsia="Arial" w:hAnsi="Arial"/>
          <w:sz w:val="22"/>
          <w:szCs w:val="22"/>
          <w:color w:val="auto"/>
        </w:rPr>
        <w:t>. Any notice so addressed shall be deemed to be given (i) if delivered by hand, on the date of such delivery, (ii) if mailed by courier or by overnight mail, on the first business day following the date of such mailing, and (iii) if mailed by registered or certified mail, on the third business day after the date of such mailing.</w:t>
      </w:r>
    </w:p>
    <w:p>
      <w:pPr>
        <w:spacing w:after="0" w:line="153" w:lineRule="exact"/>
        <w:rPr>
          <w:sz w:val="20"/>
          <w:szCs w:val="20"/>
          <w:color w:val="auto"/>
        </w:rPr>
      </w:pPr>
    </w:p>
    <w:p>
      <w:pPr>
        <w:ind w:left="3320" w:hanging="669"/>
        <w:spacing w:after="0"/>
        <w:tabs>
          <w:tab w:leader="none" w:pos="3320" w:val="left"/>
        </w:tabs>
        <w:numPr>
          <w:ilvl w:val="0"/>
          <w:numId w:val="79"/>
        </w:numPr>
        <w:rPr>
          <w:rFonts w:ascii="Arial" w:cs="Arial" w:eastAsia="Arial" w:hAnsi="Arial"/>
          <w:sz w:val="22"/>
          <w:szCs w:val="22"/>
          <w:color w:val="010000"/>
        </w:rPr>
      </w:pPr>
      <w:r>
        <w:rPr>
          <w:rFonts w:ascii="Arial" w:cs="Arial" w:eastAsia="Arial" w:hAnsi="Arial"/>
          <w:sz w:val="22"/>
          <w:szCs w:val="22"/>
          <w:b w:val="1"/>
          <w:bCs w:val="1"/>
          <w:u w:val="single" w:color="auto"/>
          <w:color w:val="auto"/>
        </w:rPr>
        <w:t>Section Headings</w:t>
      </w:r>
      <w:r>
        <w:rPr>
          <w:rFonts w:ascii="Arial" w:cs="Arial" w:eastAsia="Arial" w:hAnsi="Arial"/>
          <w:sz w:val="22"/>
          <w:szCs w:val="22"/>
          <w:color w:val="auto"/>
        </w:rPr>
        <w:t>.</w:t>
      </w:r>
    </w:p>
    <w:p>
      <w:pPr>
        <w:spacing w:after="0" w:line="185" w:lineRule="exact"/>
        <w:rPr>
          <w:sz w:val="20"/>
          <w:szCs w:val="20"/>
          <w:color w:val="auto"/>
        </w:rPr>
      </w:pPr>
    </w:p>
    <w:p>
      <w:pPr>
        <w:ind w:left="1360" w:right="1399" w:firstLine="1297"/>
        <w:spacing w:after="0" w:line="229" w:lineRule="auto"/>
        <w:rPr>
          <w:sz w:val="20"/>
          <w:szCs w:val="20"/>
          <w:color w:val="auto"/>
        </w:rPr>
      </w:pPr>
      <w:r>
        <w:rPr>
          <w:rFonts w:ascii="Arial" w:cs="Arial" w:eastAsia="Arial" w:hAnsi="Arial"/>
          <w:sz w:val="21"/>
          <w:szCs w:val="21"/>
          <w:color w:val="auto"/>
        </w:rPr>
        <w:t>The headings of the sections and subsections of this Agreement are inserted for convenience only and shall not be deemed to constitute a part thereof or affect the meaning or interpretation of this Agreement or of any term or provision hereof.</w:t>
      </w:r>
    </w:p>
    <w:p>
      <w:pPr>
        <w:spacing w:after="0" w:line="153" w:lineRule="exact"/>
        <w:rPr>
          <w:sz w:val="20"/>
          <w:szCs w:val="20"/>
          <w:color w:val="auto"/>
        </w:rPr>
      </w:pPr>
    </w:p>
    <w:p>
      <w:pPr>
        <w:ind w:left="1360" w:right="1439" w:firstLine="1291"/>
        <w:spacing w:after="0" w:line="250" w:lineRule="auto"/>
        <w:tabs>
          <w:tab w:leader="none" w:pos="3332" w:val="left"/>
        </w:tabs>
        <w:numPr>
          <w:ilvl w:val="0"/>
          <w:numId w:val="80"/>
        </w:numPr>
        <w:rPr>
          <w:rFonts w:ascii="Arial" w:cs="Arial" w:eastAsia="Arial" w:hAnsi="Arial"/>
          <w:sz w:val="19"/>
          <w:szCs w:val="19"/>
          <w:color w:val="010000"/>
        </w:rPr>
      </w:pPr>
      <w:r>
        <w:rPr>
          <w:rFonts w:ascii="Arial" w:cs="Arial" w:eastAsia="Arial" w:hAnsi="Arial"/>
          <w:sz w:val="19"/>
          <w:szCs w:val="19"/>
          <w:b w:val="1"/>
          <w:bCs w:val="1"/>
          <w:u w:val="single" w:color="auto"/>
          <w:color w:val="auto"/>
        </w:rPr>
        <w:t>Employment At-Will</w:t>
      </w:r>
      <w:r>
        <w:rPr>
          <w:rFonts w:ascii="Arial" w:cs="Arial" w:eastAsia="Arial" w:hAnsi="Arial"/>
          <w:sz w:val="19"/>
          <w:szCs w:val="19"/>
          <w:color w:val="auto"/>
        </w:rPr>
        <w:t>. Employment with the</w:t>
      </w:r>
      <w:r>
        <w:rPr>
          <w:rFonts w:ascii="Arial" w:cs="Arial" w:eastAsia="Arial" w:hAnsi="Arial"/>
          <w:sz w:val="19"/>
          <w:szCs w:val="19"/>
          <w:b w:val="1"/>
          <w:bCs w:val="1"/>
          <w:color w:val="auto"/>
        </w:rPr>
        <w:t xml:space="preserve"> </w:t>
      </w:r>
      <w:r>
        <w:rPr>
          <w:rFonts w:ascii="Arial" w:cs="Arial" w:eastAsia="Arial" w:hAnsi="Arial"/>
          <w:sz w:val="19"/>
          <w:szCs w:val="19"/>
          <w:color w:val="auto"/>
        </w:rPr>
        <w:t>Employer is “at-will,” meaning that either Executive or the Employer may terminate such employment at any time and for any reason, with or without Cause (subject to the terms of this Agreement). The provisions of Sections 6 of this Agreement shall survive any termination of this Agreement or Executive’s termination of employment.</w:t>
      </w:r>
    </w:p>
    <w:p>
      <w:pPr>
        <w:spacing w:after="0" w:line="147" w:lineRule="exact"/>
        <w:rPr>
          <w:rFonts w:ascii="Arial" w:cs="Arial" w:eastAsia="Arial" w:hAnsi="Arial"/>
          <w:sz w:val="19"/>
          <w:szCs w:val="19"/>
          <w:color w:val="010000"/>
        </w:rPr>
      </w:pPr>
    </w:p>
    <w:p>
      <w:pPr>
        <w:ind w:left="1360" w:right="1479" w:firstLine="1291"/>
        <w:spacing w:after="0" w:line="220" w:lineRule="auto"/>
        <w:tabs>
          <w:tab w:leader="none" w:pos="3332" w:val="left"/>
        </w:tabs>
        <w:numPr>
          <w:ilvl w:val="0"/>
          <w:numId w:val="80"/>
        </w:numPr>
        <w:rPr>
          <w:rFonts w:ascii="Arial" w:cs="Arial" w:eastAsia="Arial" w:hAnsi="Arial"/>
          <w:sz w:val="22"/>
          <w:szCs w:val="22"/>
          <w:color w:val="010000"/>
        </w:rPr>
      </w:pPr>
      <w:r>
        <w:rPr>
          <w:rFonts w:ascii="Arial" w:cs="Arial" w:eastAsia="Arial" w:hAnsi="Arial"/>
          <w:sz w:val="22"/>
          <w:szCs w:val="22"/>
          <w:b w:val="1"/>
          <w:bCs w:val="1"/>
          <w:u w:val="single" w:color="auto"/>
          <w:color w:val="auto"/>
        </w:rPr>
        <w:t>Successors; Binding Agreement</w:t>
      </w:r>
      <w:r>
        <w:rPr>
          <w:rFonts w:ascii="Arial" w:cs="Arial" w:eastAsia="Arial" w:hAnsi="Arial"/>
          <w:sz w:val="22"/>
          <w:szCs w:val="22"/>
          <w:color w:val="auto"/>
        </w:rPr>
        <w:t>. This</w:t>
      </w:r>
      <w:r>
        <w:rPr>
          <w:rFonts w:ascii="Arial" w:cs="Arial" w:eastAsia="Arial" w:hAnsi="Arial"/>
          <w:sz w:val="22"/>
          <w:szCs w:val="22"/>
          <w:b w:val="1"/>
          <w:bCs w:val="1"/>
          <w:color w:val="auto"/>
        </w:rPr>
        <w:t xml:space="preserve"> </w:t>
      </w:r>
      <w:r>
        <w:rPr>
          <w:rFonts w:ascii="Arial" w:cs="Arial" w:eastAsia="Arial" w:hAnsi="Arial"/>
          <w:sz w:val="22"/>
          <w:szCs w:val="22"/>
          <w:color w:val="auto"/>
        </w:rPr>
        <w:t>Agreement shall inure to the benefit of and be binding upon personal or legal representatives, executors, administrators, successors, heirs, distributees, devisees and legatees.</w:t>
      </w:r>
    </w:p>
    <w:p>
      <w:pPr>
        <w:spacing w:after="0" w:line="152" w:lineRule="exact"/>
        <w:rPr>
          <w:rFonts w:ascii="Arial" w:cs="Arial" w:eastAsia="Arial" w:hAnsi="Arial"/>
          <w:sz w:val="22"/>
          <w:szCs w:val="22"/>
          <w:color w:val="010000"/>
        </w:rPr>
      </w:pPr>
    </w:p>
    <w:p>
      <w:pPr>
        <w:ind w:left="1360" w:right="1359" w:firstLine="1291"/>
        <w:spacing w:after="0" w:line="250" w:lineRule="auto"/>
        <w:tabs>
          <w:tab w:leader="none" w:pos="3332" w:val="left"/>
        </w:tabs>
        <w:numPr>
          <w:ilvl w:val="0"/>
          <w:numId w:val="80"/>
        </w:numPr>
        <w:rPr>
          <w:rFonts w:ascii="Arial" w:cs="Arial" w:eastAsia="Arial" w:hAnsi="Arial"/>
          <w:sz w:val="19"/>
          <w:szCs w:val="19"/>
          <w:color w:val="010000"/>
        </w:rPr>
      </w:pPr>
      <w:r>
        <w:rPr>
          <w:rFonts w:ascii="Arial" w:cs="Arial" w:eastAsia="Arial" w:hAnsi="Arial"/>
          <w:sz w:val="19"/>
          <w:szCs w:val="19"/>
          <w:b w:val="1"/>
          <w:bCs w:val="1"/>
          <w:u w:val="single" w:color="auto"/>
          <w:color w:val="auto"/>
        </w:rPr>
        <w:t>No Conflicts</w:t>
      </w:r>
      <w:r>
        <w:rPr>
          <w:rFonts w:ascii="Arial" w:cs="Arial" w:eastAsia="Arial" w:hAnsi="Arial"/>
          <w:sz w:val="19"/>
          <w:szCs w:val="19"/>
          <w:color w:val="auto"/>
        </w:rPr>
        <w:t>. Executive represents and warrants</w:t>
      </w:r>
      <w:r>
        <w:rPr>
          <w:rFonts w:ascii="Arial" w:cs="Arial" w:eastAsia="Arial" w:hAnsi="Arial"/>
          <w:sz w:val="19"/>
          <w:szCs w:val="19"/>
          <w:b w:val="1"/>
          <w:bCs w:val="1"/>
          <w:color w:val="auto"/>
        </w:rPr>
        <w:t xml:space="preserve"> </w:t>
      </w:r>
      <w:r>
        <w:rPr>
          <w:rFonts w:ascii="Arial" w:cs="Arial" w:eastAsia="Arial" w:hAnsi="Arial"/>
          <w:sz w:val="19"/>
          <w:szCs w:val="19"/>
          <w:color w:val="auto"/>
        </w:rPr>
        <w:t>that there are no restrictions, agreements or understandings whatsoever to which he is a party that would prevent or make unlawful his execution of this Agreement, that would be inconsistent or in conflict with this Agreement or his obligations hereunder, or that would otherwise prevent, limit or impair his performance of services for Acushnet.</w:t>
      </w:r>
    </w:p>
    <w:p>
      <w:pPr>
        <w:spacing w:after="0" w:line="147" w:lineRule="exact"/>
        <w:rPr>
          <w:rFonts w:ascii="Arial" w:cs="Arial" w:eastAsia="Arial" w:hAnsi="Arial"/>
          <w:sz w:val="19"/>
          <w:szCs w:val="19"/>
          <w:color w:val="010000"/>
        </w:rPr>
      </w:pPr>
    </w:p>
    <w:p>
      <w:pPr>
        <w:ind w:left="3320" w:hanging="669"/>
        <w:spacing w:after="0"/>
        <w:tabs>
          <w:tab w:leader="none" w:pos="3320" w:val="left"/>
        </w:tabs>
        <w:numPr>
          <w:ilvl w:val="0"/>
          <w:numId w:val="80"/>
        </w:numPr>
        <w:rPr>
          <w:rFonts w:ascii="Arial" w:cs="Arial" w:eastAsia="Arial" w:hAnsi="Arial"/>
          <w:sz w:val="22"/>
          <w:szCs w:val="22"/>
          <w:color w:val="010000"/>
        </w:rPr>
      </w:pPr>
      <w:r>
        <w:rPr>
          <w:rFonts w:ascii="Arial" w:cs="Arial" w:eastAsia="Arial" w:hAnsi="Arial"/>
          <w:sz w:val="22"/>
          <w:szCs w:val="22"/>
          <w:b w:val="1"/>
          <w:bCs w:val="1"/>
          <w:u w:val="single" w:color="auto"/>
          <w:color w:val="auto"/>
        </w:rPr>
        <w:t>Entire Agreement</w:t>
      </w:r>
      <w:r>
        <w:rPr>
          <w:rFonts w:ascii="Arial" w:cs="Arial" w:eastAsia="Arial" w:hAnsi="Arial"/>
          <w:sz w:val="22"/>
          <w:szCs w:val="22"/>
          <w:color w:val="auto"/>
        </w:rPr>
        <w:t>.</w:t>
      </w:r>
    </w:p>
    <w:p>
      <w:pPr>
        <w:spacing w:after="0" w:line="185" w:lineRule="exact"/>
        <w:rPr>
          <w:sz w:val="20"/>
          <w:szCs w:val="20"/>
          <w:color w:val="auto"/>
        </w:rPr>
      </w:pPr>
    </w:p>
    <w:p>
      <w:pPr>
        <w:ind w:left="1360" w:right="1479" w:firstLine="1297"/>
        <w:spacing w:after="0" w:line="214" w:lineRule="auto"/>
        <w:rPr>
          <w:sz w:val="20"/>
          <w:szCs w:val="20"/>
          <w:color w:val="auto"/>
        </w:rPr>
      </w:pPr>
      <w:r>
        <w:rPr>
          <w:rFonts w:ascii="Arial" w:cs="Arial" w:eastAsia="Arial" w:hAnsi="Arial"/>
          <w:sz w:val="22"/>
          <w:szCs w:val="22"/>
          <w:color w:val="auto"/>
        </w:rPr>
        <w:t>This Agreement constitutes the entire understanding and agreement of the parties hereto regarding the employment of the Executive. This Agreement supersedes all prior negotiations, discussions, correspondence, communications, understandings, and agreements between the parties relating to the subject matter of this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864235</wp:posOffset>
            </wp:positionH>
            <wp:positionV relativeFrom="paragraph">
              <wp:posOffset>397510</wp:posOffset>
            </wp:positionV>
            <wp:extent cx="4004945" cy="26035"/>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89">
                      <a:extLst>
                        <a:ext uri="{28A0092B-C50C-407E-A947-70E740481C1C}"/>
                      </a:extLst>
                    </a:blip>
                    <a:srcRect/>
                    <a:stretch>
                      <a:fillRect/>
                    </a:stretch>
                  </pic:blipFill>
                  <pic:spPr bwMode="auto">
                    <a:xfrm>
                      <a:off x="0" y="0"/>
                      <a:ext cx="4004945" cy="26035"/>
                    </a:xfrm>
                    <a:prstGeom prst="rect">
                      <a:avLst/>
                    </a:prstGeom>
                    <a:noFill/>
                  </pic:spPr>
                </pic:pic>
              </a:graphicData>
            </a:graphic>
          </wp:anchor>
        </w:drawing>
      </w:r>
    </w:p>
    <w:p>
      <w:pPr>
        <w:sectPr>
          <w:pgSz w:w="11900" w:h="16838" w:orient="portrait"/>
          <w:cols w:equalWidth="0" w:num="1">
            <w:col w:w="9019"/>
          </w:cols>
          <w:pgMar w:left="1440" w:top="321" w:right="1440" w:bottom="1440" w:gutter="0" w:footer="0" w:header="0"/>
        </w:sectPr>
      </w:pPr>
    </w:p>
    <w:bookmarkStart w:id="155" w:name="page156"/>
    <w:bookmarkEnd w:id="155"/>
    <w:p>
      <w:pPr>
        <w:ind w:left="1360" w:right="2119" w:firstLine="1297"/>
        <w:spacing w:after="0" w:line="298" w:lineRule="auto"/>
        <w:rPr>
          <w:sz w:val="20"/>
          <w:szCs w:val="20"/>
          <w:color w:val="auto"/>
        </w:rPr>
      </w:pPr>
      <w:r>
        <w:rPr>
          <w:rFonts w:ascii="Arial" w:cs="Arial" w:eastAsia="Arial" w:hAnsi="Arial"/>
          <w:sz w:val="19"/>
          <w:szCs w:val="19"/>
          <w:color w:val="auto"/>
        </w:rPr>
        <w:t>IN WITNESS WHEREOF, the undersigned have executed this Agreement as of the date first above written.</w:t>
      </w:r>
    </w:p>
    <w:p>
      <w:pPr>
        <w:spacing w:after="0" w:line="106" w:lineRule="exact"/>
        <w:rPr>
          <w:sz w:val="20"/>
          <w:szCs w:val="20"/>
          <w:color w:val="auto"/>
        </w:rPr>
      </w:pPr>
    </w:p>
    <w:p>
      <w:pPr>
        <w:ind w:left="5240"/>
        <w:spacing w:after="0"/>
        <w:rPr>
          <w:sz w:val="20"/>
          <w:szCs w:val="20"/>
          <w:color w:val="auto"/>
        </w:rPr>
      </w:pPr>
      <w:r>
        <w:rPr>
          <w:rFonts w:ascii="Arial" w:cs="Arial" w:eastAsia="Arial" w:hAnsi="Arial"/>
          <w:sz w:val="21"/>
          <w:szCs w:val="21"/>
          <w:color w:val="auto"/>
        </w:rPr>
        <w:t>ACUSHNET COMPANY</w:t>
      </w:r>
    </w:p>
    <w:p>
      <w:pPr>
        <w:spacing w:after="0" w:line="200" w:lineRule="exact"/>
        <w:rPr>
          <w:sz w:val="20"/>
          <w:szCs w:val="20"/>
          <w:color w:val="auto"/>
        </w:rPr>
      </w:pPr>
    </w:p>
    <w:p>
      <w:pPr>
        <w:spacing w:after="0" w:line="296" w:lineRule="exact"/>
        <w:rPr>
          <w:sz w:val="20"/>
          <w:szCs w:val="20"/>
          <w:color w:val="auto"/>
        </w:rPr>
      </w:pPr>
    </w:p>
    <w:p>
      <w:pPr>
        <w:ind w:left="5240"/>
        <w:spacing w:after="0"/>
        <w:rPr>
          <w:sz w:val="20"/>
          <w:szCs w:val="20"/>
          <w:color w:val="auto"/>
        </w:rPr>
      </w:pPr>
      <w:r>
        <w:rPr>
          <w:rFonts w:ascii="Arial" w:cs="Arial" w:eastAsia="Arial" w:hAnsi="Arial"/>
          <w:sz w:val="22"/>
          <w:szCs w:val="22"/>
          <w:color w:val="auto"/>
        </w:rPr>
        <w:t>__</w:t>
      </w:r>
      <w:r>
        <w:rPr>
          <w:rFonts w:ascii="Arial" w:cs="Arial" w:eastAsia="Arial" w:hAnsi="Arial"/>
          <w:sz w:val="22"/>
          <w:szCs w:val="22"/>
          <w:u w:val="single" w:color="auto"/>
          <w:color w:val="auto"/>
        </w:rPr>
        <w:t>/s/ Dennis D.</w:t>
      </w:r>
    </w:p>
    <w:p>
      <w:pPr>
        <w:ind w:left="5240"/>
        <w:spacing w:after="0" w:line="205" w:lineRule="auto"/>
        <w:rPr>
          <w:sz w:val="20"/>
          <w:szCs w:val="20"/>
          <w:color w:val="auto"/>
        </w:rPr>
      </w:pPr>
      <w:r>
        <w:rPr>
          <w:rFonts w:ascii="Arial" w:cs="Arial" w:eastAsia="Arial" w:hAnsi="Arial"/>
          <w:sz w:val="22"/>
          <w:szCs w:val="22"/>
          <w:u w:val="single" w:color="auto"/>
          <w:color w:val="auto"/>
        </w:rPr>
        <w:t>Doherty</w:t>
      </w:r>
      <w:r>
        <w:rPr>
          <w:rFonts w:ascii="Arial" w:cs="Arial" w:eastAsia="Arial" w:hAnsi="Arial"/>
          <w:sz w:val="22"/>
          <w:szCs w:val="22"/>
          <w:color w:val="auto"/>
        </w:rPr>
        <w:t>________</w:t>
      </w:r>
    </w:p>
    <w:p>
      <w:pPr>
        <w:ind w:left="5240"/>
        <w:spacing w:after="0" w:line="205" w:lineRule="auto"/>
        <w:rPr>
          <w:sz w:val="20"/>
          <w:szCs w:val="20"/>
          <w:color w:val="auto"/>
        </w:rPr>
      </w:pPr>
      <w:r>
        <w:rPr>
          <w:rFonts w:ascii="Arial" w:cs="Arial" w:eastAsia="Arial" w:hAnsi="Arial"/>
          <w:sz w:val="22"/>
          <w:szCs w:val="22"/>
          <w:color w:val="auto"/>
        </w:rPr>
        <w:t>By: Dennis D. Doherty</w:t>
      </w:r>
    </w:p>
    <w:p>
      <w:pPr>
        <w:ind w:left="5240"/>
        <w:spacing w:after="0"/>
        <w:rPr>
          <w:sz w:val="20"/>
          <w:szCs w:val="20"/>
          <w:color w:val="auto"/>
        </w:rPr>
      </w:pPr>
      <w:r>
        <w:rPr>
          <w:rFonts w:ascii="Arial" w:cs="Arial" w:eastAsia="Arial" w:hAnsi="Arial"/>
          <w:sz w:val="22"/>
          <w:szCs w:val="22"/>
          <w:color w:val="auto"/>
        </w:rPr>
        <w:t>Title: EVP HR</w:t>
      </w:r>
    </w:p>
    <w:p>
      <w:pPr>
        <w:spacing w:after="0" w:line="200" w:lineRule="exact"/>
        <w:rPr>
          <w:sz w:val="20"/>
          <w:szCs w:val="20"/>
          <w:color w:val="auto"/>
        </w:rPr>
      </w:pPr>
    </w:p>
    <w:p>
      <w:pPr>
        <w:spacing w:after="0" w:line="278" w:lineRule="exact"/>
        <w:rPr>
          <w:sz w:val="20"/>
          <w:szCs w:val="20"/>
          <w:color w:val="auto"/>
        </w:rPr>
      </w:pPr>
    </w:p>
    <w:p>
      <w:pPr>
        <w:ind w:left="5240"/>
        <w:spacing w:after="0"/>
        <w:rPr>
          <w:sz w:val="20"/>
          <w:szCs w:val="20"/>
          <w:color w:val="auto"/>
        </w:rPr>
      </w:pPr>
      <w:r>
        <w:rPr>
          <w:rFonts w:ascii="Arial" w:cs="Arial" w:eastAsia="Arial" w:hAnsi="Arial"/>
          <w:sz w:val="21"/>
          <w:szCs w:val="21"/>
          <w:color w:val="auto"/>
        </w:rPr>
        <w:t>ACUSHNET HOLDINGS</w:t>
      </w:r>
    </w:p>
    <w:p>
      <w:pPr>
        <w:ind w:left="5240"/>
        <w:spacing w:after="0"/>
        <w:rPr>
          <w:sz w:val="20"/>
          <w:szCs w:val="20"/>
          <w:color w:val="auto"/>
        </w:rPr>
      </w:pPr>
      <w:r>
        <w:rPr>
          <w:rFonts w:ascii="Arial" w:cs="Arial" w:eastAsia="Arial" w:hAnsi="Arial"/>
          <w:sz w:val="22"/>
          <w:szCs w:val="22"/>
          <w:color w:val="auto"/>
        </w:rPr>
        <w:t>CORP.</w:t>
      </w:r>
    </w:p>
    <w:p>
      <w:pPr>
        <w:spacing w:after="0" w:line="200" w:lineRule="exact"/>
        <w:rPr>
          <w:sz w:val="20"/>
          <w:szCs w:val="20"/>
          <w:color w:val="auto"/>
        </w:rPr>
      </w:pPr>
    </w:p>
    <w:p>
      <w:pPr>
        <w:spacing w:after="0" w:line="266" w:lineRule="exact"/>
        <w:rPr>
          <w:sz w:val="20"/>
          <w:szCs w:val="20"/>
          <w:color w:val="auto"/>
        </w:rPr>
      </w:pPr>
    </w:p>
    <w:p>
      <w:pPr>
        <w:ind w:left="5240"/>
        <w:spacing w:after="0"/>
        <w:rPr>
          <w:sz w:val="20"/>
          <w:szCs w:val="20"/>
          <w:color w:val="auto"/>
        </w:rPr>
      </w:pPr>
      <w:r>
        <w:rPr>
          <w:rFonts w:ascii="Arial" w:cs="Arial" w:eastAsia="Arial" w:hAnsi="Arial"/>
          <w:sz w:val="22"/>
          <w:szCs w:val="22"/>
          <w:color w:val="auto"/>
        </w:rPr>
        <w:t>__</w:t>
      </w:r>
      <w:r>
        <w:rPr>
          <w:rFonts w:ascii="Arial" w:cs="Arial" w:eastAsia="Arial" w:hAnsi="Arial"/>
          <w:sz w:val="22"/>
          <w:szCs w:val="22"/>
          <w:u w:val="single" w:color="auto"/>
          <w:color w:val="auto"/>
        </w:rPr>
        <w:t>/s/ Dennis D.</w:t>
      </w:r>
    </w:p>
    <w:p>
      <w:pPr>
        <w:ind w:left="5240"/>
        <w:spacing w:after="0" w:line="205" w:lineRule="auto"/>
        <w:rPr>
          <w:sz w:val="20"/>
          <w:szCs w:val="20"/>
          <w:color w:val="auto"/>
        </w:rPr>
      </w:pPr>
      <w:r>
        <w:rPr>
          <w:rFonts w:ascii="Arial" w:cs="Arial" w:eastAsia="Arial" w:hAnsi="Arial"/>
          <w:sz w:val="22"/>
          <w:szCs w:val="22"/>
          <w:u w:val="single" w:color="auto"/>
          <w:color w:val="auto"/>
        </w:rPr>
        <w:t>Doherty</w:t>
      </w:r>
      <w:r>
        <w:rPr>
          <w:rFonts w:ascii="Arial" w:cs="Arial" w:eastAsia="Arial" w:hAnsi="Arial"/>
          <w:sz w:val="22"/>
          <w:szCs w:val="22"/>
          <w:color w:val="auto"/>
        </w:rPr>
        <w:t>________</w:t>
      </w:r>
    </w:p>
    <w:p>
      <w:pPr>
        <w:ind w:left="5240"/>
        <w:spacing w:after="0" w:line="205" w:lineRule="auto"/>
        <w:rPr>
          <w:sz w:val="20"/>
          <w:szCs w:val="20"/>
          <w:color w:val="auto"/>
        </w:rPr>
      </w:pPr>
      <w:r>
        <w:rPr>
          <w:rFonts w:ascii="Arial" w:cs="Arial" w:eastAsia="Arial" w:hAnsi="Arial"/>
          <w:sz w:val="22"/>
          <w:szCs w:val="22"/>
          <w:color w:val="auto"/>
        </w:rPr>
        <w:t>By: Dennis D. Doherty</w:t>
      </w:r>
    </w:p>
    <w:p>
      <w:pPr>
        <w:ind w:left="5240"/>
        <w:spacing w:after="0"/>
        <w:rPr>
          <w:sz w:val="20"/>
          <w:szCs w:val="20"/>
          <w:color w:val="auto"/>
        </w:rPr>
      </w:pPr>
      <w:r>
        <w:rPr>
          <w:rFonts w:ascii="Arial" w:cs="Arial" w:eastAsia="Arial" w:hAnsi="Arial"/>
          <w:sz w:val="22"/>
          <w:szCs w:val="22"/>
          <w:color w:val="auto"/>
        </w:rPr>
        <w:t>Title: EVP HR</w:t>
      </w:r>
    </w:p>
    <w:p>
      <w:pPr>
        <w:spacing w:after="0" w:line="200" w:lineRule="exact"/>
        <w:rPr>
          <w:sz w:val="20"/>
          <w:szCs w:val="20"/>
          <w:color w:val="auto"/>
        </w:rPr>
      </w:pPr>
    </w:p>
    <w:p>
      <w:pPr>
        <w:spacing w:after="0" w:line="285" w:lineRule="exact"/>
        <w:rPr>
          <w:sz w:val="20"/>
          <w:szCs w:val="20"/>
          <w:color w:val="auto"/>
        </w:rPr>
      </w:pPr>
    </w:p>
    <w:p>
      <w:pPr>
        <w:ind w:left="5240"/>
        <w:spacing w:after="0"/>
        <w:rPr>
          <w:sz w:val="20"/>
          <w:szCs w:val="20"/>
          <w:color w:val="auto"/>
        </w:rPr>
      </w:pPr>
      <w:r>
        <w:rPr>
          <w:rFonts w:ascii="Arial" w:cs="Arial" w:eastAsia="Arial" w:hAnsi="Arial"/>
          <w:sz w:val="22"/>
          <w:szCs w:val="22"/>
          <w:color w:val="auto"/>
        </w:rPr>
        <w:t>EXECUTIVE</w:t>
      </w:r>
    </w:p>
    <w:p>
      <w:pPr>
        <w:spacing w:after="0" w:line="200" w:lineRule="exact"/>
        <w:rPr>
          <w:sz w:val="20"/>
          <w:szCs w:val="20"/>
          <w:color w:val="auto"/>
        </w:rPr>
      </w:pPr>
    </w:p>
    <w:p>
      <w:pPr>
        <w:spacing w:after="0" w:line="284" w:lineRule="exact"/>
        <w:rPr>
          <w:sz w:val="20"/>
          <w:szCs w:val="20"/>
          <w:color w:val="auto"/>
        </w:rPr>
      </w:pPr>
    </w:p>
    <w:p>
      <w:pPr>
        <w:ind w:left="5240"/>
        <w:spacing w:after="0"/>
        <w:rPr>
          <w:sz w:val="20"/>
          <w:szCs w:val="20"/>
          <w:color w:val="auto"/>
        </w:rPr>
      </w:pPr>
      <w:r>
        <w:rPr>
          <w:rFonts w:ascii="Arial" w:cs="Arial" w:eastAsia="Arial" w:hAnsi="Arial"/>
          <w:sz w:val="22"/>
          <w:szCs w:val="22"/>
          <w:color w:val="auto"/>
        </w:rPr>
        <w:t>__</w:t>
      </w:r>
      <w:r>
        <w:rPr>
          <w:rFonts w:ascii="Arial" w:cs="Arial" w:eastAsia="Arial" w:hAnsi="Arial"/>
          <w:sz w:val="22"/>
          <w:szCs w:val="22"/>
          <w:u w:val="single" w:color="auto"/>
          <w:color w:val="auto"/>
        </w:rPr>
        <w:t>/s/ David E.</w:t>
      </w:r>
    </w:p>
    <w:p>
      <w:pPr>
        <w:ind w:left="5240"/>
        <w:spacing w:after="0" w:line="214" w:lineRule="auto"/>
        <w:tabs>
          <w:tab w:leader="none" w:pos="6440" w:val="left"/>
        </w:tabs>
        <w:rPr>
          <w:sz w:val="20"/>
          <w:szCs w:val="20"/>
          <w:color w:val="auto"/>
        </w:rPr>
      </w:pPr>
      <w:r>
        <w:rPr>
          <w:rFonts w:ascii="Arial" w:cs="Arial" w:eastAsia="Arial" w:hAnsi="Arial"/>
          <w:sz w:val="21"/>
          <w:szCs w:val="21"/>
          <w:u w:val="single" w:color="auto"/>
          <w:color w:val="auto"/>
        </w:rPr>
        <w:t>Maher</w:t>
      </w:r>
      <w:r>
        <w:rPr>
          <w:sz w:val="20"/>
          <w:szCs w:val="20"/>
          <w:color w:val="auto"/>
        </w:rPr>
        <w:tab/>
      </w:r>
      <w:r>
        <w:rPr>
          <w:rFonts w:ascii="Arial" w:cs="Arial" w:eastAsia="Arial" w:hAnsi="Arial"/>
          <w:sz w:val="21"/>
          <w:szCs w:val="21"/>
          <w:color w:val="auto"/>
        </w:rPr>
        <w:t>_________</w:t>
      </w:r>
    </w:p>
    <w:p>
      <w:pPr>
        <w:spacing w:after="0" w:line="1" w:lineRule="exact"/>
        <w:rPr>
          <w:sz w:val="20"/>
          <w:szCs w:val="20"/>
          <w:color w:val="auto"/>
        </w:rPr>
      </w:pPr>
    </w:p>
    <w:p>
      <w:pPr>
        <w:ind w:left="5240"/>
        <w:spacing w:after="0"/>
        <w:rPr>
          <w:sz w:val="20"/>
          <w:szCs w:val="20"/>
          <w:color w:val="auto"/>
        </w:rPr>
      </w:pPr>
      <w:r>
        <w:rPr>
          <w:rFonts w:ascii="Arial" w:cs="Arial" w:eastAsia="Arial" w:hAnsi="Arial"/>
          <w:sz w:val="22"/>
          <w:szCs w:val="22"/>
          <w:color w:val="auto"/>
        </w:rPr>
        <w:t>David E. Maher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864235</wp:posOffset>
            </wp:positionH>
            <wp:positionV relativeFrom="paragraph">
              <wp:posOffset>604520</wp:posOffset>
            </wp:positionV>
            <wp:extent cx="4004945" cy="26035"/>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90">
                      <a:extLst>
                        <a:ext uri="{28A0092B-C50C-407E-A947-70E740481C1C}"/>
                      </a:extLst>
                    </a:blip>
                    <a:srcRect/>
                    <a:stretch>
                      <a:fillRect/>
                    </a:stretch>
                  </pic:blipFill>
                  <pic:spPr bwMode="auto">
                    <a:xfrm>
                      <a:off x="0" y="0"/>
                      <a:ext cx="4004945" cy="26035"/>
                    </a:xfrm>
                    <a:prstGeom prst="rect">
                      <a:avLst/>
                    </a:prstGeom>
                    <a:noFill/>
                  </pic:spPr>
                </pic:pic>
              </a:graphicData>
            </a:graphic>
          </wp:anchor>
        </w:drawing>
      </w:r>
    </w:p>
    <w:p>
      <w:pPr>
        <w:sectPr>
          <w:pgSz w:w="11900" w:h="16838" w:orient="portrait"/>
          <w:cols w:equalWidth="0" w:num="1">
            <w:col w:w="9019"/>
          </w:cols>
          <w:pgMar w:left="1440" w:top="496" w:right="1440" w:bottom="1440" w:gutter="0" w:footer="0" w:header="0"/>
        </w:sectPr>
      </w:pPr>
    </w:p>
    <w:bookmarkStart w:id="156" w:name="page157"/>
    <w:bookmarkEnd w:id="156"/>
    <w:p>
      <w:pPr>
        <w:jc w:val="center"/>
        <w:ind w:right="-20"/>
        <w:spacing w:after="0"/>
        <w:rPr>
          <w:sz w:val="20"/>
          <w:szCs w:val="20"/>
          <w:color w:val="auto"/>
        </w:rPr>
      </w:pPr>
      <w:r>
        <w:rPr>
          <w:rFonts w:ascii="Arial" w:cs="Arial" w:eastAsia="Arial" w:hAnsi="Arial"/>
          <w:sz w:val="22"/>
          <w:szCs w:val="22"/>
          <w:b w:val="1"/>
          <w:bCs w:val="1"/>
          <w:color w:val="auto"/>
        </w:rPr>
        <w:t>EXHIBIT A</w:t>
      </w:r>
    </w:p>
    <w:p>
      <w:pPr>
        <w:spacing w:after="0" w:line="152" w:lineRule="exact"/>
        <w:rPr>
          <w:sz w:val="20"/>
          <w:szCs w:val="20"/>
          <w:color w:val="auto"/>
        </w:rPr>
      </w:pPr>
    </w:p>
    <w:p>
      <w:pPr>
        <w:jc w:val="center"/>
        <w:ind w:right="-20"/>
        <w:spacing w:after="0"/>
        <w:rPr>
          <w:sz w:val="20"/>
          <w:szCs w:val="20"/>
          <w:color w:val="auto"/>
        </w:rPr>
      </w:pPr>
      <w:r>
        <w:rPr>
          <w:rFonts w:ascii="Arial" w:cs="Arial" w:eastAsia="Arial" w:hAnsi="Arial"/>
          <w:sz w:val="22"/>
          <w:szCs w:val="22"/>
          <w:b w:val="1"/>
          <w:bCs w:val="1"/>
          <w:color w:val="auto"/>
        </w:rPr>
        <w:t>RELEASE OF CLAIMS</w:t>
      </w:r>
    </w:p>
    <w:p>
      <w:pPr>
        <w:spacing w:after="0" w:line="145" w:lineRule="exact"/>
        <w:rPr>
          <w:sz w:val="20"/>
          <w:szCs w:val="20"/>
          <w:color w:val="auto"/>
        </w:rPr>
      </w:pPr>
    </w:p>
    <w:p>
      <w:pPr>
        <w:ind w:left="1360" w:right="1359" w:firstLine="648"/>
        <w:spacing w:after="0" w:line="244" w:lineRule="auto"/>
        <w:rPr>
          <w:sz w:val="20"/>
          <w:szCs w:val="20"/>
          <w:color w:val="auto"/>
        </w:rPr>
      </w:pPr>
      <w:r>
        <w:rPr>
          <w:rFonts w:ascii="Arial" w:cs="Arial" w:eastAsia="Arial" w:hAnsi="Arial"/>
          <w:sz w:val="19"/>
          <w:szCs w:val="19"/>
          <w:color w:val="auto"/>
        </w:rPr>
        <w:t>As used in this release agreement (the “</w:t>
      </w:r>
      <w:r>
        <w:rPr>
          <w:rFonts w:ascii="Arial" w:cs="Arial" w:eastAsia="Arial" w:hAnsi="Arial"/>
          <w:sz w:val="19"/>
          <w:szCs w:val="19"/>
          <w:b w:val="1"/>
          <w:bCs w:val="1"/>
          <w:i w:val="1"/>
          <w:iCs w:val="1"/>
          <w:color w:val="auto"/>
        </w:rPr>
        <w:t>Release of Claims</w:t>
      </w:r>
      <w:r>
        <w:rPr>
          <w:rFonts w:ascii="Arial" w:cs="Arial" w:eastAsia="Arial" w:hAnsi="Arial"/>
          <w:sz w:val="19"/>
          <w:szCs w:val="19"/>
          <w:color w:val="auto"/>
        </w:rPr>
        <w:t xml:space="preserve">”), the term “claims” will include all claims, covenants, warranties, promises, undertakings, actions, suits, causes of action, obligations, debts, accounts, attorneys’ fees, judgments, losses and liabilities, of whatsoever kind or nature, in law, equity or otherwise. Capitalized terms not otherwise defined herein shall have the meaning set forth in my employment agreement dated </w:t>
      </w:r>
      <w:r>
        <w:rPr>
          <w:rFonts w:ascii="Arial" w:cs="Arial" w:eastAsia="Arial" w:hAnsi="Arial"/>
          <w:sz w:val="19"/>
          <w:szCs w:val="19"/>
          <w:b w:val="1"/>
          <w:bCs w:val="1"/>
          <w:color w:val="auto"/>
        </w:rPr>
        <w:t>December 18, 2017</w:t>
      </w:r>
      <w:r>
        <w:rPr>
          <w:rFonts w:ascii="Arial" w:cs="Arial" w:eastAsia="Arial" w:hAnsi="Arial"/>
          <w:sz w:val="19"/>
          <w:szCs w:val="19"/>
          <w:color w:val="auto"/>
        </w:rPr>
        <w:t>, entered into with Acushnet Holdings Corp. (the “</w:t>
      </w:r>
      <w:r>
        <w:rPr>
          <w:rFonts w:ascii="Arial" w:cs="Arial" w:eastAsia="Arial" w:hAnsi="Arial"/>
          <w:sz w:val="19"/>
          <w:szCs w:val="19"/>
          <w:b w:val="1"/>
          <w:bCs w:val="1"/>
          <w:i w:val="1"/>
          <w:iCs w:val="1"/>
          <w:color w:val="auto"/>
        </w:rPr>
        <w:t>Company</w:t>
      </w:r>
      <w:r>
        <w:rPr>
          <w:rFonts w:ascii="Arial" w:cs="Arial" w:eastAsia="Arial" w:hAnsi="Arial"/>
          <w:sz w:val="19"/>
          <w:szCs w:val="19"/>
          <w:color w:val="auto"/>
        </w:rPr>
        <w:t>”) and Acushnet Company (the “</w:t>
      </w:r>
      <w:r>
        <w:rPr>
          <w:rFonts w:ascii="Arial" w:cs="Arial" w:eastAsia="Arial" w:hAnsi="Arial"/>
          <w:sz w:val="19"/>
          <w:szCs w:val="19"/>
          <w:b w:val="1"/>
          <w:bCs w:val="1"/>
          <w:i w:val="1"/>
          <w:iCs w:val="1"/>
          <w:color w:val="auto"/>
        </w:rPr>
        <w:t>Employment Agreement</w:t>
      </w:r>
      <w:r>
        <w:rPr>
          <w:rFonts w:ascii="Arial" w:cs="Arial" w:eastAsia="Arial" w:hAnsi="Arial"/>
          <w:sz w:val="19"/>
          <w:szCs w:val="19"/>
          <w:color w:val="auto"/>
        </w:rPr>
        <w:t>”), to which this Release of Claims is attached as an Exhibit.</w:t>
      </w:r>
    </w:p>
    <w:p>
      <w:pPr>
        <w:spacing w:after="0" w:line="337" w:lineRule="exact"/>
        <w:rPr>
          <w:sz w:val="20"/>
          <w:szCs w:val="20"/>
          <w:color w:val="auto"/>
        </w:rPr>
      </w:pPr>
    </w:p>
    <w:p>
      <w:pPr>
        <w:ind w:left="1360" w:right="1439" w:firstLine="1297"/>
        <w:spacing w:after="0" w:line="247" w:lineRule="auto"/>
        <w:rPr>
          <w:sz w:val="20"/>
          <w:szCs w:val="20"/>
          <w:color w:val="auto"/>
        </w:rPr>
      </w:pPr>
      <w:r>
        <w:rPr>
          <w:rFonts w:ascii="Arial" w:cs="Arial" w:eastAsia="Arial" w:hAnsi="Arial"/>
          <w:sz w:val="19"/>
          <w:szCs w:val="19"/>
          <w:color w:val="auto"/>
        </w:rPr>
        <w:t>For and in consideration of the consideration provided in Section 5(b) of the Employment Agreement (collectively,</w:t>
      </w:r>
    </w:p>
    <w:p>
      <w:pPr>
        <w:ind w:left="1360" w:right="1359"/>
        <w:spacing w:after="0"/>
        <w:rPr>
          <w:sz w:val="20"/>
          <w:szCs w:val="20"/>
          <w:color w:val="auto"/>
        </w:rPr>
      </w:pPr>
      <w:r>
        <w:rPr>
          <w:rFonts w:ascii="Arial" w:cs="Arial" w:eastAsia="Arial" w:hAnsi="Arial"/>
          <w:sz w:val="19"/>
          <w:szCs w:val="19"/>
          <w:color w:val="auto"/>
        </w:rPr>
        <w:t>the “</w:t>
      </w:r>
      <w:r>
        <w:rPr>
          <w:rFonts w:ascii="Arial" w:cs="Arial" w:eastAsia="Arial" w:hAnsi="Arial"/>
          <w:sz w:val="19"/>
          <w:szCs w:val="19"/>
          <w:b w:val="1"/>
          <w:bCs w:val="1"/>
          <w:i w:val="1"/>
          <w:iCs w:val="1"/>
          <w:color w:val="auto"/>
        </w:rPr>
        <w:t>Consideration</w:t>
      </w:r>
      <w:r>
        <w:rPr>
          <w:rFonts w:ascii="Arial" w:cs="Arial" w:eastAsia="Arial" w:hAnsi="Arial"/>
          <w:sz w:val="19"/>
          <w:szCs w:val="19"/>
          <w:color w:val="auto"/>
        </w:rPr>
        <w:t>”) and other good and valuable consideration, I, for and on behalf of myself and my heirs, administrators, executors and assigns, effective the date hereof, do fully and forever release, remise and discharge the Company and its subsidiaries and affiliates (collectively, the “</w:t>
      </w:r>
      <w:r>
        <w:rPr>
          <w:rFonts w:ascii="Arial" w:cs="Arial" w:eastAsia="Arial" w:hAnsi="Arial"/>
          <w:sz w:val="19"/>
          <w:szCs w:val="19"/>
          <w:b w:val="1"/>
          <w:bCs w:val="1"/>
          <w:i w:val="1"/>
          <w:iCs w:val="1"/>
          <w:color w:val="auto"/>
        </w:rPr>
        <w:t>Company Group</w:t>
      </w:r>
      <w:r>
        <w:rPr>
          <w:rFonts w:ascii="Arial" w:cs="Arial" w:eastAsia="Arial" w:hAnsi="Arial"/>
          <w:sz w:val="19"/>
          <w:szCs w:val="19"/>
          <w:color w:val="auto"/>
        </w:rPr>
        <w:t>”), together with their respective current and former officers, directors, partners, members, shareholders, fiduciaries, counsel, employees and agents (collectively, and with the Company Group, the “</w:t>
      </w:r>
      <w:r>
        <w:rPr>
          <w:rFonts w:ascii="Arial" w:cs="Arial" w:eastAsia="Arial" w:hAnsi="Arial"/>
          <w:sz w:val="19"/>
          <w:szCs w:val="19"/>
          <w:b w:val="1"/>
          <w:bCs w:val="1"/>
          <w:i w:val="1"/>
          <w:iCs w:val="1"/>
          <w:color w:val="auto"/>
        </w:rPr>
        <w:t>Company Parties</w:t>
      </w:r>
      <w:r>
        <w:rPr>
          <w:rFonts w:ascii="Arial" w:cs="Arial" w:eastAsia="Arial" w:hAnsi="Arial"/>
          <w:sz w:val="19"/>
          <w:szCs w:val="19"/>
          <w:color w:val="auto"/>
        </w:rPr>
        <w:t>”) from any and all claims whatsoever up to the date hereof that I had, may have had, or now have against the Company Parties, whether known or unknown, for or by reason of any matter, cause, or thing whatsoever, including any claim arising out of or attributable to my employment or the termination of my employment with the Company Group, whether for tort, breach of express or implied contract, intentional infliction of emotional distress, wrongful termination, unjust dismissal, defamation, libel, or slander, or under any federal, state, or local law dealing with discrimination based on age, race, sex, national origin, handicap, religion, disability or sexual orientation. The release of claims in this Release includes, but is not limited to, all claims arising under the Age Discrimination in Employment Act of 1967 (“</w:t>
      </w:r>
      <w:r>
        <w:rPr>
          <w:rFonts w:ascii="Arial" w:cs="Arial" w:eastAsia="Arial" w:hAnsi="Arial"/>
          <w:sz w:val="19"/>
          <w:szCs w:val="19"/>
          <w:b w:val="1"/>
          <w:bCs w:val="1"/>
          <w:i w:val="1"/>
          <w:iCs w:val="1"/>
          <w:color w:val="auto"/>
        </w:rPr>
        <w:t>ADEA</w:t>
      </w:r>
      <w:r>
        <w:rPr>
          <w:rFonts w:ascii="Arial" w:cs="Arial" w:eastAsia="Arial" w:hAnsi="Arial"/>
          <w:sz w:val="19"/>
          <w:szCs w:val="19"/>
          <w:color w:val="auto"/>
        </w:rPr>
        <w:t>”), Title VII of the Civil Rights Act of 1964, the Americans with Disabilities Act of 1990, the Civil Rights Act of 1991, the Family and Medical Leave Act of 1993, the Employee Retirement Income Security Act of 1974, the Worker Adjustment and Retraining Notification Act of 1988 and the Equal Pay Act of 1963, each as may be amended from time to time, and all other federal, state, and local laws, the common law, and any purported restriction on an employer’s right to terminate the employment of employees. I intend this Release of Claims to be a general release of any and all claims to the fullest extent permissible by law and for the provisions regarding the release of claims against the Company Parties to be construed as broadly as possible, and hereby incorporate in this release similar federal, state or other laws, all of which I also hereby expressly waive..</w:t>
      </w:r>
    </w:p>
    <w:p>
      <w:pPr>
        <w:spacing w:after="0" w:line="340" w:lineRule="exact"/>
        <w:rPr>
          <w:sz w:val="20"/>
          <w:szCs w:val="20"/>
          <w:color w:val="auto"/>
        </w:rPr>
      </w:pPr>
    </w:p>
    <w:p>
      <w:pPr>
        <w:ind w:left="1360" w:right="1339" w:firstLine="1297"/>
        <w:spacing w:after="0" w:line="216" w:lineRule="auto"/>
        <w:rPr>
          <w:sz w:val="20"/>
          <w:szCs w:val="20"/>
          <w:color w:val="auto"/>
        </w:rPr>
      </w:pPr>
      <w:r>
        <w:rPr>
          <w:rFonts w:ascii="Arial" w:cs="Arial" w:eastAsia="Arial" w:hAnsi="Arial"/>
          <w:sz w:val="22"/>
          <w:szCs w:val="22"/>
          <w:color w:val="auto"/>
        </w:rPr>
        <w:t>By executing this Release of Claims, I specifically release all claims relating to my service and its termination under ADEA, a United States federal statute that, among other things, prohibits discrimination on the basis of age in employment and employee benefit plans.</w:t>
      </w:r>
    </w:p>
    <w:p>
      <w:pPr>
        <w:spacing w:after="0" w:line="158" w:lineRule="exact"/>
        <w:rPr>
          <w:sz w:val="20"/>
          <w:szCs w:val="20"/>
          <w:color w:val="auto"/>
        </w:rPr>
      </w:pPr>
    </w:p>
    <w:p>
      <w:pPr>
        <w:ind w:left="1360" w:right="1379" w:firstLine="1297"/>
        <w:spacing w:after="0" w:line="242" w:lineRule="auto"/>
        <w:rPr>
          <w:sz w:val="20"/>
          <w:szCs w:val="20"/>
          <w:color w:val="auto"/>
        </w:rPr>
      </w:pPr>
      <w:r>
        <w:rPr>
          <w:rFonts w:ascii="Arial" w:cs="Arial" w:eastAsia="Arial" w:hAnsi="Arial"/>
          <w:sz w:val="19"/>
          <w:szCs w:val="19"/>
          <w:color w:val="auto"/>
        </w:rPr>
        <w:t>I acknowledge and agree that by virtue of the foregoing, I have waived any relief available to me (including without limitation, monetary damages, equitable relief and reinstatement) under any of the claims and/or causes of action waived in this Release of</w:t>
      </w:r>
    </w:p>
    <w:p>
      <w:pPr>
        <w:spacing w:after="0" w:line="1" w:lineRule="exact"/>
        <w:rPr>
          <w:sz w:val="20"/>
          <w:szCs w:val="20"/>
          <w:color w:val="auto"/>
        </w:rPr>
      </w:pPr>
    </w:p>
    <w:p>
      <w:pPr>
        <w:ind w:left="1360" w:right="1439"/>
        <w:spacing w:after="0" w:line="251" w:lineRule="auto"/>
        <w:rPr>
          <w:sz w:val="20"/>
          <w:szCs w:val="20"/>
          <w:color w:val="auto"/>
        </w:rPr>
      </w:pPr>
      <w:r>
        <w:rPr>
          <w:rFonts w:ascii="Arial" w:cs="Arial" w:eastAsia="Arial" w:hAnsi="Arial"/>
          <w:sz w:val="19"/>
          <w:szCs w:val="19"/>
          <w:color w:val="auto"/>
        </w:rPr>
        <w:t>Claims. Therefore I agree that I will not accept any award or settlement from the Company Group (including but not limited to any proceeding brought by any other person or by any government agency) with respect to any claim or right waived in this Release of Claims.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864235</wp:posOffset>
            </wp:positionH>
            <wp:positionV relativeFrom="paragraph">
              <wp:posOffset>116205</wp:posOffset>
            </wp:positionV>
            <wp:extent cx="4004945" cy="26035"/>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91">
                      <a:extLst>
                        <a:ext uri="{28A0092B-C50C-407E-A947-70E740481C1C}"/>
                      </a:extLst>
                    </a:blip>
                    <a:srcRect/>
                    <a:stretch>
                      <a:fillRect/>
                    </a:stretch>
                  </pic:blipFill>
                  <pic:spPr bwMode="auto">
                    <a:xfrm>
                      <a:off x="0" y="0"/>
                      <a:ext cx="4004945" cy="26035"/>
                    </a:xfrm>
                    <a:prstGeom prst="rect">
                      <a:avLst/>
                    </a:prstGeom>
                    <a:noFill/>
                  </pic:spPr>
                </pic:pic>
              </a:graphicData>
            </a:graphic>
          </wp:anchor>
        </w:drawing>
      </w:r>
    </w:p>
    <w:p>
      <w:pPr>
        <w:sectPr>
          <w:pgSz w:w="11900" w:h="16838" w:orient="portrait"/>
          <w:cols w:equalWidth="0" w:num="1">
            <w:col w:w="9019"/>
          </w:cols>
          <w:pgMar w:left="1440" w:top="490" w:right="1440" w:bottom="1440" w:gutter="0" w:footer="0" w:header="0"/>
        </w:sectPr>
      </w:pPr>
    </w:p>
    <w:bookmarkStart w:id="157" w:name="page158"/>
    <w:bookmarkEnd w:id="157"/>
    <w:p>
      <w:pPr>
        <w:ind w:left="1360" w:right="1379" w:firstLine="1297"/>
        <w:spacing w:after="0" w:line="243" w:lineRule="auto"/>
        <w:rPr>
          <w:sz w:val="20"/>
          <w:szCs w:val="20"/>
          <w:color w:val="auto"/>
        </w:rPr>
      </w:pPr>
      <w:r>
        <w:rPr>
          <w:rFonts w:ascii="Arial" w:cs="Arial" w:eastAsia="Arial" w:hAnsi="Arial"/>
          <w:sz w:val="19"/>
          <w:szCs w:val="19"/>
          <w:color w:val="auto"/>
        </w:rPr>
        <w:t>Notwithstanding the foregoing, nothing in this Release of Claims shall be a waiver of: (i) my rights with respect to the Consideration, (ii) my rights to vested benefits under any employee benefit plan of the Company Group, (iii) my right to make Protected Disclosures, as defined in Section 6(b) of the Employment Agreement, or to collect a whistleblower award from any Governmental Entity arising from or in connection with any Protected Disclosure; and (iv) any claims that cannot be waived by law including, without limitation, any claims filed with the Equal Employment Opportunity Commission, the U.S. Department of Labor, or claims under the ADEA that arise after the date of this Release of Claims.</w:t>
      </w:r>
    </w:p>
    <w:p>
      <w:pPr>
        <w:spacing w:after="0" w:line="381" w:lineRule="exact"/>
        <w:rPr>
          <w:sz w:val="20"/>
          <w:szCs w:val="20"/>
          <w:color w:val="auto"/>
        </w:rPr>
      </w:pPr>
    </w:p>
    <w:p>
      <w:pPr>
        <w:jc w:val="center"/>
        <w:ind w:right="119"/>
        <w:spacing w:after="0"/>
        <w:rPr>
          <w:sz w:val="20"/>
          <w:szCs w:val="20"/>
          <w:color w:val="auto"/>
        </w:rPr>
      </w:pPr>
      <w:r>
        <w:rPr>
          <w:rFonts w:ascii="Arial" w:cs="Arial" w:eastAsia="Arial" w:hAnsi="Arial"/>
          <w:sz w:val="22"/>
          <w:szCs w:val="22"/>
          <w:color w:val="auto"/>
        </w:rPr>
        <w:t>I expressly acknowledge and agree that I:</w:t>
      </w:r>
    </w:p>
    <w:p>
      <w:pPr>
        <w:spacing w:after="0" w:line="179" w:lineRule="exact"/>
        <w:rPr>
          <w:sz w:val="20"/>
          <w:szCs w:val="20"/>
          <w:color w:val="auto"/>
        </w:rPr>
      </w:pPr>
    </w:p>
    <w:p>
      <w:pPr>
        <w:ind w:left="2980" w:right="1759" w:hanging="329"/>
        <w:spacing w:after="0" w:line="298" w:lineRule="auto"/>
        <w:tabs>
          <w:tab w:leader="none" w:pos="2980" w:val="left"/>
        </w:tabs>
        <w:numPr>
          <w:ilvl w:val="0"/>
          <w:numId w:val="81"/>
        </w:numPr>
        <w:rPr>
          <w:rFonts w:ascii="Arial" w:cs="Arial" w:eastAsia="Arial" w:hAnsi="Arial"/>
          <w:sz w:val="19"/>
          <w:szCs w:val="19"/>
          <w:color w:val="auto"/>
        </w:rPr>
      </w:pPr>
      <w:r>
        <w:rPr>
          <w:rFonts w:ascii="Arial" w:cs="Arial" w:eastAsia="Arial" w:hAnsi="Arial"/>
          <w:sz w:val="19"/>
          <w:szCs w:val="19"/>
          <w:color w:val="auto"/>
        </w:rPr>
        <w:t>Am able to read the language, and understand the meaning and effect, of this Release of Claims;</w:t>
      </w:r>
    </w:p>
    <w:p>
      <w:pPr>
        <w:spacing w:after="0" w:line="105" w:lineRule="exact"/>
        <w:rPr>
          <w:rFonts w:ascii="Arial" w:cs="Arial" w:eastAsia="Arial" w:hAnsi="Arial"/>
          <w:sz w:val="19"/>
          <w:szCs w:val="19"/>
          <w:color w:val="auto"/>
        </w:rPr>
      </w:pPr>
    </w:p>
    <w:p>
      <w:pPr>
        <w:ind w:left="2980" w:right="1419" w:hanging="329"/>
        <w:spacing w:after="0" w:line="249" w:lineRule="auto"/>
        <w:tabs>
          <w:tab w:leader="none" w:pos="2980" w:val="left"/>
        </w:tabs>
        <w:numPr>
          <w:ilvl w:val="0"/>
          <w:numId w:val="81"/>
        </w:numPr>
        <w:rPr>
          <w:rFonts w:ascii="Arial" w:cs="Arial" w:eastAsia="Arial" w:hAnsi="Arial"/>
          <w:sz w:val="19"/>
          <w:szCs w:val="19"/>
          <w:color w:val="auto"/>
        </w:rPr>
      </w:pPr>
      <w:r>
        <w:rPr>
          <w:rFonts w:ascii="Arial" w:cs="Arial" w:eastAsia="Arial" w:hAnsi="Arial"/>
          <w:sz w:val="19"/>
          <w:szCs w:val="19"/>
          <w:color w:val="auto"/>
        </w:rPr>
        <w:t>Have no physical or mental impairment of any kind that has interfered with my ability to read and understand the meaning of this Release of Claims or its terms, and that I am not acting under the influence of any medication, drug or chemical of any type in entering into this Release of Claims;</w:t>
      </w:r>
    </w:p>
    <w:p>
      <w:pPr>
        <w:spacing w:after="0" w:line="152" w:lineRule="exact"/>
        <w:rPr>
          <w:rFonts w:ascii="Arial" w:cs="Arial" w:eastAsia="Arial" w:hAnsi="Arial"/>
          <w:sz w:val="19"/>
          <w:szCs w:val="19"/>
          <w:color w:val="auto"/>
        </w:rPr>
      </w:pPr>
    </w:p>
    <w:p>
      <w:pPr>
        <w:ind w:left="2980" w:right="1379" w:hanging="329"/>
        <w:spacing w:after="0" w:line="247" w:lineRule="auto"/>
        <w:tabs>
          <w:tab w:leader="none" w:pos="2980" w:val="left"/>
        </w:tabs>
        <w:numPr>
          <w:ilvl w:val="0"/>
          <w:numId w:val="81"/>
        </w:numPr>
        <w:rPr>
          <w:rFonts w:ascii="Arial" w:cs="Arial" w:eastAsia="Arial" w:hAnsi="Arial"/>
          <w:sz w:val="19"/>
          <w:szCs w:val="19"/>
          <w:color w:val="auto"/>
        </w:rPr>
      </w:pPr>
      <w:r>
        <w:rPr>
          <w:rFonts w:ascii="Arial" w:cs="Arial" w:eastAsia="Arial" w:hAnsi="Arial"/>
          <w:sz w:val="19"/>
          <w:szCs w:val="19"/>
          <w:color w:val="auto"/>
        </w:rPr>
        <w:t>Am specifically agreeing to the terms of the release contained in this Release of Claims because the Company has agreed to pay me the Consideration, which the Company has agreed to provide because of my agreement to accept it in full settlement of all possible claims I might have or ever had, and because of my execution of this Release of Claims;</w:t>
      </w:r>
    </w:p>
    <w:p>
      <w:pPr>
        <w:spacing w:after="0" w:line="154" w:lineRule="exact"/>
        <w:rPr>
          <w:rFonts w:ascii="Arial" w:cs="Arial" w:eastAsia="Arial" w:hAnsi="Arial"/>
          <w:sz w:val="19"/>
          <w:szCs w:val="19"/>
          <w:color w:val="auto"/>
        </w:rPr>
      </w:pPr>
    </w:p>
    <w:p>
      <w:pPr>
        <w:ind w:left="2980" w:right="1859" w:hanging="329"/>
        <w:spacing w:after="0" w:line="223" w:lineRule="auto"/>
        <w:tabs>
          <w:tab w:leader="none" w:pos="2980" w:val="left"/>
        </w:tabs>
        <w:numPr>
          <w:ilvl w:val="0"/>
          <w:numId w:val="81"/>
        </w:numPr>
        <w:rPr>
          <w:rFonts w:ascii="Arial" w:cs="Arial" w:eastAsia="Arial" w:hAnsi="Arial"/>
          <w:sz w:val="22"/>
          <w:szCs w:val="22"/>
          <w:color w:val="auto"/>
        </w:rPr>
      </w:pPr>
      <w:r>
        <w:rPr>
          <w:rFonts w:ascii="Arial" w:cs="Arial" w:eastAsia="Arial" w:hAnsi="Arial"/>
          <w:sz w:val="22"/>
          <w:szCs w:val="22"/>
          <w:color w:val="auto"/>
        </w:rPr>
        <w:t>Acknowledge that but for my execution of this Release of Claims, I would not be entitled to the defined Consideration;</w:t>
      </w:r>
    </w:p>
    <w:p>
      <w:pPr>
        <w:spacing w:after="0" w:line="159" w:lineRule="exact"/>
        <w:rPr>
          <w:rFonts w:ascii="Arial" w:cs="Arial" w:eastAsia="Arial" w:hAnsi="Arial"/>
          <w:sz w:val="22"/>
          <w:szCs w:val="22"/>
          <w:color w:val="auto"/>
        </w:rPr>
      </w:pPr>
    </w:p>
    <w:p>
      <w:pPr>
        <w:ind w:left="2980" w:right="1479" w:hanging="329"/>
        <w:spacing w:after="0" w:line="218" w:lineRule="auto"/>
        <w:tabs>
          <w:tab w:leader="none" w:pos="2980" w:val="left"/>
        </w:tabs>
        <w:numPr>
          <w:ilvl w:val="0"/>
          <w:numId w:val="81"/>
        </w:numPr>
        <w:rPr>
          <w:rFonts w:ascii="Arial" w:cs="Arial" w:eastAsia="Arial" w:hAnsi="Arial"/>
          <w:sz w:val="22"/>
          <w:szCs w:val="22"/>
          <w:color w:val="auto"/>
        </w:rPr>
      </w:pPr>
      <w:r>
        <w:rPr>
          <w:rFonts w:ascii="Arial" w:cs="Arial" w:eastAsia="Arial" w:hAnsi="Arial"/>
          <w:sz w:val="22"/>
          <w:szCs w:val="22"/>
          <w:color w:val="auto"/>
        </w:rPr>
        <w:t>Understand that, by entering into this Release of Claims, I do not waive rights or claims under ADEA that may arise after the date I execute this Release of Claims;</w:t>
      </w:r>
    </w:p>
    <w:p>
      <w:pPr>
        <w:spacing w:after="0" w:line="161" w:lineRule="exact"/>
        <w:rPr>
          <w:rFonts w:ascii="Arial" w:cs="Arial" w:eastAsia="Arial" w:hAnsi="Arial"/>
          <w:sz w:val="22"/>
          <w:szCs w:val="22"/>
          <w:color w:val="auto"/>
        </w:rPr>
      </w:pPr>
    </w:p>
    <w:p>
      <w:pPr>
        <w:ind w:left="2980" w:right="1499" w:hanging="329"/>
        <w:spacing w:after="0" w:line="224" w:lineRule="auto"/>
        <w:tabs>
          <w:tab w:leader="none" w:pos="2980" w:val="left"/>
        </w:tabs>
        <w:numPr>
          <w:ilvl w:val="0"/>
          <w:numId w:val="81"/>
        </w:numPr>
        <w:rPr>
          <w:rFonts w:ascii="Arial" w:cs="Arial" w:eastAsia="Arial" w:hAnsi="Arial"/>
          <w:sz w:val="21"/>
          <w:szCs w:val="21"/>
          <w:color w:val="auto"/>
        </w:rPr>
      </w:pPr>
      <w:r>
        <w:rPr>
          <w:rFonts w:ascii="Arial" w:cs="Arial" w:eastAsia="Arial" w:hAnsi="Arial"/>
          <w:sz w:val="21"/>
          <w:szCs w:val="21"/>
          <w:color w:val="auto"/>
        </w:rPr>
        <w:t>Had or could have until [DATE] (the “</w:t>
      </w:r>
      <w:r>
        <w:rPr>
          <w:rFonts w:ascii="Arial" w:cs="Arial" w:eastAsia="Arial" w:hAnsi="Arial"/>
          <w:sz w:val="21"/>
          <w:szCs w:val="21"/>
          <w:b w:val="1"/>
          <w:bCs w:val="1"/>
          <w:i w:val="1"/>
          <w:iCs w:val="1"/>
          <w:color w:val="auto"/>
        </w:rPr>
        <w:t>Review</w:t>
      </w:r>
      <w:r>
        <w:rPr>
          <w:rFonts w:ascii="Arial" w:cs="Arial" w:eastAsia="Arial" w:hAnsi="Arial"/>
          <w:sz w:val="21"/>
          <w:szCs w:val="21"/>
          <w:color w:val="auto"/>
        </w:rPr>
        <w:t xml:space="preserve"> </w:t>
      </w:r>
      <w:r>
        <w:rPr>
          <w:rFonts w:ascii="Arial" w:cs="Arial" w:eastAsia="Arial" w:hAnsi="Arial"/>
          <w:sz w:val="21"/>
          <w:szCs w:val="21"/>
          <w:b w:val="1"/>
          <w:bCs w:val="1"/>
          <w:i w:val="1"/>
          <w:iCs w:val="1"/>
          <w:color w:val="auto"/>
        </w:rPr>
        <w:t>Period</w:t>
      </w:r>
      <w:r>
        <w:rPr>
          <w:rFonts w:ascii="Arial" w:cs="Arial" w:eastAsia="Arial" w:hAnsi="Arial"/>
          <w:sz w:val="21"/>
          <w:szCs w:val="21"/>
          <w:color w:val="auto"/>
        </w:rPr>
        <w:t>”), in which to review and consider this</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Release of Claims, and that if I execute this Release of Claims prior to the expiration of the Review Period, I have voluntarily and knowingly waived the remainder of the Review Period;</w:t>
      </w:r>
    </w:p>
    <w:p>
      <w:pPr>
        <w:spacing w:after="0" w:line="160" w:lineRule="exact"/>
        <w:rPr>
          <w:rFonts w:ascii="Arial" w:cs="Arial" w:eastAsia="Arial" w:hAnsi="Arial"/>
          <w:sz w:val="21"/>
          <w:szCs w:val="21"/>
          <w:color w:val="auto"/>
        </w:rPr>
      </w:pPr>
    </w:p>
    <w:p>
      <w:pPr>
        <w:jc w:val="both"/>
        <w:ind w:left="2980" w:right="1659" w:hanging="329"/>
        <w:spacing w:after="0" w:line="298" w:lineRule="auto"/>
        <w:tabs>
          <w:tab w:leader="none" w:pos="2980" w:val="left"/>
        </w:tabs>
        <w:numPr>
          <w:ilvl w:val="0"/>
          <w:numId w:val="81"/>
        </w:numPr>
        <w:rPr>
          <w:rFonts w:ascii="Arial" w:cs="Arial" w:eastAsia="Arial" w:hAnsi="Arial"/>
          <w:sz w:val="19"/>
          <w:szCs w:val="19"/>
          <w:color w:val="auto"/>
        </w:rPr>
      </w:pPr>
      <w:r>
        <w:rPr>
          <w:rFonts w:ascii="Arial" w:cs="Arial" w:eastAsia="Arial" w:hAnsi="Arial"/>
          <w:sz w:val="19"/>
          <w:szCs w:val="19"/>
          <w:color w:val="auto"/>
        </w:rPr>
        <w:t>Was advised to consult with my attorney regarding the terms and effect of this Release of Claims; and</w:t>
      </w:r>
    </w:p>
    <w:p>
      <w:pPr>
        <w:spacing w:after="0" w:line="105" w:lineRule="exact"/>
        <w:rPr>
          <w:rFonts w:ascii="Arial" w:cs="Arial" w:eastAsia="Arial" w:hAnsi="Arial"/>
          <w:sz w:val="19"/>
          <w:szCs w:val="19"/>
          <w:color w:val="auto"/>
        </w:rPr>
      </w:pPr>
    </w:p>
    <w:p>
      <w:pPr>
        <w:ind w:left="2980" w:right="1639" w:hanging="329"/>
        <w:spacing w:after="0" w:line="232" w:lineRule="auto"/>
        <w:tabs>
          <w:tab w:leader="none" w:pos="2980" w:val="left"/>
        </w:tabs>
        <w:numPr>
          <w:ilvl w:val="0"/>
          <w:numId w:val="81"/>
        </w:numPr>
        <w:rPr>
          <w:rFonts w:ascii="Arial" w:cs="Arial" w:eastAsia="Arial" w:hAnsi="Arial"/>
          <w:sz w:val="22"/>
          <w:szCs w:val="22"/>
          <w:color w:val="auto"/>
        </w:rPr>
      </w:pPr>
      <w:r>
        <w:rPr>
          <w:rFonts w:ascii="Arial" w:cs="Arial" w:eastAsia="Arial" w:hAnsi="Arial"/>
          <w:sz w:val="22"/>
          <w:szCs w:val="22"/>
          <w:color w:val="auto"/>
        </w:rPr>
        <w:t>Have signed this Release of Claims knowingly and voluntarily.</w:t>
      </w:r>
    </w:p>
    <w:p>
      <w:pPr>
        <w:spacing w:after="0" w:line="159" w:lineRule="exact"/>
        <w:rPr>
          <w:sz w:val="20"/>
          <w:szCs w:val="20"/>
          <w:color w:val="auto"/>
        </w:rPr>
      </w:pPr>
    </w:p>
    <w:p>
      <w:pPr>
        <w:ind w:left="1360" w:right="1359" w:firstLine="1297"/>
        <w:spacing w:after="0" w:line="247" w:lineRule="auto"/>
        <w:rPr>
          <w:sz w:val="20"/>
          <w:szCs w:val="20"/>
          <w:color w:val="auto"/>
        </w:rPr>
      </w:pPr>
      <w:r>
        <w:rPr>
          <w:rFonts w:ascii="Arial" w:cs="Arial" w:eastAsia="Arial" w:hAnsi="Arial"/>
          <w:sz w:val="19"/>
          <w:szCs w:val="19"/>
          <w:color w:val="auto"/>
        </w:rPr>
        <w:t>Notwithstanding anything contained herein to the contrary, this Release of Claims will not become effective or enforceable prior to the expiration of the period of seven (7) calendar days following the date of its execution by me (the “</w:t>
      </w:r>
      <w:r>
        <w:rPr>
          <w:rFonts w:ascii="Arial" w:cs="Arial" w:eastAsia="Arial" w:hAnsi="Arial"/>
          <w:sz w:val="19"/>
          <w:szCs w:val="19"/>
          <w:b w:val="1"/>
          <w:bCs w:val="1"/>
          <w:i w:val="1"/>
          <w:iCs w:val="1"/>
          <w:color w:val="auto"/>
        </w:rPr>
        <w:t>Revocation Period</w:t>
      </w:r>
      <w:r>
        <w:rPr>
          <w:rFonts w:ascii="Arial" w:cs="Arial" w:eastAsia="Arial" w:hAnsi="Arial"/>
          <w:sz w:val="19"/>
          <w:szCs w:val="19"/>
          <w:color w:val="auto"/>
        </w:rPr>
        <w:t>”), during which time I may revoke my acceptance of this Release of Claims by notifying the Company, in writing, delivered to the Company at its principal executive office, marked for the attention of its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864235</wp:posOffset>
            </wp:positionH>
            <wp:positionV relativeFrom="paragraph">
              <wp:posOffset>120650</wp:posOffset>
            </wp:positionV>
            <wp:extent cx="4004945" cy="26035"/>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92">
                      <a:extLst>
                        <a:ext uri="{28A0092B-C50C-407E-A947-70E740481C1C}"/>
                      </a:extLst>
                    </a:blip>
                    <a:srcRect/>
                    <a:stretch>
                      <a:fillRect/>
                    </a:stretch>
                  </pic:blipFill>
                  <pic:spPr bwMode="auto">
                    <a:xfrm>
                      <a:off x="0" y="0"/>
                      <a:ext cx="4004945" cy="26035"/>
                    </a:xfrm>
                    <a:prstGeom prst="rect">
                      <a:avLst/>
                    </a:prstGeom>
                    <a:noFill/>
                  </pic:spPr>
                </pic:pic>
              </a:graphicData>
            </a:graphic>
          </wp:anchor>
        </w:drawing>
      </w:r>
    </w:p>
    <w:p>
      <w:pPr>
        <w:sectPr>
          <w:pgSz w:w="11900" w:h="16838" w:orient="portrait"/>
          <w:cols w:equalWidth="0" w:num="1">
            <w:col w:w="9019"/>
          </w:cols>
          <w:pgMar w:left="1440" w:top="496" w:right="1440" w:bottom="1440" w:gutter="0" w:footer="0" w:header="0"/>
        </w:sectPr>
      </w:pPr>
    </w:p>
    <w:bookmarkStart w:id="158" w:name="page159"/>
    <w:bookmarkEnd w:id="158"/>
    <w:p>
      <w:pPr>
        <w:ind w:left="1360" w:right="1419"/>
        <w:spacing w:after="0" w:line="243" w:lineRule="auto"/>
        <w:rPr>
          <w:sz w:val="20"/>
          <w:szCs w:val="20"/>
          <w:color w:val="auto"/>
        </w:rPr>
      </w:pPr>
      <w:r>
        <w:rPr>
          <w:rFonts w:ascii="Arial" w:cs="Arial" w:eastAsia="Arial" w:hAnsi="Arial"/>
          <w:sz w:val="19"/>
          <w:szCs w:val="19"/>
          <w:color w:val="auto"/>
        </w:rPr>
        <w:t>Chief Human Resources Officer. To be effective, such revocation must be received by the Company on or prior to the seventh (7</w:t>
      </w:r>
      <w:r>
        <w:rPr>
          <w:rFonts w:ascii="Arial" w:cs="Arial" w:eastAsia="Arial" w:hAnsi="Arial"/>
          <w:sz w:val="9"/>
          <w:szCs w:val="9"/>
          <w:color w:val="auto"/>
        </w:rPr>
        <w:t>th</w:t>
      </w:r>
      <w:r>
        <w:rPr>
          <w:rFonts w:ascii="Arial" w:cs="Arial" w:eastAsia="Arial" w:hAnsi="Arial"/>
          <w:sz w:val="19"/>
          <w:szCs w:val="19"/>
          <w:color w:val="auto"/>
        </w:rPr>
        <w:t>) calendar day following the execution of this Release of Claims. Provided that the Release of Claims is executed and I do not revoke it during the Revocation Period, the eighth (8</w:t>
      </w:r>
      <w:r>
        <w:rPr>
          <w:rFonts w:ascii="Arial" w:cs="Arial" w:eastAsia="Arial" w:hAnsi="Arial"/>
          <w:sz w:val="9"/>
          <w:szCs w:val="9"/>
          <w:color w:val="auto"/>
        </w:rPr>
        <w:t>th</w:t>
      </w:r>
      <w:r>
        <w:rPr>
          <w:rFonts w:ascii="Arial" w:cs="Arial" w:eastAsia="Arial" w:hAnsi="Arial"/>
          <w:sz w:val="19"/>
          <w:szCs w:val="19"/>
          <w:color w:val="auto"/>
        </w:rPr>
        <w:t xml:space="preserve">) day following the date on which this Release of Claims is executed shall be its effective date (the </w:t>
      </w:r>
      <w:r>
        <w:rPr>
          <w:rFonts w:ascii="Arial" w:cs="Arial" w:eastAsia="Arial" w:hAnsi="Arial"/>
          <w:sz w:val="19"/>
          <w:szCs w:val="19"/>
          <w:i w:val="1"/>
          <w:iCs w:val="1"/>
          <w:color w:val="auto"/>
        </w:rPr>
        <w:t>“</w:t>
      </w:r>
      <w:r>
        <w:rPr>
          <w:rFonts w:ascii="Arial" w:cs="Arial" w:eastAsia="Arial" w:hAnsi="Arial"/>
          <w:sz w:val="19"/>
          <w:szCs w:val="19"/>
          <w:b w:val="1"/>
          <w:bCs w:val="1"/>
          <w:i w:val="1"/>
          <w:iCs w:val="1"/>
          <w:color w:val="auto"/>
        </w:rPr>
        <w:t>Release</w:t>
      </w:r>
      <w:r>
        <w:rPr>
          <w:rFonts w:ascii="Arial" w:cs="Arial" w:eastAsia="Arial" w:hAnsi="Arial"/>
          <w:sz w:val="19"/>
          <w:szCs w:val="19"/>
          <w:color w:val="auto"/>
        </w:rPr>
        <w:t xml:space="preserve"> </w:t>
      </w:r>
      <w:r>
        <w:rPr>
          <w:rFonts w:ascii="Arial" w:cs="Arial" w:eastAsia="Arial" w:hAnsi="Arial"/>
          <w:sz w:val="19"/>
          <w:szCs w:val="19"/>
          <w:b w:val="1"/>
          <w:bCs w:val="1"/>
          <w:i w:val="1"/>
          <w:iCs w:val="1"/>
          <w:color w:val="auto"/>
        </w:rPr>
        <w:t>Effective Date</w:t>
      </w:r>
      <w:r>
        <w:rPr>
          <w:rFonts w:ascii="Arial" w:cs="Arial" w:eastAsia="Arial" w:hAnsi="Arial"/>
          <w:sz w:val="19"/>
          <w:szCs w:val="19"/>
          <w:i w:val="1"/>
          <w:iCs w:val="1"/>
          <w:color w:val="auto"/>
        </w:rPr>
        <w:t>”)</w:t>
      </w:r>
      <w:r>
        <w:rPr>
          <w:rFonts w:ascii="Arial" w:cs="Arial" w:eastAsia="Arial" w:hAnsi="Arial"/>
          <w:sz w:val="19"/>
          <w:szCs w:val="19"/>
          <w:color w:val="auto"/>
        </w:rPr>
        <w:t>. I acknowledge and agree that if I revoke this Release</w:t>
      </w:r>
      <w:r>
        <w:rPr>
          <w:rFonts w:ascii="Arial" w:cs="Arial" w:eastAsia="Arial" w:hAnsi="Arial"/>
          <w:sz w:val="19"/>
          <w:szCs w:val="19"/>
          <w:b w:val="1"/>
          <w:bCs w:val="1"/>
          <w:i w:val="1"/>
          <w:iCs w:val="1"/>
          <w:color w:val="auto"/>
        </w:rPr>
        <w:t xml:space="preserve"> </w:t>
      </w:r>
      <w:r>
        <w:rPr>
          <w:rFonts w:ascii="Arial" w:cs="Arial" w:eastAsia="Arial" w:hAnsi="Arial"/>
          <w:sz w:val="19"/>
          <w:szCs w:val="19"/>
          <w:color w:val="auto"/>
        </w:rPr>
        <w:t>of Claims during the Revocation Period, this Release of Claims will be null and void and of no effect, and neither the Company nor any other member of the Company Group will have any obligations to pay me the Consideration.</w:t>
      </w:r>
    </w:p>
    <w:p>
      <w:pPr>
        <w:spacing w:after="0" w:line="160" w:lineRule="exact"/>
        <w:rPr>
          <w:sz w:val="20"/>
          <w:szCs w:val="20"/>
          <w:color w:val="auto"/>
        </w:rPr>
      </w:pPr>
    </w:p>
    <w:p>
      <w:pPr>
        <w:ind w:left="1360" w:right="1419" w:firstLine="1297"/>
        <w:spacing w:after="0" w:line="222" w:lineRule="auto"/>
        <w:rPr>
          <w:sz w:val="20"/>
          <w:szCs w:val="20"/>
          <w:color w:val="auto"/>
        </w:rPr>
      </w:pPr>
      <w:r>
        <w:rPr>
          <w:rFonts w:ascii="Arial" w:cs="Arial" w:eastAsia="Arial" w:hAnsi="Arial"/>
          <w:sz w:val="21"/>
          <w:szCs w:val="21"/>
          <w:color w:val="auto"/>
        </w:rPr>
        <w:t>The provisions of this Release of Claims shall be binding upon my heirs, executors, administrators, legal personal representatives, and assigns. If any provision of this Release of Claims shall be held by any court of competent jurisdiction to be illegal, void, or unenforceable, such provision shall be of no force or effect. The illegality or unenforceability of such provision, however, shall have no effect upon and shall not impair the enforceability of any other provision of this Release of Claims.</w:t>
      </w:r>
    </w:p>
    <w:p>
      <w:pPr>
        <w:spacing w:after="0" w:line="158" w:lineRule="exact"/>
        <w:rPr>
          <w:sz w:val="20"/>
          <w:szCs w:val="20"/>
          <w:color w:val="auto"/>
        </w:rPr>
      </w:pPr>
    </w:p>
    <w:p>
      <w:pPr>
        <w:ind w:left="1360" w:right="1359" w:firstLine="1297"/>
        <w:spacing w:after="0" w:line="212" w:lineRule="auto"/>
        <w:rPr>
          <w:sz w:val="20"/>
          <w:szCs w:val="20"/>
          <w:color w:val="auto"/>
        </w:rPr>
      </w:pPr>
      <w:r>
        <w:rPr>
          <w:rFonts w:ascii="Arial" w:cs="Arial" w:eastAsia="Arial" w:hAnsi="Arial"/>
          <w:sz w:val="22"/>
          <w:szCs w:val="22"/>
          <w:color w:val="auto"/>
        </w:rPr>
        <w:t>EXCEPT WHERE PREEMPTED BY FEDERAL LAW, THIS RELEASE SHALL BE GOVERNED BY AND CONSTRUED IN ACCORDANCE WITH FEDERAL LAW AND THE LAWS OF THE COMMONWEALTH OF MASSACHUSETTS, APPLICABLE TO AGREEMENTS MADE AND TO BE PERFORMED IN THAT STATE WITHOUT GIVING EFFECT TO THE PRINCIPLES OF CONFLICTS OF LAWS.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ind w:left="5900"/>
        <w:spacing w:after="0"/>
        <w:rPr>
          <w:sz w:val="20"/>
          <w:szCs w:val="20"/>
          <w:color w:val="auto"/>
        </w:rPr>
      </w:pPr>
      <w:r>
        <w:rPr>
          <w:rFonts w:ascii="Arial" w:cs="Arial" w:eastAsia="Arial" w:hAnsi="Arial"/>
          <w:sz w:val="19"/>
          <w:szCs w:val="19"/>
          <w:color w:val="auto"/>
        </w:rPr>
        <w:t>____________________________</w:t>
      </w:r>
    </w:p>
    <w:p>
      <w:pPr>
        <w:spacing w:after="0" w:line="43" w:lineRule="exact"/>
        <w:rPr>
          <w:sz w:val="20"/>
          <w:szCs w:val="20"/>
          <w:color w:val="auto"/>
        </w:rPr>
      </w:pPr>
    </w:p>
    <w:p>
      <w:pPr>
        <w:ind w:left="5900"/>
        <w:spacing w:after="0"/>
        <w:rPr>
          <w:sz w:val="20"/>
          <w:szCs w:val="20"/>
          <w:color w:val="auto"/>
        </w:rPr>
      </w:pPr>
      <w:r>
        <w:rPr>
          <w:rFonts w:ascii="Arial" w:cs="Arial" w:eastAsia="Arial" w:hAnsi="Arial"/>
          <w:sz w:val="22"/>
          <w:szCs w:val="22"/>
          <w:color w:val="auto"/>
        </w:rPr>
        <w:t>David E. Maher</w:t>
      </w:r>
    </w:p>
    <w:p>
      <w:pPr>
        <w:spacing w:after="0" w:line="200" w:lineRule="exact"/>
        <w:rPr>
          <w:sz w:val="20"/>
          <w:szCs w:val="20"/>
          <w:color w:val="auto"/>
        </w:rPr>
      </w:pPr>
    </w:p>
    <w:p>
      <w:pPr>
        <w:spacing w:after="0" w:line="380" w:lineRule="exact"/>
        <w:rPr>
          <w:sz w:val="20"/>
          <w:szCs w:val="20"/>
          <w:color w:val="auto"/>
        </w:rPr>
      </w:pPr>
    </w:p>
    <w:p>
      <w:pPr>
        <w:ind w:left="5900"/>
        <w:spacing w:after="0"/>
        <w:rPr>
          <w:sz w:val="20"/>
          <w:szCs w:val="20"/>
          <w:color w:val="auto"/>
        </w:rPr>
      </w:pPr>
      <w:r>
        <w:rPr>
          <w:rFonts w:ascii="Arial" w:cs="Arial" w:eastAsia="Arial" w:hAnsi="Arial"/>
          <w:sz w:val="22"/>
          <w:szCs w:val="22"/>
          <w:color w:val="auto"/>
        </w:rPr>
        <w:t>Dated:</w:t>
      </w:r>
    </w:p>
    <w:p>
      <w:pPr>
        <w:spacing w:after="0" w:line="8" w:lineRule="exact"/>
        <w:rPr>
          <w:sz w:val="20"/>
          <w:szCs w:val="20"/>
          <w:color w:val="auto"/>
        </w:rPr>
      </w:pPr>
    </w:p>
    <w:p>
      <w:pPr>
        <w:ind w:left="5900"/>
        <w:spacing w:after="0"/>
        <w:rPr>
          <w:sz w:val="20"/>
          <w:szCs w:val="20"/>
          <w:color w:val="auto"/>
        </w:rPr>
      </w:pPr>
      <w:r>
        <w:rPr>
          <w:rFonts w:ascii="Arial" w:cs="Arial" w:eastAsia="Arial" w:hAnsi="Arial"/>
          <w:sz w:val="22"/>
          <w:szCs w:val="22"/>
          <w:color w:val="auto"/>
        </w:rPr>
        <w:t>_______________________</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864235</wp:posOffset>
            </wp:positionH>
            <wp:positionV relativeFrom="paragraph">
              <wp:posOffset>845185</wp:posOffset>
            </wp:positionV>
            <wp:extent cx="4004945" cy="26035"/>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93">
                      <a:extLst>
                        <a:ext uri="{28A0092B-C50C-407E-A947-70E740481C1C}"/>
                      </a:extLst>
                    </a:blip>
                    <a:srcRect/>
                    <a:stretch>
                      <a:fillRect/>
                    </a:stretch>
                  </pic:blipFill>
                  <pic:spPr bwMode="auto">
                    <a:xfrm>
                      <a:off x="0" y="0"/>
                      <a:ext cx="4004945" cy="26035"/>
                    </a:xfrm>
                    <a:prstGeom prst="rect">
                      <a:avLst/>
                    </a:prstGeom>
                    <a:noFill/>
                  </pic:spPr>
                </pic:pic>
              </a:graphicData>
            </a:graphic>
          </wp:anchor>
        </w:drawing>
      </w:r>
    </w:p>
    <w:p>
      <w:pPr>
        <w:sectPr>
          <w:pgSz w:w="11900" w:h="16838" w:orient="portrait"/>
          <w:cols w:equalWidth="0" w:num="1">
            <w:col w:w="9019"/>
          </w:cols>
          <w:pgMar w:left="1440" w:top="321" w:right="1440" w:bottom="1440" w:gutter="0" w:footer="0" w:header="0"/>
        </w:sectPr>
      </w:pPr>
    </w:p>
    <w:bookmarkStart w:id="159" w:name="page160"/>
    <w:bookmarkEnd w:id="159"/>
    <w:p>
      <w:pPr>
        <w:jc w:val="right"/>
        <w:ind w:right="1339"/>
        <w:spacing w:after="0"/>
        <w:rPr>
          <w:sz w:val="20"/>
          <w:szCs w:val="20"/>
          <w:color w:val="auto"/>
        </w:rPr>
      </w:pPr>
      <w:r>
        <w:rPr>
          <w:rFonts w:ascii="Arial" w:cs="Arial" w:eastAsia="Arial" w:hAnsi="Arial"/>
          <w:sz w:val="18"/>
          <w:szCs w:val="18"/>
          <w:b w:val="1"/>
          <w:bCs w:val="1"/>
          <w:color w:val="auto"/>
        </w:rPr>
        <w:t>Exhibit 10.18</w:t>
      </w:r>
    </w:p>
    <w:p>
      <w:pPr>
        <w:ind w:left="2960"/>
        <w:spacing w:after="0" w:line="205" w:lineRule="auto"/>
        <w:rPr>
          <w:sz w:val="20"/>
          <w:szCs w:val="20"/>
          <w:color w:val="auto"/>
        </w:rPr>
      </w:pPr>
      <w:r>
        <w:rPr>
          <w:rFonts w:ascii="Arial" w:cs="Arial" w:eastAsia="Arial" w:hAnsi="Arial"/>
          <w:sz w:val="22"/>
          <w:szCs w:val="22"/>
          <w:b w:val="1"/>
          <w:bCs w:val="1"/>
          <w:color w:val="auto"/>
        </w:rPr>
        <w:t>ACUSHNET HOLDINGS CORP.</w:t>
      </w:r>
    </w:p>
    <w:p>
      <w:pPr>
        <w:ind w:left="2960"/>
        <w:spacing w:after="0"/>
        <w:rPr>
          <w:sz w:val="20"/>
          <w:szCs w:val="20"/>
          <w:color w:val="auto"/>
        </w:rPr>
      </w:pPr>
      <w:r>
        <w:rPr>
          <w:rFonts w:ascii="Arial" w:cs="Arial" w:eastAsia="Arial" w:hAnsi="Arial"/>
          <w:sz w:val="22"/>
          <w:szCs w:val="22"/>
          <w:b w:val="1"/>
          <w:bCs w:val="1"/>
          <w:color w:val="auto"/>
        </w:rPr>
        <w:t>EMPLOYEE DEFERRAL PLAN</w:t>
      </w:r>
    </w:p>
    <w:p>
      <w:pPr>
        <w:spacing w:after="0" w:line="155" w:lineRule="exact"/>
        <w:rPr>
          <w:sz w:val="20"/>
          <w:szCs w:val="20"/>
          <w:color w:val="auto"/>
        </w:rPr>
      </w:pPr>
    </w:p>
    <w:p>
      <w:pPr>
        <w:ind w:left="1360" w:right="1579" w:firstLine="648"/>
        <w:spacing w:after="0" w:line="217" w:lineRule="auto"/>
        <w:rPr>
          <w:sz w:val="20"/>
          <w:szCs w:val="20"/>
          <w:color w:val="auto"/>
        </w:rPr>
      </w:pPr>
      <w:r>
        <w:rPr>
          <w:rFonts w:ascii="Arial" w:cs="Arial" w:eastAsia="Arial" w:hAnsi="Arial"/>
          <w:sz w:val="22"/>
          <w:szCs w:val="22"/>
          <w:b w:val="1"/>
          <w:bCs w:val="1"/>
          <w:color w:val="010000"/>
        </w:rPr>
        <w:t xml:space="preserve">SECTION 1. </w:t>
      </w:r>
      <w:r>
        <w:rPr>
          <w:rFonts w:ascii="Arial" w:cs="Arial" w:eastAsia="Arial" w:hAnsi="Arial"/>
          <w:sz w:val="22"/>
          <w:szCs w:val="22"/>
          <w:i w:val="1"/>
          <w:iCs w:val="1"/>
          <w:color w:val="000000"/>
        </w:rPr>
        <w:t>Purpose</w:t>
      </w:r>
      <w:r>
        <w:rPr>
          <w:rFonts w:ascii="Arial" w:cs="Arial" w:eastAsia="Arial" w:hAnsi="Arial"/>
          <w:sz w:val="22"/>
          <w:szCs w:val="22"/>
          <w:color w:val="000000"/>
        </w:rPr>
        <w:t>. The purpose of the Acushnet</w:t>
      </w:r>
      <w:r>
        <w:rPr>
          <w:rFonts w:ascii="Arial" w:cs="Arial" w:eastAsia="Arial" w:hAnsi="Arial"/>
          <w:sz w:val="22"/>
          <w:szCs w:val="22"/>
          <w:b w:val="1"/>
          <w:bCs w:val="1"/>
          <w:color w:val="010000"/>
        </w:rPr>
        <w:t xml:space="preserve"> </w:t>
      </w:r>
      <w:r>
        <w:rPr>
          <w:rFonts w:ascii="Arial" w:cs="Arial" w:eastAsia="Arial" w:hAnsi="Arial"/>
          <w:sz w:val="22"/>
          <w:szCs w:val="22"/>
          <w:color w:val="000000"/>
        </w:rPr>
        <w:t>Holdings Corp. Employee Deferral Plan (the “</w:t>
      </w:r>
      <w:r>
        <w:rPr>
          <w:rFonts w:ascii="Arial" w:cs="Arial" w:eastAsia="Arial" w:hAnsi="Arial"/>
          <w:sz w:val="22"/>
          <w:szCs w:val="22"/>
          <w:b w:val="1"/>
          <w:bCs w:val="1"/>
          <w:color w:val="000000"/>
        </w:rPr>
        <w:t>Plan</w:t>
      </w:r>
      <w:r>
        <w:rPr>
          <w:rFonts w:ascii="Arial" w:cs="Arial" w:eastAsia="Arial" w:hAnsi="Arial"/>
          <w:sz w:val="22"/>
          <w:szCs w:val="22"/>
          <w:color w:val="000000"/>
        </w:rPr>
        <w:t>”) is to attract and retain the services of key employees for Acushnet Holdings Corp. (the “</w:t>
      </w:r>
      <w:r>
        <w:rPr>
          <w:rFonts w:ascii="Arial" w:cs="Arial" w:eastAsia="Arial" w:hAnsi="Arial"/>
          <w:sz w:val="22"/>
          <w:szCs w:val="22"/>
          <w:b w:val="1"/>
          <w:bCs w:val="1"/>
          <w:color w:val="000000"/>
        </w:rPr>
        <w:t>Company</w:t>
      </w:r>
      <w:r>
        <w:rPr>
          <w:rFonts w:ascii="Arial" w:cs="Arial" w:eastAsia="Arial" w:hAnsi="Arial"/>
          <w:sz w:val="22"/>
          <w:szCs w:val="22"/>
          <w:color w:val="000000"/>
        </w:rPr>
        <w:t>”) by providing them with opportunities to defer income taxes on certain compensation.</w:t>
      </w:r>
    </w:p>
    <w:p>
      <w:pPr>
        <w:spacing w:after="0" w:line="153" w:lineRule="exact"/>
        <w:rPr>
          <w:sz w:val="20"/>
          <w:szCs w:val="20"/>
          <w:color w:val="auto"/>
        </w:rPr>
      </w:pPr>
    </w:p>
    <w:p>
      <w:pPr>
        <w:ind w:left="1360" w:right="1679" w:firstLine="648"/>
        <w:spacing w:after="0" w:line="220" w:lineRule="auto"/>
        <w:rPr>
          <w:sz w:val="20"/>
          <w:szCs w:val="20"/>
          <w:color w:val="auto"/>
        </w:rPr>
      </w:pPr>
      <w:r>
        <w:rPr>
          <w:rFonts w:ascii="Arial" w:cs="Arial" w:eastAsia="Arial" w:hAnsi="Arial"/>
          <w:sz w:val="22"/>
          <w:szCs w:val="22"/>
          <w:b w:val="1"/>
          <w:bCs w:val="1"/>
          <w:color w:val="010000"/>
        </w:rPr>
        <w:t xml:space="preserve">SECTION 2. </w:t>
      </w:r>
      <w:r>
        <w:rPr>
          <w:rFonts w:ascii="Arial" w:cs="Arial" w:eastAsia="Arial" w:hAnsi="Arial"/>
          <w:sz w:val="22"/>
          <w:szCs w:val="22"/>
          <w:i w:val="1"/>
          <w:iCs w:val="1"/>
          <w:color w:val="000000"/>
        </w:rPr>
        <w:t>Definitions</w:t>
      </w:r>
      <w:r>
        <w:rPr>
          <w:rFonts w:ascii="Arial" w:cs="Arial" w:eastAsia="Arial" w:hAnsi="Arial"/>
          <w:sz w:val="22"/>
          <w:szCs w:val="22"/>
          <w:color w:val="000000"/>
        </w:rPr>
        <w:t>. Unless otherwise defined in</w:t>
      </w:r>
      <w:r>
        <w:rPr>
          <w:rFonts w:ascii="Arial" w:cs="Arial" w:eastAsia="Arial" w:hAnsi="Arial"/>
          <w:sz w:val="22"/>
          <w:szCs w:val="22"/>
          <w:b w:val="1"/>
          <w:bCs w:val="1"/>
          <w:color w:val="010000"/>
        </w:rPr>
        <w:t xml:space="preserve"> </w:t>
      </w:r>
      <w:r>
        <w:rPr>
          <w:rFonts w:ascii="Arial" w:cs="Arial" w:eastAsia="Arial" w:hAnsi="Arial"/>
          <w:sz w:val="22"/>
          <w:szCs w:val="22"/>
          <w:color w:val="000000"/>
        </w:rPr>
        <w:t>the Plan, capitalized terms used in the Plan shall have the meanings assigned to them in the Acushnet Holdings Corp. 2015 Omnibus Incentive Plan (the “</w:t>
      </w:r>
      <w:r>
        <w:rPr>
          <w:rFonts w:ascii="Arial" w:cs="Arial" w:eastAsia="Arial" w:hAnsi="Arial"/>
          <w:sz w:val="22"/>
          <w:szCs w:val="22"/>
          <w:b w:val="1"/>
          <w:bCs w:val="1"/>
          <w:color w:val="000000"/>
        </w:rPr>
        <w:t>Incentive Plan</w:t>
      </w:r>
      <w:r>
        <w:rPr>
          <w:rFonts w:ascii="Arial" w:cs="Arial" w:eastAsia="Arial" w:hAnsi="Arial"/>
          <w:sz w:val="22"/>
          <w:szCs w:val="22"/>
          <w:color w:val="000000"/>
        </w:rPr>
        <w:t>”).</w:t>
      </w:r>
    </w:p>
    <w:p>
      <w:pPr>
        <w:spacing w:after="0" w:line="153" w:lineRule="exact"/>
        <w:rPr>
          <w:sz w:val="20"/>
          <w:szCs w:val="20"/>
          <w:color w:val="auto"/>
        </w:rPr>
      </w:pPr>
    </w:p>
    <w:p>
      <w:pPr>
        <w:ind w:left="1360" w:right="1399" w:firstLine="648"/>
        <w:spacing w:after="0" w:line="260" w:lineRule="auto"/>
        <w:rPr>
          <w:sz w:val="20"/>
          <w:szCs w:val="20"/>
          <w:color w:val="auto"/>
        </w:rPr>
      </w:pPr>
      <w:r>
        <w:rPr>
          <w:rFonts w:ascii="Arial" w:cs="Arial" w:eastAsia="Arial" w:hAnsi="Arial"/>
          <w:sz w:val="19"/>
          <w:szCs w:val="19"/>
          <w:b w:val="1"/>
          <w:bCs w:val="1"/>
          <w:color w:val="010000"/>
        </w:rPr>
        <w:t xml:space="preserve">SECTION 3. </w:t>
      </w:r>
      <w:r>
        <w:rPr>
          <w:rFonts w:ascii="Arial" w:cs="Arial" w:eastAsia="Arial" w:hAnsi="Arial"/>
          <w:sz w:val="19"/>
          <w:szCs w:val="19"/>
          <w:i w:val="1"/>
          <w:iCs w:val="1"/>
          <w:color w:val="000000"/>
        </w:rPr>
        <w:t>Eligibility.</w:t>
      </w:r>
      <w:r>
        <w:rPr>
          <w:rFonts w:ascii="Arial" w:cs="Arial" w:eastAsia="Arial" w:hAnsi="Arial"/>
          <w:sz w:val="19"/>
          <w:szCs w:val="19"/>
          <w:b w:val="1"/>
          <w:bCs w:val="1"/>
          <w:color w:val="010000"/>
        </w:rPr>
        <w:t xml:space="preserve"> </w:t>
      </w:r>
      <w:r>
        <w:rPr>
          <w:rFonts w:ascii="Arial" w:cs="Arial" w:eastAsia="Arial" w:hAnsi="Arial"/>
          <w:sz w:val="19"/>
          <w:szCs w:val="19"/>
          <w:color w:val="000000"/>
        </w:rPr>
        <w:t>Unless otherwise determined by</w:t>
      </w:r>
      <w:r>
        <w:rPr>
          <w:rFonts w:ascii="Arial" w:cs="Arial" w:eastAsia="Arial" w:hAnsi="Arial"/>
          <w:sz w:val="19"/>
          <w:szCs w:val="19"/>
          <w:b w:val="1"/>
          <w:bCs w:val="1"/>
          <w:color w:val="010000"/>
        </w:rPr>
        <w:t xml:space="preserve"> </w:t>
      </w:r>
      <w:r>
        <w:rPr>
          <w:rFonts w:ascii="Arial" w:cs="Arial" w:eastAsia="Arial" w:hAnsi="Arial"/>
          <w:sz w:val="19"/>
          <w:szCs w:val="19"/>
          <w:color w:val="000000"/>
        </w:rPr>
        <w:t>the Compensation Committee, each employee of the Company or any of its Subsidiaries who meets all of the following requirements shall be entitled to participate in the Plan (each, an “</w:t>
      </w:r>
      <w:r>
        <w:rPr>
          <w:rFonts w:ascii="Arial" w:cs="Arial" w:eastAsia="Arial" w:hAnsi="Arial"/>
          <w:sz w:val="19"/>
          <w:szCs w:val="19"/>
          <w:b w:val="1"/>
          <w:bCs w:val="1"/>
          <w:color w:val="000000"/>
        </w:rPr>
        <w:t>Eligible Employee</w:t>
      </w:r>
      <w:r>
        <w:rPr>
          <w:rFonts w:ascii="Arial" w:cs="Arial" w:eastAsia="Arial" w:hAnsi="Arial"/>
          <w:sz w:val="19"/>
          <w:szCs w:val="19"/>
          <w:color w:val="000000"/>
        </w:rPr>
        <w:t>”):</w:t>
      </w:r>
    </w:p>
    <w:p>
      <w:pPr>
        <w:spacing w:after="0" w:line="140" w:lineRule="exact"/>
        <w:rPr>
          <w:sz w:val="20"/>
          <w:szCs w:val="20"/>
          <w:color w:val="auto"/>
        </w:rPr>
      </w:pPr>
    </w:p>
    <w:p>
      <w:pPr>
        <w:ind w:left="1360" w:right="1419" w:firstLine="643"/>
        <w:spacing w:after="0" w:line="268" w:lineRule="auto"/>
        <w:tabs>
          <w:tab w:leader="none" w:pos="2694" w:val="left"/>
        </w:tabs>
        <w:numPr>
          <w:ilvl w:val="0"/>
          <w:numId w:val="82"/>
        </w:numPr>
        <w:rPr>
          <w:rFonts w:ascii="Arial" w:cs="Arial" w:eastAsia="Arial" w:hAnsi="Arial"/>
          <w:sz w:val="19"/>
          <w:szCs w:val="19"/>
          <w:color w:val="010000"/>
        </w:rPr>
      </w:pPr>
      <w:r>
        <w:rPr>
          <w:rFonts w:ascii="Arial" w:cs="Arial" w:eastAsia="Arial" w:hAnsi="Arial"/>
          <w:sz w:val="19"/>
          <w:szCs w:val="19"/>
          <w:color w:val="auto"/>
        </w:rPr>
        <w:t>The employee is a member of a “select group of management or highly compensated employees” of the Company or any of its Subsidiaries within the meaning of Section 401(a)(1) of ERISA;</w:t>
      </w:r>
    </w:p>
    <w:p>
      <w:pPr>
        <w:spacing w:after="0" w:line="132" w:lineRule="exact"/>
        <w:rPr>
          <w:rFonts w:ascii="Arial" w:cs="Arial" w:eastAsia="Arial" w:hAnsi="Arial"/>
          <w:sz w:val="19"/>
          <w:szCs w:val="19"/>
          <w:color w:val="010000"/>
        </w:rPr>
      </w:pPr>
    </w:p>
    <w:p>
      <w:pPr>
        <w:jc w:val="both"/>
        <w:ind w:left="1360" w:right="1359" w:firstLine="643"/>
        <w:spacing w:after="0" w:line="223" w:lineRule="auto"/>
        <w:tabs>
          <w:tab w:leader="none" w:pos="2706" w:val="left"/>
        </w:tabs>
        <w:numPr>
          <w:ilvl w:val="0"/>
          <w:numId w:val="82"/>
        </w:numPr>
        <w:rPr>
          <w:rFonts w:ascii="Arial" w:cs="Arial" w:eastAsia="Arial" w:hAnsi="Arial"/>
          <w:sz w:val="22"/>
          <w:szCs w:val="22"/>
          <w:color w:val="010000"/>
        </w:rPr>
      </w:pPr>
      <w:r>
        <w:rPr>
          <w:rFonts w:ascii="Arial" w:cs="Arial" w:eastAsia="Arial" w:hAnsi="Arial"/>
          <w:sz w:val="22"/>
          <w:szCs w:val="22"/>
          <w:color w:val="auto"/>
        </w:rPr>
        <w:t>The employee is a full-time salaried employee (including employees who are officers of the Company) on the active payroll of the Company or any of its Subsidiaries; and</w:t>
      </w:r>
    </w:p>
    <w:p>
      <w:pPr>
        <w:spacing w:after="0" w:line="159" w:lineRule="exact"/>
        <w:rPr>
          <w:rFonts w:ascii="Arial" w:cs="Arial" w:eastAsia="Arial" w:hAnsi="Arial"/>
          <w:sz w:val="22"/>
          <w:szCs w:val="22"/>
          <w:color w:val="010000"/>
        </w:rPr>
      </w:pPr>
    </w:p>
    <w:p>
      <w:pPr>
        <w:ind w:left="1360" w:right="1639" w:firstLine="643"/>
        <w:spacing w:after="0" w:line="232" w:lineRule="auto"/>
        <w:tabs>
          <w:tab w:leader="none" w:pos="2707" w:val="left"/>
        </w:tabs>
        <w:numPr>
          <w:ilvl w:val="0"/>
          <w:numId w:val="82"/>
        </w:numPr>
        <w:rPr>
          <w:rFonts w:ascii="Arial" w:cs="Arial" w:eastAsia="Arial" w:hAnsi="Arial"/>
          <w:sz w:val="22"/>
          <w:szCs w:val="22"/>
          <w:color w:val="010000"/>
        </w:rPr>
      </w:pPr>
      <w:r>
        <w:rPr>
          <w:rFonts w:ascii="Arial" w:cs="Arial" w:eastAsia="Arial" w:hAnsi="Arial"/>
          <w:sz w:val="22"/>
          <w:szCs w:val="22"/>
          <w:color w:val="auto"/>
        </w:rPr>
        <w:t>The employee has been selected by the Compensation Committee to participate in the Plan.</w:t>
      </w:r>
    </w:p>
    <w:p>
      <w:pPr>
        <w:spacing w:after="0" w:line="159" w:lineRule="exact"/>
        <w:rPr>
          <w:sz w:val="20"/>
          <w:szCs w:val="20"/>
          <w:color w:val="auto"/>
        </w:rPr>
      </w:pPr>
    </w:p>
    <w:p>
      <w:pPr>
        <w:ind w:left="1360" w:right="1699"/>
        <w:spacing w:after="0" w:line="232" w:lineRule="auto"/>
        <w:rPr>
          <w:sz w:val="20"/>
          <w:szCs w:val="20"/>
          <w:color w:val="auto"/>
        </w:rPr>
      </w:pPr>
      <w:r>
        <w:rPr>
          <w:rFonts w:ascii="Arial" w:cs="Arial" w:eastAsia="Arial" w:hAnsi="Arial"/>
          <w:sz w:val="22"/>
          <w:szCs w:val="22"/>
          <w:color w:val="auto"/>
        </w:rPr>
        <w:t>Each such Eligible Employee who makes a deferral under the Plan is referred to herein as a “</w:t>
      </w:r>
      <w:r>
        <w:rPr>
          <w:rFonts w:ascii="Arial" w:cs="Arial" w:eastAsia="Arial" w:hAnsi="Arial"/>
          <w:sz w:val="22"/>
          <w:szCs w:val="22"/>
          <w:b w:val="1"/>
          <w:bCs w:val="1"/>
          <w:color w:val="auto"/>
        </w:rPr>
        <w:t>Participant</w:t>
      </w:r>
      <w:r>
        <w:rPr>
          <w:rFonts w:ascii="Arial" w:cs="Arial" w:eastAsia="Arial" w:hAnsi="Arial"/>
          <w:sz w:val="22"/>
          <w:szCs w:val="22"/>
          <w:color w:val="auto"/>
        </w:rPr>
        <w:t>.”</w:t>
      </w:r>
    </w:p>
    <w:p>
      <w:pPr>
        <w:spacing w:after="0" w:line="153" w:lineRule="exact"/>
        <w:rPr>
          <w:sz w:val="20"/>
          <w:szCs w:val="20"/>
          <w:color w:val="auto"/>
        </w:rPr>
      </w:pPr>
    </w:p>
    <w:p>
      <w:pPr>
        <w:ind w:left="1360" w:right="1519" w:firstLine="648"/>
        <w:spacing w:after="0" w:line="241" w:lineRule="auto"/>
        <w:rPr>
          <w:sz w:val="20"/>
          <w:szCs w:val="20"/>
          <w:color w:val="auto"/>
        </w:rPr>
      </w:pPr>
      <w:r>
        <w:rPr>
          <w:rFonts w:ascii="Arial" w:cs="Arial" w:eastAsia="Arial" w:hAnsi="Arial"/>
          <w:sz w:val="19"/>
          <w:szCs w:val="19"/>
          <w:b w:val="1"/>
          <w:bCs w:val="1"/>
          <w:color w:val="010000"/>
        </w:rPr>
        <w:t xml:space="preserve">SECTION 4. </w:t>
      </w:r>
      <w:r>
        <w:rPr>
          <w:rFonts w:ascii="Arial" w:cs="Arial" w:eastAsia="Arial" w:hAnsi="Arial"/>
          <w:sz w:val="19"/>
          <w:szCs w:val="19"/>
          <w:i w:val="1"/>
          <w:iCs w:val="1"/>
          <w:color w:val="000000"/>
        </w:rPr>
        <w:t>Administration.</w:t>
      </w:r>
      <w:r>
        <w:rPr>
          <w:rFonts w:ascii="Arial" w:cs="Arial" w:eastAsia="Arial" w:hAnsi="Arial"/>
          <w:sz w:val="19"/>
          <w:szCs w:val="19"/>
          <w:b w:val="1"/>
          <w:bCs w:val="1"/>
          <w:color w:val="010000"/>
        </w:rPr>
        <w:t xml:space="preserve"> </w:t>
      </w:r>
      <w:r>
        <w:rPr>
          <w:rFonts w:ascii="Arial" w:cs="Arial" w:eastAsia="Arial" w:hAnsi="Arial"/>
          <w:sz w:val="19"/>
          <w:szCs w:val="19"/>
          <w:color w:val="000000"/>
        </w:rPr>
        <w:t>The Plan shall be</w:t>
      </w:r>
      <w:r>
        <w:rPr>
          <w:rFonts w:ascii="Arial" w:cs="Arial" w:eastAsia="Arial" w:hAnsi="Arial"/>
          <w:sz w:val="19"/>
          <w:szCs w:val="19"/>
          <w:b w:val="1"/>
          <w:bCs w:val="1"/>
          <w:color w:val="010000"/>
        </w:rPr>
        <w:t xml:space="preserve"> </w:t>
      </w:r>
      <w:r>
        <w:rPr>
          <w:rFonts w:ascii="Arial" w:cs="Arial" w:eastAsia="Arial" w:hAnsi="Arial"/>
          <w:sz w:val="19"/>
          <w:szCs w:val="19"/>
          <w:color w:val="000000"/>
        </w:rPr>
        <w:t>administered by the Compensation Committee. Subject to the terms of the Plan and applicable law, the Compensation Committee shall have full power and authority to: (i) designate Eligible Employees for participation; (ii) determine the terms and conditions of any deferral made under the Plan; (iii) interpret and administer the Plan and any instrument or agreement relating to, or deferral made under, the Plan;</w:t>
      </w:r>
    </w:p>
    <w:p>
      <w:pPr>
        <w:spacing w:after="0" w:line="1" w:lineRule="exact"/>
        <w:rPr>
          <w:sz w:val="20"/>
          <w:szCs w:val="20"/>
          <w:color w:val="auto"/>
        </w:rPr>
      </w:pPr>
    </w:p>
    <w:p>
      <w:pPr>
        <w:ind w:left="1360" w:right="1439" w:hanging="6"/>
        <w:spacing w:after="0"/>
        <w:tabs>
          <w:tab w:leader="none" w:pos="1726" w:val="left"/>
        </w:tabs>
        <w:numPr>
          <w:ilvl w:val="0"/>
          <w:numId w:val="83"/>
        </w:numPr>
        <w:rPr>
          <w:rFonts w:ascii="Arial" w:cs="Arial" w:eastAsia="Arial" w:hAnsi="Arial"/>
          <w:sz w:val="19"/>
          <w:szCs w:val="19"/>
          <w:color w:val="auto"/>
        </w:rPr>
      </w:pPr>
      <w:r>
        <w:rPr>
          <w:rFonts w:ascii="Arial" w:cs="Arial" w:eastAsia="Arial" w:hAnsi="Arial"/>
          <w:sz w:val="19"/>
          <w:szCs w:val="19"/>
          <w:color w:val="auto"/>
        </w:rPr>
        <w:t>establish, amend, suspend or waive such rules and regulations and appoint such agents as it shall deem appropriate for the proper administration of the Plan; and (v) make any other determination and take any other action that the Compensation Committee deems necessary or desirable for the administration of the Plan. To the extent legally permitted, the Compensation Committee may, in its discretion, delegate to the General Counsel, the Chief Human Resources Officer or to one or more officers of the Company any or all authority and responsibility to act with respect to administrative matters with respect to the Plan. The determination of the Compensation Committee on all matters within its authority relating to the Plan shall be final, conclusive and binding upon all parties, including the Company, its shareholders and the Participants.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864235</wp:posOffset>
            </wp:positionH>
            <wp:positionV relativeFrom="paragraph">
              <wp:posOffset>403860</wp:posOffset>
            </wp:positionV>
            <wp:extent cx="4004945" cy="26035"/>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94">
                      <a:extLst>
                        <a:ext uri="{28A0092B-C50C-407E-A947-70E740481C1C}"/>
                      </a:extLst>
                    </a:blip>
                    <a:srcRect/>
                    <a:stretch>
                      <a:fillRect/>
                    </a:stretch>
                  </pic:blipFill>
                  <pic:spPr bwMode="auto">
                    <a:xfrm>
                      <a:off x="0" y="0"/>
                      <a:ext cx="4004945" cy="26035"/>
                    </a:xfrm>
                    <a:prstGeom prst="rect">
                      <a:avLst/>
                    </a:prstGeom>
                    <a:noFill/>
                  </pic:spPr>
                </pic:pic>
              </a:graphicData>
            </a:graphic>
          </wp:anchor>
        </w:drawing>
      </w:r>
    </w:p>
    <w:p>
      <w:pPr>
        <w:sectPr>
          <w:pgSz w:w="11900" w:h="16838" w:orient="portrait"/>
          <w:cols w:equalWidth="0" w:num="1">
            <w:col w:w="9019"/>
          </w:cols>
          <w:pgMar w:left="1440" w:top="91" w:right="1440" w:bottom="1440" w:gutter="0" w:footer="0" w:header="0"/>
        </w:sectPr>
      </w:pPr>
    </w:p>
    <w:bookmarkStart w:id="160" w:name="page161"/>
    <w:bookmarkEnd w:id="160"/>
    <w:p>
      <w:pPr>
        <w:ind w:left="2000"/>
        <w:spacing w:after="0"/>
        <w:tabs>
          <w:tab w:leader="none" w:pos="3800" w:val="left"/>
        </w:tabs>
        <w:rPr>
          <w:sz w:val="20"/>
          <w:szCs w:val="20"/>
          <w:color w:val="auto"/>
        </w:rPr>
      </w:pPr>
      <w:r>
        <w:rPr>
          <w:rFonts w:ascii="Arial" w:cs="Arial" w:eastAsia="Arial" w:hAnsi="Arial"/>
          <w:sz w:val="22"/>
          <w:szCs w:val="22"/>
          <w:b w:val="1"/>
          <w:bCs w:val="1"/>
          <w:color w:val="010000"/>
        </w:rPr>
        <w:t>SECTION 5.</w:t>
      </w:r>
      <w:r>
        <w:rPr>
          <w:sz w:val="20"/>
          <w:szCs w:val="20"/>
          <w:color w:val="auto"/>
        </w:rPr>
        <w:tab/>
      </w:r>
      <w:r>
        <w:rPr>
          <w:rFonts w:ascii="Arial" w:cs="Arial" w:eastAsia="Arial" w:hAnsi="Arial"/>
          <w:sz w:val="19"/>
          <w:szCs w:val="19"/>
          <w:i w:val="1"/>
          <w:iCs w:val="1"/>
          <w:color w:val="auto"/>
        </w:rPr>
        <w:t>Deferrals</w:t>
      </w:r>
      <w:r>
        <w:rPr>
          <w:rFonts w:ascii="Arial" w:cs="Arial" w:eastAsia="Arial" w:hAnsi="Arial"/>
          <w:sz w:val="19"/>
          <w:szCs w:val="19"/>
          <w:color w:val="auto"/>
        </w:rPr>
        <w:t>.</w:t>
      </w:r>
    </w:p>
    <w:p>
      <w:pPr>
        <w:spacing w:after="0" w:line="185" w:lineRule="exact"/>
        <w:rPr>
          <w:sz w:val="20"/>
          <w:szCs w:val="20"/>
          <w:color w:val="auto"/>
        </w:rPr>
      </w:pPr>
    </w:p>
    <w:p>
      <w:pPr>
        <w:ind w:left="1360" w:right="1539" w:firstLine="643"/>
        <w:spacing w:after="0" w:line="224" w:lineRule="auto"/>
        <w:tabs>
          <w:tab w:leader="none" w:pos="2694" w:val="left"/>
        </w:tabs>
        <w:numPr>
          <w:ilvl w:val="0"/>
          <w:numId w:val="84"/>
        </w:numPr>
        <w:rPr>
          <w:rFonts w:ascii="Arial" w:cs="Arial" w:eastAsia="Arial" w:hAnsi="Arial"/>
          <w:sz w:val="21"/>
          <w:szCs w:val="21"/>
          <w:color w:val="010000"/>
        </w:rPr>
      </w:pPr>
      <w:r>
        <w:rPr>
          <w:rFonts w:ascii="Arial" w:cs="Arial" w:eastAsia="Arial" w:hAnsi="Arial"/>
          <w:sz w:val="21"/>
          <w:szCs w:val="21"/>
          <w:i w:val="1"/>
          <w:iCs w:val="1"/>
          <w:color w:val="auto"/>
        </w:rPr>
        <w:t>Deferral Elections</w:t>
      </w:r>
      <w:r>
        <w:rPr>
          <w:rFonts w:ascii="Arial" w:cs="Arial" w:eastAsia="Arial" w:hAnsi="Arial"/>
          <w:sz w:val="21"/>
          <w:szCs w:val="21"/>
          <w:color w:val="auto"/>
        </w:rPr>
        <w:t>. Each Participant may elect to defer</w:t>
      </w:r>
      <w:r>
        <w:rPr>
          <w:rFonts w:ascii="Arial" w:cs="Arial" w:eastAsia="Arial" w:hAnsi="Arial"/>
          <w:sz w:val="21"/>
          <w:szCs w:val="21"/>
          <w:i w:val="1"/>
          <w:iCs w:val="1"/>
          <w:color w:val="auto"/>
        </w:rPr>
        <w:t xml:space="preserve"> </w:t>
      </w:r>
      <w:r>
        <w:rPr>
          <w:rFonts w:ascii="Arial" w:cs="Arial" w:eastAsia="Arial" w:hAnsi="Arial"/>
          <w:sz w:val="21"/>
          <w:szCs w:val="21"/>
          <w:color w:val="auto"/>
        </w:rPr>
        <w:t>receipt of all or any portion of any shares of Common Stock issuable upon vesting of any Restricted Stock Unit (whether such Restricted Stock Unit is subject to time-based or performance-based vesting) granted to such Participant pursuant to the Company’s compensation program (a “</w:t>
      </w:r>
      <w:r>
        <w:rPr>
          <w:rFonts w:ascii="Arial" w:cs="Arial" w:eastAsia="Arial" w:hAnsi="Arial"/>
          <w:sz w:val="21"/>
          <w:szCs w:val="21"/>
          <w:b w:val="1"/>
          <w:bCs w:val="1"/>
          <w:color w:val="auto"/>
        </w:rPr>
        <w:t>Deferred Stock Unit</w:t>
      </w:r>
      <w:r>
        <w:rPr>
          <w:rFonts w:ascii="Arial" w:cs="Arial" w:eastAsia="Arial" w:hAnsi="Arial"/>
          <w:sz w:val="21"/>
          <w:szCs w:val="21"/>
          <w:color w:val="auto"/>
        </w:rPr>
        <w:t>”).</w:t>
      </w:r>
    </w:p>
    <w:p>
      <w:pPr>
        <w:spacing w:after="0" w:line="160" w:lineRule="exact"/>
        <w:rPr>
          <w:rFonts w:ascii="Arial" w:cs="Arial" w:eastAsia="Arial" w:hAnsi="Arial"/>
          <w:sz w:val="21"/>
          <w:szCs w:val="21"/>
          <w:color w:val="010000"/>
        </w:rPr>
      </w:pPr>
    </w:p>
    <w:p>
      <w:pPr>
        <w:jc w:val="both"/>
        <w:ind w:left="1360" w:right="1619" w:firstLine="643"/>
        <w:spacing w:after="0" w:line="226" w:lineRule="auto"/>
        <w:tabs>
          <w:tab w:leader="none" w:pos="2706" w:val="left"/>
        </w:tabs>
        <w:numPr>
          <w:ilvl w:val="0"/>
          <w:numId w:val="84"/>
        </w:numPr>
        <w:rPr>
          <w:rFonts w:ascii="Arial" w:cs="Arial" w:eastAsia="Arial" w:hAnsi="Arial"/>
          <w:sz w:val="21"/>
          <w:szCs w:val="21"/>
          <w:color w:val="010000"/>
        </w:rPr>
      </w:pPr>
      <w:r>
        <w:rPr>
          <w:rFonts w:ascii="Arial" w:cs="Arial" w:eastAsia="Arial" w:hAnsi="Arial"/>
          <w:sz w:val="21"/>
          <w:szCs w:val="21"/>
          <w:i w:val="1"/>
          <w:iCs w:val="1"/>
          <w:color w:val="auto"/>
        </w:rPr>
        <w:t>Election Forms</w:t>
      </w:r>
      <w:r>
        <w:rPr>
          <w:rFonts w:ascii="Arial" w:cs="Arial" w:eastAsia="Arial" w:hAnsi="Arial"/>
          <w:sz w:val="21"/>
          <w:szCs w:val="21"/>
          <w:color w:val="auto"/>
        </w:rPr>
        <w:t>. A Participant’s deferral election shall</w:t>
      </w:r>
      <w:r>
        <w:rPr>
          <w:rFonts w:ascii="Arial" w:cs="Arial" w:eastAsia="Arial" w:hAnsi="Arial"/>
          <w:sz w:val="21"/>
          <w:szCs w:val="21"/>
          <w:i w:val="1"/>
          <w:iCs w:val="1"/>
          <w:color w:val="auto"/>
        </w:rPr>
        <w:t xml:space="preserve"> </w:t>
      </w:r>
      <w:r>
        <w:rPr>
          <w:rFonts w:ascii="Arial" w:cs="Arial" w:eastAsia="Arial" w:hAnsi="Arial"/>
          <w:sz w:val="21"/>
          <w:szCs w:val="21"/>
          <w:color w:val="auto"/>
        </w:rPr>
        <w:t>be made in the form of a document (an “</w:t>
      </w:r>
      <w:r>
        <w:rPr>
          <w:rFonts w:ascii="Arial" w:cs="Arial" w:eastAsia="Arial" w:hAnsi="Arial"/>
          <w:sz w:val="21"/>
          <w:szCs w:val="21"/>
          <w:b w:val="1"/>
          <w:bCs w:val="1"/>
          <w:color w:val="auto"/>
        </w:rPr>
        <w:t>Election Form</w:t>
      </w:r>
      <w:r>
        <w:rPr>
          <w:rFonts w:ascii="Arial" w:cs="Arial" w:eastAsia="Arial" w:hAnsi="Arial"/>
          <w:sz w:val="21"/>
          <w:szCs w:val="21"/>
          <w:color w:val="auto"/>
        </w:rPr>
        <w:t>”) established for such purpose by the Compensation Committee that is executed by such Participant and filed with the Company. The Election Form will require such Participant to specify:</w:t>
      </w:r>
    </w:p>
    <w:p>
      <w:pPr>
        <w:spacing w:after="0" w:line="159" w:lineRule="exact"/>
        <w:rPr>
          <w:rFonts w:ascii="Arial" w:cs="Arial" w:eastAsia="Arial" w:hAnsi="Arial"/>
          <w:sz w:val="21"/>
          <w:szCs w:val="21"/>
          <w:color w:val="010000"/>
        </w:rPr>
      </w:pPr>
    </w:p>
    <w:p>
      <w:pPr>
        <w:ind w:left="2000" w:right="1619" w:firstLine="651"/>
        <w:spacing w:after="0" w:line="223" w:lineRule="auto"/>
        <w:tabs>
          <w:tab w:leader="none" w:pos="3365" w:val="left"/>
        </w:tabs>
        <w:numPr>
          <w:ilvl w:val="1"/>
          <w:numId w:val="84"/>
        </w:numPr>
        <w:rPr>
          <w:rFonts w:ascii="Arial" w:cs="Arial" w:eastAsia="Arial" w:hAnsi="Arial"/>
          <w:sz w:val="22"/>
          <w:szCs w:val="22"/>
          <w:color w:val="010000"/>
        </w:rPr>
      </w:pPr>
      <w:r>
        <w:rPr>
          <w:rFonts w:ascii="Arial" w:cs="Arial" w:eastAsia="Arial" w:hAnsi="Arial"/>
          <w:sz w:val="22"/>
          <w:szCs w:val="22"/>
          <w:color w:val="auto"/>
        </w:rPr>
        <w:t>the portion of any shares of Common Stock issuable upon vesting of any Restricted Stock Unit that will be deferred; and</w:t>
      </w:r>
    </w:p>
    <w:p>
      <w:pPr>
        <w:spacing w:after="0" w:line="159" w:lineRule="exact"/>
        <w:rPr>
          <w:rFonts w:ascii="Arial" w:cs="Arial" w:eastAsia="Arial" w:hAnsi="Arial"/>
          <w:sz w:val="22"/>
          <w:szCs w:val="22"/>
          <w:color w:val="010000"/>
        </w:rPr>
      </w:pPr>
    </w:p>
    <w:p>
      <w:pPr>
        <w:ind w:left="2000" w:right="1379" w:firstLine="651"/>
        <w:spacing w:after="0" w:line="214" w:lineRule="auto"/>
        <w:tabs>
          <w:tab w:leader="none" w:pos="3398" w:val="left"/>
        </w:tabs>
        <w:numPr>
          <w:ilvl w:val="1"/>
          <w:numId w:val="84"/>
        </w:numPr>
        <w:rPr>
          <w:rFonts w:ascii="Arial" w:cs="Arial" w:eastAsia="Arial" w:hAnsi="Arial"/>
          <w:sz w:val="22"/>
          <w:szCs w:val="22"/>
          <w:color w:val="010000"/>
        </w:rPr>
      </w:pPr>
      <w:r>
        <w:rPr>
          <w:rFonts w:ascii="Arial" w:cs="Arial" w:eastAsia="Arial" w:hAnsi="Arial"/>
          <w:sz w:val="22"/>
          <w:szCs w:val="22"/>
          <w:color w:val="auto"/>
        </w:rPr>
        <w:t>the time at which the deferred shares of Common Stock will be distributed to such Participant, which time may be (x) a specified date, (y) the Participant’s “separation from service” (as defined in Section 409A of the Code) or (z) the earlier of a specified date and such Participant’s separation from service.</w:t>
      </w:r>
    </w:p>
    <w:p>
      <w:pPr>
        <w:spacing w:after="0" w:line="159" w:lineRule="exact"/>
        <w:rPr>
          <w:sz w:val="20"/>
          <w:szCs w:val="20"/>
          <w:color w:val="auto"/>
        </w:rPr>
      </w:pPr>
    </w:p>
    <w:p>
      <w:pPr>
        <w:ind w:left="1360" w:right="1779" w:firstLine="648"/>
        <w:spacing w:after="0" w:line="232" w:lineRule="auto"/>
        <w:rPr>
          <w:sz w:val="20"/>
          <w:szCs w:val="20"/>
          <w:color w:val="auto"/>
        </w:rPr>
      </w:pPr>
      <w:r>
        <w:rPr>
          <w:rFonts w:ascii="Arial" w:cs="Arial" w:eastAsia="Arial" w:hAnsi="Arial"/>
          <w:sz w:val="22"/>
          <w:szCs w:val="22"/>
          <w:color w:val="auto"/>
        </w:rPr>
        <w:t>Each Election Form will remain in effect until superseded or revoked pursuant to this Section 5.</w:t>
      </w:r>
    </w:p>
    <w:p>
      <w:pPr>
        <w:spacing w:after="0" w:line="159" w:lineRule="exact"/>
        <w:rPr>
          <w:sz w:val="20"/>
          <w:szCs w:val="20"/>
          <w:color w:val="auto"/>
        </w:rPr>
      </w:pPr>
    </w:p>
    <w:p>
      <w:pPr>
        <w:ind w:left="2700" w:hanging="697"/>
        <w:spacing w:after="0"/>
        <w:tabs>
          <w:tab w:leader="none" w:pos="2700" w:val="left"/>
        </w:tabs>
        <w:numPr>
          <w:ilvl w:val="0"/>
          <w:numId w:val="85"/>
        </w:numPr>
        <w:rPr>
          <w:rFonts w:ascii="Arial" w:cs="Arial" w:eastAsia="Arial" w:hAnsi="Arial"/>
          <w:sz w:val="22"/>
          <w:szCs w:val="22"/>
          <w:color w:val="010000"/>
        </w:rPr>
      </w:pPr>
      <w:r>
        <w:rPr>
          <w:rFonts w:ascii="Arial" w:cs="Arial" w:eastAsia="Arial" w:hAnsi="Arial"/>
          <w:sz w:val="22"/>
          <w:szCs w:val="22"/>
          <w:i w:val="1"/>
          <w:iCs w:val="1"/>
          <w:color w:val="auto"/>
        </w:rPr>
        <w:t>Timing of Elections</w:t>
      </w:r>
      <w:r>
        <w:rPr>
          <w:rFonts w:ascii="Arial" w:cs="Arial" w:eastAsia="Arial" w:hAnsi="Arial"/>
          <w:sz w:val="22"/>
          <w:szCs w:val="22"/>
          <w:color w:val="auto"/>
        </w:rPr>
        <w:t>.</w:t>
      </w:r>
    </w:p>
    <w:p>
      <w:pPr>
        <w:spacing w:after="0" w:line="179" w:lineRule="exact"/>
        <w:rPr>
          <w:rFonts w:ascii="Arial" w:cs="Arial" w:eastAsia="Arial" w:hAnsi="Arial"/>
          <w:sz w:val="22"/>
          <w:szCs w:val="22"/>
          <w:color w:val="010000"/>
        </w:rPr>
      </w:pPr>
    </w:p>
    <w:p>
      <w:pPr>
        <w:jc w:val="both"/>
        <w:ind w:left="2000" w:right="1459" w:firstLine="651"/>
        <w:spacing w:after="0" w:line="257" w:lineRule="auto"/>
        <w:tabs>
          <w:tab w:leader="none" w:pos="3365" w:val="left"/>
        </w:tabs>
        <w:numPr>
          <w:ilvl w:val="1"/>
          <w:numId w:val="85"/>
        </w:numPr>
        <w:rPr>
          <w:rFonts w:ascii="Arial" w:cs="Arial" w:eastAsia="Arial" w:hAnsi="Arial"/>
          <w:sz w:val="19"/>
          <w:szCs w:val="19"/>
          <w:color w:val="010000"/>
        </w:rPr>
      </w:pPr>
      <w:r>
        <w:rPr>
          <w:rFonts w:ascii="Arial" w:cs="Arial" w:eastAsia="Arial" w:hAnsi="Arial"/>
          <w:sz w:val="19"/>
          <w:szCs w:val="19"/>
          <w:color w:val="auto"/>
        </w:rPr>
        <w:t>Subject to Section 5(c)(ii), an Election Form executed by a Participant shall apply to any Restricted Stock Unit that is granted to such Participant at any time following the end of the year in which such Election Form is executed.</w:t>
      </w:r>
    </w:p>
    <w:p>
      <w:pPr>
        <w:spacing w:after="0" w:line="144" w:lineRule="exact"/>
        <w:rPr>
          <w:rFonts w:ascii="Arial" w:cs="Arial" w:eastAsia="Arial" w:hAnsi="Arial"/>
          <w:sz w:val="19"/>
          <w:szCs w:val="19"/>
          <w:color w:val="010000"/>
        </w:rPr>
      </w:pPr>
    </w:p>
    <w:p>
      <w:pPr>
        <w:ind w:left="2000" w:right="1439" w:firstLine="651"/>
        <w:spacing w:after="0" w:line="216" w:lineRule="auto"/>
        <w:tabs>
          <w:tab w:leader="none" w:pos="3398" w:val="left"/>
        </w:tabs>
        <w:numPr>
          <w:ilvl w:val="1"/>
          <w:numId w:val="85"/>
        </w:numPr>
        <w:rPr>
          <w:rFonts w:ascii="Arial" w:cs="Arial" w:eastAsia="Arial" w:hAnsi="Arial"/>
          <w:sz w:val="22"/>
          <w:szCs w:val="22"/>
          <w:color w:val="010000"/>
        </w:rPr>
      </w:pPr>
      <w:r>
        <w:rPr>
          <w:rFonts w:ascii="Arial" w:cs="Arial" w:eastAsia="Arial" w:hAnsi="Arial"/>
          <w:sz w:val="22"/>
          <w:szCs w:val="22"/>
          <w:color w:val="auto"/>
        </w:rPr>
        <w:t>An Election Form filed by a Participant within 30 days after such Participant becomes eligible to participate in the Plan may apply to any Restricted Stock Unit that relates to services performed following the date on which such Participant executes such Election Form.</w:t>
      </w:r>
    </w:p>
    <w:p>
      <w:pPr>
        <w:spacing w:after="0" w:line="158" w:lineRule="exact"/>
        <w:rPr>
          <w:rFonts w:ascii="Arial" w:cs="Arial" w:eastAsia="Arial" w:hAnsi="Arial"/>
          <w:sz w:val="22"/>
          <w:szCs w:val="22"/>
          <w:color w:val="010000"/>
        </w:rPr>
      </w:pPr>
    </w:p>
    <w:p>
      <w:pPr>
        <w:ind w:left="1360" w:right="1419" w:firstLine="643"/>
        <w:spacing w:after="0" w:line="224" w:lineRule="auto"/>
        <w:tabs>
          <w:tab w:leader="none" w:pos="2706" w:val="left"/>
        </w:tabs>
        <w:numPr>
          <w:ilvl w:val="0"/>
          <w:numId w:val="85"/>
        </w:numPr>
        <w:rPr>
          <w:rFonts w:ascii="Arial" w:cs="Arial" w:eastAsia="Arial" w:hAnsi="Arial"/>
          <w:sz w:val="21"/>
          <w:szCs w:val="21"/>
          <w:color w:val="010000"/>
        </w:rPr>
      </w:pPr>
      <w:r>
        <w:rPr>
          <w:rFonts w:ascii="Arial" w:cs="Arial" w:eastAsia="Arial" w:hAnsi="Arial"/>
          <w:sz w:val="21"/>
          <w:szCs w:val="21"/>
          <w:i w:val="1"/>
          <w:iCs w:val="1"/>
          <w:color w:val="auto"/>
        </w:rPr>
        <w:t>Subsequent Election Forms</w:t>
      </w:r>
      <w:r>
        <w:rPr>
          <w:rFonts w:ascii="Arial" w:cs="Arial" w:eastAsia="Arial" w:hAnsi="Arial"/>
          <w:sz w:val="21"/>
          <w:szCs w:val="21"/>
          <w:color w:val="auto"/>
        </w:rPr>
        <w:t>. A Participant who has an</w:t>
      </w:r>
      <w:r>
        <w:rPr>
          <w:rFonts w:ascii="Arial" w:cs="Arial" w:eastAsia="Arial" w:hAnsi="Arial"/>
          <w:sz w:val="21"/>
          <w:szCs w:val="21"/>
          <w:i w:val="1"/>
          <w:iCs w:val="1"/>
          <w:color w:val="auto"/>
        </w:rPr>
        <w:t xml:space="preserve"> </w:t>
      </w:r>
      <w:r>
        <w:rPr>
          <w:rFonts w:ascii="Arial" w:cs="Arial" w:eastAsia="Arial" w:hAnsi="Arial"/>
          <w:sz w:val="21"/>
          <w:szCs w:val="21"/>
          <w:color w:val="auto"/>
        </w:rPr>
        <w:t>Election Form on file with the Company may execute and file with the Company a subsequent Election Form at any time. Such subsequent Election Form shall apply to any Restricted Stock Unit that is granted to such Participant following the end of the year in which such subsequent Election Form is executed.</w:t>
      </w:r>
    </w:p>
    <w:p>
      <w:pPr>
        <w:spacing w:after="0" w:line="160" w:lineRule="exact"/>
        <w:rPr>
          <w:rFonts w:ascii="Arial" w:cs="Arial" w:eastAsia="Arial" w:hAnsi="Arial"/>
          <w:sz w:val="21"/>
          <w:szCs w:val="21"/>
          <w:color w:val="010000"/>
        </w:rPr>
      </w:pPr>
    </w:p>
    <w:p>
      <w:pPr>
        <w:ind w:left="1360" w:right="1519" w:firstLine="643"/>
        <w:spacing w:after="0" w:line="216" w:lineRule="auto"/>
        <w:tabs>
          <w:tab w:leader="none" w:pos="2694" w:val="left"/>
        </w:tabs>
        <w:numPr>
          <w:ilvl w:val="0"/>
          <w:numId w:val="85"/>
        </w:numPr>
        <w:rPr>
          <w:rFonts w:ascii="Arial" w:cs="Arial" w:eastAsia="Arial" w:hAnsi="Arial"/>
          <w:sz w:val="22"/>
          <w:szCs w:val="22"/>
          <w:color w:val="010000"/>
        </w:rPr>
      </w:pPr>
      <w:r>
        <w:rPr>
          <w:rFonts w:ascii="Arial" w:cs="Arial" w:eastAsia="Arial" w:hAnsi="Arial"/>
          <w:sz w:val="22"/>
          <w:szCs w:val="22"/>
          <w:i w:val="1"/>
          <w:iCs w:val="1"/>
          <w:color w:val="auto"/>
        </w:rPr>
        <w:t>Revoking Election Forms</w:t>
      </w:r>
      <w:r>
        <w:rPr>
          <w:rFonts w:ascii="Arial" w:cs="Arial" w:eastAsia="Arial" w:hAnsi="Arial"/>
          <w:sz w:val="22"/>
          <w:szCs w:val="22"/>
          <w:color w:val="auto"/>
        </w:rPr>
        <w:t>. A Participant may revoke an</w:t>
      </w:r>
      <w:r>
        <w:rPr>
          <w:rFonts w:ascii="Arial" w:cs="Arial" w:eastAsia="Arial" w:hAnsi="Arial"/>
          <w:sz w:val="22"/>
          <w:szCs w:val="22"/>
          <w:i w:val="1"/>
          <w:iCs w:val="1"/>
          <w:color w:val="auto"/>
        </w:rPr>
        <w:t xml:space="preserve"> </w:t>
      </w:r>
      <w:r>
        <w:rPr>
          <w:rFonts w:ascii="Arial" w:cs="Arial" w:eastAsia="Arial" w:hAnsi="Arial"/>
          <w:sz w:val="22"/>
          <w:szCs w:val="22"/>
          <w:color w:val="auto"/>
        </w:rPr>
        <w:t>Election Form at any time by providing written notice to the Chief Human Resources Officer. Such revocation shall apply to any Restricted Stock Unit that is granted to such Participant following the year in which such notice is provided.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864235</wp:posOffset>
            </wp:positionH>
            <wp:positionV relativeFrom="paragraph">
              <wp:posOffset>259715</wp:posOffset>
            </wp:positionV>
            <wp:extent cx="4004945" cy="26035"/>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95">
                      <a:extLst>
                        <a:ext uri="{28A0092B-C50C-407E-A947-70E740481C1C}"/>
                      </a:extLst>
                    </a:blip>
                    <a:srcRect/>
                    <a:stretch>
                      <a:fillRect/>
                    </a:stretch>
                  </pic:blipFill>
                  <pic:spPr bwMode="auto">
                    <a:xfrm>
                      <a:off x="0" y="0"/>
                      <a:ext cx="4004945" cy="26035"/>
                    </a:xfrm>
                    <a:prstGeom prst="rect">
                      <a:avLst/>
                    </a:prstGeom>
                    <a:noFill/>
                  </pic:spPr>
                </pic:pic>
              </a:graphicData>
            </a:graphic>
          </wp:anchor>
        </w:drawing>
      </w:r>
    </w:p>
    <w:p>
      <w:pPr>
        <w:sectPr>
          <w:pgSz w:w="11900" w:h="16838" w:orient="portrait"/>
          <w:cols w:equalWidth="0" w:num="1">
            <w:col w:w="9019"/>
          </w:cols>
          <w:pgMar w:left="1440" w:top="463" w:right="1440" w:bottom="1440" w:gutter="0" w:footer="0" w:header="0"/>
        </w:sectPr>
      </w:pPr>
    </w:p>
    <w:bookmarkStart w:id="161" w:name="page162"/>
    <w:bookmarkEnd w:id="161"/>
    <w:p>
      <w:pPr>
        <w:ind w:left="1360" w:right="1379" w:firstLine="643"/>
        <w:spacing w:after="0" w:line="242" w:lineRule="auto"/>
        <w:tabs>
          <w:tab w:leader="none" w:pos="2724" w:val="left"/>
        </w:tabs>
        <w:numPr>
          <w:ilvl w:val="0"/>
          <w:numId w:val="86"/>
        </w:numPr>
        <w:rPr>
          <w:rFonts w:ascii="Arial" w:cs="Arial" w:eastAsia="Arial" w:hAnsi="Arial"/>
          <w:sz w:val="19"/>
          <w:szCs w:val="19"/>
          <w:color w:val="010000"/>
        </w:rPr>
      </w:pPr>
      <w:r>
        <w:rPr>
          <w:rFonts w:ascii="Arial" w:cs="Arial" w:eastAsia="Arial" w:hAnsi="Arial"/>
          <w:sz w:val="19"/>
          <w:szCs w:val="19"/>
          <w:i w:val="1"/>
          <w:iCs w:val="1"/>
          <w:color w:val="auto"/>
        </w:rPr>
        <w:t>Redeferrals</w:t>
      </w:r>
      <w:r>
        <w:rPr>
          <w:rFonts w:ascii="Arial" w:cs="Arial" w:eastAsia="Arial" w:hAnsi="Arial"/>
          <w:sz w:val="19"/>
          <w:szCs w:val="19"/>
          <w:color w:val="auto"/>
        </w:rPr>
        <w:t>. A Participant may elect to redefer the</w:t>
      </w:r>
      <w:r>
        <w:rPr>
          <w:rFonts w:ascii="Arial" w:cs="Arial" w:eastAsia="Arial" w:hAnsi="Arial"/>
          <w:sz w:val="19"/>
          <w:szCs w:val="19"/>
          <w:i w:val="1"/>
          <w:iCs w:val="1"/>
          <w:color w:val="auto"/>
        </w:rPr>
        <w:t xml:space="preserve"> </w:t>
      </w:r>
      <w:r>
        <w:rPr>
          <w:rFonts w:ascii="Arial" w:cs="Arial" w:eastAsia="Arial" w:hAnsi="Arial"/>
          <w:sz w:val="19"/>
          <w:szCs w:val="19"/>
          <w:color w:val="auto"/>
        </w:rPr>
        <w:t xml:space="preserve">issuance of shares of Common Stock in respect of a Deferred Stock Unit to a time following the time specified on the applicable Election Form; </w:t>
      </w:r>
      <w:r>
        <w:rPr>
          <w:rFonts w:ascii="Arial" w:cs="Arial" w:eastAsia="Arial" w:hAnsi="Arial"/>
          <w:sz w:val="19"/>
          <w:szCs w:val="19"/>
          <w:i w:val="1"/>
          <w:iCs w:val="1"/>
          <w:color w:val="auto"/>
        </w:rPr>
        <w:t xml:space="preserve">provided </w:t>
      </w:r>
      <w:r>
        <w:rPr>
          <w:rFonts w:ascii="Arial" w:cs="Arial" w:eastAsia="Arial" w:hAnsi="Arial"/>
          <w:sz w:val="19"/>
          <w:szCs w:val="19"/>
          <w:color w:val="auto"/>
        </w:rPr>
        <w:t>that any such redeferral (i) will not take effect for at least 12</w:t>
      </w:r>
      <w:r>
        <w:rPr>
          <w:rFonts w:ascii="Arial" w:cs="Arial" w:eastAsia="Arial" w:hAnsi="Arial"/>
          <w:sz w:val="19"/>
          <w:szCs w:val="19"/>
          <w:i w:val="1"/>
          <w:iCs w:val="1"/>
          <w:color w:val="auto"/>
        </w:rPr>
        <w:t xml:space="preserve"> </w:t>
      </w:r>
      <w:r>
        <w:rPr>
          <w:rFonts w:ascii="Arial" w:cs="Arial" w:eastAsia="Arial" w:hAnsi="Arial"/>
          <w:sz w:val="19"/>
          <w:szCs w:val="19"/>
          <w:color w:val="auto"/>
        </w:rPr>
        <w:t>months after the date on which the redeferral election is made; (ii) must defer the distribution for at least five years from the date the original distribution would have otherwise been made; and (iii) must be made at least 12 months before the date the distribution would have otherwise been made. Any redeferral election that does not satisfy the applicable foregoing requirements will be invalid, null, and void, and the payment schedule set forth in such previous Election Form shall control. Such redeferral election shall be made in the form of a document established for such purpose by the Compensation Committee that is executed by such Participant and filed with the Chief Human Resources Officer.</w:t>
      </w:r>
    </w:p>
    <w:p>
      <w:pPr>
        <w:spacing w:after="0" w:line="156" w:lineRule="exact"/>
        <w:rPr>
          <w:rFonts w:ascii="Arial" w:cs="Arial" w:eastAsia="Arial" w:hAnsi="Arial"/>
          <w:sz w:val="19"/>
          <w:szCs w:val="19"/>
          <w:color w:val="010000"/>
        </w:rPr>
      </w:pPr>
    </w:p>
    <w:p>
      <w:pPr>
        <w:ind w:left="1360" w:right="1399" w:firstLine="643"/>
        <w:spacing w:after="0" w:line="224" w:lineRule="auto"/>
        <w:tabs>
          <w:tab w:leader="none" w:pos="2706" w:val="left"/>
        </w:tabs>
        <w:numPr>
          <w:ilvl w:val="0"/>
          <w:numId w:val="86"/>
        </w:numPr>
        <w:rPr>
          <w:rFonts w:ascii="Arial" w:cs="Arial" w:eastAsia="Arial" w:hAnsi="Arial"/>
          <w:sz w:val="21"/>
          <w:szCs w:val="21"/>
          <w:color w:val="010000"/>
        </w:rPr>
      </w:pPr>
      <w:r>
        <w:rPr>
          <w:rFonts w:ascii="Arial" w:cs="Arial" w:eastAsia="Arial" w:hAnsi="Arial"/>
          <w:sz w:val="21"/>
          <w:szCs w:val="21"/>
          <w:i w:val="1"/>
          <w:iCs w:val="1"/>
          <w:color w:val="auto"/>
        </w:rPr>
        <w:t>Vesting</w:t>
      </w:r>
      <w:r>
        <w:rPr>
          <w:rFonts w:ascii="Arial" w:cs="Arial" w:eastAsia="Arial" w:hAnsi="Arial"/>
          <w:sz w:val="21"/>
          <w:szCs w:val="21"/>
          <w:color w:val="auto"/>
        </w:rPr>
        <w:t>. Each Deferred Stock Unit shall be fully vested</w:t>
      </w:r>
      <w:r>
        <w:rPr>
          <w:rFonts w:ascii="Arial" w:cs="Arial" w:eastAsia="Arial" w:hAnsi="Arial"/>
          <w:sz w:val="21"/>
          <w:szCs w:val="21"/>
          <w:i w:val="1"/>
          <w:iCs w:val="1"/>
          <w:color w:val="auto"/>
        </w:rPr>
        <w:t xml:space="preserve"> </w:t>
      </w:r>
      <w:r>
        <w:rPr>
          <w:rFonts w:ascii="Arial" w:cs="Arial" w:eastAsia="Arial" w:hAnsi="Arial"/>
          <w:sz w:val="21"/>
          <w:szCs w:val="21"/>
          <w:color w:val="auto"/>
        </w:rPr>
        <w:t>and non-forfeitable at all times from the applicable vesting date of the underlying Restricted Stock Unit. For the avoidance of doubt, no shares of Common Stock will be issued in respect of a Deferred Stock Unit to the extent the underlying Restricted Stock Unit is cancelled or forfeited, or otherwise does not vest.</w:t>
      </w:r>
    </w:p>
    <w:p>
      <w:pPr>
        <w:spacing w:after="0" w:line="154" w:lineRule="exact"/>
        <w:rPr>
          <w:sz w:val="20"/>
          <w:szCs w:val="20"/>
          <w:color w:val="auto"/>
        </w:rPr>
      </w:pPr>
    </w:p>
    <w:p>
      <w:pPr>
        <w:ind w:left="2000"/>
        <w:spacing w:after="0"/>
        <w:tabs>
          <w:tab w:leader="none" w:pos="3800" w:val="left"/>
        </w:tabs>
        <w:rPr>
          <w:sz w:val="20"/>
          <w:szCs w:val="20"/>
          <w:color w:val="auto"/>
        </w:rPr>
      </w:pPr>
      <w:r>
        <w:rPr>
          <w:rFonts w:ascii="Arial" w:cs="Arial" w:eastAsia="Arial" w:hAnsi="Arial"/>
          <w:sz w:val="22"/>
          <w:szCs w:val="22"/>
          <w:b w:val="1"/>
          <w:bCs w:val="1"/>
          <w:color w:val="010000"/>
        </w:rPr>
        <w:t>SECTION 6.</w:t>
      </w:r>
      <w:r>
        <w:rPr>
          <w:sz w:val="20"/>
          <w:szCs w:val="20"/>
          <w:color w:val="auto"/>
        </w:rPr>
        <w:tab/>
      </w:r>
      <w:r>
        <w:rPr>
          <w:rFonts w:ascii="Arial" w:cs="Arial" w:eastAsia="Arial" w:hAnsi="Arial"/>
          <w:sz w:val="19"/>
          <w:szCs w:val="19"/>
          <w:i w:val="1"/>
          <w:iCs w:val="1"/>
          <w:color w:val="auto"/>
        </w:rPr>
        <w:t>Timing and Form of Distribution</w:t>
      </w:r>
      <w:r>
        <w:rPr>
          <w:rFonts w:ascii="Arial" w:cs="Arial" w:eastAsia="Arial" w:hAnsi="Arial"/>
          <w:sz w:val="19"/>
          <w:szCs w:val="19"/>
          <w:color w:val="auto"/>
        </w:rPr>
        <w:t>.</w:t>
      </w:r>
    </w:p>
    <w:p>
      <w:pPr>
        <w:spacing w:after="0" w:line="185" w:lineRule="exact"/>
        <w:rPr>
          <w:sz w:val="20"/>
          <w:szCs w:val="20"/>
          <w:color w:val="auto"/>
        </w:rPr>
      </w:pPr>
    </w:p>
    <w:p>
      <w:pPr>
        <w:ind w:left="1360" w:right="1419" w:firstLine="643"/>
        <w:spacing w:after="0" w:line="268" w:lineRule="auto"/>
        <w:tabs>
          <w:tab w:leader="none" w:pos="2694" w:val="left"/>
        </w:tabs>
        <w:numPr>
          <w:ilvl w:val="0"/>
          <w:numId w:val="87"/>
        </w:numPr>
        <w:rPr>
          <w:rFonts w:ascii="Arial" w:cs="Arial" w:eastAsia="Arial" w:hAnsi="Arial"/>
          <w:sz w:val="19"/>
          <w:szCs w:val="19"/>
          <w:color w:val="010000"/>
        </w:rPr>
      </w:pPr>
      <w:r>
        <w:rPr>
          <w:rFonts w:ascii="Arial" w:cs="Arial" w:eastAsia="Arial" w:hAnsi="Arial"/>
          <w:sz w:val="19"/>
          <w:szCs w:val="19"/>
          <w:color w:val="auto"/>
        </w:rPr>
        <w:t>Subject to this Section 6, distribution with respect to a Participant’s Deferred Stock Units shall be made to such Participant in a single lump sum at the time specified on the applicable Election Form.</w:t>
      </w:r>
    </w:p>
    <w:p>
      <w:pPr>
        <w:spacing w:after="0" w:line="132" w:lineRule="exact"/>
        <w:rPr>
          <w:rFonts w:ascii="Arial" w:cs="Arial" w:eastAsia="Arial" w:hAnsi="Arial"/>
          <w:sz w:val="19"/>
          <w:szCs w:val="19"/>
          <w:color w:val="010000"/>
        </w:rPr>
      </w:pPr>
    </w:p>
    <w:p>
      <w:pPr>
        <w:ind w:left="1360" w:right="1399" w:firstLine="643"/>
        <w:spacing w:after="0" w:line="257" w:lineRule="auto"/>
        <w:tabs>
          <w:tab w:leader="none" w:pos="2706" w:val="left"/>
        </w:tabs>
        <w:numPr>
          <w:ilvl w:val="0"/>
          <w:numId w:val="87"/>
        </w:numPr>
        <w:rPr>
          <w:rFonts w:ascii="Arial" w:cs="Arial" w:eastAsia="Arial" w:hAnsi="Arial"/>
          <w:sz w:val="19"/>
          <w:szCs w:val="19"/>
          <w:color w:val="010000"/>
        </w:rPr>
      </w:pPr>
      <w:r>
        <w:rPr>
          <w:rFonts w:ascii="Arial" w:cs="Arial" w:eastAsia="Arial" w:hAnsi="Arial"/>
          <w:sz w:val="19"/>
          <w:szCs w:val="19"/>
          <w:color w:val="auto"/>
        </w:rPr>
        <w:t>The Compensation Committee, in its sole discretion, may accelerate the distribution of a Participant’s Deferred Stock Unit if such Participant experiences an unforeseeable emergency or hardship, provided that such distribution complies with Section 409A of the Code.</w:t>
      </w:r>
    </w:p>
    <w:p>
      <w:pPr>
        <w:spacing w:after="0" w:line="144" w:lineRule="exact"/>
        <w:rPr>
          <w:rFonts w:ascii="Arial" w:cs="Arial" w:eastAsia="Arial" w:hAnsi="Arial"/>
          <w:sz w:val="19"/>
          <w:szCs w:val="19"/>
          <w:color w:val="010000"/>
        </w:rPr>
      </w:pPr>
    </w:p>
    <w:p>
      <w:pPr>
        <w:ind w:left="1360" w:right="1479" w:firstLine="643"/>
        <w:spacing w:after="0" w:line="216" w:lineRule="auto"/>
        <w:tabs>
          <w:tab w:leader="none" w:pos="2707" w:val="left"/>
        </w:tabs>
        <w:numPr>
          <w:ilvl w:val="0"/>
          <w:numId w:val="87"/>
        </w:numPr>
        <w:rPr>
          <w:rFonts w:ascii="Arial" w:cs="Arial" w:eastAsia="Arial" w:hAnsi="Arial"/>
          <w:sz w:val="22"/>
          <w:szCs w:val="22"/>
          <w:color w:val="010000"/>
        </w:rPr>
      </w:pPr>
      <w:r>
        <w:rPr>
          <w:rFonts w:ascii="Arial" w:cs="Arial" w:eastAsia="Arial" w:hAnsi="Arial"/>
          <w:sz w:val="22"/>
          <w:szCs w:val="22"/>
          <w:color w:val="auto"/>
        </w:rPr>
        <w:t>Distribution with respect to a Participant’s Deferred Stock Units shall be made in a single lump sum upon a Change in Control or such Participant’s death. A “</w:t>
      </w:r>
      <w:r>
        <w:rPr>
          <w:rFonts w:ascii="Arial" w:cs="Arial" w:eastAsia="Arial" w:hAnsi="Arial"/>
          <w:sz w:val="22"/>
          <w:szCs w:val="22"/>
          <w:b w:val="1"/>
          <w:bCs w:val="1"/>
          <w:color w:val="auto"/>
        </w:rPr>
        <w:t>Change in Control</w:t>
      </w:r>
      <w:r>
        <w:rPr>
          <w:rFonts w:ascii="Arial" w:cs="Arial" w:eastAsia="Arial" w:hAnsi="Arial"/>
          <w:sz w:val="22"/>
          <w:szCs w:val="22"/>
          <w:color w:val="auto"/>
        </w:rPr>
        <w:t>” shall have the meaning ascribed to such term in the Incentive Plan, from time to time.</w:t>
      </w:r>
    </w:p>
    <w:p>
      <w:pPr>
        <w:spacing w:after="0" w:line="152" w:lineRule="exact"/>
        <w:rPr>
          <w:sz w:val="20"/>
          <w:szCs w:val="20"/>
          <w:color w:val="auto"/>
        </w:rPr>
      </w:pPr>
    </w:p>
    <w:p>
      <w:pPr>
        <w:ind w:left="2000"/>
        <w:spacing w:after="0"/>
        <w:tabs>
          <w:tab w:leader="none" w:pos="3800" w:val="left"/>
        </w:tabs>
        <w:rPr>
          <w:sz w:val="20"/>
          <w:szCs w:val="20"/>
          <w:color w:val="auto"/>
        </w:rPr>
      </w:pPr>
      <w:r>
        <w:rPr>
          <w:rFonts w:ascii="Arial" w:cs="Arial" w:eastAsia="Arial" w:hAnsi="Arial"/>
          <w:sz w:val="22"/>
          <w:szCs w:val="22"/>
          <w:b w:val="1"/>
          <w:bCs w:val="1"/>
          <w:color w:val="010000"/>
        </w:rPr>
        <w:t>SECTION 7.</w:t>
      </w:r>
      <w:r>
        <w:rPr>
          <w:sz w:val="20"/>
          <w:szCs w:val="20"/>
          <w:color w:val="auto"/>
        </w:rPr>
        <w:tab/>
      </w:r>
      <w:r>
        <w:rPr>
          <w:rFonts w:ascii="Arial" w:cs="Arial" w:eastAsia="Arial" w:hAnsi="Arial"/>
          <w:sz w:val="19"/>
          <w:szCs w:val="19"/>
          <w:i w:val="1"/>
          <w:iCs w:val="1"/>
          <w:color w:val="auto"/>
        </w:rPr>
        <w:t>Amount of Distribution</w:t>
      </w:r>
      <w:r>
        <w:rPr>
          <w:rFonts w:ascii="Arial" w:cs="Arial" w:eastAsia="Arial" w:hAnsi="Arial"/>
          <w:sz w:val="19"/>
          <w:szCs w:val="19"/>
          <w:color w:val="auto"/>
        </w:rPr>
        <w:t>.</w:t>
      </w:r>
    </w:p>
    <w:p>
      <w:pPr>
        <w:spacing w:after="0" w:line="185" w:lineRule="exact"/>
        <w:rPr>
          <w:sz w:val="20"/>
          <w:szCs w:val="20"/>
          <w:color w:val="auto"/>
        </w:rPr>
      </w:pPr>
    </w:p>
    <w:p>
      <w:pPr>
        <w:ind w:left="1360" w:right="1479" w:firstLine="643"/>
        <w:spacing w:after="0" w:line="242" w:lineRule="auto"/>
        <w:tabs>
          <w:tab w:leader="none" w:pos="2694" w:val="left"/>
        </w:tabs>
        <w:numPr>
          <w:ilvl w:val="0"/>
          <w:numId w:val="88"/>
        </w:numPr>
        <w:rPr>
          <w:rFonts w:ascii="Arial" w:cs="Arial" w:eastAsia="Arial" w:hAnsi="Arial"/>
          <w:sz w:val="19"/>
          <w:szCs w:val="19"/>
          <w:color w:val="010000"/>
        </w:rPr>
      </w:pPr>
      <w:r>
        <w:rPr>
          <w:rFonts w:ascii="Arial" w:cs="Arial" w:eastAsia="Arial" w:hAnsi="Arial"/>
          <w:sz w:val="19"/>
          <w:szCs w:val="19"/>
          <w:i w:val="1"/>
          <w:iCs w:val="1"/>
          <w:color w:val="auto"/>
        </w:rPr>
        <w:t>Distribution in Shares</w:t>
      </w:r>
      <w:r>
        <w:rPr>
          <w:rFonts w:ascii="Arial" w:cs="Arial" w:eastAsia="Arial" w:hAnsi="Arial"/>
          <w:sz w:val="19"/>
          <w:szCs w:val="19"/>
          <w:color w:val="auto"/>
        </w:rPr>
        <w:t>. Each Deferred Stock Unit shall</w:t>
      </w:r>
      <w:r>
        <w:rPr>
          <w:rFonts w:ascii="Arial" w:cs="Arial" w:eastAsia="Arial" w:hAnsi="Arial"/>
          <w:sz w:val="19"/>
          <w:szCs w:val="19"/>
          <w:i w:val="1"/>
          <w:iCs w:val="1"/>
          <w:color w:val="auto"/>
        </w:rPr>
        <w:t xml:space="preserve"> </w:t>
      </w:r>
      <w:r>
        <w:rPr>
          <w:rFonts w:ascii="Arial" w:cs="Arial" w:eastAsia="Arial" w:hAnsi="Arial"/>
          <w:sz w:val="19"/>
          <w:szCs w:val="19"/>
          <w:color w:val="auto"/>
        </w:rPr>
        <w:t>be allocated to a separate bookkeeping account (a “</w:t>
      </w:r>
      <w:r>
        <w:rPr>
          <w:rFonts w:ascii="Arial" w:cs="Arial" w:eastAsia="Arial" w:hAnsi="Arial"/>
          <w:sz w:val="19"/>
          <w:szCs w:val="19"/>
          <w:b w:val="1"/>
          <w:bCs w:val="1"/>
          <w:color w:val="auto"/>
        </w:rPr>
        <w:t>Share Account</w:t>
      </w:r>
      <w:r>
        <w:rPr>
          <w:rFonts w:ascii="Arial" w:cs="Arial" w:eastAsia="Arial" w:hAnsi="Arial"/>
          <w:sz w:val="19"/>
          <w:szCs w:val="19"/>
          <w:color w:val="auto"/>
        </w:rPr>
        <w:t>”) established and maintained by the Plan Administrator to record the number of shares of Common Stock to which such Deferred Stock Unit relates. The Share Account shall reflect the number of shares of Common Stock deferred and any Dividend Equivalent Rights with respect to Deferred Stock Units credited to the Share Account pursuant to the Incentive Plan and applicable award agreement. On the distribution date applicable to a Participant’s Deferred Stock Unit, such Participant shall receive that number of shares of Common Stock equal to the number of shares credited to the applicable Share Account as of such distribution date.</w:t>
      </w:r>
    </w:p>
    <w:p>
      <w:pPr>
        <w:spacing w:after="0" w:line="165" w:lineRule="exact"/>
        <w:rPr>
          <w:rFonts w:ascii="Arial" w:cs="Arial" w:eastAsia="Arial" w:hAnsi="Arial"/>
          <w:sz w:val="19"/>
          <w:szCs w:val="19"/>
          <w:color w:val="010000"/>
        </w:rPr>
      </w:pPr>
    </w:p>
    <w:p>
      <w:pPr>
        <w:jc w:val="both"/>
        <w:ind w:left="1360" w:right="1539" w:firstLine="643"/>
        <w:spacing w:after="0" w:line="223" w:lineRule="auto"/>
        <w:tabs>
          <w:tab w:leader="none" w:pos="2706" w:val="left"/>
        </w:tabs>
        <w:numPr>
          <w:ilvl w:val="0"/>
          <w:numId w:val="88"/>
        </w:numPr>
        <w:rPr>
          <w:rFonts w:ascii="Arial" w:cs="Arial" w:eastAsia="Arial" w:hAnsi="Arial"/>
          <w:sz w:val="22"/>
          <w:szCs w:val="22"/>
          <w:color w:val="010000"/>
        </w:rPr>
      </w:pPr>
      <w:r>
        <w:rPr>
          <w:rFonts w:ascii="Arial" w:cs="Arial" w:eastAsia="Arial" w:hAnsi="Arial"/>
          <w:sz w:val="22"/>
          <w:szCs w:val="22"/>
          <w:color w:val="auto"/>
        </w:rPr>
        <w:t>The number of shares of Common Stock reflected in a Share Account shall be subject to adjustment pursuant to Section 12 of the Incentive Plan.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864235</wp:posOffset>
            </wp:positionH>
            <wp:positionV relativeFrom="paragraph">
              <wp:posOffset>260350</wp:posOffset>
            </wp:positionV>
            <wp:extent cx="4004945" cy="2603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96">
                      <a:extLst>
                        <a:ext uri="{28A0092B-C50C-407E-A947-70E740481C1C}"/>
                      </a:extLst>
                    </a:blip>
                    <a:srcRect/>
                    <a:stretch>
                      <a:fillRect/>
                    </a:stretch>
                  </pic:blipFill>
                  <pic:spPr bwMode="auto">
                    <a:xfrm>
                      <a:off x="0" y="0"/>
                      <a:ext cx="4004945" cy="26035"/>
                    </a:xfrm>
                    <a:prstGeom prst="rect">
                      <a:avLst/>
                    </a:prstGeom>
                    <a:noFill/>
                  </pic:spPr>
                </pic:pic>
              </a:graphicData>
            </a:graphic>
          </wp:anchor>
        </w:drawing>
      </w:r>
    </w:p>
    <w:p>
      <w:pPr>
        <w:sectPr>
          <w:pgSz w:w="11900" w:h="16838" w:orient="portrait"/>
          <w:cols w:equalWidth="0" w:num="1">
            <w:col w:w="9019"/>
          </w:cols>
          <w:pgMar w:left="1440" w:top="469" w:right="1440" w:bottom="1440" w:gutter="0" w:footer="0" w:header="0"/>
        </w:sectPr>
      </w:pPr>
    </w:p>
    <w:bookmarkStart w:id="162" w:name="page163"/>
    <w:bookmarkEnd w:id="162"/>
    <w:p>
      <w:pPr>
        <w:ind w:left="2000"/>
        <w:spacing w:after="0"/>
        <w:tabs>
          <w:tab w:leader="none" w:pos="3800" w:val="left"/>
        </w:tabs>
        <w:rPr>
          <w:sz w:val="20"/>
          <w:szCs w:val="20"/>
          <w:color w:val="auto"/>
        </w:rPr>
      </w:pPr>
      <w:r>
        <w:rPr>
          <w:rFonts w:ascii="Arial" w:cs="Arial" w:eastAsia="Arial" w:hAnsi="Arial"/>
          <w:sz w:val="22"/>
          <w:szCs w:val="22"/>
          <w:b w:val="1"/>
          <w:bCs w:val="1"/>
          <w:color w:val="010000"/>
        </w:rPr>
        <w:t>SECTION 8.</w:t>
      </w:r>
      <w:r>
        <w:rPr>
          <w:sz w:val="20"/>
          <w:szCs w:val="20"/>
          <w:color w:val="auto"/>
        </w:rPr>
        <w:tab/>
      </w:r>
      <w:r>
        <w:rPr>
          <w:rFonts w:ascii="Arial" w:cs="Arial" w:eastAsia="Arial" w:hAnsi="Arial"/>
          <w:sz w:val="19"/>
          <w:szCs w:val="19"/>
          <w:i w:val="1"/>
          <w:iCs w:val="1"/>
          <w:color w:val="auto"/>
        </w:rPr>
        <w:t>General Provisions Applicable to Deferrals</w:t>
      </w:r>
      <w:r>
        <w:rPr>
          <w:rFonts w:ascii="Arial" w:cs="Arial" w:eastAsia="Arial" w:hAnsi="Arial"/>
          <w:sz w:val="19"/>
          <w:szCs w:val="19"/>
          <w:color w:val="auto"/>
        </w:rPr>
        <w:t>.</w:t>
      </w:r>
    </w:p>
    <w:p>
      <w:pPr>
        <w:spacing w:after="0" w:line="185" w:lineRule="exact"/>
        <w:rPr>
          <w:sz w:val="20"/>
          <w:szCs w:val="20"/>
          <w:color w:val="auto"/>
        </w:rPr>
      </w:pPr>
    </w:p>
    <w:p>
      <w:pPr>
        <w:ind w:left="1360" w:right="1459" w:firstLine="643"/>
        <w:spacing w:after="0" w:line="221" w:lineRule="auto"/>
        <w:tabs>
          <w:tab w:leader="none" w:pos="2694" w:val="left"/>
        </w:tabs>
        <w:numPr>
          <w:ilvl w:val="0"/>
          <w:numId w:val="89"/>
        </w:numPr>
        <w:rPr>
          <w:rFonts w:ascii="Arial" w:cs="Arial" w:eastAsia="Arial" w:hAnsi="Arial"/>
          <w:sz w:val="21"/>
          <w:szCs w:val="21"/>
          <w:color w:val="010000"/>
        </w:rPr>
      </w:pPr>
      <w:r>
        <w:rPr>
          <w:rFonts w:ascii="Arial" w:cs="Arial" w:eastAsia="Arial" w:hAnsi="Arial"/>
          <w:sz w:val="21"/>
          <w:szCs w:val="21"/>
          <w:color w:val="auto"/>
        </w:rPr>
        <w:t>Except as may be permitted by the Compensation Committee, (i) no deferral and no right under such deferral shall be assignable, alienable, saleable or transferable by a Participant otherwise than by will or pursuant to Section 8(b) and (ii) during a Participant’s lifetime, each deferral, and each right under such deferral, shall be exercisable only by such Participant or, if permissible under applicable law, by such Participant’s guardian or legal representative. The provisions of this Section 8(a) shall not apply to any deferral that has been distributed to a Participant.</w:t>
      </w:r>
    </w:p>
    <w:p>
      <w:pPr>
        <w:spacing w:after="0" w:line="159" w:lineRule="exact"/>
        <w:rPr>
          <w:rFonts w:ascii="Arial" w:cs="Arial" w:eastAsia="Arial" w:hAnsi="Arial"/>
          <w:sz w:val="21"/>
          <w:szCs w:val="21"/>
          <w:color w:val="010000"/>
        </w:rPr>
      </w:pPr>
    </w:p>
    <w:p>
      <w:pPr>
        <w:ind w:left="1360" w:right="1539" w:firstLine="643"/>
        <w:spacing w:after="0" w:line="246" w:lineRule="auto"/>
        <w:tabs>
          <w:tab w:leader="none" w:pos="2706" w:val="left"/>
        </w:tabs>
        <w:numPr>
          <w:ilvl w:val="0"/>
          <w:numId w:val="89"/>
        </w:numPr>
        <w:rPr>
          <w:rFonts w:ascii="Arial" w:cs="Arial" w:eastAsia="Arial" w:hAnsi="Arial"/>
          <w:sz w:val="19"/>
          <w:szCs w:val="19"/>
          <w:color w:val="010000"/>
        </w:rPr>
      </w:pPr>
      <w:r>
        <w:rPr>
          <w:rFonts w:ascii="Arial" w:cs="Arial" w:eastAsia="Arial" w:hAnsi="Arial"/>
          <w:sz w:val="19"/>
          <w:szCs w:val="19"/>
          <w:color w:val="auto"/>
        </w:rPr>
        <w:t>A Participant may make a written designation of beneficiary or beneficiaries to receive all or part of the distributions under this Plan in the event of death at such times prescribed by the Compensation Committee by using forms and following procedures approved or accepted by the Compensation Committee for that purpose. Any shares of Common Stock that become payable upon death, and as to which a designation of beneficiary is not in effect, will be distributed to the Participant’s estate.</w:t>
      </w:r>
    </w:p>
    <w:p>
      <w:pPr>
        <w:spacing w:after="0" w:line="153" w:lineRule="exact"/>
        <w:rPr>
          <w:rFonts w:ascii="Arial" w:cs="Arial" w:eastAsia="Arial" w:hAnsi="Arial"/>
          <w:sz w:val="19"/>
          <w:szCs w:val="19"/>
          <w:color w:val="010000"/>
        </w:rPr>
      </w:pPr>
    </w:p>
    <w:p>
      <w:pPr>
        <w:ind w:left="1360" w:right="1539" w:firstLine="643"/>
        <w:spacing w:after="0" w:line="268" w:lineRule="auto"/>
        <w:tabs>
          <w:tab w:leader="none" w:pos="2707" w:val="left"/>
        </w:tabs>
        <w:numPr>
          <w:ilvl w:val="0"/>
          <w:numId w:val="89"/>
        </w:numPr>
        <w:rPr>
          <w:rFonts w:ascii="Arial" w:cs="Arial" w:eastAsia="Arial" w:hAnsi="Arial"/>
          <w:sz w:val="19"/>
          <w:szCs w:val="19"/>
          <w:color w:val="010000"/>
        </w:rPr>
      </w:pPr>
      <w:r>
        <w:rPr>
          <w:rFonts w:ascii="Arial" w:cs="Arial" w:eastAsia="Arial" w:hAnsi="Arial"/>
          <w:sz w:val="19"/>
          <w:szCs w:val="19"/>
          <w:color w:val="auto"/>
        </w:rPr>
        <w:t>Following distribution of shares of Common Stock, the Participant will be the beneficial owner of the net shares of Common Stock issued, and will be entitled to all rights of ownership.</w:t>
      </w:r>
    </w:p>
    <w:p>
      <w:pPr>
        <w:spacing w:after="0" w:line="132" w:lineRule="exact"/>
        <w:rPr>
          <w:rFonts w:ascii="Arial" w:cs="Arial" w:eastAsia="Arial" w:hAnsi="Arial"/>
          <w:sz w:val="19"/>
          <w:szCs w:val="19"/>
          <w:color w:val="010000"/>
        </w:rPr>
      </w:pPr>
    </w:p>
    <w:p>
      <w:pPr>
        <w:ind w:left="1360" w:right="1439" w:firstLine="643"/>
        <w:spacing w:after="0" w:line="257" w:lineRule="auto"/>
        <w:tabs>
          <w:tab w:leader="none" w:pos="2706" w:val="left"/>
        </w:tabs>
        <w:numPr>
          <w:ilvl w:val="0"/>
          <w:numId w:val="89"/>
        </w:numPr>
        <w:rPr>
          <w:rFonts w:ascii="Arial" w:cs="Arial" w:eastAsia="Arial" w:hAnsi="Arial"/>
          <w:sz w:val="19"/>
          <w:szCs w:val="19"/>
          <w:color w:val="010000"/>
        </w:rPr>
      </w:pPr>
      <w:r>
        <w:rPr>
          <w:rFonts w:ascii="Arial" w:cs="Arial" w:eastAsia="Arial" w:hAnsi="Arial"/>
          <w:sz w:val="19"/>
          <w:szCs w:val="19"/>
          <w:color w:val="auto"/>
        </w:rPr>
        <w:t>The primary purpose of this Plan is to provide deferred compensation to a select group of management and highly compensated employees through an unfunded “top-hat” plan within the meaning of Sections 201(2), 301(a)(3) and 401(a)(1) of ERISA.</w:t>
      </w:r>
    </w:p>
    <w:p>
      <w:pPr>
        <w:spacing w:after="0" w:line="139" w:lineRule="exact"/>
        <w:rPr>
          <w:sz w:val="20"/>
          <w:szCs w:val="20"/>
          <w:color w:val="auto"/>
        </w:rPr>
      </w:pPr>
    </w:p>
    <w:p>
      <w:pPr>
        <w:ind w:left="2000"/>
        <w:spacing w:after="0"/>
        <w:tabs>
          <w:tab w:leader="none" w:pos="3800" w:val="left"/>
        </w:tabs>
        <w:rPr>
          <w:sz w:val="20"/>
          <w:szCs w:val="20"/>
          <w:color w:val="auto"/>
        </w:rPr>
      </w:pPr>
      <w:r>
        <w:rPr>
          <w:rFonts w:ascii="Arial" w:cs="Arial" w:eastAsia="Arial" w:hAnsi="Arial"/>
          <w:sz w:val="22"/>
          <w:szCs w:val="22"/>
          <w:b w:val="1"/>
          <w:bCs w:val="1"/>
          <w:color w:val="010000"/>
        </w:rPr>
        <w:t>SECTION 9.</w:t>
      </w:r>
      <w:r>
        <w:rPr>
          <w:sz w:val="20"/>
          <w:szCs w:val="20"/>
          <w:color w:val="auto"/>
        </w:rPr>
        <w:tab/>
      </w:r>
      <w:r>
        <w:rPr>
          <w:rFonts w:ascii="Arial" w:cs="Arial" w:eastAsia="Arial" w:hAnsi="Arial"/>
          <w:sz w:val="19"/>
          <w:szCs w:val="19"/>
          <w:i w:val="1"/>
          <w:iCs w:val="1"/>
          <w:color w:val="auto"/>
        </w:rPr>
        <w:t>Amendments and Termination</w:t>
      </w:r>
      <w:r>
        <w:rPr>
          <w:rFonts w:ascii="Arial" w:cs="Arial" w:eastAsia="Arial" w:hAnsi="Arial"/>
          <w:sz w:val="19"/>
          <w:szCs w:val="19"/>
          <w:color w:val="auto"/>
        </w:rPr>
        <w:t>.</w:t>
      </w:r>
    </w:p>
    <w:p>
      <w:pPr>
        <w:spacing w:after="0" w:line="185" w:lineRule="exact"/>
        <w:rPr>
          <w:sz w:val="20"/>
          <w:szCs w:val="20"/>
          <w:color w:val="auto"/>
        </w:rPr>
      </w:pPr>
    </w:p>
    <w:p>
      <w:pPr>
        <w:ind w:left="1360" w:right="1359" w:firstLine="643"/>
        <w:spacing w:after="0" w:line="244" w:lineRule="auto"/>
        <w:tabs>
          <w:tab w:leader="none" w:pos="2694" w:val="left"/>
        </w:tabs>
        <w:numPr>
          <w:ilvl w:val="0"/>
          <w:numId w:val="90"/>
        </w:numPr>
        <w:rPr>
          <w:rFonts w:ascii="Arial" w:cs="Arial" w:eastAsia="Arial" w:hAnsi="Arial"/>
          <w:sz w:val="19"/>
          <w:szCs w:val="19"/>
          <w:color w:val="010000"/>
        </w:rPr>
      </w:pPr>
      <w:r>
        <w:rPr>
          <w:rFonts w:ascii="Arial" w:cs="Arial" w:eastAsia="Arial" w:hAnsi="Arial"/>
          <w:sz w:val="19"/>
          <w:szCs w:val="19"/>
          <w:color w:val="auto"/>
        </w:rPr>
        <w:t xml:space="preserve">The Compensation Committee, in its sole discretion, may amend, suspend or discontinue the Plan or any deferral at any time; </w:t>
      </w:r>
      <w:r>
        <w:rPr>
          <w:rFonts w:ascii="Arial" w:cs="Arial" w:eastAsia="Arial" w:hAnsi="Arial"/>
          <w:sz w:val="19"/>
          <w:szCs w:val="19"/>
          <w:i w:val="1"/>
          <w:iCs w:val="1"/>
          <w:color w:val="auto"/>
        </w:rPr>
        <w:t xml:space="preserve">provided </w:t>
      </w:r>
      <w:r>
        <w:rPr>
          <w:rFonts w:ascii="Arial" w:cs="Arial" w:eastAsia="Arial" w:hAnsi="Arial"/>
          <w:sz w:val="19"/>
          <w:szCs w:val="19"/>
          <w:color w:val="auto"/>
        </w:rPr>
        <w:t>that no such amendment, suspension or discontinuance shall</w:t>
      </w:r>
      <w:r>
        <w:rPr>
          <w:rFonts w:ascii="Arial" w:cs="Arial" w:eastAsia="Arial" w:hAnsi="Arial"/>
          <w:sz w:val="19"/>
          <w:szCs w:val="19"/>
          <w:i w:val="1"/>
          <w:iCs w:val="1"/>
          <w:color w:val="auto"/>
        </w:rPr>
        <w:t xml:space="preserve"> </w:t>
      </w:r>
      <w:r>
        <w:rPr>
          <w:rFonts w:ascii="Arial" w:cs="Arial" w:eastAsia="Arial" w:hAnsi="Arial"/>
          <w:sz w:val="19"/>
          <w:szCs w:val="19"/>
          <w:color w:val="auto"/>
        </w:rPr>
        <w:t>reduce the accrued benefit of any Participant except to the extent necessary to comply with applicable law. The Compensation Committee further has the right, without a Participant’s consent, to amend or modify the terms of the Plan and such Participant’s deferral to the extent that the Compensation Committee deems it necessary to avoid adverse or unintended tax consequences to such Participant under federal, state or local income tax laws.</w:t>
      </w:r>
    </w:p>
    <w:p>
      <w:pPr>
        <w:spacing w:after="0" w:line="155" w:lineRule="exact"/>
        <w:rPr>
          <w:rFonts w:ascii="Arial" w:cs="Arial" w:eastAsia="Arial" w:hAnsi="Arial"/>
          <w:sz w:val="19"/>
          <w:szCs w:val="19"/>
          <w:color w:val="010000"/>
        </w:rPr>
      </w:pPr>
    </w:p>
    <w:p>
      <w:pPr>
        <w:ind w:left="1360" w:right="1359" w:firstLine="643"/>
        <w:spacing w:after="0" w:line="234" w:lineRule="auto"/>
        <w:tabs>
          <w:tab w:leader="none" w:pos="2706" w:val="left"/>
        </w:tabs>
        <w:numPr>
          <w:ilvl w:val="0"/>
          <w:numId w:val="90"/>
        </w:numPr>
        <w:rPr>
          <w:rFonts w:ascii="Arial" w:cs="Arial" w:eastAsia="Arial" w:hAnsi="Arial"/>
          <w:sz w:val="21"/>
          <w:szCs w:val="21"/>
          <w:color w:val="010000"/>
        </w:rPr>
      </w:pPr>
      <w:r>
        <w:rPr>
          <w:rFonts w:ascii="Arial" w:cs="Arial" w:eastAsia="Arial" w:hAnsi="Arial"/>
          <w:sz w:val="21"/>
          <w:szCs w:val="21"/>
          <w:color w:val="auto"/>
        </w:rPr>
        <w:t>The Compensation Committee, in its sole discretion, may terminate the Plan at any time, as long as such termination complies with then applicable tax and other requirements.</w:t>
      </w:r>
    </w:p>
    <w:p>
      <w:pPr>
        <w:spacing w:after="0" w:line="158" w:lineRule="exact"/>
        <w:rPr>
          <w:rFonts w:ascii="Arial" w:cs="Arial" w:eastAsia="Arial" w:hAnsi="Arial"/>
          <w:sz w:val="21"/>
          <w:szCs w:val="21"/>
          <w:color w:val="010000"/>
        </w:rPr>
      </w:pPr>
    </w:p>
    <w:p>
      <w:pPr>
        <w:jc w:val="both"/>
        <w:ind w:left="1360" w:right="1639" w:firstLine="643"/>
        <w:spacing w:after="0" w:line="268" w:lineRule="auto"/>
        <w:tabs>
          <w:tab w:leader="none" w:pos="2707" w:val="left"/>
        </w:tabs>
        <w:numPr>
          <w:ilvl w:val="0"/>
          <w:numId w:val="90"/>
        </w:numPr>
        <w:rPr>
          <w:rFonts w:ascii="Arial" w:cs="Arial" w:eastAsia="Arial" w:hAnsi="Arial"/>
          <w:sz w:val="19"/>
          <w:szCs w:val="19"/>
          <w:color w:val="010000"/>
        </w:rPr>
      </w:pPr>
      <w:r>
        <w:rPr>
          <w:rFonts w:ascii="Arial" w:cs="Arial" w:eastAsia="Arial" w:hAnsi="Arial"/>
          <w:sz w:val="19"/>
          <w:szCs w:val="19"/>
          <w:color w:val="auto"/>
        </w:rPr>
        <w:t>Such other changes to deferrals shall be permitted and honored under the Plan to the extent authorized by the Compensation Committee and consistent with Section 409A of the Code.</w:t>
      </w:r>
    </w:p>
    <w:p>
      <w:pPr>
        <w:spacing w:after="0" w:line="126" w:lineRule="exact"/>
        <w:rPr>
          <w:sz w:val="20"/>
          <w:szCs w:val="20"/>
          <w:color w:val="auto"/>
        </w:rPr>
      </w:pPr>
    </w:p>
    <w:p>
      <w:pPr>
        <w:ind w:left="2000"/>
        <w:spacing w:after="0"/>
        <w:tabs>
          <w:tab w:leader="none" w:pos="3800" w:val="left"/>
        </w:tabs>
        <w:rPr>
          <w:sz w:val="20"/>
          <w:szCs w:val="20"/>
          <w:color w:val="auto"/>
        </w:rPr>
      </w:pPr>
      <w:r>
        <w:rPr>
          <w:rFonts w:ascii="Arial" w:cs="Arial" w:eastAsia="Arial" w:hAnsi="Arial"/>
          <w:sz w:val="22"/>
          <w:szCs w:val="22"/>
          <w:b w:val="1"/>
          <w:bCs w:val="1"/>
          <w:color w:val="010000"/>
        </w:rPr>
        <w:t>SECTION 10.</w:t>
      </w:r>
      <w:r>
        <w:rPr>
          <w:sz w:val="20"/>
          <w:szCs w:val="20"/>
          <w:color w:val="auto"/>
        </w:rPr>
        <w:tab/>
      </w:r>
      <w:r>
        <w:rPr>
          <w:rFonts w:ascii="Arial" w:cs="Arial" w:eastAsia="Arial" w:hAnsi="Arial"/>
          <w:sz w:val="19"/>
          <w:szCs w:val="19"/>
          <w:i w:val="1"/>
          <w:iCs w:val="1"/>
          <w:color w:val="auto"/>
        </w:rPr>
        <w:t>Miscellaneous</w:t>
      </w:r>
      <w:r>
        <w:rPr>
          <w:rFonts w:ascii="Arial" w:cs="Arial" w:eastAsia="Arial" w:hAnsi="Arial"/>
          <w:sz w:val="19"/>
          <w:szCs w:val="19"/>
          <w:color w:val="auto"/>
        </w:rPr>
        <w:t>.</w:t>
      </w:r>
    </w:p>
    <w:p>
      <w:pPr>
        <w:spacing w:after="0" w:line="185" w:lineRule="exact"/>
        <w:rPr>
          <w:sz w:val="20"/>
          <w:szCs w:val="20"/>
          <w:color w:val="auto"/>
        </w:rPr>
      </w:pPr>
    </w:p>
    <w:p>
      <w:pPr>
        <w:jc w:val="both"/>
        <w:ind w:left="1360" w:right="1699" w:firstLine="643"/>
        <w:spacing w:after="0" w:line="252" w:lineRule="auto"/>
        <w:tabs>
          <w:tab w:leader="none" w:pos="2694" w:val="left"/>
        </w:tabs>
        <w:numPr>
          <w:ilvl w:val="0"/>
          <w:numId w:val="91"/>
        </w:numPr>
        <w:rPr>
          <w:rFonts w:ascii="Arial" w:cs="Arial" w:eastAsia="Arial" w:hAnsi="Arial"/>
          <w:sz w:val="19"/>
          <w:szCs w:val="19"/>
          <w:color w:val="010000"/>
        </w:rPr>
      </w:pPr>
      <w:r>
        <w:rPr>
          <w:rFonts w:ascii="Arial" w:cs="Arial" w:eastAsia="Arial" w:hAnsi="Arial"/>
          <w:sz w:val="19"/>
          <w:szCs w:val="19"/>
          <w:color w:val="auto"/>
        </w:rPr>
        <w:t>No Eligible Employee or other person shall have any claim to be entitled to make a deferral under the Plan, and there is no obligation for uniformity of treatment of Participants or beneficiaries under the Plan. The terms and conditions of deferrals under the Plan need not be the same with respect to each Participant.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864235</wp:posOffset>
            </wp:positionH>
            <wp:positionV relativeFrom="paragraph">
              <wp:posOffset>254000</wp:posOffset>
            </wp:positionV>
            <wp:extent cx="4004945" cy="26035"/>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97">
                      <a:extLst>
                        <a:ext uri="{28A0092B-C50C-407E-A947-70E740481C1C}"/>
                      </a:extLst>
                    </a:blip>
                    <a:srcRect/>
                    <a:stretch>
                      <a:fillRect/>
                    </a:stretch>
                  </pic:blipFill>
                  <pic:spPr bwMode="auto">
                    <a:xfrm>
                      <a:off x="0" y="0"/>
                      <a:ext cx="4004945" cy="26035"/>
                    </a:xfrm>
                    <a:prstGeom prst="rect">
                      <a:avLst/>
                    </a:prstGeom>
                    <a:noFill/>
                  </pic:spPr>
                </pic:pic>
              </a:graphicData>
            </a:graphic>
          </wp:anchor>
        </w:drawing>
      </w:r>
    </w:p>
    <w:p>
      <w:pPr>
        <w:sectPr>
          <w:pgSz w:w="11900" w:h="16838" w:orient="portrait"/>
          <w:cols w:equalWidth="0" w:num="1">
            <w:col w:w="9019"/>
          </w:cols>
          <w:pgMar w:left="1440" w:top="463" w:right="1440" w:bottom="1440" w:gutter="0" w:footer="0" w:header="0"/>
        </w:sectPr>
      </w:pPr>
    </w:p>
    <w:bookmarkStart w:id="163" w:name="page164"/>
    <w:bookmarkEnd w:id="163"/>
    <w:p>
      <w:pPr>
        <w:ind w:left="1360" w:right="1499" w:firstLine="643"/>
        <w:spacing w:after="0" w:line="214" w:lineRule="auto"/>
        <w:tabs>
          <w:tab w:leader="none" w:pos="2706" w:val="left"/>
        </w:tabs>
        <w:numPr>
          <w:ilvl w:val="0"/>
          <w:numId w:val="92"/>
        </w:numPr>
        <w:rPr>
          <w:rFonts w:ascii="Arial" w:cs="Arial" w:eastAsia="Arial" w:hAnsi="Arial"/>
          <w:sz w:val="22"/>
          <w:szCs w:val="22"/>
          <w:color w:val="010000"/>
        </w:rPr>
      </w:pPr>
      <w:r>
        <w:rPr>
          <w:rFonts w:ascii="Arial" w:cs="Arial" w:eastAsia="Arial" w:hAnsi="Arial"/>
          <w:sz w:val="22"/>
          <w:szCs w:val="22"/>
          <w:color w:val="auto"/>
        </w:rPr>
        <w:t>The opportunity to make a deferral under the Plan shall not be construed as giving a Participant the right to be retained in the employment of the Company or any of its Subsidiaries. A Participant’s deferral under the Plan is not intended to confer any rights on such Participant except as set forth in the Plan and the applicable Election Form.</w:t>
      </w:r>
    </w:p>
    <w:p>
      <w:pPr>
        <w:spacing w:after="0" w:line="159" w:lineRule="exact"/>
        <w:rPr>
          <w:rFonts w:ascii="Arial" w:cs="Arial" w:eastAsia="Arial" w:hAnsi="Arial"/>
          <w:sz w:val="22"/>
          <w:szCs w:val="22"/>
          <w:color w:val="010000"/>
        </w:rPr>
      </w:pPr>
    </w:p>
    <w:p>
      <w:pPr>
        <w:ind w:left="1360" w:right="1919" w:firstLine="643"/>
        <w:spacing w:after="0" w:line="257" w:lineRule="auto"/>
        <w:tabs>
          <w:tab w:leader="none" w:pos="2707" w:val="left"/>
        </w:tabs>
        <w:numPr>
          <w:ilvl w:val="0"/>
          <w:numId w:val="92"/>
        </w:numPr>
        <w:rPr>
          <w:rFonts w:ascii="Arial" w:cs="Arial" w:eastAsia="Arial" w:hAnsi="Arial"/>
          <w:sz w:val="19"/>
          <w:szCs w:val="19"/>
          <w:color w:val="010000"/>
        </w:rPr>
      </w:pPr>
      <w:r>
        <w:rPr>
          <w:rFonts w:ascii="Arial" w:cs="Arial" w:eastAsia="Arial" w:hAnsi="Arial"/>
          <w:sz w:val="19"/>
          <w:szCs w:val="19"/>
          <w:color w:val="auto"/>
        </w:rPr>
        <w:t>Nothing contained in the Plan shall prevent the Company from adopting or continuing in effect other or additional compensation arrangements, and such arrangements may be either generally applicable or applicable only in specific cases.</w:t>
      </w:r>
    </w:p>
    <w:p>
      <w:pPr>
        <w:spacing w:after="0" w:line="144" w:lineRule="exact"/>
        <w:rPr>
          <w:rFonts w:ascii="Arial" w:cs="Arial" w:eastAsia="Arial" w:hAnsi="Arial"/>
          <w:sz w:val="19"/>
          <w:szCs w:val="19"/>
          <w:color w:val="010000"/>
        </w:rPr>
      </w:pPr>
    </w:p>
    <w:p>
      <w:pPr>
        <w:ind w:left="1360" w:right="1379" w:firstLine="643"/>
        <w:spacing w:after="0" w:line="220" w:lineRule="auto"/>
        <w:tabs>
          <w:tab w:leader="none" w:pos="2706" w:val="left"/>
        </w:tabs>
        <w:numPr>
          <w:ilvl w:val="0"/>
          <w:numId w:val="92"/>
        </w:numPr>
        <w:rPr>
          <w:rFonts w:ascii="Arial" w:cs="Arial" w:eastAsia="Arial" w:hAnsi="Arial"/>
          <w:sz w:val="21"/>
          <w:szCs w:val="21"/>
          <w:color w:val="010000"/>
        </w:rPr>
      </w:pPr>
      <w:r>
        <w:rPr>
          <w:rFonts w:ascii="Arial" w:cs="Arial" w:eastAsia="Arial" w:hAnsi="Arial"/>
          <w:sz w:val="21"/>
          <w:szCs w:val="21"/>
          <w:color w:val="auto"/>
        </w:rPr>
        <w:t>If any provision of the Plan or any Election Form is or becomes or is deemed to be invalid, illegal or unenforceable in any jurisdiction, or as to any person or deferral, or would disqualify the Plan or any deferral under any law deemed applicable by the Compensation Committee, such provision shall be construed or deemed amended to conform to applicable laws, or if it cannot be so construed or deemed amended without, in the determination of the Compensation Committee, materially altering the intent of the Plan or such Election Form, such provision shall be stricken as to such jurisdiction, person or deferral, and the remainder of the Plan and such Election Form shall remain in full force and effect.</w:t>
      </w:r>
    </w:p>
    <w:p>
      <w:pPr>
        <w:spacing w:after="0" w:line="152" w:lineRule="exact"/>
        <w:rPr>
          <w:sz w:val="20"/>
          <w:szCs w:val="20"/>
          <w:color w:val="auto"/>
        </w:rPr>
      </w:pPr>
    </w:p>
    <w:p>
      <w:pPr>
        <w:ind w:left="1360" w:right="1579" w:firstLine="648"/>
        <w:spacing w:after="0" w:line="225" w:lineRule="auto"/>
        <w:rPr>
          <w:sz w:val="20"/>
          <w:szCs w:val="20"/>
          <w:color w:val="auto"/>
        </w:rPr>
      </w:pPr>
      <w:r>
        <w:rPr>
          <w:rFonts w:ascii="Arial" w:cs="Arial" w:eastAsia="Arial" w:hAnsi="Arial"/>
          <w:sz w:val="22"/>
          <w:szCs w:val="22"/>
          <w:b w:val="1"/>
          <w:bCs w:val="1"/>
          <w:color w:val="010000"/>
        </w:rPr>
        <w:t xml:space="preserve">SECTION 11. </w:t>
      </w:r>
      <w:r>
        <w:rPr>
          <w:rFonts w:ascii="Arial" w:cs="Arial" w:eastAsia="Arial" w:hAnsi="Arial"/>
          <w:sz w:val="22"/>
          <w:szCs w:val="22"/>
          <w:i w:val="1"/>
          <w:iCs w:val="1"/>
          <w:color w:val="000000"/>
        </w:rPr>
        <w:t>Effective Date of the Plan.</w:t>
      </w:r>
      <w:r>
        <w:rPr>
          <w:rFonts w:ascii="Arial" w:cs="Arial" w:eastAsia="Arial" w:hAnsi="Arial"/>
          <w:sz w:val="22"/>
          <w:szCs w:val="22"/>
          <w:b w:val="1"/>
          <w:bCs w:val="1"/>
          <w:color w:val="010000"/>
        </w:rPr>
        <w:t xml:space="preserve"> </w:t>
      </w:r>
      <w:r>
        <w:rPr>
          <w:rFonts w:ascii="Arial" w:cs="Arial" w:eastAsia="Arial" w:hAnsi="Arial"/>
          <w:sz w:val="22"/>
          <w:szCs w:val="22"/>
          <w:color w:val="000000"/>
        </w:rPr>
        <w:t>The Plan shall</w:t>
      </w:r>
      <w:r>
        <w:rPr>
          <w:rFonts w:ascii="Arial" w:cs="Arial" w:eastAsia="Arial" w:hAnsi="Arial"/>
          <w:sz w:val="22"/>
          <w:szCs w:val="22"/>
          <w:b w:val="1"/>
          <w:bCs w:val="1"/>
          <w:color w:val="010000"/>
        </w:rPr>
        <w:t xml:space="preserve"> </w:t>
      </w:r>
      <w:r>
        <w:rPr>
          <w:rFonts w:ascii="Arial" w:cs="Arial" w:eastAsia="Arial" w:hAnsi="Arial"/>
          <w:sz w:val="22"/>
          <w:szCs w:val="22"/>
          <w:color w:val="000000"/>
        </w:rPr>
        <w:t>be effective as of the date on which the Plan is adopted by the Compensation Committee.</w:t>
      </w:r>
    </w:p>
    <w:p>
      <w:pPr>
        <w:spacing w:after="0" w:line="153" w:lineRule="exact"/>
        <w:rPr>
          <w:sz w:val="20"/>
          <w:szCs w:val="20"/>
          <w:color w:val="auto"/>
        </w:rPr>
      </w:pPr>
    </w:p>
    <w:p>
      <w:pPr>
        <w:ind w:left="1360" w:right="1479" w:firstLine="648"/>
        <w:spacing w:after="0" w:line="242" w:lineRule="auto"/>
        <w:rPr>
          <w:sz w:val="20"/>
          <w:szCs w:val="20"/>
          <w:color w:val="auto"/>
        </w:rPr>
      </w:pPr>
      <w:r>
        <w:rPr>
          <w:rFonts w:ascii="Arial" w:cs="Arial" w:eastAsia="Arial" w:hAnsi="Arial"/>
          <w:sz w:val="19"/>
          <w:szCs w:val="19"/>
          <w:b w:val="1"/>
          <w:bCs w:val="1"/>
          <w:color w:val="010000"/>
        </w:rPr>
        <w:t xml:space="preserve">SECTION 12. </w:t>
      </w:r>
      <w:r>
        <w:rPr>
          <w:rFonts w:ascii="Arial" w:cs="Arial" w:eastAsia="Arial" w:hAnsi="Arial"/>
          <w:sz w:val="19"/>
          <w:szCs w:val="19"/>
          <w:i w:val="1"/>
          <w:iCs w:val="1"/>
          <w:color w:val="000000"/>
        </w:rPr>
        <w:t>Unfunded Status of the Plan</w:t>
      </w:r>
      <w:r>
        <w:rPr>
          <w:rFonts w:ascii="Arial" w:cs="Arial" w:eastAsia="Arial" w:hAnsi="Arial"/>
          <w:sz w:val="19"/>
          <w:szCs w:val="19"/>
          <w:color w:val="000000"/>
        </w:rPr>
        <w:t>. The Plan is</w:t>
      </w:r>
      <w:r>
        <w:rPr>
          <w:rFonts w:ascii="Arial" w:cs="Arial" w:eastAsia="Arial" w:hAnsi="Arial"/>
          <w:sz w:val="19"/>
          <w:szCs w:val="19"/>
          <w:b w:val="1"/>
          <w:bCs w:val="1"/>
          <w:color w:val="010000"/>
        </w:rPr>
        <w:t xml:space="preserve"> </w:t>
      </w:r>
      <w:r>
        <w:rPr>
          <w:rFonts w:ascii="Arial" w:cs="Arial" w:eastAsia="Arial" w:hAnsi="Arial"/>
          <w:sz w:val="19"/>
          <w:szCs w:val="19"/>
          <w:color w:val="000000"/>
        </w:rPr>
        <w:t>unfunded. The Plan, together with the applicable Election Form, shall represent at all times an unfunded and unsecured contractual obligation of the Company. Each Participant and beneficiary will be an unsecured creditor of the Company with respect to all obligations owed to them under the Plan. No Participant or beneficiary will have any interest in any fund or in any specific asset of the Company of any kind, nor shall such Participant or beneficiary or any other person have any right to receive any payment or distribution under the Plan except as, and to the extent, expressly provided in the Plan and the applicable Election Form. Any reserve or other asset that the Company may establish or acquire to assure itself of the funds to provide payments required under the Plan shall not serve in any way as security to any Participant or beneficiary for the Company’s performance under the Plan.</w:t>
      </w:r>
    </w:p>
    <w:p>
      <w:pPr>
        <w:spacing w:after="0" w:line="157" w:lineRule="exact"/>
        <w:rPr>
          <w:sz w:val="20"/>
          <w:szCs w:val="20"/>
          <w:color w:val="auto"/>
        </w:rPr>
      </w:pPr>
    </w:p>
    <w:p>
      <w:pPr>
        <w:ind w:left="1360" w:right="1359" w:firstLine="648"/>
        <w:spacing w:after="0" w:line="241" w:lineRule="auto"/>
        <w:rPr>
          <w:sz w:val="20"/>
          <w:szCs w:val="20"/>
          <w:color w:val="auto"/>
        </w:rPr>
      </w:pPr>
      <w:r>
        <w:rPr>
          <w:rFonts w:ascii="Arial" w:cs="Arial" w:eastAsia="Arial" w:hAnsi="Arial"/>
          <w:sz w:val="19"/>
          <w:szCs w:val="19"/>
          <w:b w:val="1"/>
          <w:bCs w:val="1"/>
          <w:color w:val="010000"/>
        </w:rPr>
        <w:t xml:space="preserve">SECTION 13. </w:t>
      </w:r>
      <w:r>
        <w:rPr>
          <w:rFonts w:ascii="Arial" w:cs="Arial" w:eastAsia="Arial" w:hAnsi="Arial"/>
          <w:sz w:val="19"/>
          <w:szCs w:val="19"/>
          <w:i w:val="1"/>
          <w:iCs w:val="1"/>
          <w:color w:val="000000"/>
        </w:rPr>
        <w:t>Section 409A of the Code.</w:t>
      </w:r>
      <w:r>
        <w:rPr>
          <w:rFonts w:ascii="Arial" w:cs="Arial" w:eastAsia="Arial" w:hAnsi="Arial"/>
          <w:sz w:val="19"/>
          <w:szCs w:val="19"/>
          <w:b w:val="1"/>
          <w:bCs w:val="1"/>
          <w:color w:val="010000"/>
        </w:rPr>
        <w:t xml:space="preserve"> </w:t>
      </w:r>
      <w:r>
        <w:rPr>
          <w:rFonts w:ascii="Arial" w:cs="Arial" w:eastAsia="Arial" w:hAnsi="Arial"/>
          <w:sz w:val="19"/>
          <w:szCs w:val="19"/>
          <w:color w:val="000000"/>
        </w:rPr>
        <w:t>With respect to</w:t>
      </w:r>
      <w:r>
        <w:rPr>
          <w:rFonts w:ascii="Arial" w:cs="Arial" w:eastAsia="Arial" w:hAnsi="Arial"/>
          <w:sz w:val="19"/>
          <w:szCs w:val="19"/>
          <w:b w:val="1"/>
          <w:bCs w:val="1"/>
          <w:color w:val="010000"/>
        </w:rPr>
        <w:t xml:space="preserve"> </w:t>
      </w:r>
      <w:r>
        <w:rPr>
          <w:rFonts w:ascii="Arial" w:cs="Arial" w:eastAsia="Arial" w:hAnsi="Arial"/>
          <w:sz w:val="19"/>
          <w:szCs w:val="19"/>
          <w:color w:val="000000"/>
        </w:rPr>
        <w:t>deferrals that are subject to Section 409A of the Code, the Plan is intended to comply with the requirements of Section 409A of the Code, and the provisions of the Plan and any Election Form shall be interpreted in a manner that satisfies the requirements of Section 409A of the Code, and the Plan shall be operated accordingly. If any provision of the Plan or any term or condition of any Election Form would otherwise frustrate or conflict with this intent, the provision, term or condition will be interpreted and deemed amended so as to avoid this conflict</w:t>
      </w:r>
      <w:r>
        <w:rPr>
          <w:rFonts w:ascii="Arial" w:cs="Arial" w:eastAsia="Arial" w:hAnsi="Arial"/>
          <w:sz w:val="19"/>
          <w:szCs w:val="19"/>
          <w:i w:val="1"/>
          <w:iCs w:val="1"/>
          <w:color w:val="000000"/>
        </w:rPr>
        <w:t>.</w:t>
      </w:r>
      <w:r>
        <w:rPr>
          <w:rFonts w:ascii="Arial" w:cs="Arial" w:eastAsia="Arial" w:hAnsi="Arial"/>
          <w:sz w:val="19"/>
          <w:szCs w:val="19"/>
          <w:color w:val="000000"/>
        </w:rPr>
        <w:t xml:space="preserve"> Notwithstanding anything in the Plan to the contrary, distributions may only be made under the Plan upon an event and in a manner permitted by Section 409A of the Code, and all payments to be made upon termination of a Participant’s employment with the Company or any of its Subsidiaries under this Plan may only be made upon a “separation from service” under Section 409A of the Code. If any Participant is a “specified employee” under section 409A of the Code (as determined by the Compensation Committee) and if the Participant’s distribution under the Plan is to commence, or be paid upon, separation from service, payment of the distribution shall be delayed for a period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864235</wp:posOffset>
            </wp:positionH>
            <wp:positionV relativeFrom="paragraph">
              <wp:posOffset>260350</wp:posOffset>
            </wp:positionV>
            <wp:extent cx="4004945" cy="26035"/>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98">
                      <a:extLst>
                        <a:ext uri="{28A0092B-C50C-407E-A947-70E740481C1C}"/>
                      </a:extLst>
                    </a:blip>
                    <a:srcRect/>
                    <a:stretch>
                      <a:fillRect/>
                    </a:stretch>
                  </pic:blipFill>
                  <pic:spPr bwMode="auto">
                    <a:xfrm>
                      <a:off x="0" y="0"/>
                      <a:ext cx="4004945" cy="26035"/>
                    </a:xfrm>
                    <a:prstGeom prst="rect">
                      <a:avLst/>
                    </a:prstGeom>
                    <a:noFill/>
                  </pic:spPr>
                </pic:pic>
              </a:graphicData>
            </a:graphic>
          </wp:anchor>
        </w:drawing>
      </w:r>
    </w:p>
    <w:p>
      <w:pPr>
        <w:sectPr>
          <w:pgSz w:w="11900" w:h="16838" w:orient="portrait"/>
          <w:cols w:equalWidth="0" w:num="1">
            <w:col w:w="9019"/>
          </w:cols>
          <w:pgMar w:left="1440" w:top="469" w:right="1440" w:bottom="1440" w:gutter="0" w:footer="0" w:header="0"/>
        </w:sectPr>
      </w:pPr>
    </w:p>
    <w:bookmarkStart w:id="164" w:name="page165"/>
    <w:bookmarkEnd w:id="164"/>
    <w:p>
      <w:pPr>
        <w:ind w:left="1360" w:right="1399"/>
        <w:spacing w:after="0" w:line="216" w:lineRule="auto"/>
        <w:rPr>
          <w:sz w:val="20"/>
          <w:szCs w:val="20"/>
          <w:color w:val="auto"/>
        </w:rPr>
      </w:pPr>
      <w:r>
        <w:rPr>
          <w:rFonts w:ascii="Arial" w:cs="Arial" w:eastAsia="Arial" w:hAnsi="Arial"/>
          <w:sz w:val="22"/>
          <w:szCs w:val="22"/>
          <w:color w:val="auto"/>
        </w:rPr>
        <w:t>of six months after the Participant’s separation date, if required pursuant to section 409A of the Code. If payment is delayed, the accumulated postponed amount shall be paid within 10 days after the end of the six-month period following the date on which the Participant separates from service.</w:t>
      </w:r>
    </w:p>
    <w:p>
      <w:pPr>
        <w:spacing w:after="0" w:line="152" w:lineRule="exact"/>
        <w:rPr>
          <w:sz w:val="20"/>
          <w:szCs w:val="20"/>
          <w:color w:val="auto"/>
        </w:rPr>
      </w:pPr>
    </w:p>
    <w:p>
      <w:pPr>
        <w:ind w:left="1360" w:right="1619" w:firstLine="648"/>
        <w:spacing w:after="0" w:line="217" w:lineRule="auto"/>
        <w:rPr>
          <w:sz w:val="20"/>
          <w:szCs w:val="20"/>
          <w:color w:val="auto"/>
        </w:rPr>
      </w:pPr>
      <w:r>
        <w:rPr>
          <w:rFonts w:ascii="Arial" w:cs="Arial" w:eastAsia="Arial" w:hAnsi="Arial"/>
          <w:sz w:val="22"/>
          <w:szCs w:val="22"/>
          <w:b w:val="1"/>
          <w:bCs w:val="1"/>
          <w:color w:val="010000"/>
        </w:rPr>
        <w:t xml:space="preserve">SECTION 14. </w:t>
      </w:r>
      <w:r>
        <w:rPr>
          <w:rFonts w:ascii="Arial" w:cs="Arial" w:eastAsia="Arial" w:hAnsi="Arial"/>
          <w:sz w:val="22"/>
          <w:szCs w:val="22"/>
          <w:i w:val="1"/>
          <w:iCs w:val="1"/>
          <w:color w:val="000000"/>
        </w:rPr>
        <w:t>Governing Law.</w:t>
      </w:r>
      <w:r>
        <w:rPr>
          <w:rFonts w:ascii="Arial" w:cs="Arial" w:eastAsia="Arial" w:hAnsi="Arial"/>
          <w:sz w:val="22"/>
          <w:szCs w:val="22"/>
          <w:b w:val="1"/>
          <w:bCs w:val="1"/>
          <w:color w:val="010000"/>
        </w:rPr>
        <w:t xml:space="preserve"> </w:t>
      </w:r>
      <w:r>
        <w:rPr>
          <w:rFonts w:ascii="Arial" w:cs="Arial" w:eastAsia="Arial" w:hAnsi="Arial"/>
          <w:sz w:val="22"/>
          <w:szCs w:val="22"/>
          <w:color w:val="000000"/>
        </w:rPr>
        <w:t>The Plan shall be</w:t>
      </w:r>
      <w:r>
        <w:rPr>
          <w:rFonts w:ascii="Arial" w:cs="Arial" w:eastAsia="Arial" w:hAnsi="Arial"/>
          <w:sz w:val="22"/>
          <w:szCs w:val="22"/>
          <w:b w:val="1"/>
          <w:bCs w:val="1"/>
          <w:color w:val="010000"/>
        </w:rPr>
        <w:t xml:space="preserve"> </w:t>
      </w:r>
      <w:r>
        <w:rPr>
          <w:rFonts w:ascii="Arial" w:cs="Arial" w:eastAsia="Arial" w:hAnsi="Arial"/>
          <w:sz w:val="22"/>
          <w:szCs w:val="22"/>
          <w:color w:val="000000"/>
        </w:rPr>
        <w:t>governed by and construed in accordance with the internal laws of the State of Delaware applicable to contracts made and performed wholly within the State of Delaware, without giving effect to the conflict of laws provisions thereof.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864235</wp:posOffset>
            </wp:positionH>
            <wp:positionV relativeFrom="paragraph">
              <wp:posOffset>671830</wp:posOffset>
            </wp:positionV>
            <wp:extent cx="4004945" cy="26035"/>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99">
                      <a:extLst>
                        <a:ext uri="{28A0092B-C50C-407E-A947-70E740481C1C}"/>
                      </a:extLst>
                    </a:blip>
                    <a:srcRect/>
                    <a:stretch>
                      <a:fillRect/>
                    </a:stretch>
                  </pic:blipFill>
                  <pic:spPr bwMode="auto">
                    <a:xfrm>
                      <a:off x="0" y="0"/>
                      <a:ext cx="4004945" cy="26035"/>
                    </a:xfrm>
                    <a:prstGeom prst="rect">
                      <a:avLst/>
                    </a:prstGeom>
                    <a:noFill/>
                  </pic:spPr>
                </pic:pic>
              </a:graphicData>
            </a:graphic>
          </wp:anchor>
        </w:drawing>
      </w:r>
    </w:p>
    <w:p>
      <w:pPr>
        <w:sectPr>
          <w:pgSz w:w="11900" w:h="16838" w:orient="portrait"/>
          <w:cols w:equalWidth="0" w:num="1">
            <w:col w:w="9019"/>
          </w:cols>
          <w:pgMar w:left="1440" w:top="294" w:right="1440" w:bottom="1440" w:gutter="0" w:footer="0" w:header="0"/>
        </w:sectPr>
      </w:pPr>
    </w:p>
    <w:bookmarkStart w:id="165" w:name="page166"/>
    <w:bookmarkEnd w:id="165"/>
    <w:p>
      <w:pPr>
        <w:jc w:val="right"/>
        <w:ind w:right="1219"/>
        <w:spacing w:after="0"/>
        <w:rPr>
          <w:sz w:val="20"/>
          <w:szCs w:val="20"/>
          <w:color w:val="auto"/>
        </w:rPr>
      </w:pPr>
      <w:r>
        <w:rPr>
          <w:rFonts w:ascii="Arial" w:cs="Arial" w:eastAsia="Arial" w:hAnsi="Arial"/>
          <w:sz w:val="18"/>
          <w:szCs w:val="18"/>
          <w:b w:val="1"/>
          <w:bCs w:val="1"/>
          <w:color w:val="auto"/>
        </w:rPr>
        <w:t>Exhibit 21.1</w:t>
      </w:r>
    </w:p>
    <w:p>
      <w:pPr>
        <w:spacing w:after="0" w:line="225" w:lineRule="exact"/>
        <w:rPr>
          <w:sz w:val="20"/>
          <w:szCs w:val="20"/>
          <w:color w:val="auto"/>
        </w:rPr>
      </w:pPr>
    </w:p>
    <w:tbl>
      <w:tblPr>
        <w:tblLayout w:type="fixed"/>
        <w:tblInd w:w="124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4860" w:type="dxa"/>
            <w:vAlign w:val="bottom"/>
            <w:gridSpan w:val="2"/>
          </w:tcPr>
          <w:p>
            <w:pPr>
              <w:ind w:left="1640"/>
              <w:spacing w:after="0"/>
              <w:rPr>
                <w:sz w:val="20"/>
                <w:szCs w:val="20"/>
                <w:color w:val="auto"/>
              </w:rPr>
            </w:pPr>
            <w:r>
              <w:rPr>
                <w:rFonts w:ascii="Arial" w:cs="Arial" w:eastAsia="Arial" w:hAnsi="Arial"/>
                <w:sz w:val="18"/>
                <w:szCs w:val="18"/>
                <w:b w:val="1"/>
                <w:bCs w:val="1"/>
                <w:color w:val="auto"/>
                <w:w w:val="99"/>
              </w:rPr>
              <w:t>SUBSIDIARIES OF THE REGISTRANT</w:t>
            </w:r>
          </w:p>
        </w:tc>
        <w:tc>
          <w:tcPr>
            <w:tcW w:w="16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55"/>
        </w:trPr>
        <w:tc>
          <w:tcPr>
            <w:tcW w:w="20" w:type="dxa"/>
            <w:vAlign w:val="bottom"/>
          </w:tcPr>
          <w:p>
            <w:pPr>
              <w:spacing w:after="0"/>
              <w:rPr>
                <w:sz w:val="24"/>
                <w:szCs w:val="24"/>
                <w:color w:val="auto"/>
              </w:rPr>
            </w:pPr>
          </w:p>
        </w:tc>
        <w:tc>
          <w:tcPr>
            <w:tcW w:w="47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60" w:type="dxa"/>
            <w:vAlign w:val="bottom"/>
          </w:tcPr>
          <w:p>
            <w:pPr>
              <w:jc w:val="center"/>
              <w:spacing w:after="0"/>
              <w:rPr>
                <w:sz w:val="20"/>
                <w:szCs w:val="20"/>
                <w:color w:val="auto"/>
              </w:rPr>
            </w:pPr>
            <w:r>
              <w:rPr>
                <w:rFonts w:ascii="Arial" w:cs="Arial" w:eastAsia="Arial" w:hAnsi="Arial"/>
                <w:sz w:val="14"/>
                <w:szCs w:val="14"/>
                <w:b w:val="1"/>
                <w:bCs w:val="1"/>
                <w:color w:val="auto"/>
                <w:w w:val="93"/>
              </w:rPr>
              <w:t>State or Other Jurisdiction</w:t>
            </w:r>
          </w:p>
        </w:tc>
        <w:tc>
          <w:tcPr>
            <w:tcW w:w="0" w:type="dxa"/>
            <w:vAlign w:val="bottom"/>
          </w:tcPr>
          <w:p>
            <w:pPr>
              <w:spacing w:after="0"/>
              <w:rPr>
                <w:sz w:val="1"/>
                <w:szCs w:val="1"/>
                <w:color w:val="auto"/>
              </w:rPr>
            </w:pPr>
          </w:p>
        </w:tc>
      </w:tr>
      <w:tr>
        <w:trPr>
          <w:trHeight w:val="149"/>
        </w:trPr>
        <w:tc>
          <w:tcPr>
            <w:tcW w:w="488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Name</w:t>
            </w:r>
          </w:p>
        </w:tc>
        <w:tc>
          <w:tcPr>
            <w:tcW w:w="16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4"/>
              </w:rPr>
              <w:t>of Incorporation or</w:t>
            </w:r>
          </w:p>
        </w:tc>
        <w:tc>
          <w:tcPr>
            <w:tcW w:w="0" w:type="dxa"/>
            <w:vAlign w:val="bottom"/>
          </w:tcPr>
          <w:p>
            <w:pPr>
              <w:spacing w:after="0"/>
              <w:rPr>
                <w:sz w:val="1"/>
                <w:szCs w:val="1"/>
                <w:color w:val="auto"/>
              </w:rPr>
            </w:pPr>
          </w:p>
        </w:tc>
      </w:tr>
      <w:tr>
        <w:trPr>
          <w:trHeight w:val="171"/>
        </w:trPr>
        <w:tc>
          <w:tcPr>
            <w:tcW w:w="4880" w:type="dxa"/>
            <w:vAlign w:val="bottom"/>
            <w:gridSpan w:val="3"/>
            <w:vMerge w:val="continue"/>
          </w:tcPr>
          <w:p>
            <w:pPr>
              <w:spacing w:after="0"/>
              <w:rPr>
                <w:sz w:val="14"/>
                <w:szCs w:val="14"/>
                <w:color w:val="auto"/>
              </w:rPr>
            </w:pPr>
          </w:p>
        </w:tc>
        <w:tc>
          <w:tcPr>
            <w:tcW w:w="1660" w:type="dxa"/>
            <w:vAlign w:val="bottom"/>
          </w:tcPr>
          <w:p>
            <w:pPr>
              <w:jc w:val="center"/>
              <w:spacing w:after="0"/>
              <w:rPr>
                <w:sz w:val="20"/>
                <w:szCs w:val="20"/>
                <w:color w:val="auto"/>
              </w:rPr>
            </w:pPr>
            <w:r>
              <w:rPr>
                <w:rFonts w:ascii="Arial" w:cs="Arial" w:eastAsia="Arial" w:hAnsi="Arial"/>
                <w:sz w:val="14"/>
                <w:szCs w:val="14"/>
                <w:b w:val="1"/>
                <w:bCs w:val="1"/>
                <w:color w:val="auto"/>
                <w:w w:val="95"/>
              </w:rPr>
              <w:t>Organization</w:t>
            </w:r>
          </w:p>
        </w:tc>
        <w:tc>
          <w:tcPr>
            <w:tcW w:w="0" w:type="dxa"/>
            <w:vAlign w:val="bottom"/>
          </w:tcPr>
          <w:p>
            <w:pPr>
              <w:spacing w:after="0"/>
              <w:rPr>
                <w:sz w:val="1"/>
                <w:szCs w:val="1"/>
                <w:color w:val="auto"/>
              </w:rPr>
            </w:pPr>
          </w:p>
        </w:tc>
      </w:tr>
      <w:tr>
        <w:trPr>
          <w:trHeight w:val="223"/>
        </w:trPr>
        <w:tc>
          <w:tcPr>
            <w:tcW w:w="20" w:type="dxa"/>
            <w:vAlign w:val="bottom"/>
            <w:vMerge w:val="restart"/>
          </w:tcPr>
          <w:p>
            <w:pPr>
              <w:spacing w:after="0"/>
              <w:rPr>
                <w:sz w:val="19"/>
                <w:szCs w:val="19"/>
                <w:color w:val="auto"/>
              </w:rPr>
            </w:pPr>
          </w:p>
        </w:tc>
        <w:tc>
          <w:tcPr>
            <w:tcW w:w="4700" w:type="dxa"/>
            <w:vAlign w:val="bottom"/>
            <w:tcBorders>
              <w:top w:val="single" w:sz="8" w:color="auto"/>
            </w:tcBorders>
          </w:tcPr>
          <w:p>
            <w:pPr>
              <w:spacing w:after="0"/>
              <w:rPr>
                <w:sz w:val="19"/>
                <w:szCs w:val="19"/>
                <w:color w:val="auto"/>
              </w:rPr>
            </w:pPr>
          </w:p>
        </w:tc>
        <w:tc>
          <w:tcPr>
            <w:tcW w:w="160" w:type="dxa"/>
            <w:vAlign w:val="bottom"/>
          </w:tcPr>
          <w:p>
            <w:pPr>
              <w:spacing w:after="0"/>
              <w:rPr>
                <w:sz w:val="19"/>
                <w:szCs w:val="19"/>
                <w:color w:val="auto"/>
              </w:rPr>
            </w:pPr>
          </w:p>
        </w:tc>
        <w:tc>
          <w:tcPr>
            <w:tcW w:w="1660" w:type="dxa"/>
            <w:vAlign w:val="bottom"/>
            <w:tcBorders>
              <w:top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3"/>
        </w:trPr>
        <w:tc>
          <w:tcPr>
            <w:tcW w:w="20" w:type="dxa"/>
            <w:vAlign w:val="bottom"/>
            <w:vMerge w:val="continue"/>
          </w:tcPr>
          <w:p>
            <w:pPr>
              <w:spacing w:after="0"/>
              <w:rPr>
                <w:sz w:val="21"/>
                <w:szCs w:val="21"/>
                <w:color w:val="auto"/>
              </w:rPr>
            </w:pPr>
          </w:p>
        </w:tc>
        <w:tc>
          <w:tcPr>
            <w:tcW w:w="48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Acushnet Company</w:t>
            </w:r>
          </w:p>
        </w:tc>
        <w:tc>
          <w:tcPr>
            <w:tcW w:w="16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2"/>
              </w:rPr>
              <w:t>Delaware</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860" w:type="dxa"/>
            <w:vAlign w:val="bottom"/>
            <w:gridSpan w:val="2"/>
          </w:tcPr>
          <w:p>
            <w:pPr>
              <w:spacing w:after="0"/>
              <w:rPr>
                <w:sz w:val="20"/>
                <w:szCs w:val="20"/>
                <w:color w:val="auto"/>
              </w:rPr>
            </w:pPr>
            <w:r>
              <w:rPr>
                <w:rFonts w:ascii="Arial" w:cs="Arial" w:eastAsia="Arial" w:hAnsi="Arial"/>
                <w:sz w:val="18"/>
                <w:szCs w:val="18"/>
                <w:color w:val="auto"/>
              </w:rPr>
              <w:t>AASI, Inc.</w:t>
            </w:r>
          </w:p>
        </w:tc>
        <w:tc>
          <w:tcPr>
            <w:tcW w:w="1660" w:type="dxa"/>
            <w:vAlign w:val="bottom"/>
          </w:tcPr>
          <w:p>
            <w:pPr>
              <w:jc w:val="center"/>
              <w:spacing w:after="0"/>
              <w:rPr>
                <w:sz w:val="20"/>
                <w:szCs w:val="20"/>
                <w:color w:val="auto"/>
              </w:rPr>
            </w:pPr>
            <w:r>
              <w:rPr>
                <w:rFonts w:ascii="Arial" w:cs="Arial" w:eastAsia="Arial" w:hAnsi="Arial"/>
                <w:sz w:val="18"/>
                <w:szCs w:val="18"/>
                <w:color w:val="auto"/>
                <w:w w:val="92"/>
              </w:rPr>
              <w:t>Delaware</w:t>
            </w: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48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ACTM LLC</w:t>
            </w:r>
          </w:p>
        </w:tc>
        <w:tc>
          <w:tcPr>
            <w:tcW w:w="16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2"/>
              </w:rPr>
              <w:t>Delaware</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860" w:type="dxa"/>
            <w:vAlign w:val="bottom"/>
            <w:gridSpan w:val="2"/>
          </w:tcPr>
          <w:p>
            <w:pPr>
              <w:spacing w:after="0"/>
              <w:rPr>
                <w:sz w:val="20"/>
                <w:szCs w:val="20"/>
                <w:color w:val="auto"/>
              </w:rPr>
            </w:pPr>
            <w:r>
              <w:rPr>
                <w:rFonts w:ascii="Arial" w:cs="Arial" w:eastAsia="Arial" w:hAnsi="Arial"/>
                <w:sz w:val="18"/>
                <w:szCs w:val="18"/>
                <w:color w:val="auto"/>
              </w:rPr>
              <w:t>Acushnet Australia Pty. Ltd.</w:t>
            </w:r>
          </w:p>
        </w:tc>
        <w:tc>
          <w:tcPr>
            <w:tcW w:w="1660" w:type="dxa"/>
            <w:vAlign w:val="bottom"/>
          </w:tcPr>
          <w:p>
            <w:pPr>
              <w:jc w:val="center"/>
              <w:spacing w:after="0"/>
              <w:rPr>
                <w:sz w:val="20"/>
                <w:szCs w:val="20"/>
                <w:color w:val="auto"/>
              </w:rPr>
            </w:pPr>
            <w:r>
              <w:rPr>
                <w:rFonts w:ascii="Arial" w:cs="Arial" w:eastAsia="Arial" w:hAnsi="Arial"/>
                <w:sz w:val="18"/>
                <w:szCs w:val="18"/>
                <w:color w:val="auto"/>
                <w:w w:val="94"/>
              </w:rPr>
              <w:t>Australia</w:t>
            </w: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48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Acushnet Canada Inc.</w:t>
            </w:r>
          </w:p>
        </w:tc>
        <w:tc>
          <w:tcPr>
            <w:tcW w:w="16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5"/>
              </w:rPr>
              <w:t>Canada</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860" w:type="dxa"/>
            <w:vAlign w:val="bottom"/>
            <w:gridSpan w:val="2"/>
          </w:tcPr>
          <w:p>
            <w:pPr>
              <w:spacing w:after="0"/>
              <w:rPr>
                <w:sz w:val="20"/>
                <w:szCs w:val="20"/>
                <w:color w:val="auto"/>
              </w:rPr>
            </w:pPr>
            <w:r>
              <w:rPr>
                <w:rFonts w:ascii="Arial" w:cs="Arial" w:eastAsia="Arial" w:hAnsi="Arial"/>
                <w:sz w:val="18"/>
                <w:szCs w:val="18"/>
                <w:color w:val="auto"/>
              </w:rPr>
              <w:t>Acushnet Cayman Limited</w:t>
            </w:r>
          </w:p>
        </w:tc>
        <w:tc>
          <w:tcPr>
            <w:tcW w:w="1660" w:type="dxa"/>
            <w:vAlign w:val="bottom"/>
          </w:tcPr>
          <w:p>
            <w:pPr>
              <w:jc w:val="center"/>
              <w:spacing w:after="0"/>
              <w:rPr>
                <w:sz w:val="20"/>
                <w:szCs w:val="20"/>
                <w:color w:val="auto"/>
              </w:rPr>
            </w:pPr>
            <w:r>
              <w:rPr>
                <w:rFonts w:ascii="Arial" w:cs="Arial" w:eastAsia="Arial" w:hAnsi="Arial"/>
                <w:sz w:val="18"/>
                <w:szCs w:val="18"/>
                <w:color w:val="auto"/>
                <w:w w:val="88"/>
              </w:rPr>
              <w:t>Cayman Islands</w:t>
            </w: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48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Acushnet Danmark ApS</w:t>
            </w:r>
          </w:p>
        </w:tc>
        <w:tc>
          <w:tcPr>
            <w:tcW w:w="16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Denmark</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860" w:type="dxa"/>
            <w:vAlign w:val="bottom"/>
            <w:gridSpan w:val="2"/>
          </w:tcPr>
          <w:p>
            <w:pPr>
              <w:spacing w:after="0"/>
              <w:rPr>
                <w:sz w:val="20"/>
                <w:szCs w:val="20"/>
                <w:color w:val="auto"/>
              </w:rPr>
            </w:pPr>
            <w:r>
              <w:rPr>
                <w:rFonts w:ascii="Arial" w:cs="Arial" w:eastAsia="Arial" w:hAnsi="Arial"/>
                <w:sz w:val="18"/>
                <w:szCs w:val="18"/>
                <w:color w:val="auto"/>
              </w:rPr>
              <w:t>Acushnet Espana, S.L.U.</w:t>
            </w:r>
          </w:p>
        </w:tc>
        <w:tc>
          <w:tcPr>
            <w:tcW w:w="1660" w:type="dxa"/>
            <w:vAlign w:val="bottom"/>
          </w:tcPr>
          <w:p>
            <w:pPr>
              <w:jc w:val="center"/>
              <w:spacing w:after="0"/>
              <w:rPr>
                <w:sz w:val="20"/>
                <w:szCs w:val="20"/>
                <w:color w:val="auto"/>
              </w:rPr>
            </w:pPr>
            <w:r>
              <w:rPr>
                <w:rFonts w:ascii="Arial" w:cs="Arial" w:eastAsia="Arial" w:hAnsi="Arial"/>
                <w:sz w:val="18"/>
                <w:szCs w:val="18"/>
                <w:color w:val="auto"/>
                <w:w w:val="91"/>
              </w:rPr>
              <w:t>Spain</w:t>
            </w: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48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Acushnet Europe Ltd.</w:t>
            </w:r>
          </w:p>
        </w:tc>
        <w:tc>
          <w:tcPr>
            <w:tcW w:w="16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5"/>
              </w:rPr>
              <w:t>United Kingdom</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860" w:type="dxa"/>
            <w:vAlign w:val="bottom"/>
            <w:gridSpan w:val="2"/>
          </w:tcPr>
          <w:p>
            <w:pPr>
              <w:spacing w:after="0"/>
              <w:rPr>
                <w:sz w:val="20"/>
                <w:szCs w:val="20"/>
                <w:color w:val="auto"/>
              </w:rPr>
            </w:pPr>
            <w:r>
              <w:rPr>
                <w:rFonts w:ascii="Arial" w:cs="Arial" w:eastAsia="Arial" w:hAnsi="Arial"/>
                <w:sz w:val="18"/>
                <w:szCs w:val="18"/>
                <w:color w:val="auto"/>
              </w:rPr>
              <w:t>Acushnet FootJoy (Thailand) Limited</w:t>
            </w:r>
          </w:p>
        </w:tc>
        <w:tc>
          <w:tcPr>
            <w:tcW w:w="1660" w:type="dxa"/>
            <w:vAlign w:val="bottom"/>
          </w:tcPr>
          <w:p>
            <w:pPr>
              <w:jc w:val="center"/>
              <w:spacing w:after="0"/>
              <w:rPr>
                <w:sz w:val="20"/>
                <w:szCs w:val="20"/>
                <w:color w:val="auto"/>
              </w:rPr>
            </w:pPr>
            <w:r>
              <w:rPr>
                <w:rFonts w:ascii="Arial" w:cs="Arial" w:eastAsia="Arial" w:hAnsi="Arial"/>
                <w:sz w:val="18"/>
                <w:szCs w:val="18"/>
                <w:color w:val="auto"/>
                <w:w w:val="92"/>
              </w:rPr>
              <w:t>Thailand</w:t>
            </w: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48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Acushnet France S.A.S.</w:t>
            </w:r>
          </w:p>
        </w:tc>
        <w:tc>
          <w:tcPr>
            <w:tcW w:w="16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France</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860" w:type="dxa"/>
            <w:vAlign w:val="bottom"/>
            <w:gridSpan w:val="2"/>
          </w:tcPr>
          <w:p>
            <w:pPr>
              <w:spacing w:after="0"/>
              <w:rPr>
                <w:sz w:val="20"/>
                <w:szCs w:val="20"/>
                <w:color w:val="auto"/>
              </w:rPr>
            </w:pPr>
            <w:r>
              <w:rPr>
                <w:rFonts w:ascii="Arial" w:cs="Arial" w:eastAsia="Arial" w:hAnsi="Arial"/>
                <w:sz w:val="18"/>
                <w:szCs w:val="18"/>
                <w:color w:val="auto"/>
              </w:rPr>
              <w:t>Acushnet GmbH</w:t>
            </w:r>
          </w:p>
        </w:tc>
        <w:tc>
          <w:tcPr>
            <w:tcW w:w="1660" w:type="dxa"/>
            <w:vAlign w:val="bottom"/>
          </w:tcPr>
          <w:p>
            <w:pPr>
              <w:jc w:val="center"/>
              <w:spacing w:after="0"/>
              <w:rPr>
                <w:sz w:val="20"/>
                <w:szCs w:val="20"/>
                <w:color w:val="auto"/>
              </w:rPr>
            </w:pPr>
            <w:r>
              <w:rPr>
                <w:rFonts w:ascii="Arial" w:cs="Arial" w:eastAsia="Arial" w:hAnsi="Arial"/>
                <w:sz w:val="18"/>
                <w:szCs w:val="18"/>
                <w:color w:val="auto"/>
                <w:w w:val="89"/>
              </w:rPr>
              <w:t>Germany</w:t>
            </w: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48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Acushnet Golf Products Trading (Shenzhen) Co. Ltd.</w:t>
            </w:r>
          </w:p>
        </w:tc>
        <w:tc>
          <w:tcPr>
            <w:tcW w:w="16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China</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860" w:type="dxa"/>
            <w:vAlign w:val="bottom"/>
            <w:gridSpan w:val="2"/>
          </w:tcPr>
          <w:p>
            <w:pPr>
              <w:spacing w:after="0"/>
              <w:rPr>
                <w:sz w:val="20"/>
                <w:szCs w:val="20"/>
                <w:color w:val="auto"/>
              </w:rPr>
            </w:pPr>
            <w:r>
              <w:rPr>
                <w:rFonts w:ascii="Arial" w:cs="Arial" w:eastAsia="Arial" w:hAnsi="Arial"/>
                <w:sz w:val="18"/>
                <w:szCs w:val="18"/>
                <w:color w:val="auto"/>
              </w:rPr>
              <w:t>Acushnet Golf (Thailand) Limited</w:t>
            </w:r>
          </w:p>
        </w:tc>
        <w:tc>
          <w:tcPr>
            <w:tcW w:w="1660" w:type="dxa"/>
            <w:vAlign w:val="bottom"/>
          </w:tcPr>
          <w:p>
            <w:pPr>
              <w:jc w:val="center"/>
              <w:spacing w:after="0"/>
              <w:rPr>
                <w:sz w:val="20"/>
                <w:szCs w:val="20"/>
                <w:color w:val="auto"/>
              </w:rPr>
            </w:pPr>
            <w:r>
              <w:rPr>
                <w:rFonts w:ascii="Arial" w:cs="Arial" w:eastAsia="Arial" w:hAnsi="Arial"/>
                <w:sz w:val="18"/>
                <w:szCs w:val="18"/>
                <w:color w:val="auto"/>
                <w:w w:val="92"/>
              </w:rPr>
              <w:t>Thailand</w:t>
            </w: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48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Acushnet Hong Kong Limited</w:t>
            </w:r>
          </w:p>
        </w:tc>
        <w:tc>
          <w:tcPr>
            <w:tcW w:w="16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5"/>
              </w:rPr>
              <w:t>Hong Kong</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860" w:type="dxa"/>
            <w:vAlign w:val="bottom"/>
            <w:gridSpan w:val="2"/>
          </w:tcPr>
          <w:p>
            <w:pPr>
              <w:spacing w:after="0"/>
              <w:rPr>
                <w:sz w:val="20"/>
                <w:szCs w:val="20"/>
                <w:color w:val="auto"/>
              </w:rPr>
            </w:pPr>
            <w:r>
              <w:rPr>
                <w:rFonts w:ascii="Arial" w:cs="Arial" w:eastAsia="Arial" w:hAnsi="Arial"/>
                <w:sz w:val="18"/>
                <w:szCs w:val="18"/>
                <w:color w:val="auto"/>
              </w:rPr>
              <w:t>Acushnet International Inc.</w:t>
            </w:r>
          </w:p>
        </w:tc>
        <w:tc>
          <w:tcPr>
            <w:tcW w:w="1660" w:type="dxa"/>
            <w:vAlign w:val="bottom"/>
          </w:tcPr>
          <w:p>
            <w:pPr>
              <w:jc w:val="center"/>
              <w:spacing w:after="0"/>
              <w:rPr>
                <w:sz w:val="20"/>
                <w:szCs w:val="20"/>
                <w:color w:val="auto"/>
              </w:rPr>
            </w:pPr>
            <w:r>
              <w:rPr>
                <w:rFonts w:ascii="Arial" w:cs="Arial" w:eastAsia="Arial" w:hAnsi="Arial"/>
                <w:sz w:val="18"/>
                <w:szCs w:val="18"/>
                <w:color w:val="auto"/>
                <w:w w:val="92"/>
              </w:rPr>
              <w:t>Delaware</w:t>
            </w: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48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Acushnet Ireland Limited</w:t>
            </w:r>
          </w:p>
        </w:tc>
        <w:tc>
          <w:tcPr>
            <w:tcW w:w="16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Ireland</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860" w:type="dxa"/>
            <w:vAlign w:val="bottom"/>
            <w:gridSpan w:val="2"/>
          </w:tcPr>
          <w:p>
            <w:pPr>
              <w:spacing w:after="0"/>
              <w:rPr>
                <w:sz w:val="20"/>
                <w:szCs w:val="20"/>
                <w:color w:val="auto"/>
              </w:rPr>
            </w:pPr>
            <w:r>
              <w:rPr>
                <w:rFonts w:ascii="Arial" w:cs="Arial" w:eastAsia="Arial" w:hAnsi="Arial"/>
                <w:sz w:val="18"/>
                <w:szCs w:val="18"/>
                <w:color w:val="auto"/>
              </w:rPr>
              <w:t>Acushnet Japan, Inc.</w:t>
            </w:r>
          </w:p>
        </w:tc>
        <w:tc>
          <w:tcPr>
            <w:tcW w:w="1660" w:type="dxa"/>
            <w:vAlign w:val="bottom"/>
          </w:tcPr>
          <w:p>
            <w:pPr>
              <w:jc w:val="center"/>
              <w:spacing w:after="0"/>
              <w:rPr>
                <w:sz w:val="20"/>
                <w:szCs w:val="20"/>
                <w:color w:val="auto"/>
              </w:rPr>
            </w:pPr>
            <w:r>
              <w:rPr>
                <w:rFonts w:ascii="Arial" w:cs="Arial" w:eastAsia="Arial" w:hAnsi="Arial"/>
                <w:sz w:val="18"/>
                <w:szCs w:val="18"/>
                <w:color w:val="auto"/>
                <w:w w:val="92"/>
              </w:rPr>
              <w:t>Delaware</w:t>
            </w: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48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Acushnet Korea Co., Ltd.</w:t>
            </w:r>
          </w:p>
        </w:tc>
        <w:tc>
          <w:tcPr>
            <w:tcW w:w="16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South Korea</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860" w:type="dxa"/>
            <w:vAlign w:val="bottom"/>
            <w:gridSpan w:val="2"/>
          </w:tcPr>
          <w:p>
            <w:pPr>
              <w:spacing w:after="0"/>
              <w:rPr>
                <w:sz w:val="20"/>
                <w:szCs w:val="20"/>
                <w:color w:val="auto"/>
              </w:rPr>
            </w:pPr>
            <w:r>
              <w:rPr>
                <w:rFonts w:ascii="Arial" w:cs="Arial" w:eastAsia="Arial" w:hAnsi="Arial"/>
                <w:sz w:val="18"/>
                <w:szCs w:val="18"/>
                <w:color w:val="auto"/>
              </w:rPr>
              <w:t>Acushnet Malaysia Sdn. Bhd.</w:t>
            </w:r>
          </w:p>
        </w:tc>
        <w:tc>
          <w:tcPr>
            <w:tcW w:w="1660" w:type="dxa"/>
            <w:vAlign w:val="bottom"/>
          </w:tcPr>
          <w:p>
            <w:pPr>
              <w:jc w:val="center"/>
              <w:spacing w:after="0"/>
              <w:rPr>
                <w:sz w:val="20"/>
                <w:szCs w:val="20"/>
                <w:color w:val="auto"/>
              </w:rPr>
            </w:pPr>
            <w:r>
              <w:rPr>
                <w:rFonts w:ascii="Arial" w:cs="Arial" w:eastAsia="Arial" w:hAnsi="Arial"/>
                <w:sz w:val="18"/>
                <w:szCs w:val="18"/>
                <w:color w:val="auto"/>
                <w:w w:val="92"/>
              </w:rPr>
              <w:t>Malaysia</w:t>
            </w: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48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Acushnet Nederland B.V.</w:t>
            </w:r>
          </w:p>
        </w:tc>
        <w:tc>
          <w:tcPr>
            <w:tcW w:w="16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Netherlands</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860" w:type="dxa"/>
            <w:vAlign w:val="bottom"/>
            <w:gridSpan w:val="2"/>
          </w:tcPr>
          <w:p>
            <w:pPr>
              <w:spacing w:after="0"/>
              <w:rPr>
                <w:sz w:val="20"/>
                <w:szCs w:val="20"/>
                <w:color w:val="auto"/>
              </w:rPr>
            </w:pPr>
            <w:r>
              <w:rPr>
                <w:rFonts w:ascii="Arial" w:cs="Arial" w:eastAsia="Arial" w:hAnsi="Arial"/>
                <w:sz w:val="18"/>
                <w:szCs w:val="18"/>
                <w:color w:val="auto"/>
              </w:rPr>
              <w:t>Acushnet Netherlands Manufacturing B.V.</w:t>
            </w:r>
          </w:p>
        </w:tc>
        <w:tc>
          <w:tcPr>
            <w:tcW w:w="1660" w:type="dxa"/>
            <w:vAlign w:val="bottom"/>
          </w:tcPr>
          <w:p>
            <w:pPr>
              <w:jc w:val="center"/>
              <w:spacing w:after="0"/>
              <w:rPr>
                <w:sz w:val="20"/>
                <w:szCs w:val="20"/>
                <w:color w:val="auto"/>
              </w:rPr>
            </w:pPr>
            <w:r>
              <w:rPr>
                <w:rFonts w:ascii="Arial" w:cs="Arial" w:eastAsia="Arial" w:hAnsi="Arial"/>
                <w:sz w:val="18"/>
                <w:szCs w:val="18"/>
                <w:color w:val="auto"/>
                <w:w w:val="88"/>
              </w:rPr>
              <w:t>Netherlands</w:t>
            </w: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48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Acushnet Netherlands Manufacturing C.V.</w:t>
            </w:r>
          </w:p>
        </w:tc>
        <w:tc>
          <w:tcPr>
            <w:tcW w:w="16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Netherlands</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860" w:type="dxa"/>
            <w:vAlign w:val="bottom"/>
            <w:gridSpan w:val="2"/>
          </w:tcPr>
          <w:p>
            <w:pPr>
              <w:spacing w:after="0"/>
              <w:rPr>
                <w:sz w:val="20"/>
                <w:szCs w:val="20"/>
                <w:color w:val="auto"/>
              </w:rPr>
            </w:pPr>
            <w:r>
              <w:rPr>
                <w:rFonts w:ascii="Arial" w:cs="Arial" w:eastAsia="Arial" w:hAnsi="Arial"/>
                <w:sz w:val="18"/>
                <w:szCs w:val="18"/>
                <w:color w:val="auto"/>
              </w:rPr>
              <w:t>Acushnet Netherlands Services B.V.</w:t>
            </w:r>
          </w:p>
        </w:tc>
        <w:tc>
          <w:tcPr>
            <w:tcW w:w="1660" w:type="dxa"/>
            <w:vAlign w:val="bottom"/>
          </w:tcPr>
          <w:p>
            <w:pPr>
              <w:jc w:val="center"/>
              <w:spacing w:after="0"/>
              <w:rPr>
                <w:sz w:val="20"/>
                <w:szCs w:val="20"/>
                <w:color w:val="auto"/>
              </w:rPr>
            </w:pPr>
            <w:r>
              <w:rPr>
                <w:rFonts w:ascii="Arial" w:cs="Arial" w:eastAsia="Arial" w:hAnsi="Arial"/>
                <w:sz w:val="18"/>
                <w:szCs w:val="18"/>
                <w:color w:val="auto"/>
                <w:w w:val="88"/>
              </w:rPr>
              <w:t>Netherlands</w:t>
            </w: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48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Acushnet New Zealand Limited</w:t>
            </w:r>
          </w:p>
        </w:tc>
        <w:tc>
          <w:tcPr>
            <w:tcW w:w="16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New Zealand</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860" w:type="dxa"/>
            <w:vAlign w:val="bottom"/>
            <w:gridSpan w:val="2"/>
          </w:tcPr>
          <w:p>
            <w:pPr>
              <w:spacing w:after="0"/>
              <w:rPr>
                <w:sz w:val="20"/>
                <w:szCs w:val="20"/>
                <w:color w:val="auto"/>
              </w:rPr>
            </w:pPr>
            <w:r>
              <w:rPr>
                <w:rFonts w:ascii="Arial" w:cs="Arial" w:eastAsia="Arial" w:hAnsi="Arial"/>
                <w:sz w:val="18"/>
                <w:szCs w:val="18"/>
                <w:color w:val="auto"/>
              </w:rPr>
              <w:t>Acushnet Osterreich GmbH</w:t>
            </w:r>
          </w:p>
        </w:tc>
        <w:tc>
          <w:tcPr>
            <w:tcW w:w="1660" w:type="dxa"/>
            <w:vAlign w:val="bottom"/>
          </w:tcPr>
          <w:p>
            <w:pPr>
              <w:jc w:val="center"/>
              <w:spacing w:after="0"/>
              <w:rPr>
                <w:sz w:val="20"/>
                <w:szCs w:val="20"/>
                <w:color w:val="auto"/>
              </w:rPr>
            </w:pPr>
            <w:r>
              <w:rPr>
                <w:rFonts w:ascii="Arial" w:cs="Arial" w:eastAsia="Arial" w:hAnsi="Arial"/>
                <w:sz w:val="18"/>
                <w:szCs w:val="18"/>
                <w:color w:val="auto"/>
                <w:w w:val="96"/>
              </w:rPr>
              <w:t>Austria</w:t>
            </w: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48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Acushnet Singapore Pte Ltd.</w:t>
            </w:r>
          </w:p>
        </w:tc>
        <w:tc>
          <w:tcPr>
            <w:tcW w:w="16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Singapore</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860" w:type="dxa"/>
            <w:vAlign w:val="bottom"/>
            <w:gridSpan w:val="2"/>
          </w:tcPr>
          <w:p>
            <w:pPr>
              <w:spacing w:after="0"/>
              <w:rPr>
                <w:sz w:val="20"/>
                <w:szCs w:val="20"/>
                <w:color w:val="auto"/>
              </w:rPr>
            </w:pPr>
            <w:r>
              <w:rPr>
                <w:rFonts w:ascii="Arial" w:cs="Arial" w:eastAsia="Arial" w:hAnsi="Arial"/>
                <w:sz w:val="18"/>
                <w:szCs w:val="18"/>
                <w:color w:val="auto"/>
              </w:rPr>
              <w:t>Acushnet South Africa (Pty.) Ltd.</w:t>
            </w:r>
          </w:p>
        </w:tc>
        <w:tc>
          <w:tcPr>
            <w:tcW w:w="1660" w:type="dxa"/>
            <w:vAlign w:val="bottom"/>
          </w:tcPr>
          <w:p>
            <w:pPr>
              <w:jc w:val="center"/>
              <w:spacing w:after="0"/>
              <w:rPr>
                <w:sz w:val="20"/>
                <w:szCs w:val="20"/>
                <w:color w:val="auto"/>
              </w:rPr>
            </w:pPr>
            <w:r>
              <w:rPr>
                <w:rFonts w:ascii="Arial" w:cs="Arial" w:eastAsia="Arial" w:hAnsi="Arial"/>
                <w:sz w:val="18"/>
                <w:szCs w:val="18"/>
                <w:color w:val="auto"/>
                <w:w w:val="93"/>
              </w:rPr>
              <w:t>South Africa</w:t>
            </w: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48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Acushnet Sverige Aktiebolag</w:t>
            </w:r>
          </w:p>
        </w:tc>
        <w:tc>
          <w:tcPr>
            <w:tcW w:w="16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Sweden</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860" w:type="dxa"/>
            <w:vAlign w:val="bottom"/>
            <w:gridSpan w:val="2"/>
          </w:tcPr>
          <w:p>
            <w:pPr>
              <w:spacing w:after="0"/>
              <w:rPr>
                <w:sz w:val="20"/>
                <w:szCs w:val="20"/>
                <w:color w:val="auto"/>
              </w:rPr>
            </w:pPr>
            <w:r>
              <w:rPr>
                <w:rFonts w:ascii="Arial" w:cs="Arial" w:eastAsia="Arial" w:hAnsi="Arial"/>
                <w:sz w:val="18"/>
                <w:szCs w:val="18"/>
                <w:color w:val="auto"/>
              </w:rPr>
              <w:t>Acushnet Titleist (Thailand) Limited</w:t>
            </w:r>
          </w:p>
        </w:tc>
        <w:tc>
          <w:tcPr>
            <w:tcW w:w="1660" w:type="dxa"/>
            <w:vAlign w:val="bottom"/>
          </w:tcPr>
          <w:p>
            <w:pPr>
              <w:jc w:val="center"/>
              <w:spacing w:after="0"/>
              <w:rPr>
                <w:sz w:val="20"/>
                <w:szCs w:val="20"/>
                <w:color w:val="auto"/>
              </w:rPr>
            </w:pPr>
            <w:r>
              <w:rPr>
                <w:rFonts w:ascii="Arial" w:cs="Arial" w:eastAsia="Arial" w:hAnsi="Arial"/>
                <w:sz w:val="18"/>
                <w:szCs w:val="18"/>
                <w:color w:val="auto"/>
                <w:w w:val="92"/>
              </w:rPr>
              <w:t>Thailand</w:t>
            </w: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48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Webb Acquisition Co.</w:t>
            </w:r>
          </w:p>
        </w:tc>
        <w:tc>
          <w:tcPr>
            <w:tcW w:w="16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2"/>
              </w:rPr>
              <w:t>Delaware</w:t>
            </w:r>
          </w:p>
        </w:tc>
        <w:tc>
          <w:tcPr>
            <w:tcW w:w="0" w:type="dxa"/>
            <w:vAlign w:val="bottom"/>
          </w:tcPr>
          <w:p>
            <w:pPr>
              <w:spacing w:after="0"/>
              <w:rPr>
                <w:sz w:val="1"/>
                <w:szCs w:val="1"/>
                <w:color w:val="auto"/>
              </w:rPr>
            </w:pPr>
          </w:p>
        </w:tc>
      </w:tr>
      <w:tr>
        <w:trPr>
          <w:trHeight w:val="453"/>
        </w:trPr>
        <w:tc>
          <w:tcPr>
            <w:tcW w:w="20" w:type="dxa"/>
            <w:vAlign w:val="bottom"/>
          </w:tcPr>
          <w:p>
            <w:pPr>
              <w:spacing w:after="0"/>
              <w:rPr>
                <w:sz w:val="24"/>
                <w:szCs w:val="24"/>
                <w:color w:val="auto"/>
              </w:rPr>
            </w:pPr>
          </w:p>
        </w:tc>
        <w:tc>
          <w:tcPr>
            <w:tcW w:w="47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019"/>
          </w:cols>
          <w:pgMar w:left="1440" w:top="121" w:right="1440" w:bottom="1440" w:gutter="0" w:footer="0" w:header="0"/>
        </w:sectPr>
      </w:pPr>
    </w:p>
    <w:bookmarkStart w:id="166" w:name="page167"/>
    <w:bookmarkEnd w:id="166"/>
    <w:p>
      <w:pPr>
        <w:jc w:val="right"/>
        <w:ind w:right="1219"/>
        <w:spacing w:after="0"/>
        <w:rPr>
          <w:sz w:val="20"/>
          <w:szCs w:val="20"/>
          <w:color w:val="auto"/>
        </w:rPr>
      </w:pPr>
      <w:r>
        <w:rPr>
          <w:rFonts w:ascii="Arial" w:cs="Arial" w:eastAsia="Arial" w:hAnsi="Arial"/>
          <w:sz w:val="18"/>
          <w:szCs w:val="18"/>
          <w:b w:val="1"/>
          <w:bCs w:val="1"/>
          <w:color w:val="auto"/>
        </w:rPr>
        <w:t>Exhibit 23.1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CONSENT OF INDEPENDENT REGISTERED PUBLIC ACCOUNTING FIRM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4748530</wp:posOffset>
            </wp:positionH>
            <wp:positionV relativeFrom="paragraph">
              <wp:posOffset>-53340</wp:posOffset>
            </wp:positionV>
            <wp:extent cx="13970" cy="889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00">
                      <a:extLst>
                        <a:ext uri="{28A0092B-C50C-407E-A947-70E740481C1C}"/>
                      </a:extLst>
                    </a:blip>
                    <a:srcRect/>
                    <a:stretch>
                      <a:fillRect/>
                    </a:stretch>
                  </pic:blipFill>
                  <pic:spPr bwMode="auto">
                    <a:xfrm>
                      <a:off x="0" y="0"/>
                      <a:ext cx="13970" cy="8890"/>
                    </a:xfrm>
                    <a:prstGeom prst="rect">
                      <a:avLst/>
                    </a:prstGeom>
                    <a:noFill/>
                  </pic:spPr>
                </pic:pic>
              </a:graphicData>
            </a:graphic>
          </wp:anchor>
        </w:drawing>
      </w:r>
    </w:p>
    <w:p>
      <w:pPr>
        <w:spacing w:after="0" w:line="381" w:lineRule="exact"/>
        <w:rPr>
          <w:sz w:val="20"/>
          <w:szCs w:val="20"/>
          <w:color w:val="auto"/>
        </w:rPr>
      </w:pPr>
    </w:p>
    <w:p>
      <w:pPr>
        <w:ind w:left="1240" w:right="1379"/>
        <w:spacing w:after="0" w:line="189" w:lineRule="exact"/>
        <w:rPr>
          <w:sz w:val="20"/>
          <w:szCs w:val="20"/>
          <w:color w:val="auto"/>
        </w:rPr>
      </w:pPr>
      <w:r>
        <w:rPr>
          <w:rFonts w:ascii="Arial" w:cs="Arial" w:eastAsia="Arial" w:hAnsi="Arial"/>
          <w:sz w:val="17"/>
          <w:szCs w:val="17"/>
          <w:color w:val="auto"/>
        </w:rPr>
        <w:t>We hereby consent to the incorporation by reference in the Registration Statement on Form S-8 (333-214275) of Acushnet Holdings Corp. of our reportdated March 7, 2018 relating to the financial statements and the effectiveness of internal control over financial reporting, which appears in this Form 10</w:t>
      </w:r>
      <w:r>
        <w:rPr>
          <w:rFonts w:ascii="MS PGothic" w:cs="MS PGothic" w:eastAsia="MS PGothic" w:hAnsi="MS PGothic"/>
          <w:sz w:val="17"/>
          <w:szCs w:val="17"/>
          <w:color w:val="auto"/>
        </w:rPr>
        <w:t>‑</w:t>
      </w:r>
      <w:r>
        <w:rPr>
          <w:rFonts w:ascii="Arial" w:cs="Arial" w:eastAsia="Arial" w:hAnsi="Arial"/>
          <w:sz w:val="17"/>
          <w:szCs w:val="17"/>
          <w:color w:val="auto"/>
        </w:rPr>
        <w:t>K.</w:t>
      </w:r>
    </w:p>
    <w:p>
      <w:pPr>
        <w:spacing w:after="0" w:line="323" w:lineRule="exact"/>
        <w:rPr>
          <w:sz w:val="20"/>
          <w:szCs w:val="20"/>
          <w:color w:val="auto"/>
        </w:rPr>
      </w:pPr>
    </w:p>
    <w:p>
      <w:pPr>
        <w:ind w:left="1240"/>
        <w:spacing w:after="0"/>
        <w:rPr>
          <w:sz w:val="20"/>
          <w:szCs w:val="20"/>
          <w:color w:val="auto"/>
        </w:rPr>
      </w:pPr>
      <w:r>
        <w:rPr>
          <w:rFonts w:ascii="Arial" w:cs="Arial" w:eastAsia="Arial" w:hAnsi="Arial"/>
          <w:sz w:val="18"/>
          <w:szCs w:val="18"/>
          <w:color w:val="auto"/>
        </w:rPr>
        <w:t>/s/ PricewaterhouseCoopers LLP</w:t>
      </w:r>
    </w:p>
    <w:p>
      <w:pPr>
        <w:ind w:left="1240"/>
        <w:spacing w:after="0" w:line="203" w:lineRule="auto"/>
        <w:rPr>
          <w:sz w:val="20"/>
          <w:szCs w:val="20"/>
          <w:color w:val="auto"/>
        </w:rPr>
      </w:pPr>
      <w:r>
        <w:rPr>
          <w:rFonts w:ascii="Arial" w:cs="Arial" w:eastAsia="Arial" w:hAnsi="Arial"/>
          <w:sz w:val="18"/>
          <w:szCs w:val="18"/>
          <w:color w:val="auto"/>
        </w:rPr>
        <w:t>Boston, Massachusetts</w:t>
      </w:r>
    </w:p>
    <w:p>
      <w:pPr>
        <w:ind w:left="1240"/>
        <w:spacing w:after="0"/>
        <w:rPr>
          <w:sz w:val="20"/>
          <w:szCs w:val="20"/>
          <w:color w:val="auto"/>
        </w:rPr>
      </w:pPr>
      <w:r>
        <w:rPr>
          <w:rFonts w:ascii="Arial" w:cs="Arial" w:eastAsia="Arial" w:hAnsi="Arial"/>
          <w:sz w:val="18"/>
          <w:szCs w:val="18"/>
          <w:color w:val="auto"/>
        </w:rPr>
        <w:t>March 7, 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786765</wp:posOffset>
            </wp:positionH>
            <wp:positionV relativeFrom="paragraph">
              <wp:posOffset>125095</wp:posOffset>
            </wp:positionV>
            <wp:extent cx="4159250" cy="26035"/>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01">
                      <a:extLst>
                        <a:ext uri="{28A0092B-C50C-407E-A947-70E740481C1C}"/>
                      </a:extLst>
                    </a:blip>
                    <a:srcRect/>
                    <a:stretch>
                      <a:fillRect/>
                    </a:stretch>
                  </pic:blipFill>
                  <pic:spPr bwMode="auto">
                    <a:xfrm>
                      <a:off x="0" y="0"/>
                      <a:ext cx="4159250" cy="26035"/>
                    </a:xfrm>
                    <a:prstGeom prst="rect">
                      <a:avLst/>
                    </a:prstGeom>
                    <a:noFill/>
                  </pic:spPr>
                </pic:pic>
              </a:graphicData>
            </a:graphic>
          </wp:anchor>
        </w:drawing>
      </w:r>
    </w:p>
    <w:p>
      <w:pPr>
        <w:sectPr>
          <w:pgSz w:w="11900" w:h="16838" w:orient="portrait"/>
          <w:cols w:equalWidth="0" w:num="1">
            <w:col w:w="9019"/>
          </w:cols>
          <w:pgMar w:left="1440" w:top="108" w:right="1440" w:bottom="1440" w:gutter="0" w:footer="0" w:header="0"/>
        </w:sectPr>
      </w:pPr>
    </w:p>
    <w:bookmarkStart w:id="167" w:name="page168"/>
    <w:bookmarkEnd w:id="167"/>
    <w:p>
      <w:pPr>
        <w:jc w:val="right"/>
        <w:ind w:right="1219"/>
        <w:spacing w:after="0"/>
        <w:rPr>
          <w:sz w:val="20"/>
          <w:szCs w:val="20"/>
          <w:color w:val="auto"/>
        </w:rPr>
      </w:pPr>
      <w:r>
        <w:rPr>
          <w:rFonts w:ascii="Arial" w:cs="Arial" w:eastAsia="Arial" w:hAnsi="Arial"/>
          <w:sz w:val="18"/>
          <w:szCs w:val="18"/>
          <w:b w:val="1"/>
          <w:bCs w:val="1"/>
          <w:color w:val="auto"/>
        </w:rPr>
        <w:t>Exhibit 24.1</w:t>
      </w:r>
    </w:p>
    <w:p>
      <w:pPr>
        <w:spacing w:after="0" w:line="225"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POWER OF ATTORNEY</w:t>
      </w:r>
    </w:p>
    <w:p>
      <w:pPr>
        <w:spacing w:after="0" w:line="229" w:lineRule="exact"/>
        <w:rPr>
          <w:sz w:val="20"/>
          <w:szCs w:val="20"/>
          <w:color w:val="auto"/>
        </w:rPr>
      </w:pPr>
    </w:p>
    <w:p>
      <w:pPr>
        <w:jc w:val="both"/>
        <w:ind w:left="1240" w:right="1219" w:firstLine="432"/>
        <w:spacing w:after="0" w:line="265" w:lineRule="auto"/>
        <w:rPr>
          <w:sz w:val="20"/>
          <w:szCs w:val="20"/>
          <w:color w:val="auto"/>
        </w:rPr>
      </w:pPr>
      <w:r>
        <w:rPr>
          <w:rFonts w:ascii="Arial" w:cs="Arial" w:eastAsia="Arial" w:hAnsi="Arial"/>
          <w:sz w:val="17"/>
          <w:szCs w:val="17"/>
          <w:color w:val="auto"/>
        </w:rPr>
        <w:t>The undersigned directors and officers of Acushnet Holdings Corp. hereby constitute and appoint Brendan M. Gibbons, Roland A. Giroux and Chad M. Van Ess and each of them, as his or her true and lawful attorneys-in-fact and agents, with power to act with or without the others and with full power of substitution and resubstitution, to do any and all acts and things and to execute any and all instruments which said attorneys and agents and each of them may deem necessary or desirable to enable the registrant to comply with the U.S. Securities Exchange Act of 1934, as amended, and any rules, regulations and requirements of the U.S. Securities and Exchange Commission thereunder in connection with the registrant’s Annual Report on Form 10-K for the fiscal year ended December 31, 2017 (the “Annual Report”), including specifically, but without limiting the generality of the foregoing, power and authority to sign the name of the registrant and the name of the undersigned, individually and in his or her capacity as a director or officer of the registrant, to the Annual Report as filed with the Securities and Exchange Commission, to any and all amendments thereto, and to any and all instruments or documents filed as part thereof or in connection therewith; and each of the undersigned hereby ratifies and confirms all that said attorneys and agents and each of them shall do or cause to be done by virtue hereof.</w:t>
      </w:r>
    </w:p>
    <w:p>
      <w:pPr>
        <w:spacing w:after="0" w:line="6" w:lineRule="exact"/>
        <w:rPr>
          <w:sz w:val="20"/>
          <w:szCs w:val="20"/>
          <w:color w:val="auto"/>
        </w:rPr>
      </w:pPr>
    </w:p>
    <w:tbl>
      <w:tblPr>
        <w:tblLayout w:type="fixed"/>
        <w:tblInd w:w="1240" w:type="dxa"/>
        <w:tblCellMar>
          <w:top w:w="0" w:type="dxa"/>
          <w:left w:w="0" w:type="dxa"/>
          <w:bottom w:w="0" w:type="dxa"/>
          <w:right w:w="0" w:type="dxa"/>
        </w:tblCellMar>
      </w:tblPr>
      <w:tr>
        <w:trPr>
          <w:trHeight w:val="161"/>
        </w:trPr>
        <w:tc>
          <w:tcPr>
            <w:tcW w:w="18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Signature</w:t>
            </w:r>
          </w:p>
        </w:tc>
        <w:tc>
          <w:tcPr>
            <w:tcW w:w="160" w:type="dxa"/>
            <w:vAlign w:val="bottom"/>
          </w:tcPr>
          <w:p>
            <w:pPr>
              <w:spacing w:after="0"/>
              <w:rPr>
                <w:sz w:val="14"/>
                <w:szCs w:val="14"/>
                <w:color w:val="auto"/>
              </w:rPr>
            </w:pPr>
          </w:p>
        </w:tc>
        <w:tc>
          <w:tcPr>
            <w:tcW w:w="2920" w:type="dxa"/>
            <w:vAlign w:val="bottom"/>
            <w:tcBorders>
              <w:bottom w:val="single" w:sz="8" w:color="auto"/>
            </w:tcBorders>
          </w:tcPr>
          <w:p>
            <w:pPr>
              <w:ind w:left="1180"/>
              <w:spacing w:after="0"/>
              <w:rPr>
                <w:sz w:val="20"/>
                <w:szCs w:val="20"/>
                <w:color w:val="auto"/>
              </w:rPr>
            </w:pPr>
            <w:r>
              <w:rPr>
                <w:rFonts w:ascii="Arial" w:cs="Arial" w:eastAsia="Arial" w:hAnsi="Arial"/>
                <w:sz w:val="14"/>
                <w:szCs w:val="14"/>
                <w:b w:val="1"/>
                <w:bCs w:val="1"/>
                <w:color w:val="auto"/>
              </w:rPr>
              <w:t>Capacity</w:t>
            </w:r>
          </w:p>
        </w:tc>
        <w:tc>
          <w:tcPr>
            <w:tcW w:w="140" w:type="dxa"/>
            <w:vAlign w:val="bottom"/>
          </w:tcPr>
          <w:p>
            <w:pPr>
              <w:spacing w:after="0"/>
              <w:rPr>
                <w:sz w:val="14"/>
                <w:szCs w:val="14"/>
                <w:color w:val="auto"/>
              </w:rPr>
            </w:pPr>
          </w:p>
        </w:tc>
        <w:tc>
          <w:tcPr>
            <w:tcW w:w="14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Date</w:t>
            </w:r>
          </w:p>
        </w:tc>
        <w:tc>
          <w:tcPr>
            <w:tcW w:w="0" w:type="dxa"/>
            <w:vAlign w:val="bottom"/>
          </w:tcPr>
          <w:p>
            <w:pPr>
              <w:spacing w:after="0"/>
              <w:rPr>
                <w:sz w:val="1"/>
                <w:szCs w:val="1"/>
                <w:color w:val="auto"/>
              </w:rPr>
            </w:pPr>
          </w:p>
        </w:tc>
      </w:tr>
      <w:tr>
        <w:trPr>
          <w:trHeight w:val="426"/>
        </w:trPr>
        <w:tc>
          <w:tcPr>
            <w:tcW w:w="184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9"/>
              </w:rPr>
              <w:t>/s/ DAVID MAHER</w:t>
            </w:r>
          </w:p>
        </w:tc>
        <w:tc>
          <w:tcPr>
            <w:tcW w:w="3220" w:type="dxa"/>
            <w:vAlign w:val="bottom"/>
            <w:gridSpan w:val="3"/>
          </w:tcPr>
          <w:p>
            <w:pPr>
              <w:ind w:left="160"/>
              <w:spacing w:after="0"/>
              <w:rPr>
                <w:sz w:val="20"/>
                <w:szCs w:val="20"/>
                <w:color w:val="auto"/>
              </w:rPr>
            </w:pPr>
            <w:r>
              <w:rPr>
                <w:rFonts w:ascii="Arial" w:cs="Arial" w:eastAsia="Arial" w:hAnsi="Arial"/>
                <w:sz w:val="18"/>
                <w:szCs w:val="18"/>
                <w:color w:val="auto"/>
              </w:rPr>
              <w:t>President and Chief Executive Officer</w:t>
            </w:r>
          </w:p>
        </w:tc>
        <w:tc>
          <w:tcPr>
            <w:tcW w:w="1480" w:type="dxa"/>
            <w:vAlign w:val="bottom"/>
          </w:tcPr>
          <w:p>
            <w:pPr>
              <w:jc w:val="center"/>
              <w:spacing w:after="0"/>
              <w:rPr>
                <w:sz w:val="20"/>
                <w:szCs w:val="20"/>
                <w:color w:val="auto"/>
              </w:rPr>
            </w:pPr>
            <w:r>
              <w:rPr>
                <w:rFonts w:ascii="Arial" w:cs="Arial" w:eastAsia="Arial" w:hAnsi="Arial"/>
                <w:sz w:val="18"/>
                <w:szCs w:val="18"/>
                <w:color w:val="auto"/>
                <w:w w:val="90"/>
              </w:rPr>
              <w:t>March 7, 2018</w:t>
            </w:r>
          </w:p>
        </w:tc>
        <w:tc>
          <w:tcPr>
            <w:tcW w:w="0" w:type="dxa"/>
            <w:vAlign w:val="bottom"/>
          </w:tcPr>
          <w:p>
            <w:pPr>
              <w:spacing w:after="0"/>
              <w:rPr>
                <w:sz w:val="1"/>
                <w:szCs w:val="1"/>
                <w:color w:val="auto"/>
              </w:rPr>
            </w:pPr>
          </w:p>
        </w:tc>
      </w:tr>
      <w:tr>
        <w:trPr>
          <w:trHeight w:val="224"/>
        </w:trPr>
        <w:tc>
          <w:tcPr>
            <w:tcW w:w="1840" w:type="dxa"/>
            <w:vAlign w:val="bottom"/>
          </w:tcPr>
          <w:p>
            <w:pPr>
              <w:jc w:val="center"/>
              <w:spacing w:after="0"/>
              <w:rPr>
                <w:sz w:val="20"/>
                <w:szCs w:val="20"/>
                <w:color w:val="auto"/>
              </w:rPr>
            </w:pPr>
            <w:r>
              <w:rPr>
                <w:rFonts w:ascii="Arial" w:cs="Arial" w:eastAsia="Arial" w:hAnsi="Arial"/>
                <w:sz w:val="18"/>
                <w:szCs w:val="18"/>
                <w:color w:val="auto"/>
                <w:w w:val="94"/>
              </w:rPr>
              <w:t>David Maher</w:t>
            </w:r>
          </w:p>
        </w:tc>
        <w:tc>
          <w:tcPr>
            <w:tcW w:w="3220" w:type="dxa"/>
            <w:vAlign w:val="bottom"/>
            <w:gridSpan w:val="3"/>
          </w:tcPr>
          <w:p>
            <w:pPr>
              <w:ind w:left="160"/>
              <w:spacing w:after="0"/>
              <w:rPr>
                <w:sz w:val="20"/>
                <w:szCs w:val="20"/>
                <w:color w:val="auto"/>
              </w:rPr>
            </w:pPr>
            <w:r>
              <w:rPr>
                <w:rFonts w:ascii="Arial" w:cs="Arial" w:eastAsia="Arial" w:hAnsi="Arial"/>
                <w:sz w:val="18"/>
                <w:szCs w:val="18"/>
                <w:color w:val="auto"/>
              </w:rPr>
              <w:t>(Principal Executive Officer)</w:t>
            </w:r>
          </w:p>
        </w:tc>
        <w:tc>
          <w:tcPr>
            <w:tcW w:w="14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04"/>
        </w:trPr>
        <w:tc>
          <w:tcPr>
            <w:tcW w:w="1840" w:type="dxa"/>
            <w:vAlign w:val="bottom"/>
          </w:tcPr>
          <w:p>
            <w:pPr>
              <w:jc w:val="center"/>
              <w:spacing w:after="0"/>
              <w:rPr>
                <w:sz w:val="20"/>
                <w:szCs w:val="20"/>
                <w:color w:val="auto"/>
              </w:rPr>
            </w:pPr>
            <w:r>
              <w:rPr>
                <w:rFonts w:ascii="Arial" w:cs="Arial" w:eastAsia="Arial" w:hAnsi="Arial"/>
                <w:sz w:val="18"/>
                <w:szCs w:val="18"/>
                <w:color w:val="auto"/>
              </w:rPr>
              <w:t>/s/ WILLIAM BURKE</w:t>
            </w:r>
          </w:p>
        </w:tc>
        <w:tc>
          <w:tcPr>
            <w:tcW w:w="3220" w:type="dxa"/>
            <w:vAlign w:val="bottom"/>
            <w:gridSpan w:val="3"/>
          </w:tcPr>
          <w:p>
            <w:pPr>
              <w:ind w:left="160"/>
              <w:spacing w:after="0"/>
              <w:rPr>
                <w:sz w:val="20"/>
                <w:szCs w:val="20"/>
                <w:color w:val="auto"/>
              </w:rPr>
            </w:pPr>
            <w:r>
              <w:rPr>
                <w:rFonts w:ascii="Arial" w:cs="Arial" w:eastAsia="Arial" w:hAnsi="Arial"/>
                <w:sz w:val="18"/>
                <w:szCs w:val="18"/>
                <w:color w:val="auto"/>
              </w:rPr>
              <w:t>Executive Vice President, Chief</w:t>
            </w:r>
          </w:p>
        </w:tc>
        <w:tc>
          <w:tcPr>
            <w:tcW w:w="1480" w:type="dxa"/>
            <w:vAlign w:val="bottom"/>
          </w:tcPr>
          <w:p>
            <w:pPr>
              <w:jc w:val="center"/>
              <w:spacing w:after="0"/>
              <w:rPr>
                <w:sz w:val="20"/>
                <w:szCs w:val="20"/>
                <w:color w:val="auto"/>
              </w:rPr>
            </w:pPr>
            <w:r>
              <w:rPr>
                <w:rFonts w:ascii="Arial" w:cs="Arial" w:eastAsia="Arial" w:hAnsi="Arial"/>
                <w:sz w:val="18"/>
                <w:szCs w:val="18"/>
                <w:color w:val="auto"/>
                <w:w w:val="90"/>
              </w:rPr>
              <w:t>March 7, 2018</w:t>
            </w:r>
          </w:p>
        </w:tc>
        <w:tc>
          <w:tcPr>
            <w:tcW w:w="0" w:type="dxa"/>
            <w:vAlign w:val="bottom"/>
          </w:tcPr>
          <w:p>
            <w:pPr>
              <w:spacing w:after="0"/>
              <w:rPr>
                <w:sz w:val="1"/>
                <w:szCs w:val="1"/>
                <w:color w:val="auto"/>
              </w:rPr>
            </w:pPr>
          </w:p>
        </w:tc>
      </w:tr>
      <w:tr>
        <w:trPr>
          <w:trHeight w:val="82"/>
        </w:trPr>
        <w:tc>
          <w:tcPr>
            <w:tcW w:w="1840" w:type="dxa"/>
            <w:vAlign w:val="bottom"/>
            <w:tcBorders>
              <w:bottom w:val="single" w:sz="8" w:color="auto"/>
            </w:tcBorders>
          </w:tcPr>
          <w:p>
            <w:pPr>
              <w:spacing w:after="0"/>
              <w:rPr>
                <w:sz w:val="7"/>
                <w:szCs w:val="7"/>
                <w:color w:val="auto"/>
              </w:rPr>
            </w:pPr>
          </w:p>
        </w:tc>
        <w:tc>
          <w:tcPr>
            <w:tcW w:w="3220" w:type="dxa"/>
            <w:vAlign w:val="bottom"/>
            <w:gridSpan w:val="3"/>
            <w:vMerge w:val="restart"/>
          </w:tcPr>
          <w:p>
            <w:pPr>
              <w:ind w:left="160"/>
              <w:spacing w:after="0"/>
              <w:rPr>
                <w:sz w:val="20"/>
                <w:szCs w:val="20"/>
                <w:color w:val="auto"/>
              </w:rPr>
            </w:pPr>
            <w:r>
              <w:rPr>
                <w:rFonts w:ascii="Arial" w:cs="Arial" w:eastAsia="Arial" w:hAnsi="Arial"/>
                <w:sz w:val="18"/>
                <w:szCs w:val="18"/>
                <w:color w:val="auto"/>
              </w:rPr>
              <w:t>Financial Officer and Treasurer</w:t>
            </w:r>
          </w:p>
        </w:tc>
        <w:tc>
          <w:tcPr>
            <w:tcW w:w="14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14"/>
        </w:trPr>
        <w:tc>
          <w:tcPr>
            <w:tcW w:w="1840" w:type="dxa"/>
            <w:vAlign w:val="bottom"/>
            <w:vMerge w:val="restart"/>
          </w:tcPr>
          <w:p>
            <w:pPr>
              <w:jc w:val="center"/>
              <w:spacing w:after="0"/>
              <w:rPr>
                <w:sz w:val="20"/>
                <w:szCs w:val="20"/>
                <w:color w:val="auto"/>
              </w:rPr>
            </w:pPr>
            <w:r>
              <w:rPr>
                <w:rFonts w:ascii="Arial" w:cs="Arial" w:eastAsia="Arial" w:hAnsi="Arial"/>
                <w:sz w:val="18"/>
                <w:szCs w:val="18"/>
                <w:color w:val="auto"/>
                <w:w w:val="98"/>
              </w:rPr>
              <w:t>William Burke</w:t>
            </w:r>
          </w:p>
        </w:tc>
        <w:tc>
          <w:tcPr>
            <w:tcW w:w="3220" w:type="dxa"/>
            <w:vAlign w:val="bottom"/>
            <w:gridSpan w:val="3"/>
            <w:vMerge w:val="continue"/>
          </w:tcPr>
          <w:p>
            <w:pPr>
              <w:spacing w:after="0"/>
              <w:rPr>
                <w:sz w:val="9"/>
                <w:szCs w:val="9"/>
                <w:color w:val="auto"/>
              </w:rPr>
            </w:pPr>
          </w:p>
        </w:tc>
        <w:tc>
          <w:tcPr>
            <w:tcW w:w="14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10"/>
        </w:trPr>
        <w:tc>
          <w:tcPr>
            <w:tcW w:w="1840" w:type="dxa"/>
            <w:vAlign w:val="bottom"/>
            <w:vMerge w:val="continue"/>
          </w:tcPr>
          <w:p>
            <w:pPr>
              <w:spacing w:after="0"/>
              <w:rPr>
                <w:sz w:val="9"/>
                <w:szCs w:val="9"/>
                <w:color w:val="auto"/>
              </w:rPr>
            </w:pPr>
          </w:p>
        </w:tc>
        <w:tc>
          <w:tcPr>
            <w:tcW w:w="3220" w:type="dxa"/>
            <w:vAlign w:val="bottom"/>
            <w:gridSpan w:val="3"/>
            <w:vMerge w:val="restart"/>
          </w:tcPr>
          <w:p>
            <w:pPr>
              <w:ind w:left="160"/>
              <w:spacing w:after="0"/>
              <w:rPr>
                <w:sz w:val="20"/>
                <w:szCs w:val="20"/>
                <w:color w:val="auto"/>
              </w:rPr>
            </w:pPr>
            <w:r>
              <w:rPr>
                <w:rFonts w:ascii="Arial" w:cs="Arial" w:eastAsia="Arial" w:hAnsi="Arial"/>
                <w:sz w:val="18"/>
                <w:szCs w:val="18"/>
                <w:color w:val="auto"/>
              </w:rPr>
              <w:t>(Principal Financial Officer)</w:t>
            </w:r>
          </w:p>
        </w:tc>
        <w:tc>
          <w:tcPr>
            <w:tcW w:w="14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1"/>
        </w:trPr>
        <w:tc>
          <w:tcPr>
            <w:tcW w:w="1840" w:type="dxa"/>
            <w:vAlign w:val="bottom"/>
          </w:tcPr>
          <w:p>
            <w:pPr>
              <w:spacing w:after="0"/>
              <w:rPr>
                <w:sz w:val="10"/>
                <w:szCs w:val="10"/>
                <w:color w:val="auto"/>
              </w:rPr>
            </w:pPr>
          </w:p>
        </w:tc>
        <w:tc>
          <w:tcPr>
            <w:tcW w:w="3220" w:type="dxa"/>
            <w:vAlign w:val="bottom"/>
            <w:gridSpan w:val="3"/>
            <w:vMerge w:val="continue"/>
          </w:tcPr>
          <w:p>
            <w:pPr>
              <w:spacing w:after="0"/>
              <w:rPr>
                <w:sz w:val="10"/>
                <w:szCs w:val="10"/>
                <w:color w:val="auto"/>
              </w:rPr>
            </w:pPr>
          </w:p>
        </w:tc>
        <w:tc>
          <w:tcPr>
            <w:tcW w:w="1480" w:type="dxa"/>
            <w:vAlign w:val="bottom"/>
            <w:vMerge w:val="restart"/>
          </w:tcPr>
          <w:p>
            <w:pPr>
              <w:jc w:val="center"/>
              <w:spacing w:after="0"/>
              <w:rPr>
                <w:sz w:val="20"/>
                <w:szCs w:val="20"/>
                <w:color w:val="auto"/>
              </w:rPr>
            </w:pPr>
            <w:r>
              <w:rPr>
                <w:rFonts w:ascii="Arial" w:cs="Arial" w:eastAsia="Arial" w:hAnsi="Arial"/>
                <w:sz w:val="18"/>
                <w:szCs w:val="18"/>
                <w:color w:val="auto"/>
                <w:w w:val="90"/>
              </w:rPr>
              <w:t>March 7, 2018</w:t>
            </w:r>
          </w:p>
        </w:tc>
        <w:tc>
          <w:tcPr>
            <w:tcW w:w="0" w:type="dxa"/>
            <w:vAlign w:val="bottom"/>
          </w:tcPr>
          <w:p>
            <w:pPr>
              <w:spacing w:after="0"/>
              <w:rPr>
                <w:sz w:val="1"/>
                <w:szCs w:val="1"/>
                <w:color w:val="auto"/>
              </w:rPr>
            </w:pPr>
          </w:p>
        </w:tc>
      </w:tr>
      <w:tr>
        <w:trPr>
          <w:trHeight w:val="216"/>
        </w:trPr>
        <w:tc>
          <w:tcPr>
            <w:tcW w:w="1840" w:type="dxa"/>
            <w:vAlign w:val="bottom"/>
            <w:vMerge w:val="restart"/>
          </w:tcPr>
          <w:p>
            <w:pPr>
              <w:jc w:val="center"/>
              <w:spacing w:after="0"/>
              <w:rPr>
                <w:sz w:val="20"/>
                <w:szCs w:val="20"/>
                <w:color w:val="auto"/>
              </w:rPr>
            </w:pPr>
            <w:r>
              <w:rPr>
                <w:rFonts w:ascii="Arial" w:cs="Arial" w:eastAsia="Arial" w:hAnsi="Arial"/>
                <w:sz w:val="18"/>
                <w:szCs w:val="18"/>
                <w:color w:val="auto"/>
                <w:w w:val="94"/>
              </w:rPr>
              <w:t>/s/ THOMAS PACHECO</w:t>
            </w:r>
          </w:p>
        </w:tc>
        <w:tc>
          <w:tcPr>
            <w:tcW w:w="3220" w:type="dxa"/>
            <w:vAlign w:val="bottom"/>
            <w:gridSpan w:val="3"/>
            <w:vMerge w:val="restart"/>
          </w:tcPr>
          <w:p>
            <w:pPr>
              <w:ind w:left="160"/>
              <w:spacing w:after="0"/>
              <w:rPr>
                <w:sz w:val="20"/>
                <w:szCs w:val="20"/>
                <w:color w:val="auto"/>
              </w:rPr>
            </w:pPr>
            <w:r>
              <w:rPr>
                <w:rFonts w:ascii="Arial" w:cs="Arial" w:eastAsia="Arial" w:hAnsi="Arial"/>
                <w:sz w:val="18"/>
                <w:szCs w:val="18"/>
                <w:color w:val="auto"/>
              </w:rPr>
              <w:t>Senior Vice President, Finance and</w:t>
            </w:r>
          </w:p>
        </w:tc>
        <w:tc>
          <w:tcPr>
            <w:tcW w:w="148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1840" w:type="dxa"/>
            <w:vAlign w:val="bottom"/>
            <w:vMerge w:val="continue"/>
          </w:tcPr>
          <w:p>
            <w:pPr>
              <w:spacing w:after="0"/>
              <w:rPr>
                <w:sz w:val="17"/>
                <w:szCs w:val="17"/>
                <w:color w:val="auto"/>
              </w:rPr>
            </w:pPr>
          </w:p>
        </w:tc>
        <w:tc>
          <w:tcPr>
            <w:tcW w:w="3220" w:type="dxa"/>
            <w:vAlign w:val="bottom"/>
            <w:gridSpan w:val="3"/>
            <w:vMerge w:val="continue"/>
          </w:tcPr>
          <w:p>
            <w:pPr>
              <w:spacing w:after="0"/>
              <w:rPr>
                <w:sz w:val="17"/>
                <w:szCs w:val="17"/>
                <w:color w:val="auto"/>
              </w:rPr>
            </w:pPr>
          </w:p>
        </w:tc>
        <w:tc>
          <w:tcPr>
            <w:tcW w:w="14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22"/>
        </w:trPr>
        <w:tc>
          <w:tcPr>
            <w:tcW w:w="1840" w:type="dxa"/>
            <w:vAlign w:val="bottom"/>
            <w:tcBorders>
              <w:bottom w:val="single" w:sz="8" w:color="auto"/>
            </w:tcBorders>
          </w:tcPr>
          <w:p>
            <w:pPr>
              <w:spacing w:after="0"/>
              <w:rPr>
                <w:sz w:val="10"/>
                <w:szCs w:val="10"/>
                <w:color w:val="auto"/>
              </w:rPr>
            </w:pPr>
          </w:p>
        </w:tc>
        <w:tc>
          <w:tcPr>
            <w:tcW w:w="3220" w:type="dxa"/>
            <w:vAlign w:val="bottom"/>
            <w:gridSpan w:val="3"/>
            <w:vMerge w:val="restart"/>
          </w:tcPr>
          <w:p>
            <w:pPr>
              <w:ind w:left="160"/>
              <w:spacing w:after="0"/>
              <w:rPr>
                <w:sz w:val="20"/>
                <w:szCs w:val="20"/>
                <w:color w:val="auto"/>
              </w:rPr>
            </w:pPr>
            <w:r>
              <w:rPr>
                <w:rFonts w:ascii="Arial" w:cs="Arial" w:eastAsia="Arial" w:hAnsi="Arial"/>
                <w:sz w:val="18"/>
                <w:szCs w:val="18"/>
                <w:color w:val="auto"/>
              </w:rPr>
              <w:t>Chief Accounting Officer (Principal</w:t>
            </w:r>
          </w:p>
        </w:tc>
        <w:tc>
          <w:tcPr>
            <w:tcW w:w="14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4"/>
        </w:trPr>
        <w:tc>
          <w:tcPr>
            <w:tcW w:w="1840" w:type="dxa"/>
            <w:vAlign w:val="bottom"/>
            <w:vMerge w:val="restart"/>
          </w:tcPr>
          <w:p>
            <w:pPr>
              <w:jc w:val="center"/>
              <w:spacing w:after="0"/>
              <w:rPr>
                <w:sz w:val="20"/>
                <w:szCs w:val="20"/>
                <w:color w:val="auto"/>
              </w:rPr>
            </w:pPr>
            <w:r>
              <w:rPr>
                <w:rFonts w:ascii="Arial" w:cs="Arial" w:eastAsia="Arial" w:hAnsi="Arial"/>
                <w:sz w:val="18"/>
                <w:szCs w:val="18"/>
                <w:color w:val="auto"/>
                <w:w w:val="88"/>
              </w:rPr>
              <w:t>Thomas Pacheco</w:t>
            </w:r>
          </w:p>
        </w:tc>
        <w:tc>
          <w:tcPr>
            <w:tcW w:w="3220" w:type="dxa"/>
            <w:vAlign w:val="bottom"/>
            <w:gridSpan w:val="3"/>
            <w:vMerge w:val="continue"/>
          </w:tcPr>
          <w:p>
            <w:pPr>
              <w:spacing w:after="0"/>
              <w:rPr>
                <w:sz w:val="6"/>
                <w:szCs w:val="6"/>
                <w:color w:val="auto"/>
              </w:rPr>
            </w:pPr>
          </w:p>
        </w:tc>
        <w:tc>
          <w:tcPr>
            <w:tcW w:w="14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50"/>
        </w:trPr>
        <w:tc>
          <w:tcPr>
            <w:tcW w:w="1840" w:type="dxa"/>
            <w:vAlign w:val="bottom"/>
            <w:vMerge w:val="continue"/>
          </w:tcPr>
          <w:p>
            <w:pPr>
              <w:spacing w:after="0"/>
              <w:rPr>
                <w:sz w:val="13"/>
                <w:szCs w:val="13"/>
                <w:color w:val="auto"/>
              </w:rPr>
            </w:pPr>
          </w:p>
        </w:tc>
        <w:tc>
          <w:tcPr>
            <w:tcW w:w="3220" w:type="dxa"/>
            <w:vAlign w:val="bottom"/>
            <w:gridSpan w:val="3"/>
            <w:vMerge w:val="restart"/>
          </w:tcPr>
          <w:p>
            <w:pPr>
              <w:ind w:left="160"/>
              <w:spacing w:after="0"/>
              <w:rPr>
                <w:sz w:val="20"/>
                <w:szCs w:val="20"/>
                <w:color w:val="auto"/>
              </w:rPr>
            </w:pPr>
            <w:r>
              <w:rPr>
                <w:rFonts w:ascii="Arial" w:cs="Arial" w:eastAsia="Arial" w:hAnsi="Arial"/>
                <w:sz w:val="18"/>
                <w:szCs w:val="18"/>
                <w:color w:val="auto"/>
              </w:rPr>
              <w:t>Accounting Officer)</w:t>
            </w:r>
          </w:p>
        </w:tc>
        <w:tc>
          <w:tcPr>
            <w:tcW w:w="14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80"/>
        </w:trPr>
        <w:tc>
          <w:tcPr>
            <w:tcW w:w="1840" w:type="dxa"/>
            <w:vAlign w:val="bottom"/>
          </w:tcPr>
          <w:p>
            <w:pPr>
              <w:spacing w:after="0"/>
              <w:rPr>
                <w:sz w:val="6"/>
                <w:szCs w:val="6"/>
                <w:color w:val="auto"/>
              </w:rPr>
            </w:pPr>
          </w:p>
        </w:tc>
        <w:tc>
          <w:tcPr>
            <w:tcW w:w="3220" w:type="dxa"/>
            <w:vAlign w:val="bottom"/>
            <w:gridSpan w:val="3"/>
            <w:vMerge w:val="continue"/>
          </w:tcPr>
          <w:p>
            <w:pPr>
              <w:spacing w:after="0"/>
              <w:rPr>
                <w:sz w:val="6"/>
                <w:szCs w:val="6"/>
                <w:color w:val="auto"/>
              </w:rPr>
            </w:pPr>
          </w:p>
        </w:tc>
        <w:tc>
          <w:tcPr>
            <w:tcW w:w="14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432"/>
        </w:trPr>
        <w:tc>
          <w:tcPr>
            <w:tcW w:w="184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5"/>
              </w:rPr>
              <w:t>/s/ YOON SOO YOON</w:t>
            </w:r>
          </w:p>
        </w:tc>
        <w:tc>
          <w:tcPr>
            <w:tcW w:w="3220" w:type="dxa"/>
            <w:vAlign w:val="bottom"/>
            <w:gridSpan w:val="3"/>
          </w:tcPr>
          <w:p>
            <w:pPr>
              <w:ind w:left="160"/>
              <w:spacing w:after="0"/>
              <w:rPr>
                <w:sz w:val="20"/>
                <w:szCs w:val="20"/>
                <w:color w:val="auto"/>
              </w:rPr>
            </w:pPr>
            <w:r>
              <w:rPr>
                <w:rFonts w:ascii="Arial" w:cs="Arial" w:eastAsia="Arial" w:hAnsi="Arial"/>
                <w:sz w:val="18"/>
                <w:szCs w:val="18"/>
                <w:color w:val="auto"/>
              </w:rPr>
              <w:t>Chairman</w:t>
            </w:r>
          </w:p>
        </w:tc>
        <w:tc>
          <w:tcPr>
            <w:tcW w:w="1480" w:type="dxa"/>
            <w:vAlign w:val="bottom"/>
          </w:tcPr>
          <w:p>
            <w:pPr>
              <w:jc w:val="center"/>
              <w:spacing w:after="0"/>
              <w:rPr>
                <w:sz w:val="20"/>
                <w:szCs w:val="20"/>
                <w:color w:val="auto"/>
              </w:rPr>
            </w:pPr>
            <w:r>
              <w:rPr>
                <w:rFonts w:ascii="Arial" w:cs="Arial" w:eastAsia="Arial" w:hAnsi="Arial"/>
                <w:sz w:val="18"/>
                <w:szCs w:val="18"/>
                <w:color w:val="auto"/>
                <w:w w:val="90"/>
              </w:rPr>
              <w:t>March 7, 2018</w:t>
            </w:r>
          </w:p>
        </w:tc>
        <w:tc>
          <w:tcPr>
            <w:tcW w:w="0" w:type="dxa"/>
            <w:vAlign w:val="bottom"/>
          </w:tcPr>
          <w:p>
            <w:pPr>
              <w:spacing w:after="0"/>
              <w:rPr>
                <w:sz w:val="1"/>
                <w:szCs w:val="1"/>
                <w:color w:val="auto"/>
              </w:rPr>
            </w:pPr>
          </w:p>
        </w:tc>
      </w:tr>
      <w:tr>
        <w:trPr>
          <w:trHeight w:val="224"/>
        </w:trPr>
        <w:tc>
          <w:tcPr>
            <w:tcW w:w="1840" w:type="dxa"/>
            <w:vAlign w:val="bottom"/>
          </w:tcPr>
          <w:p>
            <w:pPr>
              <w:jc w:val="center"/>
              <w:spacing w:after="0"/>
              <w:rPr>
                <w:sz w:val="20"/>
                <w:szCs w:val="20"/>
                <w:color w:val="auto"/>
              </w:rPr>
            </w:pPr>
            <w:r>
              <w:rPr>
                <w:rFonts w:ascii="Arial" w:cs="Arial" w:eastAsia="Arial" w:hAnsi="Arial"/>
                <w:sz w:val="18"/>
                <w:szCs w:val="18"/>
                <w:color w:val="auto"/>
                <w:w w:val="89"/>
              </w:rPr>
              <w:t>Yoon Soo (Gene) Yoon</w:t>
            </w:r>
          </w:p>
        </w:tc>
        <w:tc>
          <w:tcPr>
            <w:tcW w:w="160" w:type="dxa"/>
            <w:vAlign w:val="bottom"/>
          </w:tcPr>
          <w:p>
            <w:pPr>
              <w:spacing w:after="0"/>
              <w:rPr>
                <w:sz w:val="19"/>
                <w:szCs w:val="19"/>
                <w:color w:val="auto"/>
              </w:rPr>
            </w:pPr>
          </w:p>
        </w:tc>
        <w:tc>
          <w:tcPr>
            <w:tcW w:w="29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00"/>
        </w:trPr>
        <w:tc>
          <w:tcPr>
            <w:tcW w:w="1840" w:type="dxa"/>
            <w:vAlign w:val="bottom"/>
          </w:tcPr>
          <w:p>
            <w:pPr>
              <w:jc w:val="center"/>
              <w:spacing w:after="0"/>
              <w:rPr>
                <w:sz w:val="20"/>
                <w:szCs w:val="20"/>
                <w:color w:val="auto"/>
              </w:rPr>
            </w:pPr>
            <w:r>
              <w:rPr>
                <w:rFonts w:ascii="Arial" w:cs="Arial" w:eastAsia="Arial" w:hAnsi="Arial"/>
                <w:sz w:val="18"/>
                <w:szCs w:val="18"/>
                <w:color w:val="auto"/>
                <w:w w:val="83"/>
              </w:rPr>
              <w:t>/s/</w:t>
            </w:r>
          </w:p>
        </w:tc>
        <w:tc>
          <w:tcPr>
            <w:tcW w:w="3220" w:type="dxa"/>
            <w:vAlign w:val="bottom"/>
            <w:gridSpan w:val="3"/>
          </w:tcPr>
          <w:p>
            <w:pPr>
              <w:ind w:left="160"/>
              <w:spacing w:after="0"/>
              <w:rPr>
                <w:sz w:val="20"/>
                <w:szCs w:val="20"/>
                <w:color w:val="auto"/>
              </w:rPr>
            </w:pPr>
            <w:r>
              <w:rPr>
                <w:rFonts w:ascii="Arial" w:cs="Arial" w:eastAsia="Arial" w:hAnsi="Arial"/>
                <w:sz w:val="18"/>
                <w:szCs w:val="18"/>
                <w:color w:val="auto"/>
              </w:rPr>
              <w:t>Director</w:t>
            </w:r>
          </w:p>
        </w:tc>
        <w:tc>
          <w:tcPr>
            <w:tcW w:w="1480" w:type="dxa"/>
            <w:vAlign w:val="bottom"/>
          </w:tcPr>
          <w:p>
            <w:pPr>
              <w:jc w:val="center"/>
              <w:spacing w:after="0"/>
              <w:rPr>
                <w:sz w:val="20"/>
                <w:szCs w:val="20"/>
                <w:color w:val="auto"/>
              </w:rPr>
            </w:pPr>
            <w:r>
              <w:rPr>
                <w:rFonts w:ascii="Arial" w:cs="Arial" w:eastAsia="Arial" w:hAnsi="Arial"/>
                <w:sz w:val="18"/>
                <w:szCs w:val="18"/>
                <w:color w:val="auto"/>
                <w:w w:val="90"/>
              </w:rPr>
              <w:t>March 7, 2018</w:t>
            </w:r>
          </w:p>
        </w:tc>
        <w:tc>
          <w:tcPr>
            <w:tcW w:w="0" w:type="dxa"/>
            <w:vAlign w:val="bottom"/>
          </w:tcPr>
          <w:p>
            <w:pPr>
              <w:spacing w:after="0"/>
              <w:rPr>
                <w:sz w:val="1"/>
                <w:szCs w:val="1"/>
                <w:color w:val="auto"/>
              </w:rPr>
            </w:pPr>
          </w:p>
        </w:tc>
      </w:tr>
      <w:tr>
        <w:trPr>
          <w:trHeight w:val="218"/>
        </w:trPr>
        <w:tc>
          <w:tcPr>
            <w:tcW w:w="1840" w:type="dxa"/>
            <w:vAlign w:val="bottom"/>
            <w:tcBorders>
              <w:bottom w:val="single" w:sz="8" w:color="auto"/>
            </w:tcBorders>
          </w:tcPr>
          <w:p>
            <w:pPr>
              <w:jc w:val="center"/>
              <w:spacing w:after="0"/>
              <w:rPr>
                <w:sz w:val="20"/>
                <w:szCs w:val="20"/>
                <w:color w:val="auto"/>
              </w:rPr>
            </w:pPr>
            <w:r>
              <w:rPr>
                <w:rFonts w:ascii="Arial" w:cs="Arial" w:eastAsia="Arial" w:hAnsi="Arial"/>
                <w:sz w:val="17"/>
                <w:szCs w:val="17"/>
                <w:color w:val="auto"/>
                <w:w w:val="94"/>
              </w:rPr>
              <w:t>JENNIFER ESTABROOK</w:t>
            </w:r>
          </w:p>
        </w:tc>
        <w:tc>
          <w:tcPr>
            <w:tcW w:w="160" w:type="dxa"/>
            <w:vAlign w:val="bottom"/>
          </w:tcPr>
          <w:p>
            <w:pPr>
              <w:spacing w:after="0"/>
              <w:rPr>
                <w:sz w:val="18"/>
                <w:szCs w:val="18"/>
                <w:color w:val="auto"/>
              </w:rPr>
            </w:pPr>
          </w:p>
        </w:tc>
        <w:tc>
          <w:tcPr>
            <w:tcW w:w="29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6"/>
        </w:trPr>
        <w:tc>
          <w:tcPr>
            <w:tcW w:w="1840" w:type="dxa"/>
            <w:vAlign w:val="bottom"/>
          </w:tcPr>
          <w:p>
            <w:pPr>
              <w:jc w:val="center"/>
              <w:spacing w:after="0"/>
              <w:rPr>
                <w:sz w:val="20"/>
                <w:szCs w:val="20"/>
                <w:color w:val="auto"/>
              </w:rPr>
            </w:pPr>
            <w:r>
              <w:rPr>
                <w:rFonts w:ascii="Arial" w:cs="Arial" w:eastAsia="Arial" w:hAnsi="Arial"/>
                <w:sz w:val="18"/>
                <w:szCs w:val="18"/>
                <w:color w:val="auto"/>
                <w:w w:val="90"/>
              </w:rPr>
              <w:t>Jennifer Estabrook</w:t>
            </w:r>
          </w:p>
        </w:tc>
        <w:tc>
          <w:tcPr>
            <w:tcW w:w="160" w:type="dxa"/>
            <w:vAlign w:val="bottom"/>
          </w:tcPr>
          <w:p>
            <w:pPr>
              <w:spacing w:after="0"/>
              <w:rPr>
                <w:sz w:val="19"/>
                <w:szCs w:val="19"/>
                <w:color w:val="auto"/>
              </w:rPr>
            </w:pPr>
          </w:p>
        </w:tc>
        <w:tc>
          <w:tcPr>
            <w:tcW w:w="29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04"/>
        </w:trPr>
        <w:tc>
          <w:tcPr>
            <w:tcW w:w="1840" w:type="dxa"/>
            <w:vAlign w:val="bottom"/>
          </w:tcPr>
          <w:p>
            <w:pPr>
              <w:jc w:val="center"/>
              <w:spacing w:after="0"/>
              <w:rPr>
                <w:sz w:val="20"/>
                <w:szCs w:val="20"/>
                <w:color w:val="auto"/>
              </w:rPr>
            </w:pPr>
            <w:r>
              <w:rPr>
                <w:rFonts w:ascii="Arial" w:cs="Arial" w:eastAsia="Arial" w:hAnsi="Arial"/>
                <w:sz w:val="18"/>
                <w:szCs w:val="18"/>
                <w:color w:val="auto"/>
                <w:w w:val="93"/>
              </w:rPr>
              <w:t>/s/ GREGORY</w:t>
            </w:r>
          </w:p>
        </w:tc>
        <w:tc>
          <w:tcPr>
            <w:tcW w:w="3220" w:type="dxa"/>
            <w:vAlign w:val="bottom"/>
            <w:gridSpan w:val="3"/>
          </w:tcPr>
          <w:p>
            <w:pPr>
              <w:ind w:left="160"/>
              <w:spacing w:after="0"/>
              <w:rPr>
                <w:sz w:val="20"/>
                <w:szCs w:val="20"/>
                <w:color w:val="auto"/>
              </w:rPr>
            </w:pPr>
            <w:r>
              <w:rPr>
                <w:rFonts w:ascii="Arial" w:cs="Arial" w:eastAsia="Arial" w:hAnsi="Arial"/>
                <w:sz w:val="18"/>
                <w:szCs w:val="18"/>
                <w:color w:val="auto"/>
              </w:rPr>
              <w:t>Director</w:t>
            </w:r>
          </w:p>
        </w:tc>
        <w:tc>
          <w:tcPr>
            <w:tcW w:w="1480" w:type="dxa"/>
            <w:vAlign w:val="bottom"/>
          </w:tcPr>
          <w:p>
            <w:pPr>
              <w:jc w:val="center"/>
              <w:spacing w:after="0"/>
              <w:rPr>
                <w:sz w:val="20"/>
                <w:szCs w:val="20"/>
                <w:color w:val="auto"/>
              </w:rPr>
            </w:pPr>
            <w:r>
              <w:rPr>
                <w:rFonts w:ascii="Arial" w:cs="Arial" w:eastAsia="Arial" w:hAnsi="Arial"/>
                <w:sz w:val="18"/>
                <w:szCs w:val="18"/>
                <w:color w:val="auto"/>
                <w:w w:val="90"/>
              </w:rPr>
              <w:t>March 7, 2018</w:t>
            </w:r>
          </w:p>
        </w:tc>
        <w:tc>
          <w:tcPr>
            <w:tcW w:w="0" w:type="dxa"/>
            <w:vAlign w:val="bottom"/>
          </w:tcPr>
          <w:p>
            <w:pPr>
              <w:spacing w:after="0"/>
              <w:rPr>
                <w:sz w:val="1"/>
                <w:szCs w:val="1"/>
                <w:color w:val="auto"/>
              </w:rPr>
            </w:pPr>
          </w:p>
        </w:tc>
      </w:tr>
      <w:tr>
        <w:trPr>
          <w:trHeight w:val="230"/>
        </w:trPr>
        <w:tc>
          <w:tcPr>
            <w:tcW w:w="184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7"/>
              </w:rPr>
              <w:t>HEWETT</w:t>
            </w:r>
          </w:p>
        </w:tc>
        <w:tc>
          <w:tcPr>
            <w:tcW w:w="160" w:type="dxa"/>
            <w:vAlign w:val="bottom"/>
          </w:tcPr>
          <w:p>
            <w:pPr>
              <w:spacing w:after="0"/>
              <w:rPr>
                <w:sz w:val="20"/>
                <w:szCs w:val="20"/>
                <w:color w:val="auto"/>
              </w:rPr>
            </w:pPr>
          </w:p>
        </w:tc>
        <w:tc>
          <w:tcPr>
            <w:tcW w:w="29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1840" w:type="dxa"/>
            <w:vAlign w:val="bottom"/>
          </w:tcPr>
          <w:p>
            <w:pPr>
              <w:jc w:val="center"/>
              <w:spacing w:after="0"/>
              <w:rPr>
                <w:sz w:val="20"/>
                <w:szCs w:val="20"/>
                <w:color w:val="auto"/>
              </w:rPr>
            </w:pPr>
            <w:r>
              <w:rPr>
                <w:rFonts w:ascii="Arial" w:cs="Arial" w:eastAsia="Arial" w:hAnsi="Arial"/>
                <w:sz w:val="18"/>
                <w:szCs w:val="18"/>
                <w:color w:val="auto"/>
                <w:w w:val="91"/>
              </w:rPr>
              <w:t>Gregory Hewett</w:t>
            </w:r>
          </w:p>
        </w:tc>
        <w:tc>
          <w:tcPr>
            <w:tcW w:w="160" w:type="dxa"/>
            <w:vAlign w:val="bottom"/>
          </w:tcPr>
          <w:p>
            <w:pPr>
              <w:spacing w:after="0"/>
              <w:rPr>
                <w:sz w:val="19"/>
                <w:szCs w:val="19"/>
                <w:color w:val="auto"/>
              </w:rPr>
            </w:pPr>
          </w:p>
        </w:tc>
        <w:tc>
          <w:tcPr>
            <w:tcW w:w="29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04"/>
        </w:trPr>
        <w:tc>
          <w:tcPr>
            <w:tcW w:w="1840" w:type="dxa"/>
            <w:vAlign w:val="bottom"/>
          </w:tcPr>
          <w:p>
            <w:pPr>
              <w:jc w:val="center"/>
              <w:spacing w:after="0"/>
              <w:rPr>
                <w:sz w:val="20"/>
                <w:szCs w:val="20"/>
                <w:color w:val="auto"/>
              </w:rPr>
            </w:pPr>
            <w:r>
              <w:rPr>
                <w:rFonts w:ascii="Arial" w:cs="Arial" w:eastAsia="Arial" w:hAnsi="Arial"/>
                <w:sz w:val="18"/>
                <w:szCs w:val="18"/>
                <w:color w:val="auto"/>
                <w:w w:val="92"/>
              </w:rPr>
              <w:t>/s/ CHRISTOPHER</w:t>
            </w:r>
          </w:p>
        </w:tc>
        <w:tc>
          <w:tcPr>
            <w:tcW w:w="3220" w:type="dxa"/>
            <w:vAlign w:val="bottom"/>
            <w:gridSpan w:val="3"/>
          </w:tcPr>
          <w:p>
            <w:pPr>
              <w:ind w:left="160"/>
              <w:spacing w:after="0"/>
              <w:rPr>
                <w:sz w:val="20"/>
                <w:szCs w:val="20"/>
                <w:color w:val="auto"/>
              </w:rPr>
            </w:pPr>
            <w:r>
              <w:rPr>
                <w:rFonts w:ascii="Arial" w:cs="Arial" w:eastAsia="Arial" w:hAnsi="Arial"/>
                <w:sz w:val="18"/>
                <w:szCs w:val="18"/>
                <w:color w:val="auto"/>
              </w:rPr>
              <w:t>Director</w:t>
            </w:r>
          </w:p>
        </w:tc>
        <w:tc>
          <w:tcPr>
            <w:tcW w:w="1480" w:type="dxa"/>
            <w:vAlign w:val="bottom"/>
          </w:tcPr>
          <w:p>
            <w:pPr>
              <w:jc w:val="center"/>
              <w:spacing w:after="0"/>
              <w:rPr>
                <w:sz w:val="20"/>
                <w:szCs w:val="20"/>
                <w:color w:val="auto"/>
              </w:rPr>
            </w:pPr>
            <w:r>
              <w:rPr>
                <w:rFonts w:ascii="Arial" w:cs="Arial" w:eastAsia="Arial" w:hAnsi="Arial"/>
                <w:sz w:val="18"/>
                <w:szCs w:val="18"/>
                <w:color w:val="auto"/>
                <w:w w:val="90"/>
              </w:rPr>
              <w:t>March 7, 2018</w:t>
            </w:r>
          </w:p>
        </w:tc>
        <w:tc>
          <w:tcPr>
            <w:tcW w:w="0" w:type="dxa"/>
            <w:vAlign w:val="bottom"/>
          </w:tcPr>
          <w:p>
            <w:pPr>
              <w:spacing w:after="0"/>
              <w:rPr>
                <w:sz w:val="1"/>
                <w:szCs w:val="1"/>
                <w:color w:val="auto"/>
              </w:rPr>
            </w:pPr>
          </w:p>
        </w:tc>
      </w:tr>
      <w:tr>
        <w:trPr>
          <w:trHeight w:val="230"/>
        </w:trPr>
        <w:tc>
          <w:tcPr>
            <w:tcW w:w="184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7"/>
              </w:rPr>
              <w:t>METZ</w:t>
            </w:r>
          </w:p>
        </w:tc>
        <w:tc>
          <w:tcPr>
            <w:tcW w:w="160" w:type="dxa"/>
            <w:vAlign w:val="bottom"/>
          </w:tcPr>
          <w:p>
            <w:pPr>
              <w:spacing w:after="0"/>
              <w:rPr>
                <w:sz w:val="20"/>
                <w:szCs w:val="20"/>
                <w:color w:val="auto"/>
              </w:rPr>
            </w:pPr>
          </w:p>
        </w:tc>
        <w:tc>
          <w:tcPr>
            <w:tcW w:w="29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1840" w:type="dxa"/>
            <w:vAlign w:val="bottom"/>
          </w:tcPr>
          <w:p>
            <w:pPr>
              <w:jc w:val="center"/>
              <w:spacing w:after="0"/>
              <w:rPr>
                <w:sz w:val="20"/>
                <w:szCs w:val="20"/>
                <w:color w:val="auto"/>
              </w:rPr>
            </w:pPr>
            <w:r>
              <w:rPr>
                <w:rFonts w:ascii="Arial" w:cs="Arial" w:eastAsia="Arial" w:hAnsi="Arial"/>
                <w:sz w:val="18"/>
                <w:szCs w:val="18"/>
                <w:color w:val="auto"/>
                <w:w w:val="93"/>
              </w:rPr>
              <w:t>Christopher Metz</w:t>
            </w:r>
          </w:p>
        </w:tc>
        <w:tc>
          <w:tcPr>
            <w:tcW w:w="160" w:type="dxa"/>
            <w:vAlign w:val="bottom"/>
          </w:tcPr>
          <w:p>
            <w:pPr>
              <w:spacing w:after="0"/>
              <w:rPr>
                <w:sz w:val="19"/>
                <w:szCs w:val="19"/>
                <w:color w:val="auto"/>
              </w:rPr>
            </w:pPr>
          </w:p>
        </w:tc>
        <w:tc>
          <w:tcPr>
            <w:tcW w:w="29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18"/>
        </w:trPr>
        <w:tc>
          <w:tcPr>
            <w:tcW w:w="184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6"/>
              </w:rPr>
              <w:t>/s/ SEAN SULLIVAN</w:t>
            </w:r>
          </w:p>
        </w:tc>
        <w:tc>
          <w:tcPr>
            <w:tcW w:w="3220" w:type="dxa"/>
            <w:vAlign w:val="bottom"/>
            <w:gridSpan w:val="3"/>
          </w:tcPr>
          <w:p>
            <w:pPr>
              <w:ind w:left="160"/>
              <w:spacing w:after="0"/>
              <w:rPr>
                <w:sz w:val="20"/>
                <w:szCs w:val="20"/>
                <w:color w:val="auto"/>
              </w:rPr>
            </w:pPr>
            <w:r>
              <w:rPr>
                <w:rFonts w:ascii="Arial" w:cs="Arial" w:eastAsia="Arial" w:hAnsi="Arial"/>
                <w:sz w:val="18"/>
                <w:szCs w:val="18"/>
                <w:color w:val="auto"/>
              </w:rPr>
              <w:t>Director</w:t>
            </w:r>
          </w:p>
        </w:tc>
        <w:tc>
          <w:tcPr>
            <w:tcW w:w="1480" w:type="dxa"/>
            <w:vAlign w:val="bottom"/>
          </w:tcPr>
          <w:p>
            <w:pPr>
              <w:jc w:val="center"/>
              <w:spacing w:after="0"/>
              <w:rPr>
                <w:sz w:val="20"/>
                <w:szCs w:val="20"/>
                <w:color w:val="auto"/>
              </w:rPr>
            </w:pPr>
            <w:r>
              <w:rPr>
                <w:rFonts w:ascii="Arial" w:cs="Arial" w:eastAsia="Arial" w:hAnsi="Arial"/>
                <w:sz w:val="18"/>
                <w:szCs w:val="18"/>
                <w:color w:val="auto"/>
                <w:w w:val="90"/>
              </w:rPr>
              <w:t>March 7, 2018</w:t>
            </w:r>
          </w:p>
        </w:tc>
        <w:tc>
          <w:tcPr>
            <w:tcW w:w="0" w:type="dxa"/>
            <w:vAlign w:val="bottom"/>
          </w:tcPr>
          <w:p>
            <w:pPr>
              <w:spacing w:after="0"/>
              <w:rPr>
                <w:sz w:val="1"/>
                <w:szCs w:val="1"/>
                <w:color w:val="auto"/>
              </w:rPr>
            </w:pPr>
          </w:p>
        </w:tc>
      </w:tr>
      <w:tr>
        <w:trPr>
          <w:trHeight w:val="224"/>
        </w:trPr>
        <w:tc>
          <w:tcPr>
            <w:tcW w:w="1840" w:type="dxa"/>
            <w:vAlign w:val="bottom"/>
          </w:tcPr>
          <w:p>
            <w:pPr>
              <w:jc w:val="center"/>
              <w:spacing w:after="0"/>
              <w:rPr>
                <w:sz w:val="20"/>
                <w:szCs w:val="20"/>
                <w:color w:val="auto"/>
              </w:rPr>
            </w:pPr>
            <w:r>
              <w:rPr>
                <w:rFonts w:ascii="Arial" w:cs="Arial" w:eastAsia="Arial" w:hAnsi="Arial"/>
                <w:sz w:val="18"/>
                <w:szCs w:val="18"/>
                <w:color w:val="auto"/>
                <w:w w:val="90"/>
              </w:rPr>
              <w:t>Sean Sullivan</w:t>
            </w:r>
          </w:p>
        </w:tc>
        <w:tc>
          <w:tcPr>
            <w:tcW w:w="160" w:type="dxa"/>
            <w:vAlign w:val="bottom"/>
          </w:tcPr>
          <w:p>
            <w:pPr>
              <w:spacing w:after="0"/>
              <w:rPr>
                <w:sz w:val="19"/>
                <w:szCs w:val="19"/>
                <w:color w:val="auto"/>
              </w:rPr>
            </w:pPr>
          </w:p>
        </w:tc>
        <w:tc>
          <w:tcPr>
            <w:tcW w:w="29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18"/>
        </w:trPr>
        <w:tc>
          <w:tcPr>
            <w:tcW w:w="184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6"/>
              </w:rPr>
              <w:t>/s/ STEVEN TISHMAN</w:t>
            </w:r>
          </w:p>
        </w:tc>
        <w:tc>
          <w:tcPr>
            <w:tcW w:w="3220" w:type="dxa"/>
            <w:vAlign w:val="bottom"/>
            <w:gridSpan w:val="3"/>
          </w:tcPr>
          <w:p>
            <w:pPr>
              <w:ind w:left="160"/>
              <w:spacing w:after="0"/>
              <w:rPr>
                <w:sz w:val="20"/>
                <w:szCs w:val="20"/>
                <w:color w:val="auto"/>
              </w:rPr>
            </w:pPr>
            <w:r>
              <w:rPr>
                <w:rFonts w:ascii="Arial" w:cs="Arial" w:eastAsia="Arial" w:hAnsi="Arial"/>
                <w:sz w:val="18"/>
                <w:szCs w:val="18"/>
                <w:color w:val="auto"/>
              </w:rPr>
              <w:t>Director</w:t>
            </w:r>
          </w:p>
        </w:tc>
        <w:tc>
          <w:tcPr>
            <w:tcW w:w="1480" w:type="dxa"/>
            <w:vAlign w:val="bottom"/>
          </w:tcPr>
          <w:p>
            <w:pPr>
              <w:jc w:val="center"/>
              <w:spacing w:after="0"/>
              <w:rPr>
                <w:sz w:val="20"/>
                <w:szCs w:val="20"/>
                <w:color w:val="auto"/>
              </w:rPr>
            </w:pPr>
            <w:r>
              <w:rPr>
                <w:rFonts w:ascii="Arial" w:cs="Arial" w:eastAsia="Arial" w:hAnsi="Arial"/>
                <w:sz w:val="18"/>
                <w:szCs w:val="18"/>
                <w:color w:val="auto"/>
                <w:w w:val="90"/>
              </w:rPr>
              <w:t>March 7, 2018</w:t>
            </w:r>
          </w:p>
        </w:tc>
        <w:tc>
          <w:tcPr>
            <w:tcW w:w="0" w:type="dxa"/>
            <w:vAlign w:val="bottom"/>
          </w:tcPr>
          <w:p>
            <w:pPr>
              <w:spacing w:after="0"/>
              <w:rPr>
                <w:sz w:val="1"/>
                <w:szCs w:val="1"/>
                <w:color w:val="auto"/>
              </w:rPr>
            </w:pPr>
          </w:p>
        </w:tc>
      </w:tr>
      <w:tr>
        <w:trPr>
          <w:trHeight w:val="224"/>
        </w:trPr>
        <w:tc>
          <w:tcPr>
            <w:tcW w:w="1840" w:type="dxa"/>
            <w:vAlign w:val="bottom"/>
          </w:tcPr>
          <w:p>
            <w:pPr>
              <w:jc w:val="center"/>
              <w:spacing w:after="0"/>
              <w:rPr>
                <w:sz w:val="20"/>
                <w:szCs w:val="20"/>
                <w:color w:val="auto"/>
              </w:rPr>
            </w:pPr>
            <w:r>
              <w:rPr>
                <w:rFonts w:ascii="Arial" w:cs="Arial" w:eastAsia="Arial" w:hAnsi="Arial"/>
                <w:sz w:val="18"/>
                <w:szCs w:val="18"/>
                <w:color w:val="auto"/>
                <w:w w:val="89"/>
              </w:rPr>
              <w:t>Steven Tishman</w:t>
            </w:r>
          </w:p>
        </w:tc>
        <w:tc>
          <w:tcPr>
            <w:tcW w:w="160" w:type="dxa"/>
            <w:vAlign w:val="bottom"/>
          </w:tcPr>
          <w:p>
            <w:pPr>
              <w:spacing w:after="0"/>
              <w:rPr>
                <w:sz w:val="19"/>
                <w:szCs w:val="19"/>
                <w:color w:val="auto"/>
              </w:rPr>
            </w:pPr>
          </w:p>
        </w:tc>
        <w:tc>
          <w:tcPr>
            <w:tcW w:w="29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18"/>
        </w:trPr>
        <w:tc>
          <w:tcPr>
            <w:tcW w:w="184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7"/>
              </w:rPr>
              <w:t>/s/ WALTER UIHLEIN</w:t>
            </w:r>
          </w:p>
        </w:tc>
        <w:tc>
          <w:tcPr>
            <w:tcW w:w="3220" w:type="dxa"/>
            <w:vAlign w:val="bottom"/>
            <w:gridSpan w:val="3"/>
          </w:tcPr>
          <w:p>
            <w:pPr>
              <w:ind w:left="160"/>
              <w:spacing w:after="0"/>
              <w:rPr>
                <w:sz w:val="20"/>
                <w:szCs w:val="20"/>
                <w:color w:val="auto"/>
              </w:rPr>
            </w:pPr>
            <w:r>
              <w:rPr>
                <w:rFonts w:ascii="Arial" w:cs="Arial" w:eastAsia="Arial" w:hAnsi="Arial"/>
                <w:sz w:val="18"/>
                <w:szCs w:val="18"/>
                <w:color w:val="auto"/>
              </w:rPr>
              <w:t>Director</w:t>
            </w:r>
          </w:p>
        </w:tc>
        <w:tc>
          <w:tcPr>
            <w:tcW w:w="1480" w:type="dxa"/>
            <w:vAlign w:val="bottom"/>
          </w:tcPr>
          <w:p>
            <w:pPr>
              <w:jc w:val="center"/>
              <w:spacing w:after="0"/>
              <w:rPr>
                <w:sz w:val="20"/>
                <w:szCs w:val="20"/>
                <w:color w:val="auto"/>
              </w:rPr>
            </w:pPr>
            <w:r>
              <w:rPr>
                <w:rFonts w:ascii="Arial" w:cs="Arial" w:eastAsia="Arial" w:hAnsi="Arial"/>
                <w:sz w:val="18"/>
                <w:szCs w:val="18"/>
                <w:color w:val="auto"/>
                <w:w w:val="90"/>
              </w:rPr>
              <w:t>March 7, 2018</w:t>
            </w:r>
          </w:p>
        </w:tc>
        <w:tc>
          <w:tcPr>
            <w:tcW w:w="0" w:type="dxa"/>
            <w:vAlign w:val="bottom"/>
          </w:tcPr>
          <w:p>
            <w:pPr>
              <w:spacing w:after="0"/>
              <w:rPr>
                <w:sz w:val="1"/>
                <w:szCs w:val="1"/>
                <w:color w:val="auto"/>
              </w:rPr>
            </w:pPr>
          </w:p>
        </w:tc>
      </w:tr>
      <w:tr>
        <w:trPr>
          <w:trHeight w:val="224"/>
        </w:trPr>
        <w:tc>
          <w:tcPr>
            <w:tcW w:w="1840" w:type="dxa"/>
            <w:vAlign w:val="bottom"/>
          </w:tcPr>
          <w:p>
            <w:pPr>
              <w:jc w:val="center"/>
              <w:spacing w:after="0"/>
              <w:rPr>
                <w:sz w:val="20"/>
                <w:szCs w:val="20"/>
                <w:color w:val="auto"/>
              </w:rPr>
            </w:pPr>
            <w:r>
              <w:rPr>
                <w:rFonts w:ascii="Arial" w:cs="Arial" w:eastAsia="Arial" w:hAnsi="Arial"/>
                <w:sz w:val="18"/>
                <w:szCs w:val="18"/>
                <w:color w:val="auto"/>
                <w:w w:val="94"/>
              </w:rPr>
              <w:t>Walter Uihlein</w:t>
            </w:r>
          </w:p>
        </w:tc>
        <w:tc>
          <w:tcPr>
            <w:tcW w:w="160" w:type="dxa"/>
            <w:vAlign w:val="bottom"/>
          </w:tcPr>
          <w:p>
            <w:pPr>
              <w:spacing w:after="0"/>
              <w:rPr>
                <w:sz w:val="19"/>
                <w:szCs w:val="19"/>
                <w:color w:val="auto"/>
              </w:rPr>
            </w:pPr>
          </w:p>
        </w:tc>
        <w:tc>
          <w:tcPr>
            <w:tcW w:w="29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18"/>
        </w:trPr>
        <w:tc>
          <w:tcPr>
            <w:tcW w:w="184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6"/>
              </w:rPr>
              <w:t>/s/ DAVID VALCOURT</w:t>
            </w:r>
          </w:p>
        </w:tc>
        <w:tc>
          <w:tcPr>
            <w:tcW w:w="3220" w:type="dxa"/>
            <w:vAlign w:val="bottom"/>
            <w:gridSpan w:val="3"/>
          </w:tcPr>
          <w:p>
            <w:pPr>
              <w:ind w:left="160"/>
              <w:spacing w:after="0"/>
              <w:rPr>
                <w:sz w:val="20"/>
                <w:szCs w:val="20"/>
                <w:color w:val="auto"/>
              </w:rPr>
            </w:pPr>
            <w:r>
              <w:rPr>
                <w:rFonts w:ascii="Arial" w:cs="Arial" w:eastAsia="Arial" w:hAnsi="Arial"/>
                <w:sz w:val="18"/>
                <w:szCs w:val="18"/>
                <w:color w:val="auto"/>
              </w:rPr>
              <w:t>Director</w:t>
            </w:r>
          </w:p>
        </w:tc>
        <w:tc>
          <w:tcPr>
            <w:tcW w:w="1480" w:type="dxa"/>
            <w:vAlign w:val="bottom"/>
          </w:tcPr>
          <w:p>
            <w:pPr>
              <w:jc w:val="center"/>
              <w:spacing w:after="0"/>
              <w:rPr>
                <w:sz w:val="20"/>
                <w:szCs w:val="20"/>
                <w:color w:val="auto"/>
              </w:rPr>
            </w:pPr>
            <w:r>
              <w:rPr>
                <w:rFonts w:ascii="Arial" w:cs="Arial" w:eastAsia="Arial" w:hAnsi="Arial"/>
                <w:sz w:val="18"/>
                <w:szCs w:val="18"/>
                <w:color w:val="auto"/>
                <w:w w:val="90"/>
              </w:rPr>
              <w:t>March 7, 2018</w:t>
            </w:r>
          </w:p>
        </w:tc>
        <w:tc>
          <w:tcPr>
            <w:tcW w:w="0" w:type="dxa"/>
            <w:vAlign w:val="bottom"/>
          </w:tcPr>
          <w:p>
            <w:pPr>
              <w:spacing w:after="0"/>
              <w:rPr>
                <w:sz w:val="1"/>
                <w:szCs w:val="1"/>
                <w:color w:val="auto"/>
              </w:rPr>
            </w:pPr>
          </w:p>
        </w:tc>
      </w:tr>
      <w:tr>
        <w:trPr>
          <w:trHeight w:val="224"/>
        </w:trPr>
        <w:tc>
          <w:tcPr>
            <w:tcW w:w="1840" w:type="dxa"/>
            <w:vAlign w:val="bottom"/>
          </w:tcPr>
          <w:p>
            <w:pPr>
              <w:jc w:val="center"/>
              <w:spacing w:after="0"/>
              <w:rPr>
                <w:sz w:val="20"/>
                <w:szCs w:val="20"/>
                <w:color w:val="auto"/>
              </w:rPr>
            </w:pPr>
            <w:r>
              <w:rPr>
                <w:rFonts w:ascii="Arial" w:cs="Arial" w:eastAsia="Arial" w:hAnsi="Arial"/>
                <w:sz w:val="18"/>
                <w:szCs w:val="18"/>
                <w:color w:val="auto"/>
                <w:w w:val="92"/>
              </w:rPr>
              <w:t>David Valcourt</w:t>
            </w:r>
          </w:p>
        </w:tc>
        <w:tc>
          <w:tcPr>
            <w:tcW w:w="160" w:type="dxa"/>
            <w:vAlign w:val="bottom"/>
          </w:tcPr>
          <w:p>
            <w:pPr>
              <w:spacing w:after="0"/>
              <w:rPr>
                <w:sz w:val="19"/>
                <w:szCs w:val="19"/>
                <w:color w:val="auto"/>
              </w:rPr>
            </w:pPr>
          </w:p>
        </w:tc>
        <w:tc>
          <w:tcPr>
            <w:tcW w:w="29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18"/>
        </w:trPr>
        <w:tc>
          <w:tcPr>
            <w:tcW w:w="184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7"/>
              </w:rPr>
              <w:t>/s/ NORMAN WESLEY</w:t>
            </w:r>
          </w:p>
        </w:tc>
        <w:tc>
          <w:tcPr>
            <w:tcW w:w="3220" w:type="dxa"/>
            <w:vAlign w:val="bottom"/>
            <w:gridSpan w:val="3"/>
          </w:tcPr>
          <w:p>
            <w:pPr>
              <w:ind w:left="160"/>
              <w:spacing w:after="0"/>
              <w:rPr>
                <w:sz w:val="20"/>
                <w:szCs w:val="20"/>
                <w:color w:val="auto"/>
              </w:rPr>
            </w:pPr>
            <w:r>
              <w:rPr>
                <w:rFonts w:ascii="Arial" w:cs="Arial" w:eastAsia="Arial" w:hAnsi="Arial"/>
                <w:sz w:val="18"/>
                <w:szCs w:val="18"/>
                <w:color w:val="auto"/>
              </w:rPr>
              <w:t>Director</w:t>
            </w:r>
          </w:p>
        </w:tc>
        <w:tc>
          <w:tcPr>
            <w:tcW w:w="1480" w:type="dxa"/>
            <w:vAlign w:val="bottom"/>
          </w:tcPr>
          <w:p>
            <w:pPr>
              <w:jc w:val="center"/>
              <w:spacing w:after="0"/>
              <w:rPr>
                <w:sz w:val="20"/>
                <w:szCs w:val="20"/>
                <w:color w:val="auto"/>
              </w:rPr>
            </w:pPr>
            <w:r>
              <w:rPr>
                <w:rFonts w:ascii="Arial" w:cs="Arial" w:eastAsia="Arial" w:hAnsi="Arial"/>
                <w:sz w:val="18"/>
                <w:szCs w:val="18"/>
                <w:color w:val="auto"/>
                <w:w w:val="90"/>
              </w:rPr>
              <w:t>March 7, 2018</w:t>
            </w:r>
          </w:p>
        </w:tc>
        <w:tc>
          <w:tcPr>
            <w:tcW w:w="0" w:type="dxa"/>
            <w:vAlign w:val="bottom"/>
          </w:tcPr>
          <w:p>
            <w:pPr>
              <w:spacing w:after="0"/>
              <w:rPr>
                <w:sz w:val="1"/>
                <w:szCs w:val="1"/>
                <w:color w:val="auto"/>
              </w:rPr>
            </w:pPr>
          </w:p>
        </w:tc>
      </w:tr>
      <w:tr>
        <w:trPr>
          <w:trHeight w:val="224"/>
        </w:trPr>
        <w:tc>
          <w:tcPr>
            <w:tcW w:w="1840" w:type="dxa"/>
            <w:vAlign w:val="bottom"/>
          </w:tcPr>
          <w:p>
            <w:pPr>
              <w:jc w:val="center"/>
              <w:spacing w:after="0"/>
              <w:rPr>
                <w:sz w:val="20"/>
                <w:szCs w:val="20"/>
                <w:color w:val="auto"/>
              </w:rPr>
            </w:pPr>
            <w:r>
              <w:rPr>
                <w:rFonts w:ascii="Arial" w:cs="Arial" w:eastAsia="Arial" w:hAnsi="Arial"/>
                <w:sz w:val="18"/>
                <w:szCs w:val="18"/>
                <w:color w:val="auto"/>
                <w:w w:val="90"/>
              </w:rPr>
              <w:t>Norman Wesley</w:t>
            </w:r>
          </w:p>
        </w:tc>
        <w:tc>
          <w:tcPr>
            <w:tcW w:w="160" w:type="dxa"/>
            <w:vAlign w:val="bottom"/>
          </w:tcPr>
          <w:p>
            <w:pPr>
              <w:spacing w:after="0"/>
              <w:rPr>
                <w:sz w:val="19"/>
                <w:szCs w:val="19"/>
                <w:color w:val="auto"/>
              </w:rPr>
            </w:pPr>
          </w:p>
        </w:tc>
        <w:tc>
          <w:tcPr>
            <w:tcW w:w="29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681"/>
        </w:trPr>
        <w:tc>
          <w:tcPr>
            <w:tcW w:w="184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29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019"/>
          </w:cols>
          <w:pgMar w:left="1440" w:top="122" w:right="1440" w:bottom="1440" w:gutter="0" w:footer="0" w:header="0"/>
        </w:sectPr>
      </w:pPr>
    </w:p>
    <w:bookmarkStart w:id="168" w:name="page169"/>
    <w:bookmarkEnd w:id="168"/>
    <w:p>
      <w:pPr>
        <w:jc w:val="right"/>
        <w:ind w:right="1219"/>
        <w:spacing w:after="0"/>
        <w:rPr>
          <w:sz w:val="20"/>
          <w:szCs w:val="20"/>
          <w:color w:val="auto"/>
        </w:rPr>
      </w:pPr>
      <w:r>
        <w:rPr>
          <w:rFonts w:ascii="Arial" w:cs="Arial" w:eastAsia="Arial" w:hAnsi="Arial"/>
          <w:sz w:val="18"/>
          <w:szCs w:val="18"/>
          <w:b w:val="1"/>
          <w:bCs w:val="1"/>
          <w:color w:val="auto"/>
        </w:rPr>
        <w:t>Exhibit 31.1</w:t>
      </w:r>
    </w:p>
    <w:p>
      <w:pPr>
        <w:spacing w:after="0" w:line="144"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CERTIFICATIONS</w:t>
      </w:r>
    </w:p>
    <w:p>
      <w:pPr>
        <w:spacing w:after="0" w:line="162" w:lineRule="exact"/>
        <w:rPr>
          <w:sz w:val="20"/>
          <w:szCs w:val="20"/>
          <w:color w:val="auto"/>
        </w:rPr>
      </w:pPr>
    </w:p>
    <w:p>
      <w:pPr>
        <w:ind w:left="1240"/>
        <w:spacing w:after="0"/>
        <w:rPr>
          <w:sz w:val="20"/>
          <w:szCs w:val="20"/>
          <w:color w:val="auto"/>
        </w:rPr>
      </w:pPr>
      <w:r>
        <w:rPr>
          <w:rFonts w:ascii="Arial" w:cs="Arial" w:eastAsia="Arial" w:hAnsi="Arial"/>
          <w:sz w:val="18"/>
          <w:szCs w:val="18"/>
          <w:color w:val="auto"/>
        </w:rPr>
        <w:t>I, David Maher, certify that:</w:t>
      </w:r>
    </w:p>
    <w:p>
      <w:pPr>
        <w:spacing w:after="0" w:line="144" w:lineRule="exact"/>
        <w:rPr>
          <w:sz w:val="20"/>
          <w:szCs w:val="20"/>
          <w:color w:val="auto"/>
        </w:rPr>
      </w:pPr>
    </w:p>
    <w:p>
      <w:pPr>
        <w:ind w:left="1880" w:hanging="323"/>
        <w:spacing w:after="0" w:line="196" w:lineRule="exact"/>
        <w:tabs>
          <w:tab w:leader="none" w:pos="1880" w:val="left"/>
        </w:tabs>
        <w:numPr>
          <w:ilvl w:val="0"/>
          <w:numId w:val="93"/>
        </w:numPr>
        <w:rPr>
          <w:rFonts w:ascii="Arial" w:cs="Arial" w:eastAsia="Arial" w:hAnsi="Arial"/>
          <w:sz w:val="17"/>
          <w:szCs w:val="17"/>
          <w:color w:val="010000"/>
        </w:rPr>
      </w:pPr>
      <w:r>
        <w:rPr>
          <w:rFonts w:ascii="Arial" w:cs="Arial" w:eastAsia="Arial" w:hAnsi="Arial"/>
          <w:sz w:val="17"/>
          <w:szCs w:val="17"/>
          <w:color w:val="auto"/>
        </w:rPr>
        <w:t>I have reviewed this Annual Report on Form 10</w:t>
      </w:r>
      <w:r>
        <w:rPr>
          <w:rFonts w:ascii="MS PGothic" w:cs="MS PGothic" w:eastAsia="MS PGothic" w:hAnsi="MS PGothic"/>
          <w:sz w:val="17"/>
          <w:szCs w:val="17"/>
          <w:color w:val="auto"/>
        </w:rPr>
        <w:t>‑</w:t>
      </w:r>
      <w:r>
        <w:rPr>
          <w:rFonts w:ascii="Arial" w:cs="Arial" w:eastAsia="Arial" w:hAnsi="Arial"/>
          <w:sz w:val="17"/>
          <w:szCs w:val="17"/>
          <w:color w:val="auto"/>
        </w:rPr>
        <w:t>K of Acushnet Holdings Corp.;</w:t>
      </w:r>
    </w:p>
    <w:p>
      <w:pPr>
        <w:spacing w:after="0" w:line="155" w:lineRule="exact"/>
        <w:rPr>
          <w:rFonts w:ascii="Arial" w:cs="Arial" w:eastAsia="Arial" w:hAnsi="Arial"/>
          <w:sz w:val="17"/>
          <w:szCs w:val="17"/>
          <w:color w:val="010000"/>
        </w:rPr>
      </w:pPr>
    </w:p>
    <w:p>
      <w:pPr>
        <w:ind w:left="1880" w:right="1359" w:hanging="323"/>
        <w:spacing w:after="0" w:line="232" w:lineRule="auto"/>
        <w:tabs>
          <w:tab w:leader="none" w:pos="1880" w:val="left"/>
        </w:tabs>
        <w:numPr>
          <w:ilvl w:val="0"/>
          <w:numId w:val="93"/>
        </w:numPr>
        <w:rPr>
          <w:rFonts w:ascii="Arial" w:cs="Arial" w:eastAsia="Arial" w:hAnsi="Arial"/>
          <w:sz w:val="17"/>
          <w:szCs w:val="17"/>
          <w:color w:val="010000"/>
        </w:rPr>
      </w:pPr>
      <w:r>
        <w:rPr>
          <w:rFonts w:ascii="Arial" w:cs="Arial" w:eastAsia="Arial" w:hAnsi="Arial"/>
          <w:sz w:val="17"/>
          <w:szCs w:val="17"/>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2" w:lineRule="exact"/>
        <w:rPr>
          <w:rFonts w:ascii="Arial" w:cs="Arial" w:eastAsia="Arial" w:hAnsi="Arial"/>
          <w:sz w:val="17"/>
          <w:szCs w:val="17"/>
          <w:color w:val="010000"/>
        </w:rPr>
      </w:pPr>
    </w:p>
    <w:p>
      <w:pPr>
        <w:ind w:left="1880" w:right="1239" w:hanging="323"/>
        <w:spacing w:after="0" w:line="219" w:lineRule="auto"/>
        <w:tabs>
          <w:tab w:leader="none" w:pos="1880" w:val="left"/>
        </w:tabs>
        <w:numPr>
          <w:ilvl w:val="0"/>
          <w:numId w:val="93"/>
        </w:numPr>
        <w:rPr>
          <w:rFonts w:ascii="Arial" w:cs="Arial" w:eastAsia="Arial" w:hAnsi="Arial"/>
          <w:sz w:val="18"/>
          <w:szCs w:val="18"/>
          <w:color w:val="010000"/>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22" w:lineRule="exact"/>
        <w:rPr>
          <w:rFonts w:ascii="Arial" w:cs="Arial" w:eastAsia="Arial" w:hAnsi="Arial"/>
          <w:sz w:val="18"/>
          <w:szCs w:val="18"/>
          <w:color w:val="010000"/>
        </w:rPr>
      </w:pPr>
    </w:p>
    <w:p>
      <w:pPr>
        <w:ind w:left="1880" w:right="1359" w:hanging="323"/>
        <w:spacing w:after="0" w:line="194" w:lineRule="exact"/>
        <w:tabs>
          <w:tab w:leader="none" w:pos="1880" w:val="left"/>
        </w:tabs>
        <w:numPr>
          <w:ilvl w:val="0"/>
          <w:numId w:val="93"/>
        </w:numPr>
        <w:rPr>
          <w:rFonts w:ascii="Arial" w:cs="Arial" w:eastAsia="Arial" w:hAnsi="Arial"/>
          <w:sz w:val="17"/>
          <w:szCs w:val="17"/>
          <w:color w:val="010000"/>
        </w:rPr>
      </w:pPr>
      <w:r>
        <w:rPr>
          <w:rFonts w:ascii="Arial" w:cs="Arial" w:eastAsia="Arial" w:hAnsi="Arial"/>
          <w:sz w:val="17"/>
          <w:szCs w:val="17"/>
          <w:color w:val="auto"/>
        </w:rPr>
        <w:t>The registrant’s other certifying officer(s) and I are responsible for establishing and maintaining disclosure controls and procedures (as defined in Exchange Act Rules 13a</w:t>
      </w:r>
      <w:r>
        <w:rPr>
          <w:rFonts w:ascii="MS PGothic" w:cs="MS PGothic" w:eastAsia="MS PGothic" w:hAnsi="MS PGothic"/>
          <w:sz w:val="17"/>
          <w:szCs w:val="17"/>
          <w:color w:val="auto"/>
        </w:rPr>
        <w:t>‑</w:t>
      </w:r>
      <w:r>
        <w:rPr>
          <w:rFonts w:ascii="Arial" w:cs="Arial" w:eastAsia="Arial" w:hAnsi="Arial"/>
          <w:sz w:val="17"/>
          <w:szCs w:val="17"/>
          <w:color w:val="auto"/>
        </w:rPr>
        <w:t>15(f) and 15d</w:t>
      </w:r>
      <w:r>
        <w:rPr>
          <w:rFonts w:ascii="MS PGothic" w:cs="MS PGothic" w:eastAsia="MS PGothic" w:hAnsi="MS PGothic"/>
          <w:sz w:val="17"/>
          <w:szCs w:val="17"/>
          <w:color w:val="auto"/>
        </w:rPr>
        <w:t>‑</w:t>
      </w:r>
      <w:r>
        <w:rPr>
          <w:rFonts w:ascii="Arial" w:cs="Arial" w:eastAsia="Arial" w:hAnsi="Arial"/>
          <w:sz w:val="17"/>
          <w:szCs w:val="17"/>
          <w:color w:val="auto"/>
        </w:rPr>
        <w:t>15(f)) for the registrant and have:</w:t>
      </w:r>
    </w:p>
    <w:p>
      <w:pPr>
        <w:spacing w:after="0" w:line="120" w:lineRule="exact"/>
        <w:rPr>
          <w:rFonts w:ascii="Arial" w:cs="Arial" w:eastAsia="Arial" w:hAnsi="Arial"/>
          <w:sz w:val="17"/>
          <w:szCs w:val="17"/>
          <w:color w:val="010000"/>
        </w:rPr>
      </w:pPr>
    </w:p>
    <w:p>
      <w:pPr>
        <w:ind w:left="2520" w:right="1239" w:hanging="315"/>
        <w:spacing w:after="0" w:line="214" w:lineRule="auto"/>
        <w:tabs>
          <w:tab w:leader="none" w:pos="2520" w:val="left"/>
        </w:tabs>
        <w:numPr>
          <w:ilvl w:val="1"/>
          <w:numId w:val="93"/>
        </w:numPr>
        <w:rPr>
          <w:rFonts w:ascii="Arial" w:cs="Arial" w:eastAsia="Arial" w:hAnsi="Arial"/>
          <w:sz w:val="18"/>
          <w:szCs w:val="18"/>
          <w:color w:val="010000"/>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21" w:lineRule="exact"/>
        <w:rPr>
          <w:rFonts w:ascii="Arial" w:cs="Arial" w:eastAsia="Arial" w:hAnsi="Arial"/>
          <w:sz w:val="18"/>
          <w:szCs w:val="18"/>
          <w:color w:val="010000"/>
        </w:rPr>
      </w:pPr>
    </w:p>
    <w:p>
      <w:pPr>
        <w:ind w:left="2520" w:right="1339" w:hanging="315"/>
        <w:spacing w:after="0" w:line="214" w:lineRule="auto"/>
        <w:tabs>
          <w:tab w:leader="none" w:pos="2520" w:val="left"/>
        </w:tabs>
        <w:numPr>
          <w:ilvl w:val="1"/>
          <w:numId w:val="93"/>
        </w:numPr>
        <w:rPr>
          <w:rFonts w:ascii="Arial" w:cs="Arial" w:eastAsia="Arial" w:hAnsi="Arial"/>
          <w:sz w:val="18"/>
          <w:szCs w:val="18"/>
          <w:color w:val="010000"/>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21" w:lineRule="exact"/>
        <w:rPr>
          <w:rFonts w:ascii="Arial" w:cs="Arial" w:eastAsia="Arial" w:hAnsi="Arial"/>
          <w:sz w:val="18"/>
          <w:szCs w:val="18"/>
          <w:color w:val="010000"/>
        </w:rPr>
      </w:pPr>
    </w:p>
    <w:p>
      <w:pPr>
        <w:ind w:left="2520" w:right="1359" w:hanging="315"/>
        <w:spacing w:after="0" w:line="249" w:lineRule="auto"/>
        <w:tabs>
          <w:tab w:leader="none" w:pos="2520" w:val="left"/>
        </w:tabs>
        <w:numPr>
          <w:ilvl w:val="1"/>
          <w:numId w:val="93"/>
        </w:numPr>
        <w:rPr>
          <w:rFonts w:ascii="Arial" w:cs="Arial" w:eastAsia="Arial" w:hAnsi="Arial"/>
          <w:sz w:val="16"/>
          <w:szCs w:val="16"/>
          <w:color w:val="010000"/>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14" w:lineRule="exact"/>
        <w:rPr>
          <w:rFonts w:ascii="Arial" w:cs="Arial" w:eastAsia="Arial" w:hAnsi="Arial"/>
          <w:sz w:val="16"/>
          <w:szCs w:val="16"/>
          <w:color w:val="010000"/>
        </w:rPr>
      </w:pPr>
    </w:p>
    <w:p>
      <w:pPr>
        <w:ind w:left="2520" w:right="1299" w:hanging="315"/>
        <w:spacing w:after="0" w:line="214" w:lineRule="auto"/>
        <w:tabs>
          <w:tab w:leader="none" w:pos="2520" w:val="left"/>
        </w:tabs>
        <w:numPr>
          <w:ilvl w:val="1"/>
          <w:numId w:val="93"/>
        </w:numPr>
        <w:rPr>
          <w:rFonts w:ascii="Arial" w:cs="Arial" w:eastAsia="Arial" w:hAnsi="Arial"/>
          <w:sz w:val="18"/>
          <w:szCs w:val="18"/>
          <w:color w:val="010000"/>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21" w:lineRule="exact"/>
        <w:rPr>
          <w:rFonts w:ascii="Arial" w:cs="Arial" w:eastAsia="Arial" w:hAnsi="Arial"/>
          <w:sz w:val="18"/>
          <w:szCs w:val="18"/>
          <w:color w:val="010000"/>
        </w:rPr>
      </w:pPr>
    </w:p>
    <w:p>
      <w:pPr>
        <w:ind w:left="1880" w:right="1299" w:hanging="323"/>
        <w:spacing w:after="0" w:line="219" w:lineRule="auto"/>
        <w:tabs>
          <w:tab w:leader="none" w:pos="1880" w:val="left"/>
        </w:tabs>
        <w:numPr>
          <w:ilvl w:val="0"/>
          <w:numId w:val="93"/>
        </w:numPr>
        <w:rPr>
          <w:rFonts w:ascii="Arial" w:cs="Arial" w:eastAsia="Arial" w:hAnsi="Arial"/>
          <w:sz w:val="18"/>
          <w:szCs w:val="18"/>
          <w:color w:val="010000"/>
        </w:rPr>
      </w:pPr>
      <w:r>
        <w:rPr>
          <w:rFonts w:ascii="Arial" w:cs="Arial" w:eastAsia="Arial" w:hAnsi="Arial"/>
          <w:sz w:val="18"/>
          <w:szCs w:val="18"/>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22" w:lineRule="exact"/>
        <w:rPr>
          <w:rFonts w:ascii="Arial" w:cs="Arial" w:eastAsia="Arial" w:hAnsi="Arial"/>
          <w:sz w:val="18"/>
          <w:szCs w:val="18"/>
          <w:color w:val="010000"/>
        </w:rPr>
      </w:pPr>
    </w:p>
    <w:p>
      <w:pPr>
        <w:ind w:left="2520" w:right="1539" w:hanging="315"/>
        <w:spacing w:after="0" w:line="232" w:lineRule="auto"/>
        <w:tabs>
          <w:tab w:leader="none" w:pos="2520" w:val="left"/>
        </w:tabs>
        <w:numPr>
          <w:ilvl w:val="1"/>
          <w:numId w:val="93"/>
        </w:numPr>
        <w:rPr>
          <w:rFonts w:ascii="Arial" w:cs="Arial" w:eastAsia="Arial" w:hAnsi="Arial"/>
          <w:sz w:val="17"/>
          <w:szCs w:val="17"/>
          <w:color w:val="010000"/>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22" w:lineRule="exact"/>
        <w:rPr>
          <w:rFonts w:ascii="Arial" w:cs="Arial" w:eastAsia="Arial" w:hAnsi="Arial"/>
          <w:sz w:val="17"/>
          <w:szCs w:val="17"/>
          <w:color w:val="010000"/>
        </w:rPr>
      </w:pPr>
    </w:p>
    <w:p>
      <w:pPr>
        <w:ind w:left="2520" w:right="1279" w:hanging="315"/>
        <w:spacing w:after="0" w:line="224" w:lineRule="auto"/>
        <w:tabs>
          <w:tab w:leader="none" w:pos="2520" w:val="left"/>
        </w:tabs>
        <w:numPr>
          <w:ilvl w:val="1"/>
          <w:numId w:val="93"/>
        </w:numPr>
        <w:rPr>
          <w:rFonts w:ascii="Arial" w:cs="Arial" w:eastAsia="Arial" w:hAnsi="Arial"/>
          <w:sz w:val="18"/>
          <w:szCs w:val="18"/>
          <w:color w:val="010000"/>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23" w:lineRule="exact"/>
        <w:rPr>
          <w:sz w:val="20"/>
          <w:szCs w:val="20"/>
          <w:color w:val="auto"/>
        </w:rPr>
      </w:pPr>
    </w:p>
    <w:p>
      <w:pPr>
        <w:ind w:left="1240"/>
        <w:spacing w:after="0"/>
        <w:rPr>
          <w:sz w:val="20"/>
          <w:szCs w:val="20"/>
          <w:color w:val="auto"/>
        </w:rPr>
      </w:pPr>
      <w:r>
        <w:rPr>
          <w:rFonts w:ascii="Arial" w:cs="Arial" w:eastAsia="Arial" w:hAnsi="Arial"/>
          <w:sz w:val="18"/>
          <w:szCs w:val="18"/>
          <w:color w:val="auto"/>
        </w:rPr>
        <w:t>Date: March 7, 2018</w:t>
      </w:r>
    </w:p>
    <w:p>
      <w:pPr>
        <w:spacing w:after="0" w:line="156" w:lineRule="exact"/>
        <w:rPr>
          <w:sz w:val="20"/>
          <w:szCs w:val="20"/>
          <w:color w:val="auto"/>
        </w:rPr>
      </w:pPr>
    </w:p>
    <w:p>
      <w:pPr>
        <w:ind w:left="1240"/>
        <w:spacing w:after="0"/>
        <w:rPr>
          <w:sz w:val="20"/>
          <w:szCs w:val="20"/>
          <w:color w:val="auto"/>
        </w:rPr>
      </w:pPr>
      <w:r>
        <w:rPr>
          <w:rFonts w:ascii="Arial" w:cs="Arial" w:eastAsia="Arial" w:hAnsi="Arial"/>
          <w:sz w:val="18"/>
          <w:szCs w:val="18"/>
          <w:color w:val="auto"/>
        </w:rPr>
        <w:t>/s/ DAVID MAHER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786765</wp:posOffset>
            </wp:positionH>
            <wp:positionV relativeFrom="paragraph">
              <wp:posOffset>-635</wp:posOffset>
            </wp:positionV>
            <wp:extent cx="2084070" cy="889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02">
                      <a:extLst>
                        <a:ext uri="{28A0092B-C50C-407E-A947-70E740481C1C}"/>
                      </a:extLst>
                    </a:blip>
                    <a:srcRect/>
                    <a:stretch>
                      <a:fillRect/>
                    </a:stretch>
                  </pic:blipFill>
                  <pic:spPr bwMode="auto">
                    <a:xfrm>
                      <a:off x="0" y="0"/>
                      <a:ext cx="2084070" cy="8890"/>
                    </a:xfrm>
                    <a:prstGeom prst="rect">
                      <a:avLst/>
                    </a:prstGeom>
                    <a:noFill/>
                  </pic:spPr>
                </pic:pic>
              </a:graphicData>
            </a:graphic>
          </wp:anchor>
        </w:drawing>
      </w:r>
    </w:p>
    <w:p>
      <w:pPr>
        <w:ind w:left="1240"/>
        <w:spacing w:after="0" w:line="203" w:lineRule="auto"/>
        <w:rPr>
          <w:sz w:val="20"/>
          <w:szCs w:val="20"/>
          <w:color w:val="auto"/>
        </w:rPr>
      </w:pPr>
      <w:r>
        <w:rPr>
          <w:rFonts w:ascii="Arial" w:cs="Arial" w:eastAsia="Arial" w:hAnsi="Arial"/>
          <w:sz w:val="18"/>
          <w:szCs w:val="18"/>
          <w:color w:val="auto"/>
        </w:rPr>
        <w:t>Name: David Maher</w:t>
      </w:r>
    </w:p>
    <w:p>
      <w:pPr>
        <w:ind w:left="1240"/>
        <w:spacing w:after="0"/>
        <w:rPr>
          <w:sz w:val="20"/>
          <w:szCs w:val="20"/>
          <w:color w:val="auto"/>
        </w:rPr>
      </w:pPr>
      <w:r>
        <w:rPr>
          <w:rFonts w:ascii="Arial" w:cs="Arial" w:eastAsia="Arial" w:hAnsi="Arial"/>
          <w:sz w:val="18"/>
          <w:szCs w:val="18"/>
          <w:i w:val="1"/>
          <w:iCs w:val="1"/>
          <w:color w:val="auto"/>
        </w:rPr>
        <w:t>President and Chief Executive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786765</wp:posOffset>
            </wp:positionH>
            <wp:positionV relativeFrom="paragraph">
              <wp:posOffset>236220</wp:posOffset>
            </wp:positionV>
            <wp:extent cx="4159250" cy="26035"/>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03">
                      <a:extLst>
                        <a:ext uri="{28A0092B-C50C-407E-A947-70E740481C1C}"/>
                      </a:extLst>
                    </a:blip>
                    <a:srcRect/>
                    <a:stretch>
                      <a:fillRect/>
                    </a:stretch>
                  </pic:blipFill>
                  <pic:spPr bwMode="auto">
                    <a:xfrm>
                      <a:off x="0" y="0"/>
                      <a:ext cx="4159250" cy="26035"/>
                    </a:xfrm>
                    <a:prstGeom prst="rect">
                      <a:avLst/>
                    </a:prstGeom>
                    <a:noFill/>
                  </pic:spPr>
                </pic:pic>
              </a:graphicData>
            </a:graphic>
          </wp:anchor>
        </w:drawing>
      </w:r>
    </w:p>
    <w:p>
      <w:pPr>
        <w:sectPr>
          <w:pgSz w:w="11900" w:h="16838" w:orient="portrait"/>
          <w:cols w:equalWidth="0" w:num="1">
            <w:col w:w="9019"/>
          </w:cols>
          <w:pgMar w:left="1440" w:top="108" w:right="1440" w:bottom="1440" w:gutter="0" w:footer="0" w:header="0"/>
        </w:sectPr>
      </w:pPr>
    </w:p>
    <w:bookmarkStart w:id="169" w:name="page170"/>
    <w:bookmarkEnd w:id="169"/>
    <w:p>
      <w:pPr>
        <w:jc w:val="right"/>
        <w:ind w:right="1219"/>
        <w:spacing w:after="0"/>
        <w:rPr>
          <w:sz w:val="20"/>
          <w:szCs w:val="20"/>
          <w:color w:val="auto"/>
        </w:rPr>
      </w:pPr>
      <w:r>
        <w:rPr>
          <w:rFonts w:ascii="Arial" w:cs="Arial" w:eastAsia="Arial" w:hAnsi="Arial"/>
          <w:sz w:val="18"/>
          <w:szCs w:val="18"/>
          <w:b w:val="1"/>
          <w:bCs w:val="1"/>
          <w:color w:val="auto"/>
        </w:rPr>
        <w:t>Exhibit 31.2</w:t>
      </w:r>
    </w:p>
    <w:p>
      <w:pPr>
        <w:spacing w:after="0" w:line="144"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CERTIFICATIONS</w:t>
      </w:r>
    </w:p>
    <w:p>
      <w:pPr>
        <w:spacing w:after="0" w:line="162" w:lineRule="exact"/>
        <w:rPr>
          <w:sz w:val="20"/>
          <w:szCs w:val="20"/>
          <w:color w:val="auto"/>
        </w:rPr>
      </w:pPr>
    </w:p>
    <w:p>
      <w:pPr>
        <w:ind w:left="1240"/>
        <w:spacing w:after="0"/>
        <w:rPr>
          <w:sz w:val="20"/>
          <w:szCs w:val="20"/>
          <w:color w:val="auto"/>
        </w:rPr>
      </w:pPr>
      <w:r>
        <w:rPr>
          <w:rFonts w:ascii="Arial" w:cs="Arial" w:eastAsia="Arial" w:hAnsi="Arial"/>
          <w:sz w:val="18"/>
          <w:szCs w:val="18"/>
          <w:color w:val="auto"/>
        </w:rPr>
        <w:t>I, William Burke, certify that:</w:t>
      </w:r>
    </w:p>
    <w:p>
      <w:pPr>
        <w:spacing w:after="0" w:line="144" w:lineRule="exact"/>
        <w:rPr>
          <w:sz w:val="20"/>
          <w:szCs w:val="20"/>
          <w:color w:val="auto"/>
        </w:rPr>
      </w:pPr>
    </w:p>
    <w:p>
      <w:pPr>
        <w:ind w:left="1880" w:hanging="323"/>
        <w:spacing w:after="0" w:line="196" w:lineRule="exact"/>
        <w:tabs>
          <w:tab w:leader="none" w:pos="1880" w:val="left"/>
        </w:tabs>
        <w:numPr>
          <w:ilvl w:val="0"/>
          <w:numId w:val="94"/>
        </w:numPr>
        <w:rPr>
          <w:rFonts w:ascii="Arial" w:cs="Arial" w:eastAsia="Arial" w:hAnsi="Arial"/>
          <w:sz w:val="17"/>
          <w:szCs w:val="17"/>
          <w:color w:val="010000"/>
        </w:rPr>
      </w:pPr>
      <w:r>
        <w:rPr>
          <w:rFonts w:ascii="Arial" w:cs="Arial" w:eastAsia="Arial" w:hAnsi="Arial"/>
          <w:sz w:val="17"/>
          <w:szCs w:val="17"/>
          <w:color w:val="auto"/>
        </w:rPr>
        <w:t>I have reviewed this Annual Report on Form 10</w:t>
      </w:r>
      <w:r>
        <w:rPr>
          <w:rFonts w:ascii="MS PGothic" w:cs="MS PGothic" w:eastAsia="MS PGothic" w:hAnsi="MS PGothic"/>
          <w:sz w:val="17"/>
          <w:szCs w:val="17"/>
          <w:color w:val="auto"/>
        </w:rPr>
        <w:t>‑</w:t>
      </w:r>
      <w:r>
        <w:rPr>
          <w:rFonts w:ascii="Arial" w:cs="Arial" w:eastAsia="Arial" w:hAnsi="Arial"/>
          <w:sz w:val="17"/>
          <w:szCs w:val="17"/>
          <w:color w:val="auto"/>
        </w:rPr>
        <w:t>K of Acushnet Holdings Corp.;</w:t>
      </w:r>
    </w:p>
    <w:p>
      <w:pPr>
        <w:spacing w:after="0" w:line="155" w:lineRule="exact"/>
        <w:rPr>
          <w:rFonts w:ascii="Arial" w:cs="Arial" w:eastAsia="Arial" w:hAnsi="Arial"/>
          <w:sz w:val="17"/>
          <w:szCs w:val="17"/>
          <w:color w:val="010000"/>
        </w:rPr>
      </w:pPr>
    </w:p>
    <w:p>
      <w:pPr>
        <w:ind w:left="1880" w:right="1359" w:hanging="323"/>
        <w:spacing w:after="0" w:line="232" w:lineRule="auto"/>
        <w:tabs>
          <w:tab w:leader="none" w:pos="1880" w:val="left"/>
        </w:tabs>
        <w:numPr>
          <w:ilvl w:val="0"/>
          <w:numId w:val="94"/>
        </w:numPr>
        <w:rPr>
          <w:rFonts w:ascii="Arial" w:cs="Arial" w:eastAsia="Arial" w:hAnsi="Arial"/>
          <w:sz w:val="17"/>
          <w:szCs w:val="17"/>
          <w:color w:val="010000"/>
        </w:rPr>
      </w:pPr>
      <w:r>
        <w:rPr>
          <w:rFonts w:ascii="Arial" w:cs="Arial" w:eastAsia="Arial" w:hAnsi="Arial"/>
          <w:sz w:val="17"/>
          <w:szCs w:val="17"/>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2" w:lineRule="exact"/>
        <w:rPr>
          <w:rFonts w:ascii="Arial" w:cs="Arial" w:eastAsia="Arial" w:hAnsi="Arial"/>
          <w:sz w:val="17"/>
          <w:szCs w:val="17"/>
          <w:color w:val="010000"/>
        </w:rPr>
      </w:pPr>
    </w:p>
    <w:p>
      <w:pPr>
        <w:ind w:left="1880" w:right="1239" w:hanging="323"/>
        <w:spacing w:after="0" w:line="219" w:lineRule="auto"/>
        <w:tabs>
          <w:tab w:leader="none" w:pos="1880" w:val="left"/>
        </w:tabs>
        <w:numPr>
          <w:ilvl w:val="0"/>
          <w:numId w:val="94"/>
        </w:numPr>
        <w:rPr>
          <w:rFonts w:ascii="Arial" w:cs="Arial" w:eastAsia="Arial" w:hAnsi="Arial"/>
          <w:sz w:val="18"/>
          <w:szCs w:val="18"/>
          <w:color w:val="010000"/>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22" w:lineRule="exact"/>
        <w:rPr>
          <w:rFonts w:ascii="Arial" w:cs="Arial" w:eastAsia="Arial" w:hAnsi="Arial"/>
          <w:sz w:val="18"/>
          <w:szCs w:val="18"/>
          <w:color w:val="010000"/>
        </w:rPr>
      </w:pPr>
    </w:p>
    <w:p>
      <w:pPr>
        <w:ind w:left="1880" w:right="1359" w:hanging="323"/>
        <w:spacing w:after="0" w:line="194" w:lineRule="exact"/>
        <w:tabs>
          <w:tab w:leader="none" w:pos="1880" w:val="left"/>
        </w:tabs>
        <w:numPr>
          <w:ilvl w:val="0"/>
          <w:numId w:val="94"/>
        </w:numPr>
        <w:rPr>
          <w:rFonts w:ascii="Arial" w:cs="Arial" w:eastAsia="Arial" w:hAnsi="Arial"/>
          <w:sz w:val="17"/>
          <w:szCs w:val="17"/>
          <w:color w:val="010000"/>
        </w:rPr>
      </w:pPr>
      <w:r>
        <w:rPr>
          <w:rFonts w:ascii="Arial" w:cs="Arial" w:eastAsia="Arial" w:hAnsi="Arial"/>
          <w:sz w:val="17"/>
          <w:szCs w:val="17"/>
          <w:color w:val="auto"/>
        </w:rPr>
        <w:t>The registrant’s other certifying officer(s) and I are responsible for establishing and maintaining disclosure controls and procedures (as defined in Exchange Act Rules 13a</w:t>
      </w:r>
      <w:r>
        <w:rPr>
          <w:rFonts w:ascii="MS PGothic" w:cs="MS PGothic" w:eastAsia="MS PGothic" w:hAnsi="MS PGothic"/>
          <w:sz w:val="17"/>
          <w:szCs w:val="17"/>
          <w:color w:val="auto"/>
        </w:rPr>
        <w:t>‑</w:t>
      </w:r>
      <w:r>
        <w:rPr>
          <w:rFonts w:ascii="Arial" w:cs="Arial" w:eastAsia="Arial" w:hAnsi="Arial"/>
          <w:sz w:val="17"/>
          <w:szCs w:val="17"/>
          <w:color w:val="auto"/>
        </w:rPr>
        <w:t>15(f) and 15d</w:t>
      </w:r>
      <w:r>
        <w:rPr>
          <w:rFonts w:ascii="MS PGothic" w:cs="MS PGothic" w:eastAsia="MS PGothic" w:hAnsi="MS PGothic"/>
          <w:sz w:val="17"/>
          <w:szCs w:val="17"/>
          <w:color w:val="auto"/>
        </w:rPr>
        <w:t>‑</w:t>
      </w:r>
      <w:r>
        <w:rPr>
          <w:rFonts w:ascii="Arial" w:cs="Arial" w:eastAsia="Arial" w:hAnsi="Arial"/>
          <w:sz w:val="17"/>
          <w:szCs w:val="17"/>
          <w:color w:val="auto"/>
        </w:rPr>
        <w:t>15(f)) for the registrant and have:</w:t>
      </w:r>
    </w:p>
    <w:p>
      <w:pPr>
        <w:spacing w:after="0" w:line="120" w:lineRule="exact"/>
        <w:rPr>
          <w:rFonts w:ascii="Arial" w:cs="Arial" w:eastAsia="Arial" w:hAnsi="Arial"/>
          <w:sz w:val="17"/>
          <w:szCs w:val="17"/>
          <w:color w:val="010000"/>
        </w:rPr>
      </w:pPr>
    </w:p>
    <w:p>
      <w:pPr>
        <w:ind w:left="2520" w:right="1239" w:hanging="315"/>
        <w:spacing w:after="0" w:line="214" w:lineRule="auto"/>
        <w:tabs>
          <w:tab w:leader="none" w:pos="2520" w:val="left"/>
        </w:tabs>
        <w:numPr>
          <w:ilvl w:val="1"/>
          <w:numId w:val="94"/>
        </w:numPr>
        <w:rPr>
          <w:rFonts w:ascii="Arial" w:cs="Arial" w:eastAsia="Arial" w:hAnsi="Arial"/>
          <w:sz w:val="18"/>
          <w:szCs w:val="18"/>
          <w:color w:val="010000"/>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21" w:lineRule="exact"/>
        <w:rPr>
          <w:rFonts w:ascii="Arial" w:cs="Arial" w:eastAsia="Arial" w:hAnsi="Arial"/>
          <w:sz w:val="18"/>
          <w:szCs w:val="18"/>
          <w:color w:val="010000"/>
        </w:rPr>
      </w:pPr>
    </w:p>
    <w:p>
      <w:pPr>
        <w:ind w:left="2520" w:right="1339" w:hanging="315"/>
        <w:spacing w:after="0" w:line="214" w:lineRule="auto"/>
        <w:tabs>
          <w:tab w:leader="none" w:pos="2520" w:val="left"/>
        </w:tabs>
        <w:numPr>
          <w:ilvl w:val="1"/>
          <w:numId w:val="94"/>
        </w:numPr>
        <w:rPr>
          <w:rFonts w:ascii="Arial" w:cs="Arial" w:eastAsia="Arial" w:hAnsi="Arial"/>
          <w:sz w:val="18"/>
          <w:szCs w:val="18"/>
          <w:color w:val="010000"/>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21" w:lineRule="exact"/>
        <w:rPr>
          <w:rFonts w:ascii="Arial" w:cs="Arial" w:eastAsia="Arial" w:hAnsi="Arial"/>
          <w:sz w:val="18"/>
          <w:szCs w:val="18"/>
          <w:color w:val="010000"/>
        </w:rPr>
      </w:pPr>
    </w:p>
    <w:p>
      <w:pPr>
        <w:ind w:left="2520" w:right="1359" w:hanging="315"/>
        <w:spacing w:after="0" w:line="249" w:lineRule="auto"/>
        <w:tabs>
          <w:tab w:leader="none" w:pos="2520" w:val="left"/>
        </w:tabs>
        <w:numPr>
          <w:ilvl w:val="1"/>
          <w:numId w:val="94"/>
        </w:numPr>
        <w:rPr>
          <w:rFonts w:ascii="Arial" w:cs="Arial" w:eastAsia="Arial" w:hAnsi="Arial"/>
          <w:sz w:val="16"/>
          <w:szCs w:val="16"/>
          <w:color w:val="010000"/>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14" w:lineRule="exact"/>
        <w:rPr>
          <w:rFonts w:ascii="Arial" w:cs="Arial" w:eastAsia="Arial" w:hAnsi="Arial"/>
          <w:sz w:val="16"/>
          <w:szCs w:val="16"/>
          <w:color w:val="010000"/>
        </w:rPr>
      </w:pPr>
    </w:p>
    <w:p>
      <w:pPr>
        <w:ind w:left="2520" w:right="1299" w:hanging="315"/>
        <w:spacing w:after="0" w:line="214" w:lineRule="auto"/>
        <w:tabs>
          <w:tab w:leader="none" w:pos="2520" w:val="left"/>
        </w:tabs>
        <w:numPr>
          <w:ilvl w:val="1"/>
          <w:numId w:val="94"/>
        </w:numPr>
        <w:rPr>
          <w:rFonts w:ascii="Arial" w:cs="Arial" w:eastAsia="Arial" w:hAnsi="Arial"/>
          <w:sz w:val="18"/>
          <w:szCs w:val="18"/>
          <w:color w:val="010000"/>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21" w:lineRule="exact"/>
        <w:rPr>
          <w:rFonts w:ascii="Arial" w:cs="Arial" w:eastAsia="Arial" w:hAnsi="Arial"/>
          <w:sz w:val="18"/>
          <w:szCs w:val="18"/>
          <w:color w:val="010000"/>
        </w:rPr>
      </w:pPr>
    </w:p>
    <w:p>
      <w:pPr>
        <w:ind w:left="1880" w:right="1299" w:hanging="323"/>
        <w:spacing w:after="0" w:line="219" w:lineRule="auto"/>
        <w:tabs>
          <w:tab w:leader="none" w:pos="1880" w:val="left"/>
        </w:tabs>
        <w:numPr>
          <w:ilvl w:val="0"/>
          <w:numId w:val="94"/>
        </w:numPr>
        <w:rPr>
          <w:rFonts w:ascii="Arial" w:cs="Arial" w:eastAsia="Arial" w:hAnsi="Arial"/>
          <w:sz w:val="18"/>
          <w:szCs w:val="18"/>
          <w:color w:val="010000"/>
        </w:rPr>
      </w:pPr>
      <w:r>
        <w:rPr>
          <w:rFonts w:ascii="Arial" w:cs="Arial" w:eastAsia="Arial" w:hAnsi="Arial"/>
          <w:sz w:val="18"/>
          <w:szCs w:val="18"/>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22" w:lineRule="exact"/>
        <w:rPr>
          <w:rFonts w:ascii="Arial" w:cs="Arial" w:eastAsia="Arial" w:hAnsi="Arial"/>
          <w:sz w:val="18"/>
          <w:szCs w:val="18"/>
          <w:color w:val="010000"/>
        </w:rPr>
      </w:pPr>
    </w:p>
    <w:p>
      <w:pPr>
        <w:ind w:left="2520" w:right="1539" w:hanging="315"/>
        <w:spacing w:after="0" w:line="232" w:lineRule="auto"/>
        <w:tabs>
          <w:tab w:leader="none" w:pos="2520" w:val="left"/>
        </w:tabs>
        <w:numPr>
          <w:ilvl w:val="1"/>
          <w:numId w:val="94"/>
        </w:numPr>
        <w:rPr>
          <w:rFonts w:ascii="Arial" w:cs="Arial" w:eastAsia="Arial" w:hAnsi="Arial"/>
          <w:sz w:val="17"/>
          <w:szCs w:val="17"/>
          <w:color w:val="010000"/>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22" w:lineRule="exact"/>
        <w:rPr>
          <w:rFonts w:ascii="Arial" w:cs="Arial" w:eastAsia="Arial" w:hAnsi="Arial"/>
          <w:sz w:val="17"/>
          <w:szCs w:val="17"/>
          <w:color w:val="010000"/>
        </w:rPr>
      </w:pPr>
    </w:p>
    <w:p>
      <w:pPr>
        <w:ind w:left="2520" w:right="1279" w:hanging="315"/>
        <w:spacing w:after="0" w:line="224" w:lineRule="auto"/>
        <w:tabs>
          <w:tab w:leader="none" w:pos="2520" w:val="left"/>
        </w:tabs>
        <w:numPr>
          <w:ilvl w:val="1"/>
          <w:numId w:val="94"/>
        </w:numPr>
        <w:rPr>
          <w:rFonts w:ascii="Arial" w:cs="Arial" w:eastAsia="Arial" w:hAnsi="Arial"/>
          <w:sz w:val="18"/>
          <w:szCs w:val="18"/>
          <w:color w:val="010000"/>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23" w:lineRule="exact"/>
        <w:rPr>
          <w:sz w:val="20"/>
          <w:szCs w:val="20"/>
          <w:color w:val="auto"/>
        </w:rPr>
      </w:pPr>
    </w:p>
    <w:p>
      <w:pPr>
        <w:ind w:left="1240"/>
        <w:spacing w:after="0"/>
        <w:rPr>
          <w:sz w:val="20"/>
          <w:szCs w:val="20"/>
          <w:color w:val="auto"/>
        </w:rPr>
      </w:pPr>
      <w:r>
        <w:rPr>
          <w:rFonts w:ascii="Arial" w:cs="Arial" w:eastAsia="Arial" w:hAnsi="Arial"/>
          <w:sz w:val="18"/>
          <w:szCs w:val="18"/>
          <w:color w:val="auto"/>
        </w:rPr>
        <w:t>Date: March 7, 2018</w:t>
      </w:r>
    </w:p>
    <w:p>
      <w:pPr>
        <w:spacing w:after="0" w:line="156" w:lineRule="exact"/>
        <w:rPr>
          <w:sz w:val="20"/>
          <w:szCs w:val="20"/>
          <w:color w:val="auto"/>
        </w:rPr>
      </w:pPr>
    </w:p>
    <w:p>
      <w:pPr>
        <w:ind w:left="1240"/>
        <w:spacing w:after="0"/>
        <w:rPr>
          <w:sz w:val="20"/>
          <w:szCs w:val="20"/>
          <w:color w:val="auto"/>
        </w:rPr>
      </w:pPr>
      <w:r>
        <w:rPr>
          <w:rFonts w:ascii="Arial" w:cs="Arial" w:eastAsia="Arial" w:hAnsi="Arial"/>
          <w:sz w:val="18"/>
          <w:szCs w:val="18"/>
          <w:color w:val="auto"/>
        </w:rPr>
        <w:t>/s/WILLIAM BURKE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786765</wp:posOffset>
            </wp:positionH>
            <wp:positionV relativeFrom="paragraph">
              <wp:posOffset>-635</wp:posOffset>
            </wp:positionV>
            <wp:extent cx="2084070" cy="889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04">
                      <a:extLst>
                        <a:ext uri="{28A0092B-C50C-407E-A947-70E740481C1C}"/>
                      </a:extLst>
                    </a:blip>
                    <a:srcRect/>
                    <a:stretch>
                      <a:fillRect/>
                    </a:stretch>
                  </pic:blipFill>
                  <pic:spPr bwMode="auto">
                    <a:xfrm>
                      <a:off x="0" y="0"/>
                      <a:ext cx="2084070" cy="8890"/>
                    </a:xfrm>
                    <a:prstGeom prst="rect">
                      <a:avLst/>
                    </a:prstGeom>
                    <a:noFill/>
                  </pic:spPr>
                </pic:pic>
              </a:graphicData>
            </a:graphic>
          </wp:anchor>
        </w:drawing>
      </w:r>
    </w:p>
    <w:p>
      <w:pPr>
        <w:ind w:left="1240"/>
        <w:spacing w:after="0" w:line="203" w:lineRule="auto"/>
        <w:rPr>
          <w:sz w:val="20"/>
          <w:szCs w:val="20"/>
          <w:color w:val="auto"/>
        </w:rPr>
      </w:pPr>
      <w:r>
        <w:rPr>
          <w:rFonts w:ascii="Arial" w:cs="Arial" w:eastAsia="Arial" w:hAnsi="Arial"/>
          <w:sz w:val="18"/>
          <w:szCs w:val="18"/>
          <w:color w:val="auto"/>
        </w:rPr>
        <w:t>Name: William Burke</w:t>
      </w:r>
    </w:p>
    <w:p>
      <w:pPr>
        <w:ind w:left="1240"/>
        <w:spacing w:after="0" w:line="204" w:lineRule="auto"/>
        <w:rPr>
          <w:sz w:val="20"/>
          <w:szCs w:val="20"/>
          <w:color w:val="auto"/>
        </w:rPr>
      </w:pPr>
      <w:r>
        <w:rPr>
          <w:rFonts w:ascii="Arial" w:cs="Arial" w:eastAsia="Arial" w:hAnsi="Arial"/>
          <w:sz w:val="18"/>
          <w:szCs w:val="18"/>
          <w:i w:val="1"/>
          <w:iCs w:val="1"/>
          <w:color w:val="auto"/>
        </w:rPr>
        <w:t>Executive Vice President, Chief Financial</w:t>
      </w:r>
    </w:p>
    <w:p>
      <w:pPr>
        <w:ind w:left="1240"/>
        <w:spacing w:after="0"/>
        <w:rPr>
          <w:sz w:val="20"/>
          <w:szCs w:val="20"/>
          <w:color w:val="auto"/>
        </w:rPr>
      </w:pPr>
      <w:r>
        <w:rPr>
          <w:rFonts w:ascii="Arial" w:cs="Arial" w:eastAsia="Arial" w:hAnsi="Arial"/>
          <w:sz w:val="18"/>
          <w:szCs w:val="18"/>
          <w:i w:val="1"/>
          <w:iCs w:val="1"/>
          <w:color w:val="auto"/>
        </w:rPr>
        <w:t>Officer and Treasurer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786765</wp:posOffset>
            </wp:positionH>
            <wp:positionV relativeFrom="paragraph">
              <wp:posOffset>553720</wp:posOffset>
            </wp:positionV>
            <wp:extent cx="4159250" cy="26035"/>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05">
                      <a:extLst>
                        <a:ext uri="{28A0092B-C50C-407E-A947-70E740481C1C}"/>
                      </a:extLst>
                    </a:blip>
                    <a:srcRect/>
                    <a:stretch>
                      <a:fillRect/>
                    </a:stretch>
                  </pic:blipFill>
                  <pic:spPr bwMode="auto">
                    <a:xfrm>
                      <a:off x="0" y="0"/>
                      <a:ext cx="4159250" cy="26035"/>
                    </a:xfrm>
                    <a:prstGeom prst="rect">
                      <a:avLst/>
                    </a:prstGeom>
                    <a:noFill/>
                  </pic:spPr>
                </pic:pic>
              </a:graphicData>
            </a:graphic>
          </wp:anchor>
        </w:drawing>
      </w:r>
    </w:p>
    <w:p>
      <w:pPr>
        <w:sectPr>
          <w:pgSz w:w="11900" w:h="16838" w:orient="portrait"/>
          <w:cols w:equalWidth="0" w:num="1">
            <w:col w:w="9019"/>
          </w:cols>
          <w:pgMar w:left="1440" w:top="108" w:right="1440" w:bottom="1440" w:gutter="0" w:footer="0" w:header="0"/>
        </w:sectPr>
      </w:pPr>
    </w:p>
    <w:bookmarkStart w:id="170" w:name="page171"/>
    <w:bookmarkEnd w:id="170"/>
    <w:p>
      <w:pPr>
        <w:jc w:val="right"/>
        <w:ind w:right="1219"/>
        <w:spacing w:after="0"/>
        <w:rPr>
          <w:sz w:val="20"/>
          <w:szCs w:val="20"/>
          <w:color w:val="auto"/>
        </w:rPr>
      </w:pPr>
      <w:r>
        <w:rPr>
          <w:rFonts w:ascii="Arial" w:cs="Arial" w:eastAsia="Arial" w:hAnsi="Arial"/>
          <w:sz w:val="18"/>
          <w:szCs w:val="18"/>
          <w:b w:val="1"/>
          <w:bCs w:val="1"/>
          <w:color w:val="auto"/>
        </w:rPr>
        <w:t>Exhibit 32.1</w:t>
      </w:r>
    </w:p>
    <w:p>
      <w:pPr>
        <w:spacing w:after="0" w:line="144" w:lineRule="exact"/>
        <w:rPr>
          <w:sz w:val="20"/>
          <w:szCs w:val="20"/>
          <w:color w:val="auto"/>
        </w:rPr>
      </w:pPr>
    </w:p>
    <w:p>
      <w:pPr>
        <w:ind w:left="2200"/>
        <w:spacing w:after="0"/>
        <w:rPr>
          <w:sz w:val="20"/>
          <w:szCs w:val="20"/>
          <w:color w:val="auto"/>
        </w:rPr>
      </w:pPr>
      <w:r>
        <w:rPr>
          <w:rFonts w:ascii="Arial" w:cs="Arial" w:eastAsia="Arial" w:hAnsi="Arial"/>
          <w:sz w:val="18"/>
          <w:szCs w:val="18"/>
          <w:b w:val="1"/>
          <w:bCs w:val="1"/>
          <w:color w:val="auto"/>
        </w:rPr>
        <w:t>CERTIFICATION OF PERIODIC FINANCIAL REPORTS</w:t>
      </w:r>
    </w:p>
    <w:p>
      <w:pPr>
        <w:spacing w:after="0" w:line="146" w:lineRule="exact"/>
        <w:rPr>
          <w:sz w:val="20"/>
          <w:szCs w:val="20"/>
          <w:color w:val="auto"/>
        </w:rPr>
      </w:pPr>
    </w:p>
    <w:p>
      <w:pPr>
        <w:ind w:left="1880"/>
        <w:spacing w:after="0"/>
        <w:rPr>
          <w:sz w:val="20"/>
          <w:szCs w:val="20"/>
          <w:color w:val="auto"/>
        </w:rPr>
      </w:pPr>
      <w:r>
        <w:rPr>
          <w:rFonts w:ascii="Arial" w:cs="Arial" w:eastAsia="Arial" w:hAnsi="Arial"/>
          <w:sz w:val="18"/>
          <w:szCs w:val="18"/>
          <w:color w:val="auto"/>
        </w:rPr>
        <w:t>I, David Maher, President and Chief Executive Officer, certify, pursuant to</w:t>
      </w:r>
    </w:p>
    <w:p>
      <w:pPr>
        <w:ind w:left="1240"/>
        <w:spacing w:after="0" w:line="229" w:lineRule="auto"/>
        <w:rPr>
          <w:sz w:val="20"/>
          <w:szCs w:val="20"/>
          <w:color w:val="auto"/>
        </w:rPr>
      </w:pPr>
      <w:r>
        <w:rPr>
          <w:rFonts w:ascii="Arial" w:cs="Arial" w:eastAsia="Arial" w:hAnsi="Arial"/>
          <w:sz w:val="16"/>
          <w:szCs w:val="16"/>
          <w:color w:val="auto"/>
        </w:rPr>
        <w:t>18 U.S.C. Section 1350, as adopted pursuant to Section 906 of the Sarbanes-Oxley Act of</w:t>
      </w:r>
    </w:p>
    <w:p>
      <w:pPr>
        <w:ind w:left="1240"/>
        <w:spacing w:after="0"/>
        <w:rPr>
          <w:sz w:val="20"/>
          <w:szCs w:val="20"/>
          <w:color w:val="auto"/>
        </w:rPr>
      </w:pPr>
      <w:r>
        <w:rPr>
          <w:rFonts w:ascii="Arial" w:cs="Arial" w:eastAsia="Arial" w:hAnsi="Arial"/>
          <w:sz w:val="18"/>
          <w:szCs w:val="18"/>
          <w:color w:val="auto"/>
        </w:rPr>
        <w:t>2002, that:</w:t>
      </w:r>
    </w:p>
    <w:p>
      <w:pPr>
        <w:spacing w:after="0" w:line="128" w:lineRule="exact"/>
        <w:rPr>
          <w:sz w:val="20"/>
          <w:szCs w:val="20"/>
          <w:color w:val="auto"/>
        </w:rPr>
      </w:pPr>
    </w:p>
    <w:p>
      <w:pPr>
        <w:ind w:left="2520" w:right="1479" w:hanging="639"/>
        <w:spacing w:after="0" w:line="194" w:lineRule="exact"/>
        <w:tabs>
          <w:tab w:leader="none" w:pos="2520" w:val="left"/>
        </w:tabs>
        <w:numPr>
          <w:ilvl w:val="0"/>
          <w:numId w:val="95"/>
        </w:numPr>
        <w:rPr>
          <w:rFonts w:ascii="Arial" w:cs="Arial" w:eastAsia="Arial" w:hAnsi="Arial"/>
          <w:sz w:val="16"/>
          <w:szCs w:val="16"/>
          <w:color w:val="010000"/>
        </w:rPr>
      </w:pPr>
      <w:r>
        <w:rPr>
          <w:rFonts w:ascii="Arial" w:cs="Arial" w:eastAsia="Arial" w:hAnsi="Arial"/>
          <w:sz w:val="16"/>
          <w:szCs w:val="16"/>
          <w:color w:val="auto"/>
        </w:rPr>
        <w:t>the Annual Report on Form 10</w:t>
      </w:r>
      <w:r>
        <w:rPr>
          <w:rFonts w:ascii="MS PGothic" w:cs="MS PGothic" w:eastAsia="MS PGothic" w:hAnsi="MS PGothic"/>
          <w:sz w:val="16"/>
          <w:szCs w:val="16"/>
          <w:color w:val="auto"/>
        </w:rPr>
        <w:t>‑</w:t>
      </w:r>
      <w:r>
        <w:rPr>
          <w:rFonts w:ascii="Arial" w:cs="Arial" w:eastAsia="Arial" w:hAnsi="Arial"/>
          <w:sz w:val="16"/>
          <w:szCs w:val="16"/>
          <w:color w:val="auto"/>
        </w:rPr>
        <w:t>K for the year ended December 31, 2017, (the “Periodic Report”) fully complies with the requirements of Section 13(a) or 15(d) of the Securities Exchange Act of 1934; and</w:t>
      </w:r>
    </w:p>
    <w:p>
      <w:pPr>
        <w:spacing w:after="0" w:line="122" w:lineRule="exact"/>
        <w:rPr>
          <w:rFonts w:ascii="Arial" w:cs="Arial" w:eastAsia="Arial" w:hAnsi="Arial"/>
          <w:sz w:val="16"/>
          <w:szCs w:val="16"/>
          <w:color w:val="010000"/>
        </w:rPr>
      </w:pPr>
    </w:p>
    <w:p>
      <w:pPr>
        <w:ind w:left="2520" w:right="1559" w:hanging="639"/>
        <w:spacing w:after="0" w:line="224" w:lineRule="auto"/>
        <w:tabs>
          <w:tab w:leader="none" w:pos="2520" w:val="left"/>
        </w:tabs>
        <w:numPr>
          <w:ilvl w:val="0"/>
          <w:numId w:val="95"/>
        </w:numPr>
        <w:rPr>
          <w:rFonts w:ascii="Arial" w:cs="Arial" w:eastAsia="Arial" w:hAnsi="Arial"/>
          <w:sz w:val="18"/>
          <w:szCs w:val="18"/>
          <w:color w:val="010000"/>
        </w:rPr>
      </w:pPr>
      <w:r>
        <w:rPr>
          <w:rFonts w:ascii="Arial" w:cs="Arial" w:eastAsia="Arial" w:hAnsi="Arial"/>
          <w:sz w:val="18"/>
          <w:szCs w:val="18"/>
          <w:color w:val="auto"/>
        </w:rPr>
        <w:t>information contained in the Periodic Report fairly presents, in all material respects, the financial condition and results of operations of Acushnet Holdings Corp.</w:t>
      </w:r>
    </w:p>
    <w:p>
      <w:pPr>
        <w:spacing w:after="0" w:line="123" w:lineRule="exact"/>
        <w:rPr>
          <w:sz w:val="20"/>
          <w:szCs w:val="20"/>
          <w:color w:val="auto"/>
        </w:rPr>
      </w:pPr>
    </w:p>
    <w:p>
      <w:pPr>
        <w:ind w:left="1240"/>
        <w:spacing w:after="0"/>
        <w:rPr>
          <w:sz w:val="20"/>
          <w:szCs w:val="20"/>
          <w:color w:val="auto"/>
        </w:rPr>
      </w:pPr>
      <w:r>
        <w:rPr>
          <w:rFonts w:ascii="Arial" w:cs="Arial" w:eastAsia="Arial" w:hAnsi="Arial"/>
          <w:sz w:val="18"/>
          <w:szCs w:val="18"/>
          <w:color w:val="auto"/>
        </w:rPr>
        <w:t>Date: March 7, 2018</w:t>
      </w:r>
    </w:p>
    <w:p>
      <w:pPr>
        <w:spacing w:after="0" w:line="156" w:lineRule="exact"/>
        <w:rPr>
          <w:sz w:val="20"/>
          <w:szCs w:val="20"/>
          <w:color w:val="auto"/>
        </w:rPr>
      </w:pPr>
    </w:p>
    <w:p>
      <w:pPr>
        <w:ind w:left="4520"/>
        <w:spacing w:after="0"/>
        <w:rPr>
          <w:sz w:val="20"/>
          <w:szCs w:val="20"/>
          <w:color w:val="auto"/>
        </w:rPr>
      </w:pPr>
      <w:r>
        <w:rPr>
          <w:rFonts w:ascii="Arial" w:cs="Arial" w:eastAsia="Arial" w:hAnsi="Arial"/>
          <w:sz w:val="18"/>
          <w:szCs w:val="18"/>
          <w:color w:val="auto"/>
        </w:rPr>
        <w:t>/s/DAVID MAHER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2870835</wp:posOffset>
            </wp:positionH>
            <wp:positionV relativeFrom="paragraph">
              <wp:posOffset>-635</wp:posOffset>
            </wp:positionV>
            <wp:extent cx="2075180" cy="889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06">
                      <a:extLst>
                        <a:ext uri="{28A0092B-C50C-407E-A947-70E740481C1C}"/>
                      </a:extLst>
                    </a:blip>
                    <a:srcRect/>
                    <a:stretch>
                      <a:fillRect/>
                    </a:stretch>
                  </pic:blipFill>
                  <pic:spPr bwMode="auto">
                    <a:xfrm>
                      <a:off x="0" y="0"/>
                      <a:ext cx="2075180" cy="8890"/>
                    </a:xfrm>
                    <a:prstGeom prst="rect">
                      <a:avLst/>
                    </a:prstGeom>
                    <a:noFill/>
                  </pic:spPr>
                </pic:pic>
              </a:graphicData>
            </a:graphic>
          </wp:anchor>
        </w:drawing>
      </w:r>
    </w:p>
    <w:p>
      <w:pPr>
        <w:ind w:left="4520"/>
        <w:spacing w:after="0" w:line="203" w:lineRule="auto"/>
        <w:rPr>
          <w:sz w:val="20"/>
          <w:szCs w:val="20"/>
          <w:color w:val="auto"/>
        </w:rPr>
      </w:pPr>
      <w:r>
        <w:rPr>
          <w:rFonts w:ascii="Arial" w:cs="Arial" w:eastAsia="Arial" w:hAnsi="Arial"/>
          <w:sz w:val="18"/>
          <w:szCs w:val="18"/>
          <w:color w:val="auto"/>
        </w:rPr>
        <w:t>Name: David Maher</w:t>
      </w:r>
    </w:p>
    <w:p>
      <w:pPr>
        <w:ind w:left="4520"/>
        <w:spacing w:after="0"/>
        <w:rPr>
          <w:sz w:val="20"/>
          <w:szCs w:val="20"/>
          <w:color w:val="auto"/>
        </w:rPr>
      </w:pPr>
      <w:r>
        <w:rPr>
          <w:rFonts w:ascii="Arial" w:cs="Arial" w:eastAsia="Arial" w:hAnsi="Arial"/>
          <w:sz w:val="18"/>
          <w:szCs w:val="18"/>
          <w:i w:val="1"/>
          <w:iCs w:val="1"/>
          <w:color w:val="auto"/>
        </w:rPr>
        <w:t>President and Chief Executive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786765</wp:posOffset>
            </wp:positionH>
            <wp:positionV relativeFrom="paragraph">
              <wp:posOffset>236220</wp:posOffset>
            </wp:positionV>
            <wp:extent cx="4159250" cy="26035"/>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07">
                      <a:extLst>
                        <a:ext uri="{28A0092B-C50C-407E-A947-70E740481C1C}"/>
                      </a:extLst>
                    </a:blip>
                    <a:srcRect/>
                    <a:stretch>
                      <a:fillRect/>
                    </a:stretch>
                  </pic:blipFill>
                  <pic:spPr bwMode="auto">
                    <a:xfrm>
                      <a:off x="0" y="0"/>
                      <a:ext cx="4159250" cy="26035"/>
                    </a:xfrm>
                    <a:prstGeom prst="rect">
                      <a:avLst/>
                    </a:prstGeom>
                    <a:noFill/>
                  </pic:spPr>
                </pic:pic>
              </a:graphicData>
            </a:graphic>
          </wp:anchor>
        </w:drawing>
      </w:r>
    </w:p>
    <w:p>
      <w:pPr>
        <w:sectPr>
          <w:pgSz w:w="11900" w:h="16838" w:orient="portrait"/>
          <w:cols w:equalWidth="0" w:num="1">
            <w:col w:w="9019"/>
          </w:cols>
          <w:pgMar w:left="1440" w:top="108" w:right="1440" w:bottom="1440" w:gutter="0" w:footer="0" w:header="0"/>
        </w:sectPr>
      </w:pPr>
    </w:p>
    <w:bookmarkStart w:id="171" w:name="page172"/>
    <w:bookmarkEnd w:id="171"/>
    <w:p>
      <w:pPr>
        <w:jc w:val="right"/>
        <w:ind w:right="1219"/>
        <w:spacing w:after="0"/>
        <w:rPr>
          <w:sz w:val="20"/>
          <w:szCs w:val="20"/>
          <w:color w:val="auto"/>
        </w:rPr>
      </w:pPr>
      <w:r>
        <w:rPr>
          <w:rFonts w:ascii="Arial" w:cs="Arial" w:eastAsia="Arial" w:hAnsi="Arial"/>
          <w:sz w:val="18"/>
          <w:szCs w:val="18"/>
          <w:b w:val="1"/>
          <w:bCs w:val="1"/>
          <w:color w:val="auto"/>
        </w:rPr>
        <w:t>Exhibit 32.2</w:t>
      </w:r>
    </w:p>
    <w:p>
      <w:pPr>
        <w:spacing w:after="0" w:line="144" w:lineRule="exact"/>
        <w:rPr>
          <w:sz w:val="20"/>
          <w:szCs w:val="20"/>
          <w:color w:val="auto"/>
        </w:rPr>
      </w:pPr>
    </w:p>
    <w:p>
      <w:pPr>
        <w:ind w:left="2200"/>
        <w:spacing w:after="0"/>
        <w:rPr>
          <w:sz w:val="20"/>
          <w:szCs w:val="20"/>
          <w:color w:val="auto"/>
        </w:rPr>
      </w:pPr>
      <w:r>
        <w:rPr>
          <w:rFonts w:ascii="Arial" w:cs="Arial" w:eastAsia="Arial" w:hAnsi="Arial"/>
          <w:sz w:val="18"/>
          <w:szCs w:val="18"/>
          <w:b w:val="1"/>
          <w:bCs w:val="1"/>
          <w:color w:val="auto"/>
        </w:rPr>
        <w:t>CERTIFICATION OF PERIODIC FINANCIAL REPORTS</w:t>
      </w:r>
    </w:p>
    <w:p>
      <w:pPr>
        <w:spacing w:after="0" w:line="162" w:lineRule="exact"/>
        <w:rPr>
          <w:sz w:val="20"/>
          <w:szCs w:val="20"/>
          <w:color w:val="auto"/>
        </w:rPr>
      </w:pPr>
    </w:p>
    <w:p>
      <w:pPr>
        <w:ind w:left="1240" w:right="1319" w:firstLine="648"/>
        <w:spacing w:after="0" w:line="224" w:lineRule="auto"/>
        <w:rPr>
          <w:sz w:val="20"/>
          <w:szCs w:val="20"/>
          <w:color w:val="auto"/>
        </w:rPr>
      </w:pPr>
      <w:r>
        <w:rPr>
          <w:rFonts w:ascii="Arial" w:cs="Arial" w:eastAsia="Arial" w:hAnsi="Arial"/>
          <w:sz w:val="18"/>
          <w:szCs w:val="18"/>
          <w:color w:val="auto"/>
        </w:rPr>
        <w:t>I, William Burke, Executive Vice President, Chief Financial Officer and Treasurer, certify, pursuant to 18 U.S.C. Section 1350, as adopted pursuant to Section 906 of the Sarbanes-Oxley Act of 2002, that:</w:t>
      </w:r>
    </w:p>
    <w:p>
      <w:pPr>
        <w:spacing w:after="0" w:line="123" w:lineRule="exact"/>
        <w:rPr>
          <w:sz w:val="20"/>
          <w:szCs w:val="20"/>
          <w:color w:val="auto"/>
        </w:rPr>
      </w:pPr>
    </w:p>
    <w:p>
      <w:pPr>
        <w:ind w:left="2520" w:right="1479" w:hanging="639"/>
        <w:spacing w:after="0" w:line="194" w:lineRule="exact"/>
        <w:tabs>
          <w:tab w:leader="none" w:pos="2520" w:val="left"/>
        </w:tabs>
        <w:numPr>
          <w:ilvl w:val="0"/>
          <w:numId w:val="96"/>
        </w:numPr>
        <w:rPr>
          <w:rFonts w:ascii="Arial" w:cs="Arial" w:eastAsia="Arial" w:hAnsi="Arial"/>
          <w:sz w:val="16"/>
          <w:szCs w:val="16"/>
          <w:color w:val="010000"/>
        </w:rPr>
      </w:pPr>
      <w:r>
        <w:rPr>
          <w:rFonts w:ascii="Arial" w:cs="Arial" w:eastAsia="Arial" w:hAnsi="Arial"/>
          <w:sz w:val="16"/>
          <w:szCs w:val="16"/>
          <w:color w:val="auto"/>
        </w:rPr>
        <w:t>the Annual Report on Form 10</w:t>
      </w:r>
      <w:r>
        <w:rPr>
          <w:rFonts w:ascii="MS PGothic" w:cs="MS PGothic" w:eastAsia="MS PGothic" w:hAnsi="MS PGothic"/>
          <w:sz w:val="16"/>
          <w:szCs w:val="16"/>
          <w:color w:val="auto"/>
        </w:rPr>
        <w:t>‑</w:t>
      </w:r>
      <w:r>
        <w:rPr>
          <w:rFonts w:ascii="Arial" w:cs="Arial" w:eastAsia="Arial" w:hAnsi="Arial"/>
          <w:sz w:val="16"/>
          <w:szCs w:val="16"/>
          <w:color w:val="auto"/>
        </w:rPr>
        <w:t>K for the year ended December 31, 2017, (the “Periodic Report”) fully complies with the requirements of Section 13(a) or 15(d) of the Securities Exchange Act of 1934; and</w:t>
      </w:r>
    </w:p>
    <w:p>
      <w:pPr>
        <w:spacing w:after="0" w:line="122" w:lineRule="exact"/>
        <w:rPr>
          <w:rFonts w:ascii="Arial" w:cs="Arial" w:eastAsia="Arial" w:hAnsi="Arial"/>
          <w:sz w:val="16"/>
          <w:szCs w:val="16"/>
          <w:color w:val="010000"/>
        </w:rPr>
      </w:pPr>
    </w:p>
    <w:p>
      <w:pPr>
        <w:ind w:left="2520" w:right="1559" w:hanging="639"/>
        <w:spacing w:after="0" w:line="224" w:lineRule="auto"/>
        <w:tabs>
          <w:tab w:leader="none" w:pos="2520" w:val="left"/>
        </w:tabs>
        <w:numPr>
          <w:ilvl w:val="0"/>
          <w:numId w:val="96"/>
        </w:numPr>
        <w:rPr>
          <w:rFonts w:ascii="Arial" w:cs="Arial" w:eastAsia="Arial" w:hAnsi="Arial"/>
          <w:sz w:val="18"/>
          <w:szCs w:val="18"/>
          <w:color w:val="010000"/>
        </w:rPr>
      </w:pPr>
      <w:r>
        <w:rPr>
          <w:rFonts w:ascii="Arial" w:cs="Arial" w:eastAsia="Arial" w:hAnsi="Arial"/>
          <w:sz w:val="18"/>
          <w:szCs w:val="18"/>
          <w:color w:val="auto"/>
        </w:rPr>
        <w:t>information contained in the Periodic Report fairly presents, in all material respects, the financial condition and results of operations of Acushnet Holdings Corp.</w:t>
      </w:r>
    </w:p>
    <w:p>
      <w:pPr>
        <w:spacing w:after="0" w:line="123" w:lineRule="exact"/>
        <w:rPr>
          <w:sz w:val="20"/>
          <w:szCs w:val="20"/>
          <w:color w:val="auto"/>
        </w:rPr>
      </w:pPr>
    </w:p>
    <w:p>
      <w:pPr>
        <w:ind w:left="1240"/>
        <w:spacing w:after="0"/>
        <w:rPr>
          <w:sz w:val="20"/>
          <w:szCs w:val="20"/>
          <w:color w:val="auto"/>
        </w:rPr>
      </w:pPr>
      <w:r>
        <w:rPr>
          <w:rFonts w:ascii="Arial" w:cs="Arial" w:eastAsia="Arial" w:hAnsi="Arial"/>
          <w:sz w:val="18"/>
          <w:szCs w:val="18"/>
          <w:color w:val="auto"/>
        </w:rPr>
        <w:t>Date: March 7, 2018</w:t>
      </w:r>
    </w:p>
    <w:p>
      <w:pPr>
        <w:spacing w:after="0" w:line="156" w:lineRule="exact"/>
        <w:rPr>
          <w:sz w:val="20"/>
          <w:szCs w:val="20"/>
          <w:color w:val="auto"/>
        </w:rPr>
      </w:pPr>
    </w:p>
    <w:p>
      <w:pPr>
        <w:ind w:left="4520"/>
        <w:spacing w:after="0"/>
        <w:rPr>
          <w:sz w:val="20"/>
          <w:szCs w:val="20"/>
          <w:color w:val="auto"/>
        </w:rPr>
      </w:pPr>
      <w:r>
        <w:rPr>
          <w:rFonts w:ascii="Arial" w:cs="Arial" w:eastAsia="Arial" w:hAnsi="Arial"/>
          <w:sz w:val="18"/>
          <w:szCs w:val="18"/>
          <w:color w:val="auto"/>
        </w:rPr>
        <w:t>/s/WILLIAM BURKE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2870835</wp:posOffset>
            </wp:positionH>
            <wp:positionV relativeFrom="paragraph">
              <wp:posOffset>-635</wp:posOffset>
            </wp:positionV>
            <wp:extent cx="2075180" cy="889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08">
                      <a:extLst>
                        <a:ext uri="{28A0092B-C50C-407E-A947-70E740481C1C}"/>
                      </a:extLst>
                    </a:blip>
                    <a:srcRect/>
                    <a:stretch>
                      <a:fillRect/>
                    </a:stretch>
                  </pic:blipFill>
                  <pic:spPr bwMode="auto">
                    <a:xfrm>
                      <a:off x="0" y="0"/>
                      <a:ext cx="2075180" cy="8890"/>
                    </a:xfrm>
                    <a:prstGeom prst="rect">
                      <a:avLst/>
                    </a:prstGeom>
                    <a:noFill/>
                  </pic:spPr>
                </pic:pic>
              </a:graphicData>
            </a:graphic>
          </wp:anchor>
        </w:drawing>
      </w:r>
    </w:p>
    <w:p>
      <w:pPr>
        <w:ind w:left="4520"/>
        <w:spacing w:after="0" w:line="203" w:lineRule="auto"/>
        <w:rPr>
          <w:sz w:val="20"/>
          <w:szCs w:val="20"/>
          <w:color w:val="auto"/>
        </w:rPr>
      </w:pPr>
      <w:r>
        <w:rPr>
          <w:rFonts w:ascii="Arial" w:cs="Arial" w:eastAsia="Arial" w:hAnsi="Arial"/>
          <w:sz w:val="18"/>
          <w:szCs w:val="18"/>
          <w:color w:val="auto"/>
        </w:rPr>
        <w:t>Name: William Burke</w:t>
      </w:r>
    </w:p>
    <w:p>
      <w:pPr>
        <w:ind w:left="4520"/>
        <w:spacing w:after="0" w:line="216" w:lineRule="auto"/>
        <w:rPr>
          <w:sz w:val="20"/>
          <w:szCs w:val="20"/>
          <w:color w:val="auto"/>
        </w:rPr>
      </w:pPr>
      <w:r>
        <w:rPr>
          <w:rFonts w:ascii="Arial" w:cs="Arial" w:eastAsia="Arial" w:hAnsi="Arial"/>
          <w:sz w:val="17"/>
          <w:szCs w:val="17"/>
          <w:i w:val="1"/>
          <w:iCs w:val="1"/>
          <w:color w:val="auto"/>
        </w:rPr>
        <w:t>Executive Vice President, Chief Financial</w:t>
      </w:r>
    </w:p>
    <w:p>
      <w:pPr>
        <w:ind w:left="4520"/>
        <w:spacing w:after="0"/>
        <w:rPr>
          <w:sz w:val="20"/>
          <w:szCs w:val="20"/>
          <w:color w:val="auto"/>
        </w:rPr>
      </w:pPr>
      <w:r>
        <w:rPr>
          <w:rFonts w:ascii="Arial" w:cs="Arial" w:eastAsia="Arial" w:hAnsi="Arial"/>
          <w:sz w:val="18"/>
          <w:szCs w:val="18"/>
          <w:i w:val="1"/>
          <w:iCs w:val="1"/>
          <w:color w:val="auto"/>
        </w:rPr>
        <w:t>Officer and Treasurer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786765</wp:posOffset>
            </wp:positionH>
            <wp:positionV relativeFrom="paragraph">
              <wp:posOffset>236220</wp:posOffset>
            </wp:positionV>
            <wp:extent cx="4159250" cy="26035"/>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09">
                      <a:extLst>
                        <a:ext uri="{28A0092B-C50C-407E-A947-70E740481C1C}"/>
                      </a:extLst>
                    </a:blip>
                    <a:srcRect/>
                    <a:stretch>
                      <a:fillRect/>
                    </a:stretch>
                  </pic:blipFill>
                  <pic:spPr bwMode="auto">
                    <a:xfrm>
                      <a:off x="0" y="0"/>
                      <a:ext cx="4159250" cy="26035"/>
                    </a:xfrm>
                    <a:prstGeom prst="rect">
                      <a:avLst/>
                    </a:prstGeom>
                    <a:noFill/>
                  </pic:spPr>
                </pic:pic>
              </a:graphicData>
            </a:graphic>
          </wp:anchor>
        </w:drawing>
      </w:r>
    </w:p>
    <w:sectPr>
      <w:pgSz w:w="11900" w:h="16838" w:orient="portrait"/>
      <w:cols w:equalWidth="0" w:num="1">
        <w:col w:w="9019"/>
      </w:cols>
      <w:pgMar w:left="1440" w:top="108"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FFF902"/>
    <w:multiLevelType w:val="hybridMultilevel"/>
    <w:lvl w:ilvl="0">
      <w:lvlJc w:val="left"/>
      <w:lvlText w:val="☑"/>
      <w:numFmt w:val="bullet"/>
      <w:start w:val="1"/>
    </w:lvl>
  </w:abstractNum>
  <w:abstractNum w:abstractNumId="1">
    <w:nsid w:val="684A481A"/>
    <w:multiLevelType w:val="hybridMultilevel"/>
    <w:lvl w:ilvl="0">
      <w:lvlJc w:val="left"/>
      <w:lvlText w:val="☐"/>
      <w:numFmt w:val="bullet"/>
      <w:start w:val="1"/>
    </w:lvl>
  </w:abstractNum>
  <w:abstractNum w:abstractNumId="2">
    <w:nsid w:val="579478FE"/>
    <w:multiLevelType w:val="hybridMultilevel"/>
    <w:lvl w:ilvl="0">
      <w:lvlJc w:val="left"/>
      <w:lvlText w:val="·"/>
      <w:numFmt w:val="bullet"/>
      <w:start w:val="1"/>
    </w:lvl>
  </w:abstractNum>
  <w:abstractNum w:abstractNumId="3">
    <w:nsid w:val="749ABB43"/>
    <w:multiLevelType w:val="hybridMultilevel"/>
    <w:lvl w:ilvl="0">
      <w:lvlJc w:val="left"/>
      <w:lvlText w:val="·"/>
      <w:numFmt w:val="bullet"/>
      <w:start w:val="1"/>
    </w:lvl>
  </w:abstractNum>
  <w:abstractNum w:abstractNumId="4">
    <w:nsid w:val="3DC240FB"/>
    <w:multiLevelType w:val="hybridMultilevel"/>
    <w:lvl w:ilvl="0">
      <w:lvlJc w:val="left"/>
      <w:lvlText w:val="·"/>
      <w:numFmt w:val="bullet"/>
      <w:start w:val="1"/>
    </w:lvl>
  </w:abstractNum>
  <w:abstractNum w:abstractNumId="5">
    <w:nsid w:val="1BA026FA"/>
    <w:multiLevelType w:val="hybridMultilevel"/>
    <w:lvl w:ilvl="0">
      <w:lvlJc w:val="left"/>
      <w:lvlText w:val="·"/>
      <w:numFmt w:val="bullet"/>
      <w:start w:val="1"/>
    </w:lvl>
  </w:abstractNum>
  <w:abstractNum w:abstractNumId="6">
    <w:nsid w:val="79A1DEAA"/>
    <w:multiLevelType w:val="hybridMultilevel"/>
    <w:lvl w:ilvl="0">
      <w:lvlJc w:val="left"/>
      <w:lvlText w:val="·"/>
      <w:numFmt w:val="bullet"/>
      <w:start w:val="1"/>
    </w:lvl>
  </w:abstractNum>
  <w:abstractNum w:abstractNumId="7">
    <w:nsid w:val="75C6C33A"/>
    <w:multiLevelType w:val="hybridMultilevel"/>
    <w:lvl w:ilvl="0">
      <w:lvlJc w:val="left"/>
      <w:lvlText w:val="·"/>
      <w:numFmt w:val="bullet"/>
      <w:start w:val="1"/>
    </w:lvl>
  </w:abstractNum>
  <w:abstractNum w:abstractNumId="8">
    <w:nsid w:val="12E685FB"/>
    <w:multiLevelType w:val="hybridMultilevel"/>
    <w:lvl w:ilvl="0">
      <w:lvlJc w:val="left"/>
      <w:lvlText w:val="·"/>
      <w:numFmt w:val="bullet"/>
      <w:start w:val="1"/>
    </w:lvl>
  </w:abstractNum>
  <w:abstractNum w:abstractNumId="9">
    <w:nsid w:val="70C6A529"/>
    <w:multiLevelType w:val="hybridMultilevel"/>
    <w:lvl w:ilvl="0">
      <w:lvlJc w:val="left"/>
      <w:lvlText w:val="·"/>
      <w:numFmt w:val="bullet"/>
      <w:start w:val="1"/>
    </w:lvl>
  </w:abstractNum>
  <w:abstractNum w:abstractNumId="10">
    <w:nsid w:val="520EEDD1"/>
    <w:multiLevelType w:val="hybridMultilevel"/>
    <w:lvl w:ilvl="0">
      <w:lvlJc w:val="left"/>
      <w:lvlText w:val="·"/>
      <w:numFmt w:val="bullet"/>
      <w:start w:val="1"/>
    </w:lvl>
  </w:abstractNum>
  <w:abstractNum w:abstractNumId="11">
    <w:nsid w:val="374A3FE6"/>
    <w:multiLevelType w:val="hybridMultilevel"/>
    <w:lvl w:ilvl="0">
      <w:lvlJc w:val="left"/>
      <w:lvlText w:val="(%1)"/>
      <w:numFmt w:val="lowerRoman"/>
      <w:start w:val="2"/>
    </w:lvl>
  </w:abstractNum>
  <w:abstractNum w:abstractNumId="12">
    <w:nsid w:val="4F4EF005"/>
    <w:multiLevelType w:val="hybridMultilevel"/>
    <w:lvl w:ilvl="0">
      <w:lvlJc w:val="left"/>
      <w:lvlText w:val="·"/>
      <w:numFmt w:val="bullet"/>
      <w:start w:val="1"/>
    </w:lvl>
  </w:abstractNum>
  <w:abstractNum w:abstractNumId="13">
    <w:nsid w:val="23F9C13C"/>
    <w:multiLevelType w:val="hybridMultilevel"/>
    <w:lvl w:ilvl="0">
      <w:lvlJc w:val="left"/>
      <w:lvlText w:val="·"/>
      <w:numFmt w:val="bullet"/>
      <w:start w:val="1"/>
    </w:lvl>
  </w:abstractNum>
  <w:abstractNum w:abstractNumId="14">
    <w:nsid w:val="649BB77C"/>
    <w:multiLevelType w:val="hybridMultilevel"/>
    <w:lvl w:ilvl="0">
      <w:lvlJc w:val="left"/>
      <w:lvlText w:val="·"/>
      <w:numFmt w:val="bullet"/>
      <w:start w:val="1"/>
    </w:lvl>
  </w:abstractNum>
  <w:abstractNum w:abstractNumId="15">
    <w:nsid w:val="275AC794"/>
    <w:multiLevelType w:val="hybridMultilevel"/>
    <w:lvl w:ilvl="0">
      <w:lvlJc w:val="left"/>
      <w:lvlText w:val="(%1)"/>
      <w:numFmt w:val="decimal"/>
      <w:start w:val="1"/>
    </w:lvl>
  </w:abstractNum>
  <w:abstractNum w:abstractNumId="16">
    <w:nsid w:val="39386575"/>
    <w:multiLevelType w:val="hybridMultilevel"/>
    <w:lvl w:ilvl="0">
      <w:lvlJc w:val="left"/>
      <w:lvlText w:val="%1."/>
      <w:numFmt w:val="decimal"/>
      <w:start w:val="7"/>
    </w:lvl>
  </w:abstractNum>
  <w:abstractNum w:abstractNumId="17">
    <w:nsid w:val="1CF10FD8"/>
    <w:multiLevelType w:val="hybridMultilevel"/>
    <w:lvl w:ilvl="0">
      <w:lvlJc w:val="left"/>
      <w:lvlText w:val="(%1)"/>
      <w:numFmt w:val="decimal"/>
      <w:start w:val="1"/>
    </w:lvl>
  </w:abstractNum>
  <w:abstractNum w:abstractNumId="18">
    <w:nsid w:val="180115BE"/>
    <w:multiLevelType w:val="hybridMultilevel"/>
    <w:lvl w:ilvl="0">
      <w:lvlJc w:val="left"/>
      <w:lvlText w:val="(%1)"/>
      <w:numFmt w:val="decimal"/>
      <w:start w:val="2"/>
    </w:lvl>
  </w:abstractNum>
  <w:abstractNum w:abstractNumId="19">
    <w:nsid w:val="235BA861"/>
    <w:multiLevelType w:val="hybridMultilevel"/>
    <w:lvl w:ilvl="0">
      <w:lvlJc w:val="left"/>
      <w:lvlText w:val="·"/>
      <w:numFmt w:val="bullet"/>
      <w:start w:val="1"/>
    </w:lvl>
  </w:abstractNum>
  <w:abstractNum w:abstractNumId="20">
    <w:nsid w:val="47398C89"/>
    <w:multiLevelType w:val="hybridMultilevel"/>
    <w:lvl w:ilvl="0">
      <w:lvlJc w:val="left"/>
      <w:lvlText w:val="·"/>
      <w:numFmt w:val="bullet"/>
      <w:start w:val="1"/>
    </w:lvl>
  </w:abstractNum>
  <w:abstractNum w:abstractNumId="21">
    <w:nsid w:val="354FE9F9"/>
    <w:multiLevelType w:val="hybridMultilevel"/>
    <w:lvl w:ilvl="0">
      <w:lvlJc w:val="left"/>
      <w:lvlText w:val="(%1)"/>
      <w:numFmt w:val="lowerLetter"/>
      <w:start w:val="1"/>
    </w:lvl>
  </w:abstractNum>
  <w:abstractNum w:abstractNumId="22">
    <w:nsid w:val="15B5AF5C"/>
    <w:multiLevelType w:val="hybridMultilevel"/>
    <w:lvl w:ilvl="0">
      <w:lvlJc w:val="left"/>
      <w:lvlText w:val="(%1)"/>
      <w:numFmt w:val="lowerLetter"/>
      <w:start w:val="4"/>
    </w:lvl>
  </w:abstractNum>
  <w:abstractNum w:abstractNumId="23">
    <w:nsid w:val="741226BB"/>
    <w:multiLevelType w:val="hybridMultilevel"/>
    <w:lvl w:ilvl="0">
      <w:lvlJc w:val="left"/>
      <w:lvlText w:val="(%1)"/>
      <w:numFmt w:val="decimal"/>
      <w:start w:val="1"/>
    </w:lvl>
  </w:abstractNum>
  <w:abstractNum w:abstractNumId="24">
    <w:nsid w:val="D34B6A8"/>
    <w:multiLevelType w:val="hybridMultilevel"/>
    <w:lvl w:ilvl="0">
      <w:lvlJc w:val="left"/>
      <w:lvlText w:val="(%1)"/>
      <w:numFmt w:val="decimal"/>
      <w:start w:val="1"/>
    </w:lvl>
  </w:abstractNum>
  <w:abstractNum w:abstractNumId="25">
    <w:nsid w:val="10233C99"/>
    <w:multiLevelType w:val="hybridMultilevel"/>
    <w:lvl w:ilvl="0">
      <w:lvlJc w:val="left"/>
      <w:lvlText w:val="(%1)"/>
      <w:numFmt w:val="decimal"/>
      <w:start w:val="1"/>
    </w:lvl>
  </w:abstractNum>
  <w:abstractNum w:abstractNumId="26">
    <w:nsid w:val="3F6AB60F"/>
    <w:multiLevelType w:val="hybridMultilevel"/>
    <w:lvl w:ilvl="0">
      <w:lvlJc w:val="left"/>
      <w:lvlText w:val="·"/>
      <w:numFmt w:val="bullet"/>
      <w:start w:val="1"/>
    </w:lvl>
  </w:abstractNum>
  <w:abstractNum w:abstractNumId="27">
    <w:nsid w:val="61574095"/>
    <w:multiLevelType w:val="hybridMultilevel"/>
    <w:lvl w:ilvl="0">
      <w:lvlJc w:val="left"/>
      <w:lvlText w:val="·"/>
      <w:numFmt w:val="bullet"/>
      <w:start w:val="1"/>
    </w:lvl>
  </w:abstractNum>
  <w:abstractNum w:abstractNumId="28">
    <w:nsid w:val="7E0C57B1"/>
    <w:multiLevelType w:val="hybridMultilevel"/>
    <w:lvl w:ilvl="0">
      <w:lvlJc w:val="left"/>
      <w:lvlText w:val="(%1)"/>
      <w:numFmt w:val="lowerLetter"/>
      <w:start w:val="1"/>
    </w:lvl>
    <w:lvl w:ilvl="1">
      <w:lvlJc w:val="left"/>
      <w:lvlText w:val="(%2)"/>
      <w:numFmt w:val="decimal"/>
      <w:start w:val="1"/>
    </w:lvl>
  </w:abstractNum>
  <w:abstractNum w:abstractNumId="29">
    <w:nsid w:val="77AE35EB"/>
    <w:multiLevelType w:val="hybridMultilevel"/>
    <w:lvl w:ilvl="0">
      <w:lvlJc w:val="left"/>
      <w:lvlText w:val="†"/>
      <w:numFmt w:val="bullet"/>
      <w:start w:val="1"/>
    </w:lvl>
  </w:abstractNum>
  <w:abstractNum w:abstractNumId="30">
    <w:nsid w:val="579BE4F1"/>
    <w:multiLevelType w:val="hybridMultilevel"/>
    <w:lvl w:ilvl="0">
      <w:lvlJc w:val="left"/>
      <w:lvlText w:val="(%1)"/>
      <w:numFmt w:val="lowerRoman"/>
      <w:start w:val="2"/>
    </w:lvl>
  </w:abstractNum>
  <w:abstractNum w:abstractNumId="31">
    <w:nsid w:val="310C50B3"/>
    <w:multiLevelType w:val="hybridMultilevel"/>
    <w:lvl w:ilvl="0">
      <w:lvlJc w:val="left"/>
      <w:lvlText w:val="%1."/>
      <w:numFmt w:val="decimal"/>
      <w:start w:val="2"/>
    </w:lvl>
  </w:abstractNum>
  <w:abstractNum w:abstractNumId="32">
    <w:nsid w:val="5FF87E05"/>
    <w:multiLevelType w:val="hybridMultilevel"/>
    <w:lvl w:ilvl="0">
      <w:lvlJc w:val="left"/>
      <w:lvlText w:val="·"/>
      <w:numFmt w:val="bullet"/>
      <w:start w:val="1"/>
    </w:lvl>
  </w:abstractNum>
  <w:abstractNum w:abstractNumId="33">
    <w:nsid w:val="2F305DEF"/>
    <w:multiLevelType w:val="hybridMultilevel"/>
    <w:lvl w:ilvl="0">
      <w:lvlJc w:val="left"/>
      <w:lvlText w:val="(%1)"/>
      <w:numFmt w:val="lowerLetter"/>
      <w:start w:val="2"/>
    </w:lvl>
  </w:abstractNum>
  <w:abstractNum w:abstractNumId="34">
    <w:nsid w:val="25A70BF7"/>
    <w:multiLevelType w:val="hybridMultilevel"/>
    <w:lvl w:ilvl="0">
      <w:lvlJc w:val="left"/>
      <w:lvlText w:val="·"/>
      <w:numFmt w:val="bullet"/>
      <w:start w:val="1"/>
    </w:lvl>
  </w:abstractNum>
  <w:abstractNum w:abstractNumId="35">
    <w:nsid w:val="1DBABF00"/>
    <w:multiLevelType w:val="hybridMultilevel"/>
    <w:lvl w:ilvl="0">
      <w:lvlJc w:val="left"/>
      <w:lvlText w:val="·"/>
      <w:numFmt w:val="bullet"/>
      <w:start w:val="1"/>
    </w:lvl>
    <w:lvl w:ilvl="1">
      <w:lvlJc w:val="left"/>
      <w:lvlText w:val="(%2)"/>
      <w:numFmt w:val="decimal"/>
      <w:start w:val="2"/>
    </w:lvl>
  </w:abstractNum>
  <w:abstractNum w:abstractNumId="36">
    <w:nsid w:val="4AD084E9"/>
    <w:multiLevelType w:val="hybridMultilevel"/>
    <w:lvl w:ilvl="0">
      <w:lvlJc w:val="left"/>
      <w:lvlText w:val="(%1)"/>
      <w:numFmt w:val="lowerRoman"/>
      <w:start w:val="3"/>
    </w:lvl>
  </w:abstractNum>
  <w:abstractNum w:abstractNumId="37">
    <w:nsid w:val="1F48EAA1"/>
    <w:multiLevelType w:val="hybridMultilevel"/>
    <w:lvl w:ilvl="0">
      <w:lvlJc w:val="left"/>
      <w:lvlText w:val="%1."/>
      <w:numFmt w:val="decimal"/>
      <w:start w:val="10"/>
    </w:lvl>
  </w:abstractNum>
  <w:abstractNum w:abstractNumId="38">
    <w:nsid w:val="1381823A"/>
    <w:multiLevelType w:val="hybridMultilevel"/>
    <w:lvl w:ilvl="0">
      <w:lvlJc w:val="left"/>
      <w:lvlText w:val="$"/>
      <w:numFmt w:val="bullet"/>
      <w:start w:val="1"/>
    </w:lvl>
  </w:abstractNum>
  <w:abstractNum w:abstractNumId="39">
    <w:nsid w:val="5DB70AE5"/>
    <w:multiLevelType w:val="hybridMultilevel"/>
    <w:lvl w:ilvl="0">
      <w:lvlJc w:val="left"/>
      <w:lvlText w:val="$"/>
      <w:numFmt w:val="bullet"/>
      <w:start w:val="1"/>
    </w:lvl>
  </w:abstractNum>
  <w:abstractNum w:abstractNumId="40">
    <w:nsid w:val="100F8FCA"/>
    <w:multiLevelType w:val="hybridMultilevel"/>
    <w:lvl w:ilvl="0">
      <w:lvlJc w:val="left"/>
      <w:lvlText w:val="(%1)"/>
      <w:numFmt w:val="decimal"/>
      <w:start w:val="1"/>
    </w:lvl>
  </w:abstractNum>
  <w:abstractNum w:abstractNumId="41">
    <w:nsid w:val="6590700B"/>
    <w:multiLevelType w:val="hybridMultilevel"/>
    <w:lvl w:ilvl="0">
      <w:lvlJc w:val="left"/>
      <w:lvlText w:val="(%1)"/>
      <w:numFmt w:val="decimal"/>
      <w:start w:val="2"/>
    </w:lvl>
  </w:abstractNum>
  <w:abstractNum w:abstractNumId="42">
    <w:nsid w:val="15014ACB"/>
    <w:multiLevelType w:val="hybridMultilevel"/>
    <w:lvl w:ilvl="0">
      <w:lvlJc w:val="left"/>
      <w:lvlText w:val="%1."/>
      <w:numFmt w:val="decimal"/>
      <w:start w:val="21"/>
    </w:lvl>
  </w:abstractNum>
  <w:abstractNum w:abstractNumId="43">
    <w:nsid w:val="5F5E7FD0"/>
    <w:multiLevelType w:val="hybridMultilevel"/>
    <w:lvl w:ilvl="0">
      <w:lvlJc w:val="left"/>
      <w:lvlText w:val="%1."/>
      <w:numFmt w:val="decimal"/>
      <w:start w:val="1"/>
    </w:lvl>
  </w:abstractNum>
  <w:abstractNum w:abstractNumId="44">
    <w:nsid w:val="98A3148"/>
    <w:multiLevelType w:val="hybridMultilevel"/>
    <w:lvl w:ilvl="0">
      <w:lvlJc w:val="left"/>
      <w:lvlText w:val="(%1)"/>
      <w:numFmt w:val="lowerLetter"/>
      <w:start w:val="1"/>
    </w:lvl>
  </w:abstractNum>
  <w:abstractNum w:abstractNumId="45">
    <w:nsid w:val="799D0247"/>
    <w:multiLevelType w:val="hybridMultilevel"/>
    <w:lvl w:ilvl="0">
      <w:lvlJc w:val="left"/>
      <w:lvlText w:val="%1."/>
      <w:numFmt w:val="decimal"/>
      <w:start w:val="3"/>
    </w:lvl>
  </w:abstractNum>
  <w:abstractNum w:abstractNumId="46">
    <w:nsid w:val="6B94764"/>
    <w:multiLevelType w:val="hybridMultilevel"/>
    <w:lvl w:ilvl="0">
      <w:lvlJc w:val="left"/>
      <w:lvlText w:val="(%1)"/>
      <w:numFmt w:val="lowerLetter"/>
      <w:start w:val="1"/>
    </w:lvl>
  </w:abstractNum>
  <w:abstractNum w:abstractNumId="47">
    <w:nsid w:val="42C296BD"/>
    <w:multiLevelType w:val="hybridMultilevel"/>
    <w:lvl w:ilvl="0">
      <w:lvlJc w:val="left"/>
      <w:lvlText w:val="%1."/>
      <w:numFmt w:val="decimal"/>
      <w:start w:val="4"/>
    </w:lvl>
  </w:abstractNum>
  <w:abstractNum w:abstractNumId="48">
    <w:nsid w:val="168E121F"/>
    <w:multiLevelType w:val="hybridMultilevel"/>
    <w:lvl w:ilvl="0">
      <w:lvlJc w:val="left"/>
      <w:lvlText w:val="(%1)"/>
      <w:numFmt w:val="lowerLetter"/>
      <w:start w:val="1"/>
    </w:lvl>
  </w:abstractNum>
  <w:abstractNum w:abstractNumId="49">
    <w:nsid w:val="1EBA5D23"/>
    <w:multiLevelType w:val="hybridMultilevel"/>
    <w:lvl w:ilvl="0">
      <w:lvlJc w:val="left"/>
      <w:lvlText w:val="(%1)"/>
      <w:numFmt w:val="lowerLetter"/>
      <w:start w:val="2"/>
    </w:lvl>
  </w:abstractNum>
  <w:abstractNum w:abstractNumId="50">
    <w:nsid w:val="661E3F1E"/>
    <w:multiLevelType w:val="hybridMultilevel"/>
    <w:lvl w:ilvl="0">
      <w:lvlJc w:val="left"/>
      <w:lvlText w:val="%1."/>
      <w:numFmt w:val="decimal"/>
      <w:start w:val="5"/>
    </w:lvl>
  </w:abstractNum>
  <w:abstractNum w:abstractNumId="51">
    <w:nsid w:val="5DC79EA8"/>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9"/>
    </w:lvl>
  </w:abstractNum>
  <w:abstractNum w:abstractNumId="52">
    <w:nsid w:val="540A471C"/>
    <w:multiLevelType w:val="hybridMultilevel"/>
    <w:lvl w:ilvl="0">
      <w:lvlJc w:val="left"/>
      <w:lvlText w:val="(%1)"/>
      <w:numFmt w:val="decimal"/>
      <w:start w:val="12"/>
    </w:lvl>
    <w:lvl w:ilvl="1">
      <w:lvlJc w:val="left"/>
      <w:lvlText w:val="%2"/>
      <w:numFmt w:val="lowerLetter"/>
      <w:start w:val="1"/>
    </w:lvl>
    <w:lvl w:ilvl="2">
      <w:lvlJc w:val="left"/>
      <w:lvlText w:val="%3"/>
      <w:numFmt w:val="lowerLetter"/>
      <w:start w:val="1"/>
    </w:lvl>
  </w:abstractNum>
  <w:abstractNum w:abstractNumId="53">
    <w:nsid w:val="7BD3EE7B"/>
    <w:multiLevelType w:val="hybridMultilevel"/>
    <w:lvl w:ilvl="0">
      <w:lvlJc w:val="left"/>
      <w:lvlText w:val="%1"/>
      <w:numFmt w:val="lowerLetter"/>
      <w:start w:val="1"/>
    </w:lvl>
    <w:lvl w:ilvl="1">
      <w:lvlJc w:val="left"/>
      <w:lvlText w:val="(%2)"/>
      <w:numFmt w:val="lowerRoman"/>
      <w:start w:val="2"/>
    </w:lvl>
  </w:abstractNum>
  <w:abstractNum w:abstractNumId="54">
    <w:nsid w:val="51D9C564"/>
    <w:multiLevelType w:val="hybridMultilevel"/>
    <w:lvl w:ilvl="0">
      <w:lvlJc w:val="left"/>
      <w:lvlText w:val="(%1)"/>
      <w:numFmt w:val="lowerLetter"/>
      <w:start w:val="3"/>
    </w:lvl>
    <w:lvl w:ilvl="1">
      <w:lvlJc w:val="left"/>
      <w:lvlText w:val="%2"/>
      <w:numFmt w:val="lowerRoman"/>
      <w:start w:val="1"/>
    </w:lvl>
  </w:abstractNum>
  <w:abstractNum w:abstractNumId="55">
    <w:nsid w:val="613EFDC5"/>
    <w:multiLevelType w:val="hybridMultilevel"/>
    <w:lvl w:ilvl="0">
      <w:lvlJc w:val="left"/>
      <w:lvlText w:val="%1"/>
      <w:numFmt w:val="lowerLetter"/>
      <w:start w:val="1"/>
    </w:lvl>
    <w:lvl w:ilvl="1">
      <w:lvlJc w:val="left"/>
      <w:lvlText w:val="(%2)"/>
      <w:numFmt w:val="lowerLetter"/>
      <w:start w:val="4"/>
    </w:lvl>
    <w:lvl w:ilvl="2">
      <w:lvlJc w:val="left"/>
      <w:lvlText w:val="(%3)"/>
      <w:numFmt w:val="lowerRoman"/>
      <w:start w:val="1"/>
    </w:lvl>
  </w:abstractNum>
  <w:abstractNum w:abstractNumId="56">
    <w:nsid w:val="BF72B14"/>
    <w:multiLevelType w:val="hybridMultilevel"/>
    <w:lvl w:ilvl="0">
      <w:lvlJc w:val="left"/>
      <w:lvlText w:val="(%1)"/>
      <w:numFmt w:val="lowerLetter"/>
      <w:start w:val="25"/>
    </w:lvl>
    <w:lvl w:ilvl="1">
      <w:lvlJc w:val="left"/>
      <w:lvlText w:val="%2"/>
      <w:numFmt w:val="lowerLetter"/>
      <w:start w:val="1"/>
    </w:lvl>
    <w:lvl w:ilvl="2">
      <w:lvlJc w:val="left"/>
      <w:lvlText w:val="%3"/>
      <w:numFmt w:val="lowerRoman"/>
      <w:start w:val="1"/>
    </w:lvl>
  </w:abstractNum>
  <w:abstractNum w:abstractNumId="57">
    <w:nsid w:val="11447B73"/>
    <w:multiLevelType w:val="hybridMultilevel"/>
    <w:lvl w:ilvl="0">
      <w:lvlJc w:val="left"/>
      <w:lvlText w:val="(%1)"/>
      <w:numFmt w:val="lowerLetter"/>
      <w:start w:val="22"/>
    </w:lvl>
    <w:lvl w:ilvl="1">
      <w:lvlJc w:val="left"/>
      <w:lvlText w:val="%2"/>
      <w:numFmt w:val="lowerLetter"/>
      <w:start w:val="1"/>
    </w:lvl>
    <w:lvl w:ilvl="2">
      <w:lvlJc w:val="left"/>
      <w:lvlText w:val="(%3)"/>
      <w:numFmt w:val="lowerRoman"/>
      <w:start w:val="3"/>
    </w:lvl>
  </w:abstractNum>
  <w:abstractNum w:abstractNumId="58">
    <w:nsid w:val="42963E5A"/>
    <w:multiLevelType w:val="hybridMultilevel"/>
    <w:lvl w:ilvl="0">
      <w:lvlJc w:val="left"/>
      <w:lvlText w:val="%1"/>
      <w:numFmt w:val="lowerLetter"/>
      <w:start w:val="1"/>
    </w:lvl>
    <w:lvl w:ilvl="1">
      <w:lvlJc w:val="left"/>
      <w:lvlText w:val="(%2)"/>
      <w:numFmt w:val="lowerRoman"/>
      <w:start w:val="6"/>
    </w:lvl>
  </w:abstractNum>
  <w:abstractNum w:abstractNumId="59">
    <w:nsid w:val="A0382C5"/>
    <w:multiLevelType w:val="hybridMultilevel"/>
    <w:lvl w:ilvl="0">
      <w:lvlJc w:val="left"/>
      <w:lvlText w:val="(%1)"/>
      <w:numFmt w:val="lowerLetter"/>
      <w:start w:val="5"/>
    </w:lvl>
    <w:lvl w:ilvl="1">
      <w:lvlJc w:val="left"/>
      <w:lvlText w:val="%2"/>
      <w:numFmt w:val="lowerRoman"/>
      <w:start w:val="1"/>
    </w:lvl>
  </w:abstractNum>
  <w:abstractNum w:abstractNumId="60">
    <w:nsid w:val="8F2B15E"/>
    <w:multiLevelType w:val="hybridMultilevel"/>
    <w:lvl w:ilvl="0">
      <w:lvlJc w:val="left"/>
      <w:lvlText w:val="%1."/>
      <w:numFmt w:val="decimal"/>
      <w:start w:val="6"/>
    </w:lvl>
  </w:abstractNum>
  <w:abstractNum w:abstractNumId="61">
    <w:nsid w:val="1A32234B"/>
    <w:multiLevelType w:val="hybridMultilevel"/>
    <w:lvl w:ilvl="0">
      <w:lvlJc w:val="left"/>
      <w:lvlText w:val="(%1)"/>
      <w:numFmt w:val="lowerLetter"/>
      <w:start w:val="1"/>
    </w:lvl>
  </w:abstractNum>
  <w:abstractNum w:abstractNumId="62">
    <w:nsid w:val="3B0FD379"/>
    <w:multiLevelType w:val="hybridMultilevel"/>
    <w:lvl w:ilvl="0">
      <w:lvlJc w:val="left"/>
      <w:lvlText w:val="(%1)"/>
      <w:numFmt w:val="lowerLetter"/>
      <w:start w:val="2"/>
    </w:lvl>
    <w:lvl w:ilvl="1">
      <w:lvlJc w:val="left"/>
      <w:lvlText w:val="(%2)"/>
      <w:numFmt w:val="lowerRoman"/>
      <w:start w:val="1"/>
    </w:lvl>
  </w:abstractNum>
  <w:abstractNum w:abstractNumId="63">
    <w:nsid w:val="68EB2F63"/>
    <w:multiLevelType w:val="hybridMultilevel"/>
    <w:lvl w:ilvl="0">
      <w:lvlJc w:val="left"/>
      <w:lvlText w:val="(%1)"/>
      <w:numFmt w:val="lowerLetter"/>
      <w:start w:val="3"/>
    </w:lvl>
  </w:abstractNum>
  <w:abstractNum w:abstractNumId="64">
    <w:nsid w:val="4962813B"/>
    <w:multiLevelType w:val="hybridMultilevel"/>
    <w:lvl w:ilvl="0">
      <w:lvlJc w:val="left"/>
      <w:lvlText w:val="(%1)"/>
      <w:numFmt w:val="lowerLetter"/>
      <w:start w:val="7"/>
    </w:lvl>
  </w:abstractNum>
  <w:abstractNum w:abstractNumId="65">
    <w:nsid w:val="60B6DF70"/>
    <w:multiLevelType w:val="hybridMultilevel"/>
    <w:lvl w:ilvl="0">
      <w:lvlJc w:val="left"/>
      <w:lvlText w:val="%1."/>
      <w:numFmt w:val="decimal"/>
      <w:start w:val="7"/>
    </w:lvl>
  </w:abstractNum>
  <w:abstractNum w:abstractNumId="66">
    <w:nsid w:val="6A5EE64"/>
    <w:multiLevelType w:val="hybridMultilevel"/>
    <w:lvl w:ilvl="0">
      <w:lvlJc w:val="left"/>
      <w:lvlText w:val="%1."/>
      <w:numFmt w:val="decimal"/>
      <w:start w:val="8"/>
    </w:lvl>
  </w:abstractNum>
  <w:abstractNum w:abstractNumId="67">
    <w:nsid w:val="14330624"/>
    <w:multiLevelType w:val="hybridMultilevel"/>
    <w:lvl w:ilvl="0">
      <w:lvlJc w:val="left"/>
      <w:lvlText w:val="%1."/>
      <w:numFmt w:val="decimal"/>
      <w:start w:val="9"/>
    </w:lvl>
  </w:abstractNum>
  <w:abstractNum w:abstractNumId="68">
    <w:nsid w:val="7FFFCA11"/>
    <w:multiLevelType w:val="hybridMultilevel"/>
    <w:lvl w:ilvl="0">
      <w:lvlJc w:val="left"/>
      <w:lvlText w:val="%1."/>
      <w:numFmt w:val="decimal"/>
      <w:start w:val="10"/>
    </w:lvl>
  </w:abstractNum>
  <w:abstractNum w:abstractNumId="69">
    <w:nsid w:val="1A27709E"/>
    <w:multiLevelType w:val="hybridMultilevel"/>
    <w:lvl w:ilvl="0">
      <w:lvlJc w:val="left"/>
      <w:lvlText w:val="(%1)"/>
      <w:numFmt w:val="lowerLetter"/>
      <w:start w:val="1"/>
    </w:lvl>
  </w:abstractNum>
  <w:abstractNum w:abstractNumId="70">
    <w:nsid w:val="71EA1109"/>
    <w:multiLevelType w:val="hybridMultilevel"/>
    <w:lvl w:ilvl="0">
      <w:lvlJc w:val="left"/>
      <w:lvlText w:val="%1."/>
      <w:numFmt w:val="decimal"/>
      <w:start w:val="11"/>
    </w:lvl>
  </w:abstractNum>
  <w:abstractNum w:abstractNumId="71">
    <w:nsid w:val="100F59DC"/>
    <w:multiLevelType w:val="hybridMultilevel"/>
    <w:lvl w:ilvl="0">
      <w:lvlJc w:val="left"/>
      <w:lvlText w:val="%1."/>
      <w:numFmt w:val="decimal"/>
      <w:start w:val="12"/>
    </w:lvl>
  </w:abstractNum>
  <w:abstractNum w:abstractNumId="72">
    <w:nsid w:val="7FB7E0AA"/>
    <w:multiLevelType w:val="hybridMultilevel"/>
    <w:lvl w:ilvl="0">
      <w:lvlJc w:val="left"/>
      <w:lvlText w:val="%1."/>
      <w:numFmt w:val="decimal"/>
      <w:start w:val="13"/>
    </w:lvl>
  </w:abstractNum>
  <w:abstractNum w:abstractNumId="73">
    <w:nsid w:val="6EB5BD4"/>
    <w:multiLevelType w:val="hybridMultilevel"/>
    <w:lvl w:ilvl="0">
      <w:lvlJc w:val="left"/>
      <w:lvlText w:val="%1."/>
      <w:numFmt w:val="decimal"/>
      <w:start w:val="14"/>
    </w:lvl>
  </w:abstractNum>
  <w:abstractNum w:abstractNumId="74">
    <w:nsid w:val="6F6DD9AC"/>
    <w:multiLevelType w:val="hybridMultilevel"/>
    <w:lvl w:ilvl="0">
      <w:lvlJc w:val="left"/>
      <w:lvlText w:val="%1."/>
      <w:numFmt w:val="decimal"/>
      <w:start w:val="15"/>
    </w:lvl>
  </w:abstractNum>
  <w:abstractNum w:abstractNumId="75">
    <w:nsid w:val="94211F2"/>
    <w:multiLevelType w:val="hybridMultilevel"/>
    <w:lvl w:ilvl="0">
      <w:lvlJc w:val="left"/>
      <w:lvlText w:val="%1."/>
      <w:numFmt w:val="decimal"/>
      <w:start w:val="16"/>
    </w:lvl>
  </w:abstractNum>
  <w:abstractNum w:abstractNumId="76">
    <w:nsid w:val="885E1B"/>
    <w:multiLevelType w:val="hybridMultilevel"/>
    <w:lvl w:ilvl="0">
      <w:lvlJc w:val="left"/>
      <w:lvlText w:val="(%1)"/>
      <w:numFmt w:val="lowerLetter"/>
      <w:start w:val="1"/>
    </w:lvl>
  </w:abstractNum>
  <w:abstractNum w:abstractNumId="77">
    <w:nsid w:val="76272110"/>
    <w:multiLevelType w:val="hybridMultilevel"/>
    <w:lvl w:ilvl="0">
      <w:lvlJc w:val="left"/>
      <w:lvlText w:val="(%1)"/>
      <w:numFmt w:val="lowerLetter"/>
      <w:start w:val="2"/>
    </w:lvl>
  </w:abstractNum>
  <w:abstractNum w:abstractNumId="78">
    <w:nsid w:val="4C04A8AF"/>
    <w:multiLevelType w:val="hybridMultilevel"/>
    <w:lvl w:ilvl="0">
      <w:lvlJc w:val="left"/>
      <w:lvlText w:val="%1."/>
      <w:numFmt w:val="decimal"/>
      <w:start w:val="17"/>
    </w:lvl>
  </w:abstractNum>
  <w:abstractNum w:abstractNumId="79">
    <w:nsid w:val="1716703B"/>
    <w:multiLevelType w:val="hybridMultilevel"/>
    <w:lvl w:ilvl="0">
      <w:lvlJc w:val="left"/>
      <w:lvlText w:val="%1."/>
      <w:numFmt w:val="decimal"/>
      <w:start w:val="18"/>
    </w:lvl>
  </w:abstractNum>
  <w:abstractNum w:abstractNumId="80">
    <w:nsid w:val="14E17E33"/>
    <w:multiLevelType w:val="hybridMultilevel"/>
    <w:lvl w:ilvl="0">
      <w:lvlJc w:val="left"/>
      <w:lvlText w:val="·"/>
      <w:numFmt w:val="bullet"/>
      <w:start w:val="1"/>
    </w:lvl>
  </w:abstractNum>
  <w:abstractNum w:abstractNumId="81">
    <w:nsid w:val="3222E7CD"/>
    <w:multiLevelType w:val="hybridMultilevel"/>
    <w:lvl w:ilvl="0">
      <w:lvlJc w:val="left"/>
      <w:lvlText w:val="(%1)"/>
      <w:numFmt w:val="lowerLetter"/>
      <w:start w:val="1"/>
    </w:lvl>
  </w:abstractNum>
  <w:abstractNum w:abstractNumId="82">
    <w:nsid w:val="74DE0EE3"/>
    <w:multiLevelType w:val="hybridMultilevel"/>
    <w:lvl w:ilvl="0">
      <w:lvlJc w:val="left"/>
      <w:lvlText w:val="(%1)"/>
      <w:numFmt w:val="lowerRoman"/>
      <w:start w:val="4"/>
    </w:lvl>
  </w:abstractNum>
  <w:abstractNum w:abstractNumId="83">
    <w:nsid w:val="68EBC550"/>
    <w:multiLevelType w:val="hybridMultilevel"/>
    <w:lvl w:ilvl="0">
      <w:lvlJc w:val="left"/>
      <w:lvlText w:val="(%1)"/>
      <w:numFmt w:val="lowerLetter"/>
      <w:start w:val="1"/>
    </w:lvl>
    <w:lvl w:ilvl="1">
      <w:lvlJc w:val="left"/>
      <w:lvlText w:val="(%2)"/>
      <w:numFmt w:val="lowerRoman"/>
      <w:start w:val="1"/>
    </w:lvl>
  </w:abstractNum>
  <w:abstractNum w:abstractNumId="84">
    <w:nsid w:val="2DF6D648"/>
    <w:multiLevelType w:val="hybridMultilevel"/>
    <w:lvl w:ilvl="0">
      <w:lvlJc w:val="left"/>
      <w:lvlText w:val="(%1)"/>
      <w:numFmt w:val="lowerLetter"/>
      <w:start w:val="3"/>
    </w:lvl>
    <w:lvl w:ilvl="1">
      <w:lvlJc w:val="left"/>
      <w:lvlText w:val="(%2)"/>
      <w:numFmt w:val="lowerRoman"/>
      <w:start w:val="1"/>
    </w:lvl>
  </w:abstractNum>
  <w:abstractNum w:abstractNumId="85">
    <w:nsid w:val="46B7D447"/>
    <w:multiLevelType w:val="hybridMultilevel"/>
    <w:lvl w:ilvl="0">
      <w:lvlJc w:val="left"/>
      <w:lvlText w:val="(%1)"/>
      <w:numFmt w:val="lowerLetter"/>
      <w:start w:val="6"/>
    </w:lvl>
  </w:abstractNum>
  <w:abstractNum w:abstractNumId="86">
    <w:nsid w:val="4A2AC315"/>
    <w:multiLevelType w:val="hybridMultilevel"/>
    <w:lvl w:ilvl="0">
      <w:lvlJc w:val="left"/>
      <w:lvlText w:val="(%1)"/>
      <w:numFmt w:val="lowerLetter"/>
      <w:start w:val="1"/>
    </w:lvl>
  </w:abstractNum>
  <w:abstractNum w:abstractNumId="87">
    <w:nsid w:val="39EE015C"/>
    <w:multiLevelType w:val="hybridMultilevel"/>
    <w:lvl w:ilvl="0">
      <w:lvlJc w:val="left"/>
      <w:lvlText w:val="(%1)"/>
      <w:numFmt w:val="lowerLetter"/>
      <w:start w:val="1"/>
    </w:lvl>
  </w:abstractNum>
  <w:abstractNum w:abstractNumId="88">
    <w:nsid w:val="57FC4FBB"/>
    <w:multiLevelType w:val="hybridMultilevel"/>
    <w:lvl w:ilvl="0">
      <w:lvlJc w:val="left"/>
      <w:lvlText w:val="(%1)"/>
      <w:numFmt w:val="lowerLetter"/>
      <w:start w:val="1"/>
    </w:lvl>
  </w:abstractNum>
  <w:abstractNum w:abstractNumId="89">
    <w:nsid w:val="CC1016F"/>
    <w:multiLevelType w:val="hybridMultilevel"/>
    <w:lvl w:ilvl="0">
      <w:lvlJc w:val="left"/>
      <w:lvlText w:val="(%1)"/>
      <w:numFmt w:val="lowerLetter"/>
      <w:start w:val="1"/>
    </w:lvl>
  </w:abstractNum>
  <w:abstractNum w:abstractNumId="90">
    <w:nsid w:val="43F18422"/>
    <w:multiLevelType w:val="hybridMultilevel"/>
    <w:lvl w:ilvl="0">
      <w:lvlJc w:val="left"/>
      <w:lvlText w:val="(%1)"/>
      <w:numFmt w:val="lowerLetter"/>
      <w:start w:val="1"/>
    </w:lvl>
  </w:abstractNum>
  <w:abstractNum w:abstractNumId="91">
    <w:nsid w:val="60EF0119"/>
    <w:multiLevelType w:val="hybridMultilevel"/>
    <w:lvl w:ilvl="0">
      <w:lvlJc w:val="left"/>
      <w:lvlText w:val="(%1)"/>
      <w:numFmt w:val="lowerLetter"/>
      <w:start w:val="2"/>
    </w:lvl>
  </w:abstractNum>
  <w:abstractNum w:abstractNumId="92">
    <w:nsid w:val="26F324BA"/>
    <w:multiLevelType w:val="hybridMultilevel"/>
    <w:lvl w:ilvl="0">
      <w:lvlJc w:val="left"/>
      <w:lvlText w:val="%1."/>
      <w:numFmt w:val="decimal"/>
      <w:start w:val="1"/>
    </w:lvl>
    <w:lvl w:ilvl="1">
      <w:lvlJc w:val="left"/>
      <w:lvlText w:val="%2)"/>
      <w:numFmt w:val="lowerLetter"/>
      <w:start w:val="1"/>
    </w:lvl>
  </w:abstractNum>
  <w:abstractNum w:abstractNumId="93">
    <w:nsid w:val="7F01579B"/>
    <w:multiLevelType w:val="hybridMultilevel"/>
    <w:lvl w:ilvl="0">
      <w:lvlJc w:val="left"/>
      <w:lvlText w:val="%1."/>
      <w:numFmt w:val="decimal"/>
      <w:start w:val="1"/>
    </w:lvl>
    <w:lvl w:ilvl="1">
      <w:lvlJc w:val="left"/>
      <w:lvlText w:val="%2)"/>
      <w:numFmt w:val="lowerLetter"/>
      <w:start w:val="1"/>
    </w:lvl>
  </w:abstractNum>
  <w:abstractNum w:abstractNumId="94">
    <w:nsid w:val="49DA307D"/>
    <w:multiLevelType w:val="hybridMultilevel"/>
    <w:lvl w:ilvl="0">
      <w:lvlJc w:val="left"/>
      <w:lvlText w:val="(%1)"/>
      <w:numFmt w:val="decimal"/>
      <w:start w:val="1"/>
    </w:lvl>
  </w:abstractNum>
  <w:abstractNum w:abstractNumId="95">
    <w:nsid w:val="7055A5F5"/>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jpe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jpe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jpe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21" Type="http://schemas.openxmlformats.org/officeDocument/2006/relationships/image" Target="media/image96.png"/><Relationship Id="rId122" Type="http://schemas.openxmlformats.org/officeDocument/2006/relationships/image" Target="media/image97.png"/><Relationship Id="rId123" Type="http://schemas.openxmlformats.org/officeDocument/2006/relationships/image" Target="media/image98.png"/><Relationship Id="rId124" Type="http://schemas.openxmlformats.org/officeDocument/2006/relationships/image" Target="media/image99.png"/><Relationship Id="rId125" Type="http://schemas.openxmlformats.org/officeDocument/2006/relationships/image" Target="media/image100.png"/><Relationship Id="rId126" Type="http://schemas.openxmlformats.org/officeDocument/2006/relationships/image" Target="media/image101.png"/><Relationship Id="rId127" Type="http://schemas.openxmlformats.org/officeDocument/2006/relationships/image" Target="media/image102.png"/><Relationship Id="rId128" Type="http://schemas.openxmlformats.org/officeDocument/2006/relationships/image" Target="media/image103.png"/><Relationship Id="rId129" Type="http://schemas.openxmlformats.org/officeDocument/2006/relationships/image" Target="media/image104.png"/><Relationship Id="rId130" Type="http://schemas.openxmlformats.org/officeDocument/2006/relationships/image" Target="media/image105.png"/><Relationship Id="rId131" Type="http://schemas.openxmlformats.org/officeDocument/2006/relationships/image" Target="media/image106.png"/><Relationship Id="rId132" Type="http://schemas.openxmlformats.org/officeDocument/2006/relationships/image" Target="media/image107.png"/><Relationship Id="rId133" Type="http://schemas.openxmlformats.org/officeDocument/2006/relationships/image" Target="media/image108.png"/><Relationship Id="rId134" Type="http://schemas.openxmlformats.org/officeDocument/2006/relationships/image" Target="media/image109.png"/><Relationship Id="rId135" Type="http://schemas.openxmlformats.org/officeDocument/2006/relationships/image" Target="media/image110.png"/><Relationship Id="rId136" Type="http://schemas.openxmlformats.org/officeDocument/2006/relationships/image" Target="media/image111.png"/><Relationship Id="rId137" Type="http://schemas.openxmlformats.org/officeDocument/2006/relationships/image" Target="media/image112.png"/><Relationship Id="rId138" Type="http://schemas.openxmlformats.org/officeDocument/2006/relationships/image" Target="media/image113.png"/><Relationship Id="rId139" Type="http://schemas.openxmlformats.org/officeDocument/2006/relationships/image" Target="media/image114.png"/><Relationship Id="rId140" Type="http://schemas.openxmlformats.org/officeDocument/2006/relationships/image" Target="media/image115.png"/><Relationship Id="rId141" Type="http://schemas.openxmlformats.org/officeDocument/2006/relationships/image" Target="media/image116.png"/><Relationship Id="rId142" Type="http://schemas.openxmlformats.org/officeDocument/2006/relationships/image" Target="media/image117.png"/><Relationship Id="rId143" Type="http://schemas.openxmlformats.org/officeDocument/2006/relationships/image" Target="media/image118.png"/><Relationship Id="rId144" Type="http://schemas.openxmlformats.org/officeDocument/2006/relationships/image" Target="media/image119.png"/><Relationship Id="rId145" Type="http://schemas.openxmlformats.org/officeDocument/2006/relationships/image" Target="media/image120.png"/><Relationship Id="rId146" Type="http://schemas.openxmlformats.org/officeDocument/2006/relationships/image" Target="media/image121.png"/><Relationship Id="rId147" Type="http://schemas.openxmlformats.org/officeDocument/2006/relationships/image" Target="media/image122.png"/><Relationship Id="rId148" Type="http://schemas.openxmlformats.org/officeDocument/2006/relationships/image" Target="media/image123.png"/><Relationship Id="rId149" Type="http://schemas.openxmlformats.org/officeDocument/2006/relationships/image" Target="media/image124.png"/><Relationship Id="rId150" Type="http://schemas.openxmlformats.org/officeDocument/2006/relationships/image" Target="media/image125.png"/><Relationship Id="rId151" Type="http://schemas.openxmlformats.org/officeDocument/2006/relationships/image" Target="media/image126.png"/><Relationship Id="rId152" Type="http://schemas.openxmlformats.org/officeDocument/2006/relationships/image" Target="media/image127.png"/><Relationship Id="rId153" Type="http://schemas.openxmlformats.org/officeDocument/2006/relationships/image" Target="media/image128.png"/><Relationship Id="rId154" Type="http://schemas.openxmlformats.org/officeDocument/2006/relationships/image" Target="media/image129.png"/><Relationship Id="rId155" Type="http://schemas.openxmlformats.org/officeDocument/2006/relationships/image" Target="media/image130.png"/><Relationship Id="rId156" Type="http://schemas.openxmlformats.org/officeDocument/2006/relationships/image" Target="media/image131.png"/><Relationship Id="rId157" Type="http://schemas.openxmlformats.org/officeDocument/2006/relationships/image" Target="media/image132.png"/><Relationship Id="rId158" Type="http://schemas.openxmlformats.org/officeDocument/2006/relationships/image" Target="media/image133.png"/><Relationship Id="rId159" Type="http://schemas.openxmlformats.org/officeDocument/2006/relationships/image" Target="media/image134.png"/><Relationship Id="rId160" Type="http://schemas.openxmlformats.org/officeDocument/2006/relationships/image" Target="media/image135.png"/><Relationship Id="rId161" Type="http://schemas.openxmlformats.org/officeDocument/2006/relationships/image" Target="media/image136.png"/><Relationship Id="rId162" Type="http://schemas.openxmlformats.org/officeDocument/2006/relationships/image" Target="media/image137.png"/><Relationship Id="rId163" Type="http://schemas.openxmlformats.org/officeDocument/2006/relationships/image" Target="media/image138.png"/><Relationship Id="rId164" Type="http://schemas.openxmlformats.org/officeDocument/2006/relationships/image" Target="media/image139.png"/><Relationship Id="rId165" Type="http://schemas.openxmlformats.org/officeDocument/2006/relationships/image" Target="media/image140.png"/><Relationship Id="rId166" Type="http://schemas.openxmlformats.org/officeDocument/2006/relationships/image" Target="media/image141.png"/><Relationship Id="rId167" Type="http://schemas.openxmlformats.org/officeDocument/2006/relationships/image" Target="media/image142.png"/><Relationship Id="rId168" Type="http://schemas.openxmlformats.org/officeDocument/2006/relationships/image" Target="media/image143.png"/><Relationship Id="rId169" Type="http://schemas.openxmlformats.org/officeDocument/2006/relationships/image" Target="media/image144.png"/><Relationship Id="rId170" Type="http://schemas.openxmlformats.org/officeDocument/2006/relationships/image" Target="media/image145.png"/><Relationship Id="rId171" Type="http://schemas.openxmlformats.org/officeDocument/2006/relationships/image" Target="media/image146.png"/><Relationship Id="rId172" Type="http://schemas.openxmlformats.org/officeDocument/2006/relationships/image" Target="media/image147.png"/><Relationship Id="rId173" Type="http://schemas.openxmlformats.org/officeDocument/2006/relationships/image" Target="media/image148.png"/><Relationship Id="rId174" Type="http://schemas.openxmlformats.org/officeDocument/2006/relationships/image" Target="media/image149.png"/><Relationship Id="rId175" Type="http://schemas.openxmlformats.org/officeDocument/2006/relationships/image" Target="media/image150.png"/><Relationship Id="rId176" Type="http://schemas.openxmlformats.org/officeDocument/2006/relationships/image" Target="media/image151.png"/><Relationship Id="rId177" Type="http://schemas.openxmlformats.org/officeDocument/2006/relationships/image" Target="media/image152.png"/><Relationship Id="rId178" Type="http://schemas.openxmlformats.org/officeDocument/2006/relationships/image" Target="media/image153.png"/><Relationship Id="rId179" Type="http://schemas.openxmlformats.org/officeDocument/2006/relationships/image" Target="media/image154.png"/><Relationship Id="rId180" Type="http://schemas.openxmlformats.org/officeDocument/2006/relationships/image" Target="media/image155.png"/><Relationship Id="rId181" Type="http://schemas.openxmlformats.org/officeDocument/2006/relationships/image" Target="media/image156.png"/><Relationship Id="rId182" Type="http://schemas.openxmlformats.org/officeDocument/2006/relationships/image" Target="media/image157.png"/><Relationship Id="rId183" Type="http://schemas.openxmlformats.org/officeDocument/2006/relationships/image" Target="media/image158.png"/><Relationship Id="rId184" Type="http://schemas.openxmlformats.org/officeDocument/2006/relationships/image" Target="media/image159.png"/><Relationship Id="rId185" Type="http://schemas.openxmlformats.org/officeDocument/2006/relationships/image" Target="media/image160.png"/><Relationship Id="rId186" Type="http://schemas.openxmlformats.org/officeDocument/2006/relationships/image" Target="media/image161.png"/><Relationship Id="rId187" Type="http://schemas.openxmlformats.org/officeDocument/2006/relationships/image" Target="media/image162.png"/><Relationship Id="rId188" Type="http://schemas.openxmlformats.org/officeDocument/2006/relationships/image" Target="media/image163.png"/><Relationship Id="rId189" Type="http://schemas.openxmlformats.org/officeDocument/2006/relationships/image" Target="media/image164.png"/><Relationship Id="rId190" Type="http://schemas.openxmlformats.org/officeDocument/2006/relationships/image" Target="media/image165.png"/><Relationship Id="rId191" Type="http://schemas.openxmlformats.org/officeDocument/2006/relationships/image" Target="media/image166.png"/><Relationship Id="rId192" Type="http://schemas.openxmlformats.org/officeDocument/2006/relationships/image" Target="media/image167.png"/><Relationship Id="rId193" Type="http://schemas.openxmlformats.org/officeDocument/2006/relationships/image" Target="media/image168.png"/><Relationship Id="rId194" Type="http://schemas.openxmlformats.org/officeDocument/2006/relationships/image" Target="media/image169.png"/><Relationship Id="rId195" Type="http://schemas.openxmlformats.org/officeDocument/2006/relationships/image" Target="media/image170.png"/><Relationship Id="rId196" Type="http://schemas.openxmlformats.org/officeDocument/2006/relationships/image" Target="media/image171.png"/><Relationship Id="rId197" Type="http://schemas.openxmlformats.org/officeDocument/2006/relationships/image" Target="media/image172.png"/><Relationship Id="rId198" Type="http://schemas.openxmlformats.org/officeDocument/2006/relationships/image" Target="media/image173.png"/><Relationship Id="rId199" Type="http://schemas.openxmlformats.org/officeDocument/2006/relationships/image" Target="media/image174.png"/><Relationship Id="rId200" Type="http://schemas.openxmlformats.org/officeDocument/2006/relationships/image" Target="media/image175.png"/><Relationship Id="rId201" Type="http://schemas.openxmlformats.org/officeDocument/2006/relationships/image" Target="media/image176.png"/><Relationship Id="rId202" Type="http://schemas.openxmlformats.org/officeDocument/2006/relationships/image" Target="media/image177.png"/><Relationship Id="rId203" Type="http://schemas.openxmlformats.org/officeDocument/2006/relationships/image" Target="media/image178.png"/><Relationship Id="rId204" Type="http://schemas.openxmlformats.org/officeDocument/2006/relationships/image" Target="media/image179.png"/><Relationship Id="rId205" Type="http://schemas.openxmlformats.org/officeDocument/2006/relationships/image" Target="media/image180.png"/><Relationship Id="rId206" Type="http://schemas.openxmlformats.org/officeDocument/2006/relationships/image" Target="media/image181.png"/><Relationship Id="rId207" Type="http://schemas.openxmlformats.org/officeDocument/2006/relationships/image" Target="media/image182.png"/><Relationship Id="rId208" Type="http://schemas.openxmlformats.org/officeDocument/2006/relationships/image" Target="media/image183.png"/><Relationship Id="rId209" Type="http://schemas.openxmlformats.org/officeDocument/2006/relationships/image" Target="media/image184.png"/><Relationship Id="rId103" Type="http://schemas.openxmlformats.org/officeDocument/2006/relationships/hyperlink" Target="http://www.sec.gov/Archives/edgar/data/1672013/000110465916154194/a16-8395_13ex3d1.htm" TargetMode="External"/><Relationship Id="rId104" Type="http://schemas.openxmlformats.org/officeDocument/2006/relationships/hyperlink" Target="http://www.sec.gov/Archives/edgar/data/1672013/000110465916154194/a16-8395_13ex3d2.htm" TargetMode="External"/><Relationship Id="rId105" Type="http://schemas.openxmlformats.org/officeDocument/2006/relationships/hyperlink" Target="http://www.sec.gov/Archives/edgar/data/1672013/000104746916013875/a2228545zex-10_7.htm" TargetMode="External"/><Relationship Id="rId106" Type="http://schemas.openxmlformats.org/officeDocument/2006/relationships/hyperlink" Target="http://www.sec.gov/Archives/edgar/data/1672013/000104746916013875/a2228545zex-10_8.htm" TargetMode="External"/><Relationship Id="rId107" Type="http://schemas.openxmlformats.org/officeDocument/2006/relationships/hyperlink" Target="http://www.sec.gov/Archives/edgar/data/1672013/000104746916013875/a2228545zex-10_9.htm" TargetMode="External"/><Relationship Id="rId108" Type="http://schemas.openxmlformats.org/officeDocument/2006/relationships/hyperlink" Target="http://www.sec.gov/Archives/edgar/data/1672013/000104746916013875/a2228545zex-10_10.htm" TargetMode="External"/><Relationship Id="rId109" Type="http://schemas.openxmlformats.org/officeDocument/2006/relationships/hyperlink" Target="http://www.sec.gov/Archives/edgar/data/1672013/000104746916015247/a2229535zex-10_11.htm" TargetMode="External"/><Relationship Id="rId110" Type="http://schemas.openxmlformats.org/officeDocument/2006/relationships/hyperlink" Target="http://www.sec.gov/Archives/edgar/data/1672013/000104746916013875/a2228545zex-10_12.htm" TargetMode="External"/><Relationship Id="rId111" Type="http://schemas.openxmlformats.org/officeDocument/2006/relationships/hyperlink" Target="http://www.sec.gov/Archives/edgar/data/1672013/000104746916013875/a2228545zex-10_13.htm" TargetMode="External"/><Relationship Id="rId112" Type="http://schemas.openxmlformats.org/officeDocument/2006/relationships/hyperlink" Target="http://www.sec.gov/Archives/edgar/data/1672013/000104746916013875/a2228545zex-10_14.htm" TargetMode="External"/><Relationship Id="rId113" Type="http://schemas.openxmlformats.org/officeDocument/2006/relationships/hyperlink" Target="http://www.sec.gov/Archives/edgar/data/1672013/000104746916013875/a2228545zex-10_16.htm" TargetMode="External"/><Relationship Id="rId114" Type="http://schemas.openxmlformats.org/officeDocument/2006/relationships/hyperlink" Target="http://www.sec.gov/Archives/edgar/data/1672013/000104746916013875/a2228545zex-10_17.htm" TargetMode="External"/><Relationship Id="rId115" Type="http://schemas.openxmlformats.org/officeDocument/2006/relationships/hyperlink" Target="http://www.sec.gov/Archives/edgar/data/1672013/000104746916014731/a2229205zex-10_18.htm" TargetMode="External"/><Relationship Id="rId116" Type="http://schemas.openxmlformats.org/officeDocument/2006/relationships/hyperlink" Target="http://www.sec.gov/Archives/edgar/data/1672013/000110465916153747/a16-8395_12ex10d1.htm" TargetMode="External"/><Relationship Id="rId117" Type="http://schemas.openxmlformats.org/officeDocument/2006/relationships/hyperlink" Target="http://www.sec.gov/Archives/edgar/data/1672013/000104746916016128/a2229979zex-10_20.htm" TargetMode="External"/><Relationship Id="rId118" Type="http://schemas.openxmlformats.org/officeDocument/2006/relationships/hyperlink" Target="http://www.sec.gov/Archives/edgar/data/1672013/000104746916016128/a2229979zex-10_21.htm" TargetMode="External"/><Relationship Id="rId119" Type="http://schemas.openxmlformats.org/officeDocument/2006/relationships/hyperlink" Target="http://www.sec.gov/Archives/edgar/data/1672013/000110465916152582/a16-20275_1ex4d3.htm" TargetMode="External"/><Relationship Id="rId120" Type="http://schemas.openxmlformats.org/officeDocument/2006/relationships/hyperlink" Target="http://www.sec.gov/Archives/edgar/data/1672013/000155837017004272/golf-20170331ex10166519d.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2020-01-14T16:47:19Z</dcterms:created>
  <dcterms:modified xsi:type="dcterms:W3CDTF">2020-01-14T16:47:19Z</dcterms:modified>
</cp:coreProperties>
</file>