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t>UNITED STATES</w:t>
      </w:r>
    </w:p>
    <w:p>
      <w:pPr>
        <w:jc w:val="center"/>
        <w:ind w:right="-19"/>
        <w:spacing w:after="0" w:line="212" w:lineRule="auto"/>
        <w:rPr>
          <w:sz w:val="20"/>
          <w:szCs w:val="20"/>
          <w:color w:val="auto"/>
        </w:rPr>
      </w:pPr>
      <w:r>
        <w:rPr>
          <w:rFonts w:ascii="Arial" w:cs="Arial" w:eastAsia="Arial" w:hAnsi="Arial"/>
          <w:sz w:val="32"/>
          <w:szCs w:val="32"/>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01"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133"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CURRENT REPORT</w:t>
      </w:r>
    </w:p>
    <w:p>
      <w:pPr>
        <w:jc w:val="center"/>
        <w:ind w:right="-19"/>
        <w:spacing w:after="0" w:line="205" w:lineRule="auto"/>
        <w:rPr>
          <w:sz w:val="20"/>
          <w:szCs w:val="20"/>
          <w:color w:val="auto"/>
        </w:rPr>
      </w:pPr>
      <w:r>
        <w:rPr>
          <w:rFonts w:ascii="Arial" w:cs="Arial" w:eastAsia="Arial" w:hAnsi="Arial"/>
          <w:sz w:val="22"/>
          <w:szCs w:val="22"/>
          <w:b w:val="1"/>
          <w:bCs w:val="1"/>
          <w:color w:val="auto"/>
        </w:rPr>
        <w:t>Pursuant to Section 13 or 15(d)</w:t>
      </w:r>
    </w:p>
    <w:p>
      <w:pPr>
        <w:jc w:val="center"/>
        <w:ind w:right="-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2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November 8, 2017</w:t>
      </w:r>
    </w:p>
    <w:p>
      <w:pPr>
        <w:spacing w:after="0" w:line="102"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Acushnet Holdings Corp.</w:t>
      </w: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98" w:lineRule="exact"/>
        <w:rPr>
          <w:sz w:val="24"/>
          <w:szCs w:val="24"/>
          <w:color w:val="auto"/>
        </w:rPr>
      </w:pPr>
    </w:p>
    <w:tbl>
      <w:tblPr>
        <w:tblLayout w:type="fixed"/>
        <w:tblInd w:w="600" w:type="dxa"/>
        <w:tblCellMar>
          <w:top w:w="0" w:type="dxa"/>
          <w:left w:w="0" w:type="dxa"/>
          <w:bottom w:w="0" w:type="dxa"/>
          <w:right w:w="0" w:type="dxa"/>
        </w:tblCellMar>
      </w:tblPr>
      <w:tr>
        <w:trPr>
          <w:trHeight w:val="207"/>
        </w:trPr>
        <w:tc>
          <w:tcPr>
            <w:tcW w:w="2740" w:type="dxa"/>
            <w:vAlign w:val="bottom"/>
          </w:tcPr>
          <w:p>
            <w:pPr>
              <w:jc w:val="center"/>
              <w:ind w:right="690"/>
              <w:spacing w:after="0"/>
              <w:rPr>
                <w:sz w:val="20"/>
                <w:szCs w:val="20"/>
                <w:color w:val="auto"/>
              </w:rPr>
            </w:pPr>
            <w:r>
              <w:rPr>
                <w:rFonts w:ascii="Arial" w:cs="Arial" w:eastAsia="Arial" w:hAnsi="Arial"/>
                <w:sz w:val="18"/>
                <w:szCs w:val="18"/>
                <w:b w:val="1"/>
                <w:bCs w:val="1"/>
                <w:color w:val="auto"/>
                <w:w w:val="91"/>
              </w:rPr>
              <w:t>Delaware</w:t>
            </w:r>
          </w:p>
        </w:tc>
        <w:tc>
          <w:tcPr>
            <w:tcW w:w="2680" w:type="dxa"/>
            <w:vAlign w:val="bottom"/>
          </w:tcPr>
          <w:p>
            <w:pPr>
              <w:jc w:val="center"/>
              <w:ind w:right="10"/>
              <w:spacing w:after="0"/>
              <w:rPr>
                <w:sz w:val="20"/>
                <w:szCs w:val="20"/>
                <w:color w:val="auto"/>
              </w:rPr>
            </w:pPr>
            <w:r>
              <w:rPr>
                <w:rFonts w:ascii="Arial" w:cs="Arial" w:eastAsia="Arial" w:hAnsi="Arial"/>
                <w:sz w:val="18"/>
                <w:szCs w:val="18"/>
                <w:b w:val="1"/>
                <w:bCs w:val="1"/>
                <w:color w:val="auto"/>
                <w:w w:val="90"/>
              </w:rPr>
              <w:t>001-37935</w:t>
            </w:r>
          </w:p>
        </w:tc>
        <w:tc>
          <w:tcPr>
            <w:tcW w:w="2240" w:type="dxa"/>
            <w:vAlign w:val="bottom"/>
          </w:tcPr>
          <w:p>
            <w:pPr>
              <w:jc w:val="center"/>
              <w:ind w:left="810"/>
              <w:spacing w:after="0"/>
              <w:rPr>
                <w:sz w:val="20"/>
                <w:szCs w:val="20"/>
                <w:color w:val="auto"/>
              </w:rPr>
            </w:pPr>
            <w:r>
              <w:rPr>
                <w:rFonts w:ascii="Arial" w:cs="Arial" w:eastAsia="Arial" w:hAnsi="Arial"/>
                <w:sz w:val="18"/>
                <w:szCs w:val="18"/>
                <w:b w:val="1"/>
                <w:bCs w:val="1"/>
                <w:color w:val="auto"/>
                <w:w w:val="89"/>
              </w:rPr>
              <w:t>45-5644353</w:t>
            </w:r>
          </w:p>
        </w:tc>
      </w:tr>
      <w:tr>
        <w:trPr>
          <w:trHeight w:val="176"/>
        </w:trPr>
        <w:tc>
          <w:tcPr>
            <w:tcW w:w="2740" w:type="dxa"/>
            <w:vAlign w:val="bottom"/>
          </w:tcPr>
          <w:p>
            <w:pPr>
              <w:jc w:val="center"/>
              <w:ind w:right="690"/>
              <w:spacing w:after="0" w:line="176" w:lineRule="exact"/>
              <w:rPr>
                <w:sz w:val="20"/>
                <w:szCs w:val="20"/>
                <w:color w:val="auto"/>
              </w:rPr>
            </w:pPr>
            <w:r>
              <w:rPr>
                <w:rFonts w:ascii="Arial" w:cs="Arial" w:eastAsia="Arial" w:hAnsi="Arial"/>
                <w:sz w:val="18"/>
                <w:szCs w:val="18"/>
                <w:color w:val="auto"/>
                <w:w w:val="91"/>
              </w:rPr>
              <w:t>(State or Other Jurisdiction</w:t>
            </w:r>
          </w:p>
        </w:tc>
        <w:tc>
          <w:tcPr>
            <w:tcW w:w="2680" w:type="dxa"/>
            <w:vAlign w:val="bottom"/>
          </w:tcPr>
          <w:p>
            <w:pPr>
              <w:jc w:val="center"/>
              <w:ind w:right="10"/>
              <w:spacing w:after="0" w:line="176" w:lineRule="exact"/>
              <w:rPr>
                <w:sz w:val="20"/>
                <w:szCs w:val="20"/>
                <w:color w:val="auto"/>
              </w:rPr>
            </w:pPr>
            <w:r>
              <w:rPr>
                <w:rFonts w:ascii="Arial" w:cs="Arial" w:eastAsia="Arial" w:hAnsi="Arial"/>
                <w:sz w:val="18"/>
                <w:szCs w:val="18"/>
                <w:color w:val="auto"/>
                <w:w w:val="93"/>
              </w:rPr>
              <w:t>(Commission</w:t>
            </w:r>
          </w:p>
        </w:tc>
        <w:tc>
          <w:tcPr>
            <w:tcW w:w="2240" w:type="dxa"/>
            <w:vAlign w:val="bottom"/>
          </w:tcPr>
          <w:p>
            <w:pPr>
              <w:jc w:val="center"/>
              <w:ind w:left="810"/>
              <w:spacing w:after="0" w:line="176" w:lineRule="exact"/>
              <w:rPr>
                <w:sz w:val="20"/>
                <w:szCs w:val="20"/>
                <w:color w:val="auto"/>
              </w:rPr>
            </w:pPr>
            <w:r>
              <w:rPr>
                <w:rFonts w:ascii="Arial" w:cs="Arial" w:eastAsia="Arial" w:hAnsi="Arial"/>
                <w:sz w:val="18"/>
                <w:szCs w:val="18"/>
                <w:color w:val="auto"/>
                <w:w w:val="93"/>
              </w:rPr>
              <w:t>(IRS Employer</w:t>
            </w:r>
          </w:p>
        </w:tc>
      </w:tr>
      <w:tr>
        <w:trPr>
          <w:trHeight w:val="230"/>
        </w:trPr>
        <w:tc>
          <w:tcPr>
            <w:tcW w:w="2740" w:type="dxa"/>
            <w:vAlign w:val="bottom"/>
          </w:tcPr>
          <w:p>
            <w:pPr>
              <w:jc w:val="center"/>
              <w:ind w:right="690"/>
              <w:spacing w:after="0"/>
              <w:rPr>
                <w:sz w:val="20"/>
                <w:szCs w:val="20"/>
                <w:color w:val="auto"/>
              </w:rPr>
            </w:pPr>
            <w:r>
              <w:rPr>
                <w:rFonts w:ascii="Arial" w:cs="Arial" w:eastAsia="Arial" w:hAnsi="Arial"/>
                <w:sz w:val="18"/>
                <w:szCs w:val="18"/>
                <w:color w:val="auto"/>
                <w:w w:val="94"/>
              </w:rPr>
              <w:t>of Incorporation)</w:t>
            </w:r>
          </w:p>
        </w:tc>
        <w:tc>
          <w:tcPr>
            <w:tcW w:w="2680" w:type="dxa"/>
            <w:vAlign w:val="bottom"/>
          </w:tcPr>
          <w:p>
            <w:pPr>
              <w:jc w:val="center"/>
              <w:ind w:right="10"/>
              <w:spacing w:after="0"/>
              <w:rPr>
                <w:sz w:val="20"/>
                <w:szCs w:val="20"/>
                <w:color w:val="auto"/>
              </w:rPr>
            </w:pPr>
            <w:r>
              <w:rPr>
                <w:rFonts w:ascii="Arial" w:cs="Arial" w:eastAsia="Arial" w:hAnsi="Arial"/>
                <w:sz w:val="18"/>
                <w:szCs w:val="18"/>
                <w:color w:val="auto"/>
                <w:w w:val="94"/>
              </w:rPr>
              <w:t>File Number)</w:t>
            </w:r>
          </w:p>
        </w:tc>
        <w:tc>
          <w:tcPr>
            <w:tcW w:w="2240" w:type="dxa"/>
            <w:vAlign w:val="bottom"/>
          </w:tcPr>
          <w:p>
            <w:pPr>
              <w:jc w:val="center"/>
              <w:ind w:left="810"/>
              <w:spacing w:after="0"/>
              <w:rPr>
                <w:sz w:val="20"/>
                <w:szCs w:val="20"/>
                <w:color w:val="auto"/>
              </w:rPr>
            </w:pPr>
            <w:r>
              <w:rPr>
                <w:rFonts w:ascii="Arial" w:cs="Arial" w:eastAsia="Arial" w:hAnsi="Arial"/>
                <w:sz w:val="18"/>
                <w:szCs w:val="18"/>
                <w:color w:val="auto"/>
                <w:w w:val="95"/>
              </w:rPr>
              <w:t>Identification No.)</w:t>
            </w:r>
          </w:p>
        </w:tc>
      </w:tr>
    </w:tbl>
    <w:p>
      <w:pPr>
        <w:spacing w:after="0" w:line="10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333 Bridge Street</w:t>
      </w:r>
    </w:p>
    <w:p>
      <w:pPr>
        <w:jc w:val="center"/>
        <w:ind w:right="-19"/>
        <w:spacing w:after="0" w:line="203" w:lineRule="auto"/>
        <w:rPr>
          <w:sz w:val="20"/>
          <w:szCs w:val="20"/>
          <w:color w:val="auto"/>
        </w:rPr>
      </w:pPr>
      <w:r>
        <w:rPr>
          <w:rFonts w:ascii="Arial" w:cs="Arial" w:eastAsia="Arial" w:hAnsi="Arial"/>
          <w:sz w:val="18"/>
          <w:szCs w:val="18"/>
          <w:b w:val="1"/>
          <w:bCs w:val="1"/>
          <w:color w:val="auto"/>
        </w:rPr>
        <w:t>Fairhaven, Massachusetts 02719</w:t>
      </w:r>
    </w:p>
    <w:p>
      <w:pPr>
        <w:jc w:val="center"/>
        <w:ind w:right="-19"/>
        <w:spacing w:after="0"/>
        <w:rPr>
          <w:sz w:val="20"/>
          <w:szCs w:val="20"/>
          <w:color w:val="auto"/>
        </w:rPr>
      </w:pPr>
      <w:r>
        <w:rPr>
          <w:rFonts w:ascii="Arial" w:cs="Arial" w:eastAsia="Arial" w:hAnsi="Arial"/>
          <w:sz w:val="18"/>
          <w:szCs w:val="18"/>
          <w:color w:val="auto"/>
        </w:rPr>
        <w:t>(Address of Principal Executive Offices) (Zip Code)</w:t>
      </w:r>
    </w:p>
    <w:p>
      <w:pPr>
        <w:spacing w:after="0" w:line="113" w:lineRule="exact"/>
        <w:rPr>
          <w:sz w:val="24"/>
          <w:szCs w:val="24"/>
          <w:color w:val="auto"/>
        </w:rPr>
      </w:pPr>
    </w:p>
    <w:p>
      <w:pPr>
        <w:jc w:val="center"/>
        <w:ind w:right="-19"/>
        <w:spacing w:after="0" w:line="207" w:lineRule="exact"/>
        <w:rPr>
          <w:sz w:val="20"/>
          <w:szCs w:val="20"/>
          <w:color w:val="auto"/>
        </w:rPr>
      </w:pPr>
      <w:r>
        <w:rPr>
          <w:rFonts w:ascii="Arial" w:cs="Arial" w:eastAsia="Arial" w:hAnsi="Arial"/>
          <w:sz w:val="18"/>
          <w:szCs w:val="18"/>
          <w:b w:val="1"/>
          <w:bCs w:val="1"/>
          <w:color w:val="auto"/>
        </w:rPr>
        <w:t>(800) 225</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8500</w:t>
      </w:r>
    </w:p>
    <w:p>
      <w:pPr>
        <w:jc w:val="center"/>
        <w:ind w:right="-19"/>
        <w:spacing w:after="0"/>
        <w:rPr>
          <w:sz w:val="20"/>
          <w:szCs w:val="20"/>
          <w:color w:val="auto"/>
        </w:rPr>
      </w:pPr>
      <w:r>
        <w:rPr>
          <w:rFonts w:ascii="Arial" w:cs="Arial" w:eastAsia="Arial" w:hAnsi="Arial"/>
          <w:sz w:val="18"/>
          <w:szCs w:val="18"/>
          <w:color w:val="auto"/>
        </w:rPr>
        <w:t>(Registrant’s Telephone Number, Including Area Code)</w:t>
      </w:r>
    </w:p>
    <w:p>
      <w:pPr>
        <w:spacing w:after="0" w:line="11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Not Applicable</w:t>
      </w:r>
    </w:p>
    <w:p>
      <w:pPr>
        <w:jc w:val="center"/>
        <w:ind w:right="-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128" w:lineRule="exact"/>
        <w:rPr>
          <w:sz w:val="24"/>
          <w:szCs w:val="24"/>
          <w:color w:val="auto"/>
        </w:rPr>
      </w:pPr>
    </w:p>
    <w:p>
      <w:pPr>
        <w:ind w:right="440"/>
        <w:spacing w:after="0" w:line="23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06" w:lineRule="exact"/>
        <w:rPr>
          <w:sz w:val="24"/>
          <w:szCs w:val="24"/>
          <w:color w:val="auto"/>
        </w:rPr>
      </w:pPr>
    </w:p>
    <w:p>
      <w:pPr>
        <w:ind w:left="340" w:hanging="337"/>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ind w:left="340" w:hanging="337"/>
        <w:spacing w:after="0" w:line="203" w:lineRule="auto"/>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ind w:left="340" w:hanging="337"/>
        <w:spacing w:after="0" w:line="215" w:lineRule="auto"/>
        <w:tabs>
          <w:tab w:leader="none" w:pos="34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Pre-commencement communications pursuant to Rule 14d-2(b) under the Exchange Act (17 CFR 240.14d-2(b))</w:t>
      </w:r>
    </w:p>
    <w:p>
      <w:pPr>
        <w:ind w:left="340" w:hanging="337"/>
        <w:spacing w:after="0"/>
        <w:tabs>
          <w:tab w:leader="none" w:pos="34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Pre-commencement communications pursuant to Rule 13e-4(c) under the Exchange Act (17 CFR 240.13e-4(c))</w:t>
      </w:r>
    </w:p>
    <w:p>
      <w:pPr>
        <w:spacing w:after="0" w:line="140" w:lineRule="exact"/>
        <w:rPr>
          <w:sz w:val="24"/>
          <w:szCs w:val="24"/>
          <w:color w:val="auto"/>
        </w:rPr>
      </w:pPr>
    </w:p>
    <w:p>
      <w:pPr>
        <w:spacing w:after="0" w:line="289" w:lineRule="auto"/>
        <w:rPr>
          <w:sz w:val="20"/>
          <w:szCs w:val="20"/>
          <w:color w:val="auto"/>
        </w:rPr>
      </w:pPr>
      <w:r>
        <w:rPr>
          <w:rFonts w:ascii="Arial" w:cs="Arial" w:eastAsia="Arial" w:hAnsi="Arial"/>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51"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77" w:lineRule="exact"/>
        <w:rPr>
          <w:sz w:val="24"/>
          <w:szCs w:val="24"/>
          <w:color w:val="auto"/>
        </w:rPr>
      </w:pPr>
    </w:p>
    <w:p>
      <w:pPr>
        <w:ind w:right="60"/>
        <w:spacing w:after="0" w:line="201"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356870</wp:posOffset>
            </wp:positionV>
            <wp:extent cx="575437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85" w:right="14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48" w:lineRule="exact"/>
        <w:rPr>
          <w:sz w:val="20"/>
          <w:szCs w:val="20"/>
          <w:color w:val="auto"/>
        </w:rPr>
      </w:pPr>
    </w:p>
    <w:p>
      <w:pPr>
        <w:ind w:right="20" w:firstLine="648"/>
        <w:spacing w:after="0" w:line="224" w:lineRule="auto"/>
        <w:rPr>
          <w:sz w:val="20"/>
          <w:szCs w:val="20"/>
          <w:color w:val="auto"/>
        </w:rPr>
      </w:pPr>
      <w:r>
        <w:rPr>
          <w:rFonts w:ascii="Arial" w:cs="Arial" w:eastAsia="Arial" w:hAnsi="Arial"/>
          <w:sz w:val="18"/>
          <w:szCs w:val="18"/>
          <w:color w:val="auto"/>
        </w:rPr>
        <w:t>On November 8, 2017, Acushnet Holdings Corp. (the “Company”) issued a press release announcing the Company’s results of operations for its third quarter ended September 30, 2017. A copy of the press release is attached to this Current Report on Form 8-K as Exhibit 99.1.</w:t>
      </w:r>
    </w:p>
    <w:p>
      <w:pPr>
        <w:spacing w:after="0" w:line="123" w:lineRule="exact"/>
        <w:rPr>
          <w:sz w:val="20"/>
          <w:szCs w:val="20"/>
          <w:color w:val="auto"/>
        </w:rPr>
      </w:pPr>
    </w:p>
    <w:p>
      <w:pPr>
        <w:ind w:right="80" w:firstLine="648"/>
        <w:spacing w:after="0" w:line="249" w:lineRule="auto"/>
        <w:rPr>
          <w:sz w:val="20"/>
          <w:szCs w:val="20"/>
          <w:color w:val="auto"/>
        </w:rPr>
      </w:pPr>
      <w:r>
        <w:rPr>
          <w:rFonts w:ascii="Arial" w:cs="Arial" w:eastAsia="Arial" w:hAnsi="Arial"/>
          <w:sz w:val="16"/>
          <w:szCs w:val="16"/>
          <w:color w:val="auto"/>
        </w:rPr>
        <w:t>The information contained in this Current Report on Form 8-K and Exhibit 99.1 shall not be deemed “filed” for the purpose of Section 18 of the Securities Exchange Act of 1934, as amended (the “Exchange Act”), or otherwise subject to the liabilities of that section, nor shall it be deemed incorporated by reference in any filing under the Securities Act of 1933, as amended, or the Exchange Act, except as shall be expressly set forth by specific reference in such filing.</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0" w:type="dxa"/>
            <w:vAlign w:val="bottom"/>
            <w:gridSpan w:val="3"/>
          </w:tcPr>
          <w:p>
            <w:pPr>
              <w:jc w:val="center"/>
              <w:spacing w:after="0"/>
              <w:rPr>
                <w:sz w:val="20"/>
                <w:szCs w:val="20"/>
                <w:color w:val="auto"/>
              </w:rPr>
            </w:pPr>
            <w:r>
              <w:rPr>
                <w:rFonts w:ascii="Arial" w:cs="Arial" w:eastAsia="Arial" w:hAnsi="Arial"/>
                <w:sz w:val="14"/>
                <w:szCs w:val="14"/>
                <w:b w:val="1"/>
                <w:bCs w:val="1"/>
                <w:color w:val="auto"/>
                <w:w w:val="98"/>
              </w:rPr>
              <w:t>Exhibit</w:t>
            </w:r>
          </w:p>
        </w:tc>
        <w:tc>
          <w:tcPr>
            <w:tcW w:w="2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6860" w:type="dxa"/>
            <w:vAlign w:val="bottom"/>
            <w:gridSpan w:val="2"/>
            <w:vMerge w:val="restart"/>
          </w:tcPr>
          <w:p>
            <w:pPr>
              <w:ind w:left="232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62"/>
        </w:trPr>
        <w:tc>
          <w:tcPr>
            <w:tcW w:w="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4"/>
                <w:szCs w:val="14"/>
                <w:b w:val="1"/>
                <w:bCs w:val="1"/>
                <w:color w:val="auto"/>
                <w:w w:val="97"/>
              </w:rPr>
              <w:t>No.</w:t>
            </w:r>
          </w:p>
        </w:tc>
        <w:tc>
          <w:tcPr>
            <w:tcW w:w="200" w:type="dxa"/>
            <w:vAlign w:val="bottom"/>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6860" w:type="dxa"/>
            <w:vAlign w:val="bottom"/>
            <w:tcBorders>
              <w:bottom w:val="single" w:sz="8" w:color="auto"/>
            </w:tcBorders>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91"/>
        </w:trPr>
        <w:tc>
          <w:tcPr>
            <w:tcW w:w="500" w:type="dxa"/>
            <w:vAlign w:val="bottom"/>
            <w:gridSpan w:val="3"/>
          </w:tcPr>
          <w:p>
            <w:pPr>
              <w:jc w:val="right"/>
              <w:ind w:right="120"/>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8560" w:type="dxa"/>
            <w:vAlign w:val="bottom"/>
            <w:gridSpan w:val="4"/>
          </w:tcPr>
          <w:p>
            <w:pPr>
              <w:ind w:left="200"/>
              <w:spacing w:after="0"/>
              <w:rPr>
                <w:rFonts w:ascii="Arial" w:cs="Arial" w:eastAsia="Arial" w:hAnsi="Arial"/>
                <w:sz w:val="18"/>
                <w:szCs w:val="18"/>
                <w:color w:val="0000EE"/>
                <w:w w:val="95"/>
              </w:rPr>
            </w:pPr>
            <w:hyperlink w:anchor="page4">
              <w:r>
                <w:rPr>
                  <w:rFonts w:ascii="Arial" w:cs="Arial" w:eastAsia="Arial" w:hAnsi="Arial"/>
                  <w:sz w:val="18"/>
                  <w:szCs w:val="18"/>
                  <w:color w:val="0000EE"/>
                  <w:w w:val="95"/>
                </w:rPr>
                <w:t>Press release of Acushnet Holdings Corp. dated November 8, 2017, announcing results for the quarter ended</w:t>
              </w:r>
            </w:hyperlink>
          </w:p>
        </w:tc>
        <w:tc>
          <w:tcPr>
            <w:tcW w:w="0" w:type="dxa"/>
            <w:vAlign w:val="bottom"/>
          </w:tcPr>
          <w:p>
            <w:pPr>
              <w:spacing w:after="0"/>
              <w:rPr>
                <w:sz w:val="1"/>
                <w:szCs w:val="1"/>
                <w:color w:val="auto"/>
              </w:rPr>
            </w:pPr>
          </w:p>
        </w:tc>
      </w:tr>
      <w:tr>
        <w:trPr>
          <w:trHeight w:val="156"/>
        </w:trPr>
        <w:tc>
          <w:tcPr>
            <w:tcW w:w="80" w:type="dxa"/>
            <w:vAlign w:val="bottom"/>
          </w:tcPr>
          <w:p>
            <w:pPr>
              <w:spacing w:after="0"/>
              <w:rPr>
                <w:sz w:val="13"/>
                <w:szCs w:val="13"/>
                <w:color w:val="auto"/>
              </w:rPr>
            </w:pPr>
          </w:p>
        </w:tc>
        <w:tc>
          <w:tcPr>
            <w:tcW w:w="300" w:type="dxa"/>
            <w:vAlign w:val="bottom"/>
            <w:tcBorders>
              <w:top w:val="single" w:sz="8" w:color="0000EE"/>
            </w:tcBorders>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500" w:type="dxa"/>
            <w:vAlign w:val="bottom"/>
            <w:tcBorders>
              <w:top w:val="single" w:sz="8" w:color="0000EE"/>
              <w:bottom w:val="single" w:sz="8" w:color="0000EE"/>
            </w:tcBorders>
          </w:tcPr>
          <w:p>
            <w:pPr>
              <w:spacing w:after="0" w:line="156" w:lineRule="exact"/>
              <w:rPr>
                <w:rFonts w:ascii="Arial" w:cs="Arial" w:eastAsia="Arial" w:hAnsi="Arial"/>
                <w:sz w:val="18"/>
                <w:szCs w:val="18"/>
                <w:color w:val="0000EE"/>
                <w:w w:val="88"/>
              </w:rPr>
            </w:pPr>
            <w:hyperlink w:anchor="page4">
              <w:r>
                <w:rPr>
                  <w:rFonts w:ascii="Arial" w:cs="Arial" w:eastAsia="Arial" w:hAnsi="Arial"/>
                  <w:sz w:val="18"/>
                  <w:szCs w:val="18"/>
                  <w:color w:val="0000EE"/>
                  <w:w w:val="88"/>
                </w:rPr>
                <w:t>September 30, 2017.</w:t>
              </w:r>
            </w:hyperlink>
          </w:p>
        </w:tc>
        <w:tc>
          <w:tcPr>
            <w:tcW w:w="6320" w:type="dxa"/>
            <w:vAlign w:val="bottom"/>
            <w:tcBorders>
              <w:top w:val="single" w:sz="8" w:color="0000EE"/>
            </w:tcBorders>
          </w:tcPr>
          <w:p>
            <w:pPr>
              <w:spacing w:after="0"/>
              <w:rPr>
                <w:sz w:val="13"/>
                <w:szCs w:val="13"/>
                <w:color w:val="auto"/>
              </w:rPr>
            </w:pPr>
          </w:p>
        </w:tc>
        <w:tc>
          <w:tcPr>
            <w:tcW w:w="5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44"/>
        </w:trPr>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20" w:type="dxa"/>
            <w:vAlign w:val="bottom"/>
            <w:gridSpan w:val="3"/>
          </w:tcPr>
          <w:p>
            <w:pPr>
              <w:jc w:val="right"/>
              <w:ind w:right="3868"/>
              <w:spacing w:after="0"/>
              <w:rPr>
                <w:sz w:val="20"/>
                <w:szCs w:val="20"/>
                <w:color w:val="auto"/>
              </w:rPr>
            </w:pPr>
            <w:r>
              <w:rPr>
                <w:rFonts w:ascii="Arial" w:cs="Arial" w:eastAsia="Arial" w:hAnsi="Arial"/>
                <w:sz w:val="18"/>
                <w:szCs w:val="18"/>
                <w:color w:val="auto"/>
              </w:rPr>
              <w:t>2</w:t>
            </w: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8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500" w:type="dxa"/>
            <w:vAlign w:val="bottom"/>
            <w:tcBorders>
              <w:bottom w:val="single" w:sz="8" w:color="auto"/>
            </w:tcBorders>
          </w:tcPr>
          <w:p>
            <w:pPr>
              <w:spacing w:after="0"/>
              <w:rPr>
                <w:sz w:val="8"/>
                <w:szCs w:val="8"/>
                <w:color w:val="auto"/>
              </w:rPr>
            </w:pPr>
          </w:p>
        </w:tc>
        <w:tc>
          <w:tcPr>
            <w:tcW w:w="632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108" w:right="1419" w:bottom="1440" w:gutter="0" w:footer="0" w:header="0"/>
        </w:sectPr>
      </w:pPr>
    </w:p>
    <w:bookmarkStart w:id="2" w:name="page3"/>
    <w:bookmarkEnd w:id="2"/>
    <w:p>
      <w:pPr>
        <w:jc w:val="center"/>
        <w:ind w:right="-20"/>
        <w:spacing w:after="0"/>
        <w:rPr>
          <w:sz w:val="20"/>
          <w:szCs w:val="20"/>
          <w:color w:val="auto"/>
        </w:rPr>
      </w:pPr>
      <w:r>
        <w:rPr>
          <w:rFonts w:ascii="Arial" w:cs="Arial" w:eastAsia="Arial" w:hAnsi="Arial"/>
          <w:sz w:val="18"/>
          <w:szCs w:val="18"/>
          <w:b w:val="1"/>
          <w:bCs w:val="1"/>
          <w:color w:val="auto"/>
        </w:rPr>
        <w:t>SIGNATURES</w:t>
      </w:r>
    </w:p>
    <w:p>
      <w:pPr>
        <w:spacing w:after="0" w:line="148" w:lineRule="exact"/>
        <w:rPr>
          <w:sz w:val="20"/>
          <w:szCs w:val="20"/>
          <w:color w:val="auto"/>
        </w:rPr>
      </w:pPr>
    </w:p>
    <w:p>
      <w:pPr>
        <w:ind w:right="259" w:firstLine="441"/>
        <w:spacing w:after="0" w:line="235"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21"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ACUSHNET HOLDINGS CORP.</w:t>
      </w:r>
    </w:p>
    <w:p>
      <w:pPr>
        <w:spacing w:after="0" w:line="142" w:lineRule="exact"/>
        <w:rPr>
          <w:sz w:val="20"/>
          <w:szCs w:val="20"/>
          <w:color w:val="auto"/>
        </w:rPr>
      </w:pPr>
    </w:p>
    <w:p>
      <w:pPr>
        <w:ind w:left="4520"/>
        <w:spacing w:after="0"/>
        <w:tabs>
          <w:tab w:leader="none" w:pos="50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William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3217545</wp:posOffset>
            </wp:positionH>
            <wp:positionV relativeFrom="paragraph">
              <wp:posOffset>-635</wp:posOffset>
            </wp:positionV>
            <wp:extent cx="253873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538730" cy="8890"/>
                    </a:xfrm>
                    <a:prstGeom prst="rect">
                      <a:avLst/>
                    </a:prstGeom>
                    <a:noFill/>
                  </pic:spPr>
                </pic:pic>
              </a:graphicData>
            </a:graphic>
          </wp:anchor>
        </w:drawing>
      </w:r>
    </w:p>
    <w:p>
      <w:pPr>
        <w:ind w:left="4520"/>
        <w:spacing w:after="0" w:line="203" w:lineRule="auto"/>
        <w:rPr>
          <w:sz w:val="20"/>
          <w:szCs w:val="20"/>
          <w:color w:val="auto"/>
        </w:rPr>
      </w:pPr>
      <w:r>
        <w:rPr>
          <w:rFonts w:ascii="Arial" w:cs="Arial" w:eastAsia="Arial" w:hAnsi="Arial"/>
          <w:sz w:val="18"/>
          <w:szCs w:val="18"/>
          <w:color w:val="auto"/>
        </w:rPr>
        <w:t>Name: William Burke</w:t>
      </w:r>
    </w:p>
    <w:p>
      <w:pPr>
        <w:ind w:left="4520"/>
        <w:spacing w:after="0" w:line="229" w:lineRule="auto"/>
        <w:tabs>
          <w:tab w:leader="none" w:pos="504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Executive Vice President, Chief Financial Officer</w:t>
      </w:r>
    </w:p>
    <w:p>
      <w:pPr>
        <w:ind w:left="5060"/>
        <w:spacing w:after="0"/>
        <w:rPr>
          <w:sz w:val="20"/>
          <w:szCs w:val="20"/>
          <w:color w:val="auto"/>
        </w:rPr>
      </w:pPr>
      <w:r>
        <w:rPr>
          <w:rFonts w:ascii="Arial" w:cs="Arial" w:eastAsia="Arial" w:hAnsi="Arial"/>
          <w:sz w:val="18"/>
          <w:szCs w:val="18"/>
          <w:color w:val="auto"/>
        </w:rPr>
        <w:t>and Treasurer</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color w:val="auto"/>
        </w:rPr>
        <w:t>Date: November 8, 2017</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66040</wp:posOffset>
            </wp:positionV>
            <wp:extent cx="5754370" cy="26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08" w:right="1440"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50" w:lineRule="exact"/>
        <w:rPr>
          <w:sz w:val="20"/>
          <w:szCs w:val="20"/>
          <w:color w:val="auto"/>
        </w:rPr>
      </w:pPr>
    </w:p>
    <w:p>
      <w:pPr>
        <w:jc w:val="center"/>
        <w:spacing w:after="0" w:line="243" w:lineRule="auto"/>
        <w:rPr>
          <w:sz w:val="20"/>
          <w:szCs w:val="20"/>
          <w:color w:val="auto"/>
        </w:rPr>
      </w:pPr>
      <w:r>
        <w:rPr>
          <w:rFonts w:ascii="Arial" w:cs="Arial" w:eastAsia="Arial" w:hAnsi="Arial"/>
          <w:sz w:val="22"/>
          <w:szCs w:val="22"/>
          <w:b w:val="1"/>
          <w:bCs w:val="1"/>
          <w:color w:val="auto"/>
        </w:rPr>
        <w:t>Acushnet Holdings Corp. Announces Third Quarter and Year-to-Date 2017 Financial Results, Declares Quarterly Cash Dividend</w:t>
      </w:r>
    </w:p>
    <w:p>
      <w:pPr>
        <w:spacing w:after="0" w:line="18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Third Quarter and Year-to-Date 2017 Financial Results</w:t>
      </w:r>
    </w:p>
    <w:p>
      <w:pPr>
        <w:spacing w:after="0" w:line="206" w:lineRule="exact"/>
        <w:rPr>
          <w:sz w:val="20"/>
          <w:szCs w:val="20"/>
          <w:color w:val="auto"/>
        </w:rPr>
      </w:pPr>
    </w:p>
    <w:p>
      <w:pPr>
        <w:ind w:left="660" w:right="740" w:hanging="333"/>
        <w:spacing w:after="0" w:line="251" w:lineRule="auto"/>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Third quarter net sales of $347.3 million, up 2.3% year over year, or up 2.9% in constant currency</w:t>
      </w:r>
    </w:p>
    <w:p>
      <w:pPr>
        <w:spacing w:after="0" w:line="65" w:lineRule="exact"/>
        <w:rPr>
          <w:rFonts w:ascii="Arial" w:cs="Arial" w:eastAsia="Arial" w:hAnsi="Arial"/>
          <w:sz w:val="22"/>
          <w:szCs w:val="22"/>
          <w:color w:val="auto"/>
        </w:rPr>
      </w:pPr>
    </w:p>
    <w:p>
      <w:pPr>
        <w:ind w:left="660" w:right="140" w:hanging="333"/>
        <w:spacing w:after="0" w:line="251" w:lineRule="auto"/>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Year-to-date net sales of $1,208.9 million, down 2.7% year over year, or down 2.0% in constant currency</w:t>
      </w:r>
    </w:p>
    <w:p>
      <w:pPr>
        <w:spacing w:after="0" w:line="65" w:lineRule="exact"/>
        <w:rPr>
          <w:rFonts w:ascii="Arial" w:cs="Arial" w:eastAsia="Arial" w:hAnsi="Arial"/>
          <w:sz w:val="22"/>
          <w:szCs w:val="22"/>
          <w:color w:val="auto"/>
        </w:rPr>
      </w:pPr>
    </w:p>
    <w:p>
      <w:pPr>
        <w:ind w:left="660" w:right="520" w:hanging="333"/>
        <w:spacing w:after="0" w:line="251" w:lineRule="auto"/>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Third quarter net income attributable to Acushnet Holdings Corp. of $9.3 million, up $14.8 million year over year</w:t>
      </w:r>
    </w:p>
    <w:p>
      <w:pPr>
        <w:spacing w:after="0" w:line="65" w:lineRule="exact"/>
        <w:rPr>
          <w:rFonts w:ascii="Arial" w:cs="Arial" w:eastAsia="Arial" w:hAnsi="Arial"/>
          <w:sz w:val="22"/>
          <w:szCs w:val="22"/>
          <w:color w:val="auto"/>
        </w:rPr>
      </w:pPr>
    </w:p>
    <w:p>
      <w:pPr>
        <w:ind w:left="660" w:right="500" w:hanging="333"/>
        <w:spacing w:after="0" w:line="251" w:lineRule="auto"/>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Year-to-date net income attributable to Acushnet Holdings Corp. of $80.4 million, up $35.2 million year over year</w:t>
      </w:r>
    </w:p>
    <w:p>
      <w:pPr>
        <w:spacing w:after="0" w:line="65" w:lineRule="exact"/>
        <w:rPr>
          <w:rFonts w:ascii="Arial" w:cs="Arial" w:eastAsia="Arial" w:hAnsi="Arial"/>
          <w:sz w:val="22"/>
          <w:szCs w:val="22"/>
          <w:color w:val="auto"/>
        </w:rPr>
      </w:pPr>
    </w:p>
    <w:p>
      <w:pPr>
        <w:ind w:left="660" w:hanging="333"/>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Third quarter Adjusted EBITDA of $32.2 million, up 15.0% year over year</w:t>
      </w:r>
    </w:p>
    <w:p>
      <w:pPr>
        <w:spacing w:after="0" w:line="98" w:lineRule="exact"/>
        <w:rPr>
          <w:rFonts w:ascii="Arial" w:cs="Arial" w:eastAsia="Arial" w:hAnsi="Arial"/>
          <w:sz w:val="22"/>
          <w:szCs w:val="22"/>
          <w:color w:val="auto"/>
        </w:rPr>
      </w:pPr>
    </w:p>
    <w:p>
      <w:pPr>
        <w:ind w:left="660" w:hanging="333"/>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Year-to-date Adjusted EBITDA of $182.5 million, down 4.1% year over year</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Quarterly Cash Dividend</w:t>
      </w:r>
    </w:p>
    <w:p>
      <w:pPr>
        <w:spacing w:after="0" w:line="206" w:lineRule="exact"/>
        <w:rPr>
          <w:sz w:val="20"/>
          <w:szCs w:val="20"/>
          <w:color w:val="auto"/>
        </w:rPr>
      </w:pPr>
    </w:p>
    <w:p>
      <w:pPr>
        <w:ind w:left="660" w:hanging="333"/>
        <w:spacing w:after="0"/>
        <w:tabs>
          <w:tab w:leader="none" w:pos="660" w:val="left"/>
        </w:tabs>
        <w:numPr>
          <w:ilvl w:val="0"/>
          <w:numId w:val="3"/>
        </w:numPr>
        <w:rPr>
          <w:rFonts w:ascii="Arial" w:cs="Arial" w:eastAsia="Arial" w:hAnsi="Arial"/>
          <w:sz w:val="19"/>
          <w:szCs w:val="19"/>
          <w:color w:val="auto"/>
        </w:rPr>
      </w:pPr>
      <w:r>
        <w:rPr>
          <w:rFonts w:ascii="Arial" w:cs="Arial" w:eastAsia="Arial" w:hAnsi="Arial"/>
          <w:sz w:val="19"/>
          <w:szCs w:val="19"/>
          <w:color w:val="auto"/>
        </w:rPr>
        <w:t>Declares quarterly cash dividend of $0.12 per share; $8.9 million on an aggregate quarterly basis</w:t>
      </w:r>
    </w:p>
    <w:p>
      <w:pPr>
        <w:spacing w:after="0" w:line="235" w:lineRule="exact"/>
        <w:rPr>
          <w:sz w:val="20"/>
          <w:szCs w:val="20"/>
          <w:color w:val="auto"/>
        </w:rPr>
      </w:pPr>
    </w:p>
    <w:p>
      <w:pPr>
        <w:ind w:right="160"/>
        <w:spacing w:after="0" w:line="301" w:lineRule="auto"/>
        <w:rPr>
          <w:sz w:val="20"/>
          <w:szCs w:val="20"/>
          <w:color w:val="auto"/>
        </w:rPr>
      </w:pPr>
      <w:r>
        <w:rPr>
          <w:rFonts w:ascii="Arial" w:cs="Arial" w:eastAsia="Arial" w:hAnsi="Arial"/>
          <w:sz w:val="19"/>
          <w:szCs w:val="19"/>
          <w:b w:val="1"/>
          <w:bCs w:val="1"/>
          <w:color w:val="auto"/>
        </w:rPr>
        <w:t xml:space="preserve">FAIRHAVEN, MA – November 8, 2017 </w:t>
      </w:r>
      <w:r>
        <w:rPr>
          <w:rFonts w:ascii="Arial" w:cs="Arial" w:eastAsia="Arial" w:hAnsi="Arial"/>
          <w:sz w:val="19"/>
          <w:szCs w:val="19"/>
          <w:color w:val="auto"/>
        </w:rPr>
        <w:t>– Acushnet Holdings Corp. (NYSE: GOLF) ("Acushnet"), a</w:t>
      </w:r>
      <w:r>
        <w:rPr>
          <w:rFonts w:ascii="Arial" w:cs="Arial" w:eastAsia="Arial" w:hAnsi="Arial"/>
          <w:sz w:val="19"/>
          <w:szCs w:val="19"/>
          <w:b w:val="1"/>
          <w:bCs w:val="1"/>
          <w:color w:val="auto"/>
        </w:rPr>
        <w:t xml:space="preserve"> </w:t>
      </w:r>
      <w:r>
        <w:rPr>
          <w:rFonts w:ascii="Arial" w:cs="Arial" w:eastAsia="Arial" w:hAnsi="Arial"/>
          <w:sz w:val="19"/>
          <w:szCs w:val="19"/>
          <w:color w:val="auto"/>
        </w:rPr>
        <w:t>global leader in the design, development, manufacture and distribution of performance-driven golf products, today reported financial results for the three and nine months ended September 30, 2017.</w:t>
      </w:r>
    </w:p>
    <w:p>
      <w:pPr>
        <w:spacing w:after="0" w:line="129" w:lineRule="exact"/>
        <w:rPr>
          <w:sz w:val="20"/>
          <w:szCs w:val="20"/>
          <w:color w:val="auto"/>
        </w:rPr>
      </w:pPr>
    </w:p>
    <w:p>
      <w:pPr>
        <w:ind w:right="200"/>
        <w:spacing w:after="0" w:line="279" w:lineRule="auto"/>
        <w:rPr>
          <w:sz w:val="20"/>
          <w:szCs w:val="20"/>
          <w:color w:val="auto"/>
        </w:rPr>
      </w:pPr>
      <w:r>
        <w:rPr>
          <w:rFonts w:ascii="Arial" w:cs="Arial" w:eastAsia="Arial" w:hAnsi="Arial"/>
          <w:sz w:val="19"/>
          <w:szCs w:val="19"/>
          <w:color w:val="auto"/>
        </w:rPr>
        <w:t>Wally Uihlein, Acushnet President and CEO said, "We are encouraged to see that the global golf industry continues to structurally improve through the first nine months of 2017. While near term, US demand trends have been impacted as the focus shifted to important life priorities in areas hit by the recent hurricanes, it is good to see many areas are recovering well as a sense of normalcy returns. We are confident that our proven strategy, dedicated associates and valued trade partners will enable us to leverage a stronger industry and extend our success over the long term."</w:t>
      </w:r>
    </w:p>
    <w:p>
      <w:pPr>
        <w:spacing w:after="0" w:line="178" w:lineRule="exact"/>
        <w:rPr>
          <w:sz w:val="20"/>
          <w:szCs w:val="20"/>
          <w:color w:val="auto"/>
        </w:rPr>
      </w:pPr>
    </w:p>
    <w:p>
      <w:pPr>
        <w:ind w:right="160"/>
        <w:spacing w:after="0" w:line="234" w:lineRule="auto"/>
        <w:rPr>
          <w:sz w:val="20"/>
          <w:szCs w:val="20"/>
          <w:color w:val="auto"/>
        </w:rPr>
      </w:pPr>
      <w:r>
        <w:rPr>
          <w:rFonts w:ascii="Arial" w:cs="Arial" w:eastAsia="Arial" w:hAnsi="Arial"/>
          <w:sz w:val="22"/>
          <w:szCs w:val="22"/>
          <w:color w:val="auto"/>
        </w:rPr>
        <w:t>David Maher, Acushnet COO said, "Acushnet delivered a solid third quarter with global growth driven by the United States and South Korea. We are particularly pleased with the recent launch of the Titleist 818 hybrids and the 718 irons including the new AP3. Tour adoption was strong at introduction, the global roll-out with our trade partners was well executed, and initial golfer response to these new golf clubs has been terrific. New Titleist DT TruSoft golf balls, and FootJoy's DNA Helix golf shoes were also launched successfully in the quarter. Looking forward, the Acushnet innovation engine is in high gear and we are excited about the many new product offerings coming from Titleist and FootJoy in 2018."</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2" w:right="1419" w:bottom="1440" w:gutter="0" w:footer="0" w:header="0"/>
        </w:sectPr>
      </w:pPr>
    </w:p>
    <w:bookmarkStart w:id="4" w:name="page5"/>
    <w:bookmarkEnd w:id="4"/>
    <w:p>
      <w:pPr>
        <w:spacing w:after="0"/>
        <w:rPr>
          <w:sz w:val="20"/>
          <w:szCs w:val="20"/>
          <w:color w:val="auto"/>
        </w:rPr>
      </w:pPr>
      <w:r>
        <w:rPr>
          <w:rFonts w:ascii="Arial" w:cs="Arial" w:eastAsia="Arial" w:hAnsi="Arial"/>
          <w:sz w:val="22"/>
          <w:szCs w:val="22"/>
          <w:b w:val="1"/>
          <w:bCs w:val="1"/>
          <w:u w:val="single" w:color="auto"/>
          <w:color w:val="auto"/>
        </w:rPr>
        <w:t>Summary of Third Quarter 2017 Financial Results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40" w:type="dxa"/>
            <w:vAlign w:val="bottom"/>
            <w:gridSpan w:val="5"/>
          </w:tcPr>
          <w:p>
            <w:pPr>
              <w:jc w:val="right"/>
              <w:spacing w:after="0"/>
              <w:rPr>
                <w:sz w:val="20"/>
                <w:szCs w:val="20"/>
                <w:color w:val="auto"/>
              </w:rPr>
            </w:pPr>
            <w:r>
              <w:rPr>
                <w:rFonts w:ascii="Arial" w:cs="Arial" w:eastAsia="Arial" w:hAnsi="Arial"/>
                <w:sz w:val="14"/>
                <w:szCs w:val="14"/>
                <w:b w:val="1"/>
                <w:bCs w:val="1"/>
                <w:color w:val="auto"/>
                <w:w w:val="92"/>
              </w:rPr>
              <w:t>Three months ended</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w w:val="99"/>
              </w:rPr>
              <w:t>Increase/(Decrease)</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gridSpan w:val="3"/>
          </w:tcPr>
          <w:p>
            <w:pPr>
              <w:ind w:left="20"/>
              <w:spacing w:after="0"/>
              <w:rPr>
                <w:sz w:val="20"/>
                <w:szCs w:val="20"/>
                <w:color w:val="auto"/>
              </w:rPr>
            </w:pPr>
            <w:r>
              <w:rPr>
                <w:rFonts w:ascii="Arial" w:cs="Arial" w:eastAsia="Arial" w:hAnsi="Arial"/>
                <w:sz w:val="14"/>
                <w:szCs w:val="14"/>
                <w:b w:val="1"/>
                <w:bCs w:val="1"/>
                <w:color w:val="auto"/>
                <w:w w:val="99"/>
              </w:rPr>
              <w:t>Constant Currency</w:t>
            </w:r>
          </w:p>
        </w:tc>
        <w:tc>
          <w:tcPr>
            <w:tcW w:w="0" w:type="dxa"/>
            <w:vAlign w:val="bottom"/>
          </w:tcPr>
          <w:p>
            <w:pPr>
              <w:spacing w:after="0"/>
              <w:rPr>
                <w:sz w:val="1"/>
                <w:szCs w:val="1"/>
                <w:color w:val="auto"/>
              </w:rPr>
            </w:pPr>
          </w:p>
        </w:tc>
      </w:tr>
      <w:tr>
        <w:trPr>
          <w:trHeight w:val="171"/>
        </w:trPr>
        <w:tc>
          <w:tcPr>
            <w:tcW w:w="4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gridSpan w:val="4"/>
          </w:tcPr>
          <w:p>
            <w:pPr>
              <w:jc w:val="right"/>
              <w:ind w:right="174"/>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3"/>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w w:val="96"/>
              </w:rPr>
              <w:t>Increase/(Decrease)</w:t>
            </w:r>
          </w:p>
        </w:tc>
        <w:tc>
          <w:tcPr>
            <w:tcW w:w="0" w:type="dxa"/>
            <w:vAlign w:val="bottom"/>
          </w:tcPr>
          <w:p>
            <w:pPr>
              <w:spacing w:after="0"/>
              <w:rPr>
                <w:sz w:val="1"/>
                <w:szCs w:val="1"/>
                <w:color w:val="auto"/>
              </w:rPr>
            </w:pPr>
          </w:p>
        </w:tc>
      </w:tr>
      <w:tr>
        <w:trPr>
          <w:trHeight w:val="142"/>
        </w:trPr>
        <w:tc>
          <w:tcPr>
            <w:tcW w:w="4360" w:type="dxa"/>
            <w:vAlign w:val="bottom"/>
            <w:vMerge w:val="restart"/>
          </w:tcPr>
          <w:p>
            <w:pPr>
              <w:spacing w:after="0"/>
              <w:rPr>
                <w:sz w:val="20"/>
                <w:szCs w:val="20"/>
                <w:color w:val="auto"/>
              </w:rPr>
            </w:pPr>
            <w:r>
              <w:rPr>
                <w:rFonts w:ascii="Arial" w:cs="Arial" w:eastAsia="Arial" w:hAnsi="Arial"/>
                <w:sz w:val="18"/>
                <w:szCs w:val="18"/>
                <w:i w:val="1"/>
                <w:iCs w:val="1"/>
                <w:color w:val="auto"/>
              </w:rPr>
              <w:t>(in millions)</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ind w:right="57"/>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jc w:val="right"/>
              <w:ind w:right="7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1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62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rPr>
              <w:t>change</w:t>
            </w:r>
          </w:p>
        </w:tc>
        <w:tc>
          <w:tcPr>
            <w:tcW w:w="7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40" w:type="dxa"/>
            <w:vAlign w:val="bottom"/>
          </w:tcPr>
          <w:p>
            <w:pPr>
              <w:spacing w:after="0"/>
              <w:rPr>
                <w:sz w:val="12"/>
                <w:szCs w:val="12"/>
                <w:color w:val="auto"/>
              </w:rPr>
            </w:pPr>
          </w:p>
        </w:tc>
        <w:tc>
          <w:tcPr>
            <w:tcW w:w="1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640" w:type="dxa"/>
            <w:vAlign w:val="bottom"/>
            <w:gridSpan w:val="2"/>
          </w:tcPr>
          <w:p>
            <w:pPr>
              <w:ind w:left="40"/>
              <w:spacing w:after="0" w:line="142" w:lineRule="exact"/>
              <w:rPr>
                <w:sz w:val="20"/>
                <w:szCs w:val="20"/>
                <w:color w:val="auto"/>
              </w:rPr>
            </w:pPr>
            <w:r>
              <w:rPr>
                <w:rFonts w:ascii="Arial" w:cs="Arial" w:eastAsia="Arial" w:hAnsi="Arial"/>
                <w:sz w:val="14"/>
                <w:szCs w:val="14"/>
                <w:b w:val="1"/>
                <w:bCs w:val="1"/>
                <w:color w:val="auto"/>
              </w:rPr>
              <w:t>change</w:t>
            </w:r>
          </w:p>
        </w:tc>
        <w:tc>
          <w:tcPr>
            <w:tcW w:w="6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94"/>
              </w:rPr>
              <w:t>% change</w:t>
            </w:r>
          </w:p>
        </w:tc>
        <w:tc>
          <w:tcPr>
            <w:tcW w:w="0" w:type="dxa"/>
            <w:vAlign w:val="bottom"/>
          </w:tcPr>
          <w:p>
            <w:pPr>
              <w:spacing w:after="0"/>
              <w:rPr>
                <w:sz w:val="1"/>
                <w:szCs w:val="1"/>
                <w:color w:val="auto"/>
              </w:rPr>
            </w:pPr>
          </w:p>
        </w:tc>
      </w:tr>
      <w:tr>
        <w:trPr>
          <w:trHeight w:val="210"/>
        </w:trPr>
        <w:tc>
          <w:tcPr>
            <w:tcW w:w="436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347.3</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339.3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2.3 %</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w:t>
            </w: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2.9 %</w:t>
            </w: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w w:val="95"/>
              </w:rPr>
              <w:t>Net income (loss) attributable to Acushnet Holdings Corp</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9.3</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(5.5)</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14.8</w:t>
            </w: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96"/>
              </w:rPr>
              <w:t>269.1 %</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15.0 %</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128905</wp:posOffset>
            </wp:positionV>
            <wp:extent cx="342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290" cy="8890"/>
                    </a:xfrm>
                    <a:prstGeom prst="rect">
                      <a:avLst/>
                    </a:prstGeom>
                    <a:noFill/>
                  </pic:spPr>
                </pic:pic>
              </a:graphicData>
            </a:graphic>
          </wp:anchor>
        </w:drawing>
      </w:r>
    </w:p>
    <w:p>
      <w:pPr>
        <w:spacing w:after="0" w:line="200" w:lineRule="exact"/>
        <w:rPr>
          <w:sz w:val="20"/>
          <w:szCs w:val="20"/>
          <w:color w:val="auto"/>
        </w:rPr>
      </w:pPr>
    </w:p>
    <w:p>
      <w:pPr>
        <w:spacing w:after="0" w:line="218" w:lineRule="exact"/>
        <w:rPr>
          <w:sz w:val="20"/>
          <w:szCs w:val="20"/>
          <w:color w:val="auto"/>
        </w:rPr>
      </w:pPr>
    </w:p>
    <w:p>
      <w:pPr>
        <w:ind w:right="580"/>
        <w:spacing w:after="0" w:line="251" w:lineRule="auto"/>
        <w:rPr>
          <w:sz w:val="20"/>
          <w:szCs w:val="20"/>
          <w:color w:val="auto"/>
        </w:rPr>
      </w:pPr>
      <w:r>
        <w:rPr>
          <w:rFonts w:ascii="Arial" w:cs="Arial" w:eastAsia="Arial" w:hAnsi="Arial"/>
          <w:sz w:val="22"/>
          <w:szCs w:val="22"/>
          <w:color w:val="auto"/>
        </w:rPr>
        <w:t>Consolidated net sales for the quarter increased by 2.3%, or by 2.9% on a constant currency basis, driven primarily by the launch of the Titleist 718 irons and 818 hybrids.</w:t>
      </w:r>
    </w:p>
    <w:p>
      <w:pPr>
        <w:spacing w:after="0" w:line="173" w:lineRule="exact"/>
        <w:rPr>
          <w:sz w:val="20"/>
          <w:szCs w:val="20"/>
          <w:color w:val="auto"/>
        </w:rPr>
      </w:pPr>
    </w:p>
    <w:p>
      <w:pPr>
        <w:ind w:right="140"/>
        <w:spacing w:after="0" w:line="297" w:lineRule="auto"/>
        <w:rPr>
          <w:sz w:val="20"/>
          <w:szCs w:val="20"/>
          <w:color w:val="auto"/>
        </w:rPr>
      </w:pPr>
      <w:r>
        <w:rPr>
          <w:rFonts w:ascii="Arial" w:cs="Arial" w:eastAsia="Arial" w:hAnsi="Arial"/>
          <w:sz w:val="19"/>
          <w:szCs w:val="19"/>
          <w:color w:val="auto"/>
        </w:rPr>
        <w:t>On a geographic basis, consolidated net sales in the United States increased by 4.6% in the quarter. Net sales in regions outside the United States were down 0.1%, and up 1.1% on a constant currency basis, with Korea up 6.4% and Rest of World up 6.3%, offset by Japan down 6.9%.</w:t>
      </w:r>
    </w:p>
    <w:p>
      <w:pPr>
        <w:spacing w:after="0" w:line="134" w:lineRule="exact"/>
        <w:rPr>
          <w:sz w:val="20"/>
          <w:szCs w:val="20"/>
          <w:color w:val="auto"/>
        </w:rPr>
      </w:pPr>
    </w:p>
    <w:p>
      <w:pPr>
        <w:spacing w:after="0"/>
        <w:rPr>
          <w:sz w:val="20"/>
          <w:szCs w:val="20"/>
          <w:color w:val="auto"/>
        </w:rPr>
      </w:pPr>
      <w:r>
        <w:rPr>
          <w:rFonts w:ascii="Arial" w:cs="Arial" w:eastAsia="Arial" w:hAnsi="Arial"/>
          <w:sz w:val="22"/>
          <w:szCs w:val="22"/>
          <w:color w:val="auto"/>
        </w:rPr>
        <w:t>Segment specifics:</w:t>
      </w:r>
    </w:p>
    <w:p>
      <w:pPr>
        <w:spacing w:after="0" w:line="206" w:lineRule="exact"/>
        <w:rPr>
          <w:sz w:val="20"/>
          <w:szCs w:val="20"/>
          <w:color w:val="auto"/>
        </w:rPr>
      </w:pPr>
    </w:p>
    <w:p>
      <w:pPr>
        <w:ind w:left="700" w:right="140" w:hanging="319"/>
        <w:spacing w:after="0" w:line="238" w:lineRule="auto"/>
        <w:tabs>
          <w:tab w:leader="none" w:pos="700" w:val="left"/>
        </w:tabs>
        <w:numPr>
          <w:ilvl w:val="0"/>
          <w:numId w:val="4"/>
        </w:numPr>
        <w:rPr>
          <w:rFonts w:ascii="Arial" w:cs="Arial" w:eastAsia="Arial" w:hAnsi="Arial"/>
          <w:sz w:val="22"/>
          <w:szCs w:val="22"/>
          <w:color w:val="auto"/>
        </w:rPr>
      </w:pPr>
      <w:r>
        <w:rPr>
          <w:rFonts w:ascii="Arial" w:cs="Arial" w:eastAsia="Arial" w:hAnsi="Arial"/>
          <w:sz w:val="22"/>
          <w:szCs w:val="22"/>
          <w:color w:val="auto"/>
        </w:rPr>
        <w:t>3.5% decrease in net sales (3.1% decrease on a constant currency basis) of Titleist golf balls driven by sales volume declines in both Pro V1 and performance models. In the United States, sales volumes were impacted by unfavorable weather conditions as well as increased competitive promotional activity in the marketplace.</w:t>
      </w:r>
    </w:p>
    <w:p>
      <w:pPr>
        <w:spacing w:after="0" w:line="185" w:lineRule="exact"/>
        <w:rPr>
          <w:rFonts w:ascii="Arial" w:cs="Arial" w:eastAsia="Arial" w:hAnsi="Arial"/>
          <w:sz w:val="22"/>
          <w:szCs w:val="22"/>
          <w:color w:val="auto"/>
        </w:rPr>
      </w:pPr>
    </w:p>
    <w:p>
      <w:pPr>
        <w:jc w:val="both"/>
        <w:ind w:left="700" w:right="300" w:hanging="319"/>
        <w:spacing w:after="0" w:line="328" w:lineRule="auto"/>
        <w:tabs>
          <w:tab w:leader="none" w:pos="700" w:val="left"/>
        </w:tabs>
        <w:numPr>
          <w:ilvl w:val="0"/>
          <w:numId w:val="4"/>
        </w:numPr>
        <w:rPr>
          <w:rFonts w:ascii="Arial" w:cs="Arial" w:eastAsia="Arial" w:hAnsi="Arial"/>
          <w:sz w:val="19"/>
          <w:szCs w:val="19"/>
          <w:color w:val="auto"/>
        </w:rPr>
      </w:pPr>
      <w:r>
        <w:rPr>
          <w:rFonts w:ascii="Arial" w:cs="Arial" w:eastAsia="Arial" w:hAnsi="Arial"/>
          <w:sz w:val="19"/>
          <w:szCs w:val="19"/>
          <w:color w:val="auto"/>
        </w:rPr>
        <w:t>9.5% increase in net sales (10.3% increase on a constant currency basis) of Titleist golf clubs due to higher sales volumes, primarily due to product launches in our iron series and hybrids.</w:t>
      </w:r>
    </w:p>
    <w:p>
      <w:pPr>
        <w:spacing w:after="0" w:line="105" w:lineRule="exact"/>
        <w:rPr>
          <w:rFonts w:ascii="Arial" w:cs="Arial" w:eastAsia="Arial" w:hAnsi="Arial"/>
          <w:sz w:val="19"/>
          <w:szCs w:val="19"/>
          <w:color w:val="auto"/>
        </w:rPr>
      </w:pPr>
    </w:p>
    <w:p>
      <w:pPr>
        <w:ind w:left="700" w:right="640" w:hanging="319"/>
        <w:spacing w:after="0" w:line="328" w:lineRule="auto"/>
        <w:tabs>
          <w:tab w:leader="none" w:pos="700" w:val="left"/>
        </w:tabs>
        <w:numPr>
          <w:ilvl w:val="0"/>
          <w:numId w:val="4"/>
        </w:numPr>
        <w:rPr>
          <w:rFonts w:ascii="Arial" w:cs="Arial" w:eastAsia="Arial" w:hAnsi="Arial"/>
          <w:sz w:val="19"/>
          <w:szCs w:val="19"/>
          <w:color w:val="auto"/>
        </w:rPr>
      </w:pPr>
      <w:r>
        <w:rPr>
          <w:rFonts w:ascii="Arial" w:cs="Arial" w:eastAsia="Arial" w:hAnsi="Arial"/>
          <w:sz w:val="19"/>
          <w:szCs w:val="19"/>
          <w:color w:val="auto"/>
        </w:rPr>
        <w:t>1.3% increase in net sales (2.1% increase on a constant currency basis) of Titleist golf gear. This increase was primarily due to sales volume growth in our travel gear category.</w:t>
      </w:r>
    </w:p>
    <w:p>
      <w:pPr>
        <w:spacing w:after="0" w:line="105" w:lineRule="exact"/>
        <w:rPr>
          <w:rFonts w:ascii="Arial" w:cs="Arial" w:eastAsia="Arial" w:hAnsi="Arial"/>
          <w:sz w:val="19"/>
          <w:szCs w:val="19"/>
          <w:color w:val="auto"/>
        </w:rPr>
      </w:pPr>
    </w:p>
    <w:p>
      <w:pPr>
        <w:ind w:left="700" w:right="380" w:hanging="319"/>
        <w:spacing w:after="0"/>
        <w:tabs>
          <w:tab w:leader="none" w:pos="700" w:val="left"/>
        </w:tabs>
        <w:numPr>
          <w:ilvl w:val="0"/>
          <w:numId w:val="4"/>
        </w:numPr>
        <w:rPr>
          <w:rFonts w:ascii="Arial" w:cs="Arial" w:eastAsia="Arial" w:hAnsi="Arial"/>
          <w:sz w:val="22"/>
          <w:szCs w:val="22"/>
          <w:color w:val="auto"/>
        </w:rPr>
      </w:pPr>
      <w:r>
        <w:rPr>
          <w:rFonts w:ascii="Arial" w:cs="Arial" w:eastAsia="Arial" w:hAnsi="Arial"/>
          <w:sz w:val="22"/>
          <w:szCs w:val="22"/>
          <w:color w:val="auto"/>
        </w:rPr>
        <w:t>3.3% increase in net sales (3.7% increase on a constant currency basis) in FootJoy golf wear primarily due to higher average selling prices and a sales volume increase in our apparel category.</w:t>
      </w:r>
    </w:p>
    <w:p>
      <w:pPr>
        <w:spacing w:after="0" w:line="186" w:lineRule="exact"/>
        <w:rPr>
          <w:sz w:val="20"/>
          <w:szCs w:val="20"/>
          <w:color w:val="auto"/>
        </w:rPr>
      </w:pPr>
    </w:p>
    <w:p>
      <w:pPr>
        <w:ind w:right="160"/>
        <w:spacing w:after="0"/>
        <w:rPr>
          <w:sz w:val="20"/>
          <w:szCs w:val="20"/>
          <w:color w:val="auto"/>
        </w:rPr>
      </w:pPr>
      <w:r>
        <w:rPr>
          <w:rFonts w:ascii="Arial" w:cs="Arial" w:eastAsia="Arial" w:hAnsi="Arial"/>
          <w:sz w:val="22"/>
          <w:szCs w:val="22"/>
          <w:color w:val="auto"/>
        </w:rPr>
        <w:t>Net income attributable to Acushnet improved by $14.8 million to $9.3 million, primarily as a result of lower interest expense and higher income from operations, partially offset by higher income tax expense.</w:t>
      </w:r>
    </w:p>
    <w:p>
      <w:pPr>
        <w:spacing w:after="0" w:line="186" w:lineRule="exact"/>
        <w:rPr>
          <w:sz w:val="20"/>
          <w:szCs w:val="20"/>
          <w:color w:val="auto"/>
        </w:rPr>
      </w:pPr>
    </w:p>
    <w:p>
      <w:pPr>
        <w:ind w:right="280"/>
        <w:spacing w:after="0" w:line="251" w:lineRule="auto"/>
        <w:rPr>
          <w:sz w:val="20"/>
          <w:szCs w:val="20"/>
          <w:color w:val="auto"/>
        </w:rPr>
      </w:pPr>
      <w:r>
        <w:rPr>
          <w:rFonts w:ascii="Arial" w:cs="Arial" w:eastAsia="Arial" w:hAnsi="Arial"/>
          <w:sz w:val="22"/>
          <w:szCs w:val="22"/>
          <w:color w:val="auto"/>
        </w:rPr>
        <w:t>Adjusted EBITDA was $32.2 million, up 15.0% year over year. Adjusted EBITDA margin was 9.3% for the third quarter versus 8.3% for the prior year period.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2" w:right="141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u w:val="single" w:color="auto"/>
          <w:color w:val="auto"/>
        </w:rPr>
        <w:t>Summary of First Nine Months 2017 Financial Results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60" w:type="dxa"/>
            <w:vAlign w:val="bottom"/>
            <w:gridSpan w:val="4"/>
          </w:tcPr>
          <w:p>
            <w:pPr>
              <w:jc w:val="right"/>
              <w:ind w:right="114"/>
              <w:spacing w:after="0"/>
              <w:rPr>
                <w:sz w:val="20"/>
                <w:szCs w:val="20"/>
                <w:color w:val="auto"/>
              </w:rPr>
            </w:pPr>
            <w:r>
              <w:rPr>
                <w:rFonts w:ascii="Arial" w:cs="Arial" w:eastAsia="Arial" w:hAnsi="Arial"/>
                <w:sz w:val="14"/>
                <w:szCs w:val="14"/>
                <w:b w:val="1"/>
                <w:bCs w:val="1"/>
                <w:color w:val="auto"/>
                <w:w w:val="95"/>
              </w:rPr>
              <w:t>Nine months ended</w:t>
            </w:r>
          </w:p>
        </w:tc>
        <w:tc>
          <w:tcPr>
            <w:tcW w:w="140" w:type="dxa"/>
            <w:vAlign w:val="bottom"/>
          </w:tcPr>
          <w:p>
            <w:pPr>
              <w:spacing w:after="0"/>
              <w:rPr>
                <w:sz w:val="14"/>
                <w:szCs w:val="14"/>
                <w:color w:val="auto"/>
              </w:rPr>
            </w:pPr>
          </w:p>
        </w:tc>
        <w:tc>
          <w:tcPr>
            <w:tcW w:w="1360" w:type="dxa"/>
            <w:vAlign w:val="bottom"/>
            <w:gridSpan w:val="4"/>
            <w:vMerge w:val="restart"/>
          </w:tcPr>
          <w:p>
            <w:pPr>
              <w:jc w:val="right"/>
              <w:spacing w:after="0"/>
              <w:rPr>
                <w:sz w:val="20"/>
                <w:szCs w:val="20"/>
                <w:color w:val="auto"/>
              </w:rPr>
            </w:pPr>
            <w:r>
              <w:rPr>
                <w:rFonts w:ascii="Arial" w:cs="Arial" w:eastAsia="Arial" w:hAnsi="Arial"/>
                <w:sz w:val="14"/>
                <w:szCs w:val="14"/>
                <w:b w:val="1"/>
                <w:bCs w:val="1"/>
                <w:color w:val="auto"/>
                <w:w w:val="95"/>
              </w:rPr>
              <w:t>Increase/(Decrease)</w:t>
            </w:r>
          </w:p>
        </w:tc>
        <w:tc>
          <w:tcPr>
            <w:tcW w:w="120" w:type="dxa"/>
            <w:vAlign w:val="bottom"/>
          </w:tcPr>
          <w:p>
            <w:pPr>
              <w:spacing w:after="0"/>
              <w:rPr>
                <w:sz w:val="14"/>
                <w:szCs w:val="14"/>
                <w:color w:val="auto"/>
              </w:rPr>
            </w:pPr>
          </w:p>
        </w:tc>
        <w:tc>
          <w:tcPr>
            <w:tcW w:w="1380" w:type="dxa"/>
            <w:vAlign w:val="bottom"/>
            <w:gridSpan w:val="3"/>
          </w:tcPr>
          <w:p>
            <w:pPr>
              <w:jc w:val="right"/>
              <w:ind w:right="19"/>
              <w:spacing w:after="0"/>
              <w:rPr>
                <w:sz w:val="20"/>
                <w:szCs w:val="20"/>
                <w:color w:val="auto"/>
              </w:rPr>
            </w:pPr>
            <w:r>
              <w:rPr>
                <w:rFonts w:ascii="Arial" w:cs="Arial" w:eastAsia="Arial" w:hAnsi="Arial"/>
                <w:sz w:val="14"/>
                <w:szCs w:val="14"/>
                <w:b w:val="1"/>
                <w:bCs w:val="1"/>
                <w:color w:val="auto"/>
                <w:w w:val="99"/>
              </w:rPr>
              <w:t>Constant Currency</w:t>
            </w:r>
          </w:p>
        </w:tc>
        <w:tc>
          <w:tcPr>
            <w:tcW w:w="0" w:type="dxa"/>
            <w:vAlign w:val="bottom"/>
          </w:tcPr>
          <w:p>
            <w:pPr>
              <w:spacing w:after="0"/>
              <w:rPr>
                <w:sz w:val="1"/>
                <w:szCs w:val="1"/>
                <w:color w:val="auto"/>
              </w:rPr>
            </w:pPr>
          </w:p>
        </w:tc>
      </w:tr>
      <w:tr>
        <w:trPr>
          <w:trHeight w:val="171"/>
        </w:trPr>
        <w:tc>
          <w:tcPr>
            <w:tcW w:w="4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4"/>
          </w:tcPr>
          <w:p>
            <w:pPr>
              <w:jc w:val="right"/>
              <w:ind w:right="274"/>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360" w:type="dxa"/>
            <w:vAlign w:val="bottom"/>
            <w:tcBorders>
              <w:bottom w:val="single" w:sz="8" w:color="auto"/>
            </w:tcBorders>
            <w:gridSpan w:val="4"/>
            <w:vMerge w:val="continue"/>
          </w:tcPr>
          <w:p>
            <w:pPr>
              <w:spacing w:after="0"/>
              <w:rPr>
                <w:sz w:val="14"/>
                <w:szCs w:val="14"/>
                <w:color w:val="auto"/>
              </w:rPr>
            </w:pPr>
          </w:p>
        </w:tc>
        <w:tc>
          <w:tcPr>
            <w:tcW w:w="120" w:type="dxa"/>
            <w:vAlign w:val="bottom"/>
          </w:tcPr>
          <w:p>
            <w:pPr>
              <w:spacing w:after="0"/>
              <w:rPr>
                <w:sz w:val="14"/>
                <w:szCs w:val="14"/>
                <w:color w:val="auto"/>
              </w:rPr>
            </w:pPr>
          </w:p>
        </w:tc>
        <w:tc>
          <w:tcPr>
            <w:tcW w:w="13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6"/>
              </w:rPr>
              <w:t>Increase/(Decrease)</w:t>
            </w:r>
          </w:p>
        </w:tc>
        <w:tc>
          <w:tcPr>
            <w:tcW w:w="0" w:type="dxa"/>
            <w:vAlign w:val="bottom"/>
          </w:tcPr>
          <w:p>
            <w:pPr>
              <w:spacing w:after="0"/>
              <w:rPr>
                <w:sz w:val="1"/>
                <w:szCs w:val="1"/>
                <w:color w:val="auto"/>
              </w:rPr>
            </w:pPr>
          </w:p>
        </w:tc>
      </w:tr>
      <w:tr>
        <w:trPr>
          <w:trHeight w:val="142"/>
        </w:trPr>
        <w:tc>
          <w:tcPr>
            <w:tcW w:w="4120" w:type="dxa"/>
            <w:vAlign w:val="bottom"/>
            <w:vMerge w:val="restart"/>
          </w:tcPr>
          <w:p>
            <w:pPr>
              <w:spacing w:after="0"/>
              <w:rPr>
                <w:sz w:val="20"/>
                <w:szCs w:val="20"/>
                <w:color w:val="auto"/>
              </w:rPr>
            </w:pPr>
            <w:r>
              <w:rPr>
                <w:rFonts w:ascii="Arial" w:cs="Arial" w:eastAsia="Arial" w:hAnsi="Arial"/>
                <w:sz w:val="18"/>
                <w:szCs w:val="18"/>
                <w:i w:val="1"/>
                <w:iCs w:val="1"/>
                <w:color w:val="auto"/>
              </w:rPr>
              <w:t>(in millions)</w:t>
            </w: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ind w:right="119"/>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ind w:right="13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1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62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rPr>
              <w:t>change</w:t>
            </w:r>
          </w:p>
        </w:tc>
        <w:tc>
          <w:tcPr>
            <w:tcW w:w="6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88"/>
              </w:rPr>
              <w:t>% change</w:t>
            </w:r>
          </w:p>
        </w:tc>
        <w:tc>
          <w:tcPr>
            <w:tcW w:w="120" w:type="dxa"/>
            <w:vAlign w:val="bottom"/>
          </w:tcPr>
          <w:p>
            <w:pPr>
              <w:spacing w:after="0"/>
              <w:rPr>
                <w:sz w:val="12"/>
                <w:szCs w:val="12"/>
                <w:color w:val="auto"/>
              </w:rPr>
            </w:pPr>
          </w:p>
        </w:tc>
        <w:tc>
          <w:tcPr>
            <w:tcW w:w="74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rPr>
              <w:t>$ change</w:t>
            </w:r>
          </w:p>
        </w:tc>
        <w:tc>
          <w:tcPr>
            <w:tcW w:w="6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91"/>
              </w:rPr>
              <w:t>% change</w:t>
            </w:r>
          </w:p>
        </w:tc>
        <w:tc>
          <w:tcPr>
            <w:tcW w:w="0" w:type="dxa"/>
            <w:vAlign w:val="bottom"/>
          </w:tcPr>
          <w:p>
            <w:pPr>
              <w:spacing w:after="0"/>
              <w:rPr>
                <w:sz w:val="1"/>
                <w:szCs w:val="1"/>
                <w:color w:val="auto"/>
              </w:rPr>
            </w:pPr>
          </w:p>
        </w:tc>
      </w:tr>
      <w:tr>
        <w:trPr>
          <w:trHeight w:val="210"/>
        </w:trPr>
        <w:tc>
          <w:tcPr>
            <w:tcW w:w="4120" w:type="dxa"/>
            <w:vAlign w:val="bottom"/>
            <w:vMerge w:val="continue"/>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1,208.9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1,242.5</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(33.6)</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86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 (24.3)</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Net income attributable to Acushnet Holdings Corp</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80.4</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45.2</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rPr>
              <w:t>35.2</w:t>
            </w: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77.9 %</w:t>
            </w: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38" w:lineRule="exact"/>
        <w:rPr>
          <w:sz w:val="20"/>
          <w:szCs w:val="20"/>
          <w:color w:val="auto"/>
        </w:rPr>
      </w:pPr>
    </w:p>
    <w:p>
      <w:pPr>
        <w:ind w:right="320"/>
        <w:spacing w:after="0" w:line="251" w:lineRule="auto"/>
        <w:rPr>
          <w:sz w:val="20"/>
          <w:szCs w:val="20"/>
          <w:color w:val="auto"/>
        </w:rPr>
      </w:pPr>
      <w:r>
        <w:rPr>
          <w:rFonts w:ascii="Arial" w:cs="Arial" w:eastAsia="Arial" w:hAnsi="Arial"/>
          <w:sz w:val="22"/>
          <w:szCs w:val="22"/>
          <w:color w:val="auto"/>
        </w:rPr>
        <w:t>Consolidated net sales for the first nine months of 2017 decreased by 2.7%, or by 2.0% on a constant currency basis.</w:t>
      </w:r>
    </w:p>
    <w:p>
      <w:pPr>
        <w:spacing w:after="0" w:line="173" w:lineRule="exact"/>
        <w:rPr>
          <w:sz w:val="20"/>
          <w:szCs w:val="20"/>
          <w:color w:val="auto"/>
        </w:rPr>
      </w:pPr>
    </w:p>
    <w:p>
      <w:pPr>
        <w:ind w:right="120"/>
        <w:spacing w:after="0" w:line="248" w:lineRule="auto"/>
        <w:rPr>
          <w:sz w:val="20"/>
          <w:szCs w:val="20"/>
          <w:color w:val="auto"/>
        </w:rPr>
      </w:pPr>
      <w:r>
        <w:rPr>
          <w:rFonts w:ascii="Arial" w:cs="Arial" w:eastAsia="Arial" w:hAnsi="Arial"/>
          <w:sz w:val="21"/>
          <w:szCs w:val="21"/>
          <w:color w:val="auto"/>
        </w:rPr>
        <w:t>On a geographic basis, consolidated net sales in the United States decreased by 3.0% in the nine month period. Net sales in the United States were impacted by a reduced store count as a result of the retail channel disruptions in 2016 as well as unfavorable weather conditions which negatively impacted both rounds of play and golf club fitting and trial activities. Acushnet posted a year-on-year decline in net sales in regions outside the United States of 2.4%, down 0.8% on a constant currency basis, with Korea up 11.9%, offset by Japan down 10.4%.</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Segment specifics:</w:t>
      </w:r>
    </w:p>
    <w:p>
      <w:pPr>
        <w:spacing w:after="0" w:line="206" w:lineRule="exact"/>
        <w:rPr>
          <w:sz w:val="20"/>
          <w:szCs w:val="20"/>
          <w:color w:val="auto"/>
        </w:rPr>
      </w:pPr>
    </w:p>
    <w:p>
      <w:pPr>
        <w:ind w:left="700" w:right="20" w:hanging="319"/>
        <w:spacing w:after="0" w:line="277" w:lineRule="auto"/>
        <w:tabs>
          <w:tab w:leader="none" w:pos="700" w:val="left"/>
        </w:tabs>
        <w:numPr>
          <w:ilvl w:val="0"/>
          <w:numId w:val="5"/>
        </w:numPr>
        <w:rPr>
          <w:rFonts w:ascii="Arial" w:cs="Arial" w:eastAsia="Arial" w:hAnsi="Arial"/>
          <w:sz w:val="19"/>
          <w:szCs w:val="19"/>
          <w:color w:val="auto"/>
        </w:rPr>
      </w:pPr>
      <w:r>
        <w:rPr>
          <w:rFonts w:ascii="Arial" w:cs="Arial" w:eastAsia="Arial" w:hAnsi="Arial"/>
          <w:sz w:val="19"/>
          <w:szCs w:val="19"/>
          <w:color w:val="auto"/>
        </w:rPr>
        <w:t>2.7% decrease in net sales (2.1% decrease on a constant currency basis) of Titleist golf balls. This decrease was primarily driven by a sales volume decline of our performance golf ball models which were in their second year of the two-year product life cycle and was partially offset by a sales volume increase of our newly introduced Pro V1 and Pro V1x golf balls. In the United States, sales volumes were impacted by a reduced store count as a result of the retail channel disruptions in 2016, unfavorable weather conditions which negatively impacted rounds of play, as well as increased competitive promotional activity in the marketplace.</w:t>
      </w:r>
    </w:p>
    <w:p>
      <w:pPr>
        <w:spacing w:after="0" w:line="152" w:lineRule="exact"/>
        <w:rPr>
          <w:rFonts w:ascii="Arial" w:cs="Arial" w:eastAsia="Arial" w:hAnsi="Arial"/>
          <w:sz w:val="19"/>
          <w:szCs w:val="19"/>
          <w:color w:val="auto"/>
        </w:rPr>
      </w:pPr>
    </w:p>
    <w:p>
      <w:pPr>
        <w:ind w:left="700" w:right="100" w:hanging="319"/>
        <w:spacing w:after="0" w:line="277" w:lineRule="auto"/>
        <w:tabs>
          <w:tab w:leader="none" w:pos="700" w:val="left"/>
        </w:tabs>
        <w:numPr>
          <w:ilvl w:val="0"/>
          <w:numId w:val="5"/>
        </w:numPr>
        <w:rPr>
          <w:rFonts w:ascii="Arial" w:cs="Arial" w:eastAsia="Arial" w:hAnsi="Arial"/>
          <w:sz w:val="19"/>
          <w:szCs w:val="19"/>
          <w:color w:val="auto"/>
        </w:rPr>
      </w:pPr>
      <w:r>
        <w:rPr>
          <w:rFonts w:ascii="Arial" w:cs="Arial" w:eastAsia="Arial" w:hAnsi="Arial"/>
          <w:sz w:val="19"/>
          <w:szCs w:val="19"/>
          <w:color w:val="auto"/>
        </w:rPr>
        <w:t>10.0% decrease in net sales (9.2% decrease on a constant currency basis) of Titleist golf clubs. This decrease was primarily driven by lower sales volumes of Vokey Design wedges, which were in their second model year, and prior generation irons. In the United States, sales volumes were impacted by a reduced store count as a result of the retail channel disruptions in 2016 as well as unfavorable weather conditions which negatively impacted golf club fitting and trial activities. This decrease was partially offset by an increase in average selling prices, in particular for the new 917 model drivers and fairways.</w:t>
      </w:r>
    </w:p>
    <w:p>
      <w:pPr>
        <w:spacing w:after="0" w:line="152" w:lineRule="exact"/>
        <w:rPr>
          <w:rFonts w:ascii="Arial" w:cs="Arial" w:eastAsia="Arial" w:hAnsi="Arial"/>
          <w:sz w:val="19"/>
          <w:szCs w:val="19"/>
          <w:color w:val="auto"/>
        </w:rPr>
      </w:pPr>
    </w:p>
    <w:p>
      <w:pPr>
        <w:ind w:left="700" w:right="540" w:hanging="319"/>
        <w:spacing w:after="0"/>
        <w:tabs>
          <w:tab w:leader="none" w:pos="700" w:val="left"/>
        </w:tabs>
        <w:numPr>
          <w:ilvl w:val="0"/>
          <w:numId w:val="5"/>
        </w:numPr>
        <w:rPr>
          <w:rFonts w:ascii="Arial" w:cs="Arial" w:eastAsia="Arial" w:hAnsi="Arial"/>
          <w:sz w:val="22"/>
          <w:szCs w:val="22"/>
          <w:color w:val="auto"/>
        </w:rPr>
      </w:pPr>
      <w:r>
        <w:rPr>
          <w:rFonts w:ascii="Arial" w:cs="Arial" w:eastAsia="Arial" w:hAnsi="Arial"/>
          <w:sz w:val="22"/>
          <w:szCs w:val="22"/>
          <w:color w:val="auto"/>
        </w:rPr>
        <w:t>5.0% increase in net sales (5.4% increase on a constant currency basis) of Titleist golf gear. This increase was primarily due to higher average selling prices in all categories and higher sales volume growth in the travel category.</w:t>
      </w:r>
    </w:p>
    <w:p>
      <w:pPr>
        <w:spacing w:after="0" w:line="186" w:lineRule="exact"/>
        <w:rPr>
          <w:rFonts w:ascii="Arial" w:cs="Arial" w:eastAsia="Arial" w:hAnsi="Arial"/>
          <w:sz w:val="22"/>
          <w:szCs w:val="22"/>
          <w:color w:val="auto"/>
        </w:rPr>
      </w:pPr>
    </w:p>
    <w:p>
      <w:pPr>
        <w:ind w:left="700" w:right="200" w:hanging="319"/>
        <w:spacing w:after="0"/>
        <w:tabs>
          <w:tab w:leader="none" w:pos="700" w:val="left"/>
        </w:tabs>
        <w:numPr>
          <w:ilvl w:val="0"/>
          <w:numId w:val="5"/>
        </w:numPr>
        <w:rPr>
          <w:rFonts w:ascii="Arial" w:cs="Arial" w:eastAsia="Arial" w:hAnsi="Arial"/>
          <w:sz w:val="22"/>
          <w:szCs w:val="22"/>
          <w:color w:val="auto"/>
        </w:rPr>
      </w:pPr>
      <w:r>
        <w:rPr>
          <w:rFonts w:ascii="Arial" w:cs="Arial" w:eastAsia="Arial" w:hAnsi="Arial"/>
          <w:sz w:val="22"/>
          <w:szCs w:val="22"/>
          <w:color w:val="auto"/>
        </w:rPr>
        <w:t>1.7% decrease in net sales (0.5% decrease on a constant currency basis) in FootJoy golf wear primarily due to a sales volume decline in footwear, partially offset by a sales volume increase in apparel.</w:t>
      </w:r>
    </w:p>
    <w:p>
      <w:pPr>
        <w:spacing w:after="0" w:line="186" w:lineRule="exact"/>
        <w:rPr>
          <w:sz w:val="20"/>
          <w:szCs w:val="20"/>
          <w:color w:val="auto"/>
        </w:rPr>
      </w:pPr>
    </w:p>
    <w:p>
      <w:pPr>
        <w:ind w:right="40"/>
        <w:spacing w:after="0" w:line="251" w:lineRule="auto"/>
        <w:rPr>
          <w:sz w:val="20"/>
          <w:szCs w:val="20"/>
          <w:color w:val="auto"/>
        </w:rPr>
      </w:pPr>
      <w:r>
        <w:rPr>
          <w:rFonts w:ascii="Arial" w:cs="Arial" w:eastAsia="Arial" w:hAnsi="Arial"/>
          <w:sz w:val="22"/>
          <w:szCs w:val="22"/>
          <w:color w:val="auto"/>
        </w:rPr>
        <w:t>Net income attributable to Acushnet improved by $35.2 million to $80.4 million, primarily as a result of lower interest expense and higher income from operations.</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1" w:right="1419" w:bottom="1440" w:gutter="0" w:footer="0" w:header="0"/>
        </w:sectPr>
      </w:pPr>
    </w:p>
    <w:bookmarkStart w:id="6" w:name="page7"/>
    <w:bookmarkEnd w:id="6"/>
    <w:p>
      <w:pPr>
        <w:ind w:right="499"/>
        <w:spacing w:after="0" w:line="251" w:lineRule="auto"/>
        <w:rPr>
          <w:sz w:val="20"/>
          <w:szCs w:val="20"/>
          <w:color w:val="auto"/>
        </w:rPr>
      </w:pPr>
      <w:r>
        <w:rPr>
          <w:rFonts w:ascii="Arial" w:cs="Arial" w:eastAsia="Arial" w:hAnsi="Arial"/>
          <w:sz w:val="22"/>
          <w:szCs w:val="22"/>
          <w:color w:val="auto"/>
        </w:rPr>
        <w:t>Adjusted EBITDA was $182.5 million, down 4.1% year over year. Adjusted EBITDA margin was 15.1% versus 15.3% for the prior year period.</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Declares Quarterly Cash Dividend</w:t>
      </w:r>
    </w:p>
    <w:p>
      <w:pPr>
        <w:spacing w:after="0" w:line="212" w:lineRule="exact"/>
        <w:rPr>
          <w:sz w:val="20"/>
          <w:szCs w:val="20"/>
          <w:color w:val="auto"/>
        </w:rPr>
      </w:pPr>
    </w:p>
    <w:p>
      <w:pPr>
        <w:ind w:right="279"/>
        <w:spacing w:after="0" w:line="238" w:lineRule="auto"/>
        <w:rPr>
          <w:sz w:val="20"/>
          <w:szCs w:val="20"/>
          <w:color w:val="auto"/>
        </w:rPr>
      </w:pPr>
      <w:r>
        <w:rPr>
          <w:rFonts w:ascii="Arial" w:cs="Arial" w:eastAsia="Arial" w:hAnsi="Arial"/>
          <w:sz w:val="22"/>
          <w:szCs w:val="22"/>
          <w:color w:val="auto"/>
        </w:rPr>
        <w:t>Acushnet Holdings board of directors today declared a quarterly cash dividend in an amount of $0.12 per share of common stock. The dividend will be payable on December 15, 2017, to stockholders of record on December 1, 2017. The number of shares outstanding as of September 30, 2017 was 74,451,977.</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Updated 2017 Outlook</w:t>
      </w:r>
    </w:p>
    <w:p>
      <w:pPr>
        <w:spacing w:after="0" w:line="212" w:lineRule="exact"/>
        <w:rPr>
          <w:sz w:val="20"/>
          <w:szCs w:val="20"/>
          <w:color w:val="auto"/>
        </w:rPr>
      </w:pPr>
    </w:p>
    <w:p>
      <w:pPr>
        <w:ind w:left="660" w:hanging="333"/>
        <w:spacing w:after="0"/>
        <w:tabs>
          <w:tab w:leader="none" w:pos="660" w:val="left"/>
        </w:tabs>
        <w:numPr>
          <w:ilvl w:val="0"/>
          <w:numId w:val="6"/>
        </w:numPr>
        <w:rPr>
          <w:rFonts w:ascii="Arial" w:cs="Arial" w:eastAsia="Arial" w:hAnsi="Arial"/>
          <w:sz w:val="21"/>
          <w:szCs w:val="21"/>
          <w:color w:val="auto"/>
        </w:rPr>
      </w:pPr>
      <w:r>
        <w:rPr>
          <w:rFonts w:ascii="Arial" w:cs="Arial" w:eastAsia="Arial" w:hAnsi="Arial"/>
          <w:sz w:val="21"/>
          <w:szCs w:val="21"/>
          <w:color w:val="auto"/>
        </w:rPr>
        <w:t>Consolidated net sales are expected to be approximately $1,545 to 1,555 million in 2017.</w:t>
      </w:r>
    </w:p>
    <w:p>
      <w:pPr>
        <w:spacing w:after="0" w:line="217" w:lineRule="exact"/>
        <w:rPr>
          <w:rFonts w:ascii="Arial" w:cs="Arial" w:eastAsia="Arial" w:hAnsi="Arial"/>
          <w:sz w:val="21"/>
          <w:szCs w:val="21"/>
          <w:color w:val="auto"/>
        </w:rPr>
      </w:pPr>
    </w:p>
    <w:p>
      <w:pPr>
        <w:ind w:left="660" w:right="79" w:hanging="333"/>
        <w:spacing w:after="0" w:line="251" w:lineRule="auto"/>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Consolidated net sales on a constant currency basis are expected to be in the range of a decrease of 1% to a decrease of 0.4% in 2017.</w:t>
      </w:r>
    </w:p>
    <w:p>
      <w:pPr>
        <w:spacing w:after="0" w:line="173" w:lineRule="exact"/>
        <w:rPr>
          <w:rFonts w:ascii="Arial" w:cs="Arial" w:eastAsia="Arial" w:hAnsi="Arial"/>
          <w:sz w:val="22"/>
          <w:szCs w:val="22"/>
          <w:color w:val="auto"/>
        </w:rPr>
      </w:pPr>
    </w:p>
    <w:p>
      <w:pPr>
        <w:ind w:left="660" w:hanging="333"/>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Adjusted EBITDA is expected to be approximately $220 to 225 million in 2017.</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Investor Conference Call</w:t>
      </w:r>
    </w:p>
    <w:p>
      <w:pPr>
        <w:spacing w:after="0" w:line="212" w:lineRule="exact"/>
        <w:rPr>
          <w:sz w:val="20"/>
          <w:szCs w:val="20"/>
          <w:color w:val="auto"/>
        </w:rPr>
      </w:pPr>
    </w:p>
    <w:p>
      <w:pPr>
        <w:ind w:right="239"/>
        <w:spacing w:after="0" w:line="238" w:lineRule="auto"/>
        <w:rPr>
          <w:sz w:val="20"/>
          <w:szCs w:val="20"/>
          <w:color w:val="auto"/>
        </w:rPr>
      </w:pPr>
      <w:r>
        <w:rPr>
          <w:rFonts w:ascii="Arial" w:cs="Arial" w:eastAsia="Arial" w:hAnsi="Arial"/>
          <w:sz w:val="22"/>
          <w:szCs w:val="22"/>
          <w:color w:val="auto"/>
        </w:rPr>
        <w:t>Acushnet will hold a conference call at 8:30 am (Eastern Time) on November 8, 2017 to discuss the financial results and host a question and answer session. A live webcast of the conference call will be accessible at www.AcushnetHoldingsCorp.com/ir. A replay archive of the webcast will be available shortly after the call concludes.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About Acushnet Holdings Corp.</w:t>
      </w:r>
    </w:p>
    <w:p>
      <w:pPr>
        <w:spacing w:after="0" w:line="212" w:lineRule="exact"/>
        <w:rPr>
          <w:sz w:val="20"/>
          <w:szCs w:val="20"/>
          <w:color w:val="auto"/>
        </w:rPr>
      </w:pPr>
    </w:p>
    <w:p>
      <w:pPr>
        <w:ind w:right="199"/>
        <w:spacing w:after="0" w:line="275" w:lineRule="auto"/>
        <w:rPr>
          <w:sz w:val="20"/>
          <w:szCs w:val="20"/>
          <w:color w:val="auto"/>
        </w:rPr>
      </w:pPr>
      <w:r>
        <w:rPr>
          <w:rFonts w:ascii="Arial" w:cs="Arial" w:eastAsia="Arial" w:hAnsi="Arial"/>
          <w:sz w:val="19"/>
          <w:szCs w:val="19"/>
          <w:color w:val="auto"/>
        </w:rPr>
        <w:t>We are the global leader in the design, development, manufacture and distribution of performance-driven golf products, which are widely recognized for their quality excellence. Driven by our focus on dedicated and discerning golfers and the golf shops that serve them, we believe we are the most authentic and enduring company in the golf industry. Our mission - to be the performance and quality leader in every golf product category in which we compete - has remained consistent since we entered the golf ball business in 1932. Today, we are the steward of two of the most revered brands in golf – Titleist, one of golf’s leading performance equipment brands, and FootJoy, one of golf’s leading performance wear brands. Additional information can be found at www.acushnetholdingscorp.com.</w:t>
      </w:r>
    </w:p>
    <w:p>
      <w:pPr>
        <w:spacing w:after="0" w:line="374" w:lineRule="exact"/>
        <w:rPr>
          <w:sz w:val="20"/>
          <w:szCs w:val="20"/>
          <w:color w:val="auto"/>
        </w:rPr>
      </w:pPr>
    </w:p>
    <w:p>
      <w:pPr>
        <w:jc w:val="center"/>
        <w:ind w:right="-40"/>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18" w:right="1440" w:bottom="1440" w:gutter="0" w:footer="0" w:header="0"/>
        </w:sectPr>
      </w:pPr>
    </w:p>
    <w:bookmarkStart w:id="7" w:name="page8"/>
    <w:bookmarkEnd w:id="7"/>
    <w:p>
      <w:pPr>
        <w:spacing w:after="0"/>
        <w:rPr>
          <w:sz w:val="20"/>
          <w:szCs w:val="20"/>
          <w:color w:val="auto"/>
        </w:rPr>
      </w:pPr>
      <w:r>
        <w:rPr>
          <w:rFonts w:ascii="Arial" w:cs="Arial" w:eastAsia="Arial" w:hAnsi="Arial"/>
          <w:sz w:val="22"/>
          <w:szCs w:val="22"/>
          <w:b w:val="1"/>
          <w:bCs w:val="1"/>
          <w:u w:val="single" w:color="auto"/>
          <w:color w:val="auto"/>
        </w:rPr>
        <w:t>Forward-Looking Statements</w:t>
      </w:r>
    </w:p>
    <w:p>
      <w:pPr>
        <w:spacing w:after="0" w:line="213" w:lineRule="exact"/>
        <w:rPr>
          <w:sz w:val="20"/>
          <w:szCs w:val="20"/>
          <w:color w:val="auto"/>
        </w:rPr>
      </w:pPr>
    </w:p>
    <w:p>
      <w:pPr>
        <w:ind w:right="100"/>
        <w:spacing w:after="0" w:line="245" w:lineRule="auto"/>
        <w:rPr>
          <w:sz w:val="20"/>
          <w:szCs w:val="20"/>
          <w:color w:val="auto"/>
        </w:rPr>
      </w:pPr>
      <w:r>
        <w:rPr>
          <w:rFonts w:ascii="Arial" w:cs="Arial" w:eastAsia="Arial" w:hAnsi="Arial"/>
          <w:sz w:val="21"/>
          <w:szCs w:val="21"/>
          <w:i w:val="1"/>
          <w:iCs w:val="1"/>
          <w:color w:val="auto"/>
        </w:rPr>
        <w:t>This release includes forward-looking statements that reflect our current views with respect to, among other things, our operations and financial performance. These forward-looking statements are included throughout this release and relate to matters such as our industry, business strategy, goals and expectations concerning our market position, future operations, margins, profitability, capital expenditures, liquidity and capital resources and other financial and operating information such as our anticipated consolidated net sales, consolidated net sales on a constant currency basis and adjusted EBITDA. We use words like “guidance,” “outlook,” “anticipate,” “assume,” “believe,” “continue,” “could,” “estimate,” “expect,” “intend,” “may,” “plan,” “potential,” “predict,” “project,” “future,” “will,” “seek,” “foreseeable” and similar terms and phrases to identify forward-looking statements in this release.</w:t>
      </w:r>
    </w:p>
    <w:p>
      <w:pPr>
        <w:spacing w:after="0" w:line="182" w:lineRule="exact"/>
        <w:rPr>
          <w:sz w:val="20"/>
          <w:szCs w:val="20"/>
          <w:color w:val="auto"/>
        </w:rPr>
      </w:pPr>
    </w:p>
    <w:p>
      <w:pPr>
        <w:ind w:right="100"/>
        <w:spacing w:after="0" w:line="273" w:lineRule="auto"/>
        <w:rPr>
          <w:sz w:val="20"/>
          <w:szCs w:val="20"/>
          <w:color w:val="auto"/>
        </w:rPr>
      </w:pPr>
      <w:r>
        <w:rPr>
          <w:rFonts w:ascii="Arial" w:cs="Arial" w:eastAsia="Arial" w:hAnsi="Arial"/>
          <w:sz w:val="19"/>
          <w:szCs w:val="19"/>
          <w:i w:val="1"/>
          <w:iCs w:val="1"/>
          <w:color w:val="auto"/>
        </w:rPr>
        <w:t>The forward-looking statements contained in this release are based on management’s current expectations and are subject to uncertainty and changes in circumstances. We cannot assure you that future developments affecting us will be those that we have anticipated. Actual results may differ materially from these expectations due to changes in global, regional or local economic, business, competitive, market, regulatory and other factors, many of which are beyond our control. Certain of these factors and other cautionary statements are included in this release or in the sections entitled “Risk Factors” and “Management’s Discussion and Analysis” in our Annual Report on Form 10-K for the year ended December 31, 2016 filed with the SEC on March 30, 2017 as updated by our periodic reports subsequently filed with the SEC. Should one or more of these risks or uncertainties materialize, or should any of our assumptions prove incorrect, our actual results may vary in material respects from those projected in these forward-looking statements.</w:t>
      </w:r>
    </w:p>
    <w:p>
      <w:pPr>
        <w:spacing w:after="0" w:line="156" w:lineRule="exact"/>
        <w:rPr>
          <w:sz w:val="20"/>
          <w:szCs w:val="20"/>
          <w:color w:val="auto"/>
        </w:rPr>
      </w:pPr>
    </w:p>
    <w:p>
      <w:pPr>
        <w:spacing w:after="0" w:line="245" w:lineRule="auto"/>
        <w:rPr>
          <w:sz w:val="20"/>
          <w:szCs w:val="20"/>
          <w:color w:val="auto"/>
        </w:rPr>
      </w:pPr>
      <w:r>
        <w:rPr>
          <w:rFonts w:ascii="Arial" w:cs="Arial" w:eastAsia="Arial" w:hAnsi="Arial"/>
          <w:sz w:val="21"/>
          <w:szCs w:val="21"/>
          <w:i w:val="1"/>
          <w:iCs w:val="1"/>
          <w:color w:val="auto"/>
        </w:rPr>
        <w:t>Any forward-looking statement made by us in this release speaks only as of the date of this release. Factors or events that could cause our actual results to differ may emerge from time to time, and it is not possible for us to predict all of them.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investments or other strategic transactions we may make. We undertake no obligation to publicly update or review any forward-looking statement, whether as a result of new information, future developments or otherwise, except as may be required by any applicable securities laws.</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Media Contact:</w:t>
      </w:r>
    </w:p>
    <w:p>
      <w:pPr>
        <w:spacing w:after="0" w:line="14" w:lineRule="exact"/>
        <w:rPr>
          <w:sz w:val="20"/>
          <w:szCs w:val="20"/>
          <w:color w:val="auto"/>
        </w:rPr>
      </w:pPr>
    </w:p>
    <w:p>
      <w:pPr>
        <w:spacing w:after="0"/>
        <w:rPr>
          <w:sz w:val="20"/>
          <w:szCs w:val="20"/>
          <w:color w:val="auto"/>
        </w:rPr>
      </w:pPr>
      <w:r>
        <w:rPr>
          <w:rFonts w:ascii="Arial" w:cs="Arial" w:eastAsia="Arial" w:hAnsi="Arial"/>
          <w:sz w:val="22"/>
          <w:szCs w:val="22"/>
          <w:u w:val="single" w:color="auto"/>
          <w:color w:val="0000FF"/>
        </w:rPr>
        <w:t>AcushnetPR@icrinc.com</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Investor Contact:</w:t>
      </w:r>
    </w:p>
    <w:p>
      <w:pPr>
        <w:spacing w:after="0" w:line="14" w:lineRule="exact"/>
        <w:rPr>
          <w:sz w:val="20"/>
          <w:szCs w:val="20"/>
          <w:color w:val="auto"/>
        </w:rPr>
      </w:pPr>
    </w:p>
    <w:p>
      <w:pPr>
        <w:spacing w:after="0"/>
        <w:rPr>
          <w:sz w:val="20"/>
          <w:szCs w:val="20"/>
          <w:color w:val="auto"/>
        </w:rPr>
      </w:pPr>
      <w:r>
        <w:rPr>
          <w:rFonts w:ascii="Arial" w:cs="Arial" w:eastAsia="Arial" w:hAnsi="Arial"/>
          <w:sz w:val="22"/>
          <w:szCs w:val="22"/>
          <w:u w:val="single" w:color="auto"/>
          <w:color w:val="0000FF"/>
        </w:rPr>
        <w:t>IR@AcushnetGolf.com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261620</wp:posOffset>
            </wp:positionV>
            <wp:extent cx="342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429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1" w:right="1419" w:bottom="1440" w:gutter="0" w:footer="0" w:header="0"/>
        </w:sectPr>
      </w:pPr>
    </w:p>
    <w:bookmarkStart w:id="8" w:name="page9"/>
    <w:bookmarkEnd w:id="8"/>
    <w:p>
      <w:pPr>
        <w:jc w:val="center"/>
        <w:spacing w:after="0"/>
        <w:rPr>
          <w:sz w:val="20"/>
          <w:szCs w:val="20"/>
          <w:color w:val="auto"/>
        </w:rPr>
      </w:pPr>
      <w:r>
        <w:rPr>
          <w:rFonts w:ascii="Arial" w:cs="Arial" w:eastAsia="Arial" w:hAnsi="Arial"/>
          <w:sz w:val="22"/>
          <w:szCs w:val="22"/>
          <w:b w:val="1"/>
          <w:bCs w:val="1"/>
          <w:color w:val="auto"/>
        </w:rPr>
        <w:t>ACUSHNET HOLDINGS CORP.</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STATEMENTS OF OPERATIONS (UNAUDITED)</w:t>
      </w: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80" w:type="dxa"/>
            <w:vAlign w:val="bottom"/>
            <w:gridSpan w:val="4"/>
          </w:tcPr>
          <w:p>
            <w:pPr>
              <w:jc w:val="right"/>
              <w:ind w:right="420"/>
              <w:spacing w:after="0"/>
              <w:rPr>
                <w:sz w:val="20"/>
                <w:szCs w:val="20"/>
                <w:color w:val="auto"/>
              </w:rPr>
            </w:pPr>
            <w:r>
              <w:rPr>
                <w:rFonts w:ascii="Arial" w:cs="Arial" w:eastAsia="Arial" w:hAnsi="Arial"/>
                <w:sz w:val="14"/>
                <w:szCs w:val="14"/>
                <w:b w:val="1"/>
                <w:bCs w:val="1"/>
                <w:color w:val="auto"/>
              </w:rPr>
              <w:t>Three months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20" w:type="dxa"/>
            <w:vAlign w:val="bottom"/>
            <w:gridSpan w:val="5"/>
          </w:tcPr>
          <w:p>
            <w:pPr>
              <w:jc w:val="right"/>
              <w:ind w:right="440"/>
              <w:spacing w:after="0"/>
              <w:rPr>
                <w:sz w:val="20"/>
                <w:szCs w:val="20"/>
                <w:color w:val="auto"/>
              </w:rPr>
            </w:pPr>
            <w:r>
              <w:rPr>
                <w:rFonts w:ascii="Arial" w:cs="Arial" w:eastAsia="Arial" w:hAnsi="Arial"/>
                <w:sz w:val="14"/>
                <w:szCs w:val="14"/>
                <w:b w:val="1"/>
                <w:bCs w:val="1"/>
                <w:color w:val="auto"/>
              </w:rPr>
              <w:t>Nine months</w:t>
            </w:r>
          </w:p>
        </w:tc>
        <w:tc>
          <w:tcPr>
            <w:tcW w:w="0" w:type="dxa"/>
            <w:vAlign w:val="bottom"/>
          </w:tcPr>
          <w:p>
            <w:pPr>
              <w:spacing w:after="0"/>
              <w:rPr>
                <w:sz w:val="1"/>
                <w:szCs w:val="1"/>
                <w:color w:val="auto"/>
              </w:rPr>
            </w:pPr>
          </w:p>
        </w:tc>
      </w:tr>
      <w:tr>
        <w:trPr>
          <w:trHeight w:val="171"/>
        </w:trPr>
        <w:tc>
          <w:tcPr>
            <w:tcW w:w="4520" w:type="dxa"/>
            <w:vAlign w:val="bottom"/>
            <w:vMerge w:val="restart"/>
          </w:tcPr>
          <w:p>
            <w:pPr>
              <w:spacing w:after="0"/>
              <w:rPr>
                <w:sz w:val="20"/>
                <w:szCs w:val="20"/>
                <w:color w:val="auto"/>
              </w:rPr>
            </w:pPr>
            <w:r>
              <w:rPr>
                <w:rFonts w:ascii="Arial" w:cs="Arial" w:eastAsia="Arial" w:hAnsi="Arial"/>
                <w:sz w:val="16"/>
                <w:szCs w:val="16"/>
                <w:b w:val="1"/>
                <w:bCs w:val="1"/>
                <w:i w:val="1"/>
                <w:iCs w:val="1"/>
                <w:color w:val="auto"/>
              </w:rPr>
              <w:t>(in thousands)</w:t>
            </w:r>
          </w:p>
        </w:tc>
        <w:tc>
          <w:tcPr>
            <w:tcW w:w="7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4"/>
          </w:tcPr>
          <w:p>
            <w:pPr>
              <w:jc w:val="right"/>
              <w:ind w:right="200"/>
              <w:spacing w:after="0"/>
              <w:rPr>
                <w:sz w:val="20"/>
                <w:szCs w:val="20"/>
                <w:color w:val="auto"/>
              </w:rPr>
            </w:pPr>
            <w:r>
              <w:rPr>
                <w:rFonts w:ascii="Arial" w:cs="Arial" w:eastAsia="Arial" w:hAnsi="Arial"/>
                <w:sz w:val="14"/>
                <w:szCs w:val="14"/>
                <w:b w:val="1"/>
                <w:bCs w:val="1"/>
                <w:color w:val="auto"/>
                <w:w w:val="97"/>
              </w:rPr>
              <w:t>ended September 30,</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5"/>
          </w:tcPr>
          <w:p>
            <w:pPr>
              <w:jc w:val="right"/>
              <w:ind w:right="180"/>
              <w:spacing w:after="0"/>
              <w:rPr>
                <w:sz w:val="20"/>
                <w:szCs w:val="20"/>
                <w:color w:val="auto"/>
              </w:rPr>
            </w:pPr>
            <w:r>
              <w:rPr>
                <w:rFonts w:ascii="Arial" w:cs="Arial" w:eastAsia="Arial" w:hAnsi="Arial"/>
                <w:sz w:val="14"/>
                <w:szCs w:val="14"/>
                <w:b w:val="1"/>
                <w:bCs w:val="1"/>
                <w:color w:val="auto"/>
              </w:rPr>
              <w:t>ended September 30,</w:t>
            </w:r>
          </w:p>
        </w:tc>
        <w:tc>
          <w:tcPr>
            <w:tcW w:w="0" w:type="dxa"/>
            <w:vAlign w:val="bottom"/>
          </w:tcPr>
          <w:p>
            <w:pPr>
              <w:spacing w:after="0"/>
              <w:rPr>
                <w:sz w:val="1"/>
                <w:szCs w:val="1"/>
                <w:color w:val="auto"/>
              </w:rPr>
            </w:pPr>
          </w:p>
        </w:tc>
      </w:tr>
      <w:tr>
        <w:trPr>
          <w:trHeight w:val="210"/>
        </w:trPr>
        <w:tc>
          <w:tcPr>
            <w:tcW w:w="4520" w:type="dxa"/>
            <w:vAlign w:val="bottom"/>
            <w:vMerge w:val="continue"/>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ind w:right="201"/>
              <w:spacing w:after="0"/>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ind w:right="200"/>
              <w:spacing w:after="0"/>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201"/>
              <w:spacing w:after="0"/>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180"/>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96"/>
        </w:trPr>
        <w:tc>
          <w:tcPr>
            <w:tcW w:w="45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6"/>
                <w:szCs w:val="16"/>
                <w:color w:val="auto"/>
              </w:rPr>
              <w:t>Net sales</w:t>
            </w:r>
          </w:p>
        </w:tc>
        <w:tc>
          <w:tcPr>
            <w:tcW w:w="880" w:type="dxa"/>
            <w:vAlign w:val="bottom"/>
            <w:gridSpan w:val="2"/>
            <w:shd w:val="clear" w:color="auto" w:fill="CCEEFF"/>
          </w:tcPr>
          <w:p>
            <w:pPr>
              <w:jc w:val="right"/>
              <w:ind w:right="4"/>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347,263</w:t>
            </w:r>
          </w:p>
        </w:tc>
        <w:tc>
          <w:tcPr>
            <w:tcW w:w="340" w:type="dxa"/>
            <w:vAlign w:val="bottom"/>
            <w:gridSpan w:val="2"/>
            <w:shd w:val="clear" w:color="auto" w:fill="CCEEFF"/>
          </w:tcPr>
          <w:p>
            <w:pPr>
              <w:jc w:val="right"/>
              <w:ind w:right="24"/>
              <w:spacing w:after="0"/>
              <w:rPr>
                <w:sz w:val="20"/>
                <w:szCs w:val="20"/>
                <w:color w:val="auto"/>
              </w:rPr>
            </w:pPr>
            <w:r>
              <w:rPr>
                <w:rFonts w:ascii="Arial" w:cs="Arial" w:eastAsia="Arial" w:hAnsi="Arial"/>
                <w:sz w:val="16"/>
                <w:szCs w:val="16"/>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339,318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1,208,866</w:t>
            </w:r>
          </w:p>
        </w:tc>
        <w:tc>
          <w:tcPr>
            <w:tcW w:w="14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1,242,514</w:t>
            </w:r>
          </w:p>
        </w:tc>
        <w:tc>
          <w:tcPr>
            <w:tcW w:w="0" w:type="dxa"/>
            <w:vAlign w:val="bottom"/>
          </w:tcPr>
          <w:p>
            <w:pPr>
              <w:spacing w:after="0"/>
              <w:rPr>
                <w:sz w:val="1"/>
                <w:szCs w:val="1"/>
                <w:color w:val="auto"/>
              </w:rPr>
            </w:pPr>
          </w:p>
        </w:tc>
      </w:tr>
      <w:tr>
        <w:trPr>
          <w:trHeight w:val="213"/>
        </w:trPr>
        <w:tc>
          <w:tcPr>
            <w:tcW w:w="452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Cost of goods sold</w:t>
            </w:r>
          </w:p>
        </w:tc>
        <w:tc>
          <w:tcPr>
            <w:tcW w:w="7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174,295</w:t>
            </w:r>
          </w:p>
        </w:tc>
        <w:tc>
          <w:tcPr>
            <w:tcW w:w="16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172,416</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586,574</w:t>
            </w:r>
          </w:p>
        </w:tc>
        <w:tc>
          <w:tcPr>
            <w:tcW w:w="14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611,783</w:t>
            </w:r>
          </w:p>
        </w:tc>
        <w:tc>
          <w:tcPr>
            <w:tcW w:w="0" w:type="dxa"/>
            <w:vAlign w:val="bottom"/>
          </w:tcPr>
          <w:p>
            <w:pPr>
              <w:spacing w:after="0"/>
              <w:rPr>
                <w:sz w:val="1"/>
                <w:szCs w:val="1"/>
                <w:color w:val="auto"/>
              </w:rPr>
            </w:pPr>
          </w:p>
        </w:tc>
      </w:tr>
      <w:tr>
        <w:trPr>
          <w:trHeight w:val="199"/>
        </w:trPr>
        <w:tc>
          <w:tcPr>
            <w:tcW w:w="4520" w:type="dxa"/>
            <w:vAlign w:val="bottom"/>
            <w:shd w:val="clear" w:color="auto" w:fill="CCEEFF"/>
          </w:tcPr>
          <w:p>
            <w:pPr>
              <w:ind w:left="540"/>
              <w:spacing w:after="0"/>
              <w:rPr>
                <w:sz w:val="20"/>
                <w:szCs w:val="20"/>
                <w:color w:val="auto"/>
              </w:rPr>
            </w:pPr>
            <w:r>
              <w:rPr>
                <w:rFonts w:ascii="Arial" w:cs="Arial" w:eastAsia="Arial" w:hAnsi="Arial"/>
                <w:sz w:val="16"/>
                <w:szCs w:val="16"/>
                <w:color w:val="auto"/>
              </w:rPr>
              <w:t>Gross profit</w:t>
            </w: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172,968</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166,902</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622,292</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630,731</w:t>
            </w:r>
          </w:p>
        </w:tc>
        <w:tc>
          <w:tcPr>
            <w:tcW w:w="0" w:type="dxa"/>
            <w:vAlign w:val="bottom"/>
          </w:tcPr>
          <w:p>
            <w:pPr>
              <w:spacing w:after="0"/>
              <w:rPr>
                <w:sz w:val="1"/>
                <w:szCs w:val="1"/>
                <w:color w:val="auto"/>
              </w:rPr>
            </w:pPr>
          </w:p>
        </w:tc>
      </w:tr>
      <w:tr>
        <w:trPr>
          <w:trHeight w:val="213"/>
        </w:trPr>
        <w:tc>
          <w:tcPr>
            <w:tcW w:w="4520" w:type="dxa"/>
            <w:vAlign w:val="bottom"/>
          </w:tcPr>
          <w:p>
            <w:pPr>
              <w:spacing w:after="0"/>
              <w:rPr>
                <w:sz w:val="20"/>
                <w:szCs w:val="20"/>
                <w:color w:val="auto"/>
              </w:rPr>
            </w:pPr>
            <w:r>
              <w:rPr>
                <w:rFonts w:ascii="Arial" w:cs="Arial" w:eastAsia="Arial" w:hAnsi="Arial"/>
                <w:sz w:val="16"/>
                <w:szCs w:val="16"/>
                <w:color w:val="auto"/>
              </w:rPr>
              <w:t>Operating expenses:</w:t>
            </w: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5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Selling, general and administrative</w:t>
            </w:r>
          </w:p>
        </w:tc>
        <w:tc>
          <w:tcPr>
            <w:tcW w:w="7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142,017</w:t>
            </w:r>
          </w:p>
        </w:tc>
        <w:tc>
          <w:tcPr>
            <w:tcW w:w="1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142,995</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441,823</w:t>
            </w:r>
          </w:p>
        </w:tc>
        <w:tc>
          <w:tcPr>
            <w:tcW w:w="1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456,434</w:t>
            </w:r>
          </w:p>
        </w:tc>
        <w:tc>
          <w:tcPr>
            <w:tcW w:w="0" w:type="dxa"/>
            <w:vAlign w:val="bottom"/>
          </w:tcPr>
          <w:p>
            <w:pPr>
              <w:spacing w:after="0"/>
              <w:rPr>
                <w:sz w:val="1"/>
                <w:szCs w:val="1"/>
                <w:color w:val="auto"/>
              </w:rPr>
            </w:pPr>
          </w:p>
        </w:tc>
      </w:tr>
      <w:tr>
        <w:trPr>
          <w:trHeight w:val="213"/>
        </w:trPr>
        <w:tc>
          <w:tcPr>
            <w:tcW w:w="4520" w:type="dxa"/>
            <w:vAlign w:val="bottom"/>
          </w:tcPr>
          <w:p>
            <w:pPr>
              <w:ind w:left="220"/>
              <w:spacing w:after="0"/>
              <w:rPr>
                <w:sz w:val="20"/>
                <w:szCs w:val="20"/>
                <w:color w:val="auto"/>
              </w:rPr>
            </w:pPr>
            <w:r>
              <w:rPr>
                <w:rFonts w:ascii="Arial" w:cs="Arial" w:eastAsia="Arial" w:hAnsi="Arial"/>
                <w:sz w:val="16"/>
                <w:szCs w:val="16"/>
                <w:color w:val="auto"/>
              </w:rPr>
              <w:t>Research and development</w:t>
            </w: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11,060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12,473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35,659</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35,296</w:t>
            </w:r>
          </w:p>
        </w:tc>
        <w:tc>
          <w:tcPr>
            <w:tcW w:w="0" w:type="dxa"/>
            <w:vAlign w:val="bottom"/>
          </w:tcPr>
          <w:p>
            <w:pPr>
              <w:spacing w:after="0"/>
              <w:rPr>
                <w:sz w:val="1"/>
                <w:szCs w:val="1"/>
                <w:color w:val="auto"/>
              </w:rPr>
            </w:pPr>
          </w:p>
        </w:tc>
      </w:tr>
      <w:tr>
        <w:trPr>
          <w:trHeight w:val="219"/>
        </w:trPr>
        <w:tc>
          <w:tcPr>
            <w:tcW w:w="45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Intangible amortization</w:t>
            </w:r>
          </w:p>
        </w:tc>
        <w:tc>
          <w:tcPr>
            <w:tcW w:w="7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1,626</w:t>
            </w:r>
          </w:p>
        </w:tc>
        <w:tc>
          <w:tcPr>
            <w:tcW w:w="1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1,654</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4,872</w:t>
            </w:r>
          </w:p>
        </w:tc>
        <w:tc>
          <w:tcPr>
            <w:tcW w:w="1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4,957</w:t>
            </w:r>
          </w:p>
        </w:tc>
        <w:tc>
          <w:tcPr>
            <w:tcW w:w="0" w:type="dxa"/>
            <w:vAlign w:val="bottom"/>
          </w:tcPr>
          <w:p>
            <w:pPr>
              <w:spacing w:after="0"/>
              <w:rPr>
                <w:sz w:val="1"/>
                <w:szCs w:val="1"/>
                <w:color w:val="auto"/>
              </w:rPr>
            </w:pPr>
          </w:p>
        </w:tc>
      </w:tr>
      <w:tr>
        <w:trPr>
          <w:trHeight w:val="216"/>
        </w:trPr>
        <w:tc>
          <w:tcPr>
            <w:tcW w:w="452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Restructuring charges</w:t>
            </w:r>
          </w:p>
        </w:tc>
        <w:tc>
          <w:tcPr>
            <w:tcW w:w="7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6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174</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816</w:t>
            </w:r>
          </w:p>
        </w:tc>
        <w:tc>
          <w:tcPr>
            <w:tcW w:w="0" w:type="dxa"/>
            <w:vAlign w:val="bottom"/>
          </w:tcPr>
          <w:p>
            <w:pPr>
              <w:spacing w:after="0"/>
              <w:rPr>
                <w:sz w:val="1"/>
                <w:szCs w:val="1"/>
                <w:color w:val="auto"/>
              </w:rPr>
            </w:pPr>
          </w:p>
        </w:tc>
      </w:tr>
      <w:tr>
        <w:trPr>
          <w:trHeight w:val="196"/>
        </w:trPr>
        <w:tc>
          <w:tcPr>
            <w:tcW w:w="4520" w:type="dxa"/>
            <w:vAlign w:val="bottom"/>
            <w:shd w:val="clear" w:color="auto" w:fill="CCEEFF"/>
          </w:tcPr>
          <w:p>
            <w:pPr>
              <w:ind w:left="540"/>
              <w:spacing w:after="0"/>
              <w:rPr>
                <w:sz w:val="20"/>
                <w:szCs w:val="20"/>
                <w:color w:val="auto"/>
              </w:rPr>
            </w:pPr>
            <w:r>
              <w:rPr>
                <w:rFonts w:ascii="Arial" w:cs="Arial" w:eastAsia="Arial" w:hAnsi="Arial"/>
                <w:sz w:val="16"/>
                <w:szCs w:val="16"/>
                <w:color w:val="auto"/>
              </w:rPr>
              <w:t>Income from operations</w:t>
            </w: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18,265</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9,606</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139,938</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133,228</w:t>
            </w:r>
          </w:p>
        </w:tc>
        <w:tc>
          <w:tcPr>
            <w:tcW w:w="0" w:type="dxa"/>
            <w:vAlign w:val="bottom"/>
          </w:tcPr>
          <w:p>
            <w:pPr>
              <w:spacing w:after="0"/>
              <w:rPr>
                <w:sz w:val="1"/>
                <w:szCs w:val="1"/>
                <w:color w:val="auto"/>
              </w:rPr>
            </w:pPr>
          </w:p>
        </w:tc>
      </w:tr>
      <w:tr>
        <w:trPr>
          <w:trHeight w:val="213"/>
        </w:trPr>
        <w:tc>
          <w:tcPr>
            <w:tcW w:w="4520" w:type="dxa"/>
            <w:vAlign w:val="bottom"/>
          </w:tcPr>
          <w:p>
            <w:pPr>
              <w:spacing w:after="0"/>
              <w:rPr>
                <w:sz w:val="20"/>
                <w:szCs w:val="20"/>
                <w:color w:val="auto"/>
              </w:rPr>
            </w:pPr>
            <w:r>
              <w:rPr>
                <w:rFonts w:ascii="Arial" w:cs="Arial" w:eastAsia="Arial" w:hAnsi="Arial"/>
                <w:sz w:val="16"/>
                <w:szCs w:val="16"/>
                <w:color w:val="auto"/>
              </w:rPr>
              <w:t>Interest expense, net</w:t>
            </w: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4,040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15,672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11,863</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44,076</w:t>
            </w:r>
          </w:p>
        </w:tc>
        <w:tc>
          <w:tcPr>
            <w:tcW w:w="0" w:type="dxa"/>
            <w:vAlign w:val="bottom"/>
          </w:tcPr>
          <w:p>
            <w:pPr>
              <w:spacing w:after="0"/>
              <w:rPr>
                <w:sz w:val="1"/>
                <w:szCs w:val="1"/>
                <w:color w:val="auto"/>
              </w:rPr>
            </w:pPr>
          </w:p>
        </w:tc>
      </w:tr>
      <w:tr>
        <w:trPr>
          <w:trHeight w:val="219"/>
        </w:trPr>
        <w:tc>
          <w:tcPr>
            <w:tcW w:w="4520" w:type="dxa"/>
            <w:vAlign w:val="bottom"/>
            <w:shd w:val="clear" w:color="auto" w:fill="CCEEFF"/>
          </w:tcPr>
          <w:p>
            <w:pPr>
              <w:spacing w:after="0"/>
              <w:rPr>
                <w:sz w:val="20"/>
                <w:szCs w:val="20"/>
                <w:color w:val="auto"/>
              </w:rPr>
            </w:pPr>
            <w:r>
              <w:rPr>
                <w:rFonts w:ascii="Arial" w:cs="Arial" w:eastAsia="Arial" w:hAnsi="Arial"/>
                <w:sz w:val="16"/>
                <w:szCs w:val="16"/>
                <w:color w:val="auto"/>
              </w:rPr>
              <w:t>Other (income) expense, net</w:t>
            </w:r>
          </w:p>
        </w:tc>
        <w:tc>
          <w:tcPr>
            <w:tcW w:w="7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103</w:t>
            </w:r>
          </w:p>
        </w:tc>
        <w:tc>
          <w:tcPr>
            <w:tcW w:w="16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(2,449)</w:t>
            </w:r>
          </w:p>
        </w:tc>
        <w:tc>
          <w:tcPr>
            <w:tcW w:w="16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(407)</w:t>
            </w:r>
          </w:p>
        </w:tc>
        <w:tc>
          <w:tcPr>
            <w:tcW w:w="1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1,389</w:t>
            </w:r>
          </w:p>
        </w:tc>
        <w:tc>
          <w:tcPr>
            <w:tcW w:w="0" w:type="dxa"/>
            <w:vAlign w:val="bottom"/>
          </w:tcPr>
          <w:p>
            <w:pPr>
              <w:spacing w:after="0"/>
              <w:rPr>
                <w:sz w:val="1"/>
                <w:szCs w:val="1"/>
                <w:color w:val="auto"/>
              </w:rPr>
            </w:pPr>
          </w:p>
        </w:tc>
      </w:tr>
      <w:tr>
        <w:trPr>
          <w:trHeight w:val="196"/>
        </w:trPr>
        <w:tc>
          <w:tcPr>
            <w:tcW w:w="4520" w:type="dxa"/>
            <w:vAlign w:val="bottom"/>
          </w:tcPr>
          <w:p>
            <w:pPr>
              <w:ind w:left="540"/>
              <w:spacing w:after="0"/>
              <w:rPr>
                <w:sz w:val="20"/>
                <w:szCs w:val="20"/>
                <w:color w:val="auto"/>
              </w:rPr>
            </w:pPr>
            <w:r>
              <w:rPr>
                <w:rFonts w:ascii="Arial" w:cs="Arial" w:eastAsia="Arial" w:hAnsi="Arial"/>
                <w:sz w:val="16"/>
                <w:szCs w:val="16"/>
                <w:color w:val="auto"/>
              </w:rPr>
              <w:t>Income (loss) before income taxes</w:t>
            </w: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14,122</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(3,617)</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128,482</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87,763</w:t>
            </w:r>
          </w:p>
        </w:tc>
        <w:tc>
          <w:tcPr>
            <w:tcW w:w="0" w:type="dxa"/>
            <w:vAlign w:val="bottom"/>
          </w:tcPr>
          <w:p>
            <w:pPr>
              <w:spacing w:after="0"/>
              <w:rPr>
                <w:sz w:val="1"/>
                <w:szCs w:val="1"/>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6"/>
                <w:szCs w:val="16"/>
                <w:color w:val="auto"/>
              </w:rPr>
              <w:t>Income tax expense</w:t>
            </w:r>
          </w:p>
        </w:tc>
        <w:tc>
          <w:tcPr>
            <w:tcW w:w="7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3,488</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785</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44,180</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39,495</w:t>
            </w:r>
          </w:p>
        </w:tc>
        <w:tc>
          <w:tcPr>
            <w:tcW w:w="0" w:type="dxa"/>
            <w:vAlign w:val="bottom"/>
          </w:tcPr>
          <w:p>
            <w:pPr>
              <w:spacing w:after="0"/>
              <w:rPr>
                <w:sz w:val="1"/>
                <w:szCs w:val="1"/>
                <w:color w:val="auto"/>
              </w:rPr>
            </w:pPr>
          </w:p>
        </w:tc>
      </w:tr>
      <w:tr>
        <w:trPr>
          <w:trHeight w:val="196"/>
        </w:trPr>
        <w:tc>
          <w:tcPr>
            <w:tcW w:w="4520" w:type="dxa"/>
            <w:vAlign w:val="bottom"/>
          </w:tcPr>
          <w:p>
            <w:pPr>
              <w:ind w:left="540"/>
              <w:spacing w:after="0"/>
              <w:rPr>
                <w:sz w:val="20"/>
                <w:szCs w:val="20"/>
                <w:color w:val="auto"/>
              </w:rPr>
            </w:pPr>
            <w:r>
              <w:rPr>
                <w:rFonts w:ascii="Arial" w:cs="Arial" w:eastAsia="Arial" w:hAnsi="Arial"/>
                <w:sz w:val="16"/>
                <w:szCs w:val="16"/>
                <w:color w:val="auto"/>
              </w:rPr>
              <w:t>Net income (loss)</w:t>
            </w: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10,634</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(4,402)</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84,302</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48,268</w:t>
            </w:r>
          </w:p>
        </w:tc>
        <w:tc>
          <w:tcPr>
            <w:tcW w:w="0" w:type="dxa"/>
            <w:vAlign w:val="bottom"/>
          </w:tcPr>
          <w:p>
            <w:pPr>
              <w:spacing w:after="0"/>
              <w:rPr>
                <w:sz w:val="1"/>
                <w:szCs w:val="1"/>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6"/>
                <w:szCs w:val="16"/>
                <w:color w:val="auto"/>
              </w:rPr>
              <w:t>Less: Net income attributable to noncontrolling interests</w:t>
            </w:r>
          </w:p>
        </w:tc>
        <w:tc>
          <w:tcPr>
            <w:tcW w:w="7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(1,316)</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(1,124)</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(3,854)</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(3,077)</w:t>
            </w:r>
          </w:p>
        </w:tc>
        <w:tc>
          <w:tcPr>
            <w:tcW w:w="0" w:type="dxa"/>
            <w:vAlign w:val="bottom"/>
          </w:tcPr>
          <w:p>
            <w:pPr>
              <w:spacing w:after="0"/>
              <w:rPr>
                <w:sz w:val="1"/>
                <w:szCs w:val="1"/>
                <w:color w:val="auto"/>
              </w:rPr>
            </w:pPr>
          </w:p>
        </w:tc>
      </w:tr>
      <w:tr>
        <w:trPr>
          <w:trHeight w:val="203"/>
        </w:trPr>
        <w:tc>
          <w:tcPr>
            <w:tcW w:w="4520" w:type="dxa"/>
            <w:vAlign w:val="bottom"/>
          </w:tcPr>
          <w:p>
            <w:pPr>
              <w:spacing w:after="0"/>
              <w:rPr>
                <w:sz w:val="20"/>
                <w:szCs w:val="20"/>
                <w:color w:val="auto"/>
              </w:rPr>
            </w:pPr>
            <w:r>
              <w:rPr>
                <w:rFonts w:ascii="Arial" w:cs="Arial" w:eastAsia="Arial" w:hAnsi="Arial"/>
                <w:sz w:val="16"/>
                <w:szCs w:val="16"/>
                <w:color w:val="auto"/>
              </w:rPr>
              <w:t>Net income (loss) attributable to Acushnet Holdings Corp.</w:t>
            </w:r>
          </w:p>
        </w:tc>
        <w:tc>
          <w:tcPr>
            <w:tcW w:w="720" w:type="dxa"/>
            <w:vAlign w:val="bottom"/>
          </w:tcPr>
          <w:p>
            <w:pPr>
              <w:spacing w:after="0"/>
              <w:rPr>
                <w:sz w:val="17"/>
                <w:szCs w:val="17"/>
                <w:color w:val="auto"/>
              </w:rPr>
            </w:pPr>
          </w:p>
        </w:tc>
        <w:tc>
          <w:tcPr>
            <w:tcW w:w="16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9,318</w:t>
            </w:r>
          </w:p>
        </w:tc>
        <w:tc>
          <w:tcPr>
            <w:tcW w:w="160" w:type="dxa"/>
            <w:vAlign w:val="bottom"/>
          </w:tcPr>
          <w:p>
            <w:pPr>
              <w:spacing w:after="0"/>
              <w:rPr>
                <w:sz w:val="17"/>
                <w:szCs w:val="17"/>
                <w:color w:val="auto"/>
              </w:rPr>
            </w:pPr>
          </w:p>
        </w:tc>
        <w:tc>
          <w:tcPr>
            <w:tcW w:w="180" w:type="dxa"/>
            <w:vAlign w:val="bottom"/>
            <w:tcBorders>
              <w:bottom w:val="single" w:sz="8" w:color="auto"/>
            </w:tcBorders>
          </w:tcPr>
          <w:p>
            <w:pPr>
              <w:jc w:val="right"/>
              <w:ind w:right="24"/>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(5,526)</w:t>
            </w:r>
          </w:p>
        </w:tc>
        <w:tc>
          <w:tcPr>
            <w:tcW w:w="16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80,448</w:t>
            </w:r>
          </w:p>
        </w:tc>
        <w:tc>
          <w:tcPr>
            <w:tcW w:w="14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45,191</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1" w:right="1419" w:bottom="1440" w:gutter="0" w:footer="0" w:header="0"/>
        </w:sectPr>
      </w:pPr>
    </w:p>
    <w:bookmarkStart w:id="9" w:name="page10"/>
    <w:bookmarkEnd w:id="9"/>
    <w:p>
      <w:pPr>
        <w:jc w:val="center"/>
        <w:spacing w:after="0"/>
        <w:rPr>
          <w:sz w:val="20"/>
          <w:szCs w:val="20"/>
          <w:color w:val="auto"/>
        </w:rPr>
      </w:pPr>
      <w:r>
        <w:rPr>
          <w:rFonts w:ascii="Arial" w:cs="Arial" w:eastAsia="Arial" w:hAnsi="Arial"/>
          <w:sz w:val="22"/>
          <w:szCs w:val="22"/>
          <w:b w:val="1"/>
          <w:bCs w:val="1"/>
          <w:color w:val="auto"/>
        </w:rPr>
        <w:t>ACUSHNET HOLDINGS CORP.</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BALANCE SHEETS (UNAUDITED)</w:t>
      </w: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b w:val="1"/>
                <w:bCs w:val="1"/>
                <w:color w:val="auto"/>
                <w:w w:val="89"/>
              </w:rPr>
              <w:t>September 30,</w:t>
            </w: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598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2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2017</w:t>
            </w:r>
          </w:p>
        </w:tc>
        <w:tc>
          <w:tcPr>
            <w:tcW w:w="5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5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596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spacing w:after="0" w:line="149" w:lineRule="exact"/>
              <w:rPr>
                <w:sz w:val="20"/>
                <w:szCs w:val="20"/>
                <w:color w:val="auto"/>
              </w:rPr>
            </w:pPr>
            <w:r>
              <w:rPr>
                <w:rFonts w:ascii="Arial" w:cs="Arial" w:eastAsia="Arial" w:hAnsi="Arial"/>
                <w:sz w:val="14"/>
                <w:szCs w:val="14"/>
                <w:color w:val="auto"/>
              </w:rPr>
              <w:t>Current assets</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5960" w:type="dxa"/>
            <w:vAlign w:val="bottom"/>
            <w:shd w:val="clear" w:color="auto" w:fill="CCEEFF"/>
          </w:tcPr>
          <w:p>
            <w:pPr>
              <w:ind w:left="100"/>
              <w:spacing w:after="0" w:line="130" w:lineRule="exact"/>
              <w:rPr>
                <w:sz w:val="20"/>
                <w:szCs w:val="20"/>
                <w:color w:val="auto"/>
              </w:rPr>
            </w:pPr>
            <w:r>
              <w:rPr>
                <w:rFonts w:ascii="Arial" w:cs="Arial" w:eastAsia="Arial" w:hAnsi="Arial"/>
                <w:sz w:val="14"/>
                <w:szCs w:val="14"/>
                <w:color w:val="auto"/>
                <w:w w:val="96"/>
              </w:rPr>
              <w:t>Cash and restricted cash ($15,738 and $13,811 attributable to the FootJoy golf shoe joint venture</w:t>
            </w:r>
          </w:p>
        </w:tc>
        <w:tc>
          <w:tcPr>
            <w:tcW w:w="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5960" w:type="dxa"/>
            <w:vAlign w:val="bottom"/>
            <w:shd w:val="clear" w:color="auto" w:fill="CCEEFF"/>
          </w:tcPr>
          <w:p>
            <w:pPr>
              <w:ind w:left="100"/>
              <w:spacing w:after="0"/>
              <w:rPr>
                <w:sz w:val="20"/>
                <w:szCs w:val="20"/>
                <w:color w:val="auto"/>
              </w:rPr>
            </w:pPr>
            <w:r>
              <w:rPr>
                <w:rFonts w:ascii="Arial" w:cs="Arial" w:eastAsia="Arial" w:hAnsi="Arial"/>
                <w:sz w:val="14"/>
                <w:szCs w:val="14"/>
                <w:color w:val="auto"/>
              </w:rPr>
              <w:t>("JV"))</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73,191</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79,140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ind w:left="100"/>
              <w:spacing w:after="0" w:line="149" w:lineRule="exact"/>
              <w:rPr>
                <w:sz w:val="20"/>
                <w:szCs w:val="20"/>
                <w:color w:val="auto"/>
              </w:rPr>
            </w:pPr>
            <w:r>
              <w:rPr>
                <w:rFonts w:ascii="Arial" w:cs="Arial" w:eastAsia="Arial" w:hAnsi="Arial"/>
                <w:sz w:val="14"/>
                <w:szCs w:val="14"/>
                <w:color w:val="auto"/>
              </w:rPr>
              <w:t>Accounts receivable, net</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209,437</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177,506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Inventories ($12,922 and $14,633 attributable to the FootJoy JV)</w:t>
            </w:r>
          </w:p>
        </w:tc>
        <w:tc>
          <w:tcPr>
            <w:tcW w:w="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320,974</w:t>
            </w: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323,289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Borders>
              <w:bottom w:val="single" w:sz="8" w:color="CCEEFF"/>
            </w:tcBorders>
          </w:tcPr>
          <w:p>
            <w:pPr>
              <w:ind w:left="100"/>
              <w:spacing w:after="0" w:line="149" w:lineRule="exact"/>
              <w:rPr>
                <w:sz w:val="20"/>
                <w:szCs w:val="20"/>
                <w:color w:val="auto"/>
              </w:rPr>
            </w:pPr>
            <w:r>
              <w:rPr>
                <w:rFonts w:ascii="Arial" w:cs="Arial" w:eastAsia="Arial" w:hAnsi="Arial"/>
                <w:sz w:val="14"/>
                <w:szCs w:val="14"/>
                <w:color w:val="auto"/>
              </w:rPr>
              <w:t>Other assets</w:t>
            </w:r>
          </w:p>
        </w:tc>
        <w:tc>
          <w:tcPr>
            <w:tcW w:w="2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70,064</w:t>
            </w:r>
          </w:p>
        </w:tc>
        <w:tc>
          <w:tcPr>
            <w:tcW w:w="5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84,596</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60" w:type="dxa"/>
            <w:vAlign w:val="bottom"/>
            <w:shd w:val="clear" w:color="auto" w:fill="CCEEFF"/>
          </w:tcPr>
          <w:p>
            <w:pPr>
              <w:ind w:left="520"/>
              <w:spacing w:after="0" w:line="142" w:lineRule="exact"/>
              <w:rPr>
                <w:sz w:val="20"/>
                <w:szCs w:val="20"/>
                <w:color w:val="auto"/>
              </w:rPr>
            </w:pPr>
            <w:r>
              <w:rPr>
                <w:rFonts w:ascii="Arial" w:cs="Arial" w:eastAsia="Arial" w:hAnsi="Arial"/>
                <w:sz w:val="14"/>
                <w:szCs w:val="14"/>
                <w:color w:val="auto"/>
              </w:rPr>
              <w:t>Total current assets</w:t>
            </w:r>
          </w:p>
        </w:tc>
        <w:tc>
          <w:tcPr>
            <w:tcW w:w="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673,666</w:t>
            </w: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664,531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spacing w:after="0" w:line="149" w:lineRule="exact"/>
              <w:rPr>
                <w:sz w:val="20"/>
                <w:szCs w:val="20"/>
                <w:color w:val="auto"/>
              </w:rPr>
            </w:pPr>
            <w:r>
              <w:rPr>
                <w:rFonts w:ascii="Arial" w:cs="Arial" w:eastAsia="Arial" w:hAnsi="Arial"/>
                <w:sz w:val="14"/>
                <w:szCs w:val="14"/>
                <w:color w:val="auto"/>
              </w:rPr>
              <w:t>Property, plant and equipment, net ($10,093 and $10,709 attributable to the FootJoy JV)</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228,381</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239,748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Goodwill ($32,312 and $32,312 attributable to the FootJoy JV)</w:t>
            </w:r>
          </w:p>
        </w:tc>
        <w:tc>
          <w:tcPr>
            <w:tcW w:w="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185,092</w:t>
            </w: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179,241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spacing w:after="0" w:line="149" w:lineRule="exact"/>
              <w:rPr>
                <w:sz w:val="20"/>
                <w:szCs w:val="20"/>
                <w:color w:val="auto"/>
              </w:rPr>
            </w:pPr>
            <w:r>
              <w:rPr>
                <w:rFonts w:ascii="Arial" w:cs="Arial" w:eastAsia="Arial" w:hAnsi="Arial"/>
                <w:sz w:val="14"/>
                <w:szCs w:val="14"/>
                <w:color w:val="auto"/>
              </w:rPr>
              <w:t>Intangible assets, net</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483,511</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489,988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Deferred income taxes</w:t>
            </w:r>
          </w:p>
        </w:tc>
        <w:tc>
          <w:tcPr>
            <w:tcW w:w="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104,248</w:t>
            </w: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130,416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Borders>
              <w:bottom w:val="single" w:sz="8" w:color="CCEEFF"/>
            </w:tcBorders>
          </w:tcPr>
          <w:p>
            <w:pPr>
              <w:spacing w:after="0" w:line="149" w:lineRule="exact"/>
              <w:rPr>
                <w:sz w:val="20"/>
                <w:szCs w:val="20"/>
                <w:color w:val="auto"/>
              </w:rPr>
            </w:pPr>
            <w:r>
              <w:rPr>
                <w:rFonts w:ascii="Arial" w:cs="Arial" w:eastAsia="Arial" w:hAnsi="Arial"/>
                <w:sz w:val="14"/>
                <w:szCs w:val="14"/>
                <w:color w:val="auto"/>
              </w:rPr>
              <w:t>Other assets ($2,674 and $2,642 attributable to the FootJoy JV)</w:t>
            </w:r>
          </w:p>
        </w:tc>
        <w:tc>
          <w:tcPr>
            <w:tcW w:w="2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30,662</w:t>
            </w:r>
          </w:p>
        </w:tc>
        <w:tc>
          <w:tcPr>
            <w:tcW w:w="5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32,247</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5960" w:type="dxa"/>
            <w:vAlign w:val="bottom"/>
            <w:tcBorders>
              <w:bottom w:val="single" w:sz="8" w:color="CCEEFF"/>
            </w:tcBorders>
            <w:shd w:val="clear" w:color="auto" w:fill="CCEEFF"/>
          </w:tcPr>
          <w:p>
            <w:pPr>
              <w:ind w:left="520"/>
              <w:spacing w:after="0" w:line="142" w:lineRule="exact"/>
              <w:rPr>
                <w:sz w:val="20"/>
                <w:szCs w:val="20"/>
                <w:color w:val="auto"/>
              </w:rPr>
            </w:pPr>
            <w:r>
              <w:rPr>
                <w:rFonts w:ascii="Arial" w:cs="Arial" w:eastAsia="Arial" w:hAnsi="Arial"/>
                <w:sz w:val="14"/>
                <w:szCs w:val="14"/>
                <w:color w:val="auto"/>
              </w:rPr>
              <w:t>Total assets</w:t>
            </w:r>
          </w:p>
        </w:tc>
        <w:tc>
          <w:tcPr>
            <w:tcW w:w="28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1,705,560</w:t>
            </w:r>
          </w:p>
        </w:tc>
        <w:tc>
          <w:tcPr>
            <w:tcW w:w="58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1,736,171</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5960" w:type="dxa"/>
            <w:vAlign w:val="bottom"/>
          </w:tcPr>
          <w:p>
            <w:pPr>
              <w:spacing w:after="0" w:line="136" w:lineRule="exact"/>
              <w:rPr>
                <w:sz w:val="20"/>
                <w:szCs w:val="20"/>
                <w:color w:val="auto"/>
              </w:rPr>
            </w:pPr>
            <w:r>
              <w:rPr>
                <w:rFonts w:ascii="Arial" w:cs="Arial" w:eastAsia="Arial" w:hAnsi="Arial"/>
                <w:sz w:val="14"/>
                <w:szCs w:val="14"/>
                <w:b w:val="1"/>
                <w:bCs w:val="1"/>
                <w:color w:val="auto"/>
              </w:rPr>
              <w:t>Liabilities and Equity</w:t>
            </w: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Current liabilities</w:t>
            </w:r>
          </w:p>
        </w:tc>
        <w:tc>
          <w:tcPr>
            <w:tcW w:w="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ind w:left="100"/>
              <w:spacing w:after="0" w:line="149" w:lineRule="exact"/>
              <w:rPr>
                <w:sz w:val="20"/>
                <w:szCs w:val="20"/>
                <w:color w:val="auto"/>
              </w:rPr>
            </w:pPr>
            <w:r>
              <w:rPr>
                <w:rFonts w:ascii="Arial" w:cs="Arial" w:eastAsia="Arial" w:hAnsi="Arial"/>
                <w:sz w:val="14"/>
                <w:szCs w:val="14"/>
                <w:color w:val="auto"/>
              </w:rPr>
              <w:t>Short-term debt</w:t>
            </w:r>
          </w:p>
        </w:tc>
        <w:tc>
          <w:tcPr>
            <w:tcW w:w="3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14,327</w:t>
            </w: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42,495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Current portion of long-term debt</w:t>
            </w:r>
          </w:p>
        </w:tc>
        <w:tc>
          <w:tcPr>
            <w:tcW w:w="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23,750</w:t>
            </w: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18,750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ind w:left="100"/>
              <w:spacing w:after="0" w:line="149" w:lineRule="exact"/>
              <w:rPr>
                <w:sz w:val="20"/>
                <w:szCs w:val="20"/>
                <w:color w:val="auto"/>
              </w:rPr>
            </w:pPr>
            <w:r>
              <w:rPr>
                <w:rFonts w:ascii="Arial" w:cs="Arial" w:eastAsia="Arial" w:hAnsi="Arial"/>
                <w:sz w:val="14"/>
                <w:szCs w:val="14"/>
                <w:color w:val="auto"/>
              </w:rPr>
              <w:t>Accounts payable ($7,428 and $10,397 attributable to the FootJoy JV)</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91,085</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87,608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Accrued taxes</w:t>
            </w:r>
          </w:p>
        </w:tc>
        <w:tc>
          <w:tcPr>
            <w:tcW w:w="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21,623</w:t>
            </w: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41,962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ind w:left="100"/>
              <w:spacing w:after="0" w:line="149" w:lineRule="exact"/>
              <w:rPr>
                <w:sz w:val="20"/>
                <w:szCs w:val="20"/>
                <w:color w:val="auto"/>
              </w:rPr>
            </w:pPr>
            <w:r>
              <w:rPr>
                <w:rFonts w:ascii="Arial" w:cs="Arial" w:eastAsia="Arial" w:hAnsi="Arial"/>
                <w:sz w:val="14"/>
                <w:szCs w:val="14"/>
                <w:color w:val="auto"/>
              </w:rPr>
              <w:t>Accrued compensation and benefits ($540 and $780 attributable to the FootJoy JV)</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68,434</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224,230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Accrued expenses and other liabilities ($5,980 and $4,121 attributable to the FootJoy JV)</w:t>
            </w:r>
          </w:p>
        </w:tc>
        <w:tc>
          <w:tcPr>
            <w:tcW w:w="2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10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72,131</w:t>
            </w:r>
          </w:p>
        </w:tc>
        <w:tc>
          <w:tcPr>
            <w:tcW w:w="5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10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47,063</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60" w:type="dxa"/>
            <w:vAlign w:val="bottom"/>
          </w:tcPr>
          <w:p>
            <w:pPr>
              <w:ind w:left="520"/>
              <w:spacing w:after="0" w:line="142" w:lineRule="exact"/>
              <w:rPr>
                <w:sz w:val="20"/>
                <w:szCs w:val="20"/>
                <w:color w:val="auto"/>
              </w:rPr>
            </w:pPr>
            <w:r>
              <w:rPr>
                <w:rFonts w:ascii="Arial" w:cs="Arial" w:eastAsia="Arial" w:hAnsi="Arial"/>
                <w:sz w:val="14"/>
                <w:szCs w:val="14"/>
                <w:color w:val="auto"/>
              </w:rPr>
              <w:t>Total current liabilities</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jc w:val="right"/>
              <w:spacing w:after="0" w:line="142" w:lineRule="exact"/>
              <w:rPr>
                <w:sz w:val="20"/>
                <w:szCs w:val="20"/>
                <w:color w:val="auto"/>
              </w:rPr>
            </w:pPr>
            <w:r>
              <w:rPr>
                <w:rFonts w:ascii="Arial" w:cs="Arial" w:eastAsia="Arial" w:hAnsi="Arial"/>
                <w:sz w:val="14"/>
                <w:szCs w:val="14"/>
                <w:color w:val="auto"/>
              </w:rPr>
              <w:t>291,350</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2" w:lineRule="exact"/>
              <w:rPr>
                <w:sz w:val="20"/>
                <w:szCs w:val="20"/>
                <w:color w:val="auto"/>
              </w:rPr>
            </w:pPr>
            <w:r>
              <w:rPr>
                <w:rFonts w:ascii="Arial" w:cs="Arial" w:eastAsia="Arial" w:hAnsi="Arial"/>
                <w:sz w:val="14"/>
                <w:szCs w:val="14"/>
                <w:color w:val="auto"/>
              </w:rPr>
              <w:t>462,108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Long-term debt and capital lease obligations</w:t>
            </w:r>
          </w:p>
        </w:tc>
        <w:tc>
          <w:tcPr>
            <w:tcW w:w="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425,719</w:t>
            </w: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348,348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5,893</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7,452</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59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w w:val="98"/>
              </w:rPr>
              <w:t>Accrued pension and other postretirement benefits ($1,743 and $1,946 attributable to the FootJoy</w:t>
            </w:r>
          </w:p>
        </w:tc>
        <w:tc>
          <w:tcPr>
            <w:tcW w:w="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4"/>
                <w:szCs w:val="14"/>
                <w:color w:val="auto"/>
              </w:rPr>
              <w:t>JV)</w:t>
            </w:r>
          </w:p>
        </w:tc>
        <w:tc>
          <w:tcPr>
            <w:tcW w:w="2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123,401</w:t>
            </w:r>
          </w:p>
        </w:tc>
        <w:tc>
          <w:tcPr>
            <w:tcW w:w="5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135,339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Borders>
              <w:bottom w:val="single" w:sz="8" w:color="CCEEFF"/>
            </w:tcBorders>
          </w:tcPr>
          <w:p>
            <w:pPr>
              <w:spacing w:after="0" w:line="149" w:lineRule="exact"/>
              <w:rPr>
                <w:sz w:val="20"/>
                <w:szCs w:val="20"/>
                <w:color w:val="auto"/>
              </w:rPr>
            </w:pPr>
            <w:r>
              <w:rPr>
                <w:rFonts w:ascii="Arial" w:cs="Arial" w:eastAsia="Arial" w:hAnsi="Arial"/>
                <w:sz w:val="14"/>
                <w:szCs w:val="14"/>
                <w:color w:val="auto"/>
              </w:rPr>
              <w:t>Other noncurrent liabilities ($4,065 and $3,368 attributable to the FootJoy JV)</w:t>
            </w:r>
          </w:p>
        </w:tc>
        <w:tc>
          <w:tcPr>
            <w:tcW w:w="2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16,529</w:t>
            </w:r>
          </w:p>
        </w:tc>
        <w:tc>
          <w:tcPr>
            <w:tcW w:w="5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14,101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60" w:type="dxa"/>
            <w:vAlign w:val="bottom"/>
            <w:shd w:val="clear" w:color="auto" w:fill="CCEEFF"/>
          </w:tcPr>
          <w:p>
            <w:pPr>
              <w:ind w:left="520"/>
              <w:spacing w:after="0" w:line="142" w:lineRule="exact"/>
              <w:rPr>
                <w:sz w:val="20"/>
                <w:szCs w:val="20"/>
                <w:color w:val="auto"/>
              </w:rPr>
            </w:pPr>
            <w:r>
              <w:rPr>
                <w:rFonts w:ascii="Arial" w:cs="Arial" w:eastAsia="Arial" w:hAnsi="Arial"/>
                <w:sz w:val="14"/>
                <w:szCs w:val="14"/>
                <w:color w:val="auto"/>
              </w:rPr>
              <w:t>Total liabilities</w:t>
            </w:r>
          </w:p>
        </w:tc>
        <w:tc>
          <w:tcPr>
            <w:tcW w:w="2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10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862,892</w:t>
            </w:r>
          </w:p>
        </w:tc>
        <w:tc>
          <w:tcPr>
            <w:tcW w:w="5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10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967,348</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5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5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Shareholders' Equity</w:t>
            </w:r>
          </w:p>
        </w:tc>
        <w:tc>
          <w:tcPr>
            <w:tcW w:w="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5960" w:type="dxa"/>
            <w:vAlign w:val="bottom"/>
          </w:tcPr>
          <w:p>
            <w:pPr>
              <w:ind w:left="100"/>
              <w:spacing w:after="0" w:line="130" w:lineRule="exact"/>
              <w:rPr>
                <w:sz w:val="20"/>
                <w:szCs w:val="20"/>
                <w:color w:val="auto"/>
              </w:rPr>
            </w:pPr>
            <w:r>
              <w:rPr>
                <w:rFonts w:ascii="Arial" w:cs="Arial" w:eastAsia="Arial" w:hAnsi="Arial"/>
                <w:sz w:val="14"/>
                <w:szCs w:val="14"/>
                <w:color w:val="auto"/>
                <w:w w:val="99"/>
              </w:rPr>
              <w:t>Common stock, $0.001 par value, 500,000,000 shares authorized; 74,451,977 and 74,093,598</w:t>
            </w: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5960" w:type="dxa"/>
            <w:vAlign w:val="bottom"/>
          </w:tcPr>
          <w:p>
            <w:pPr>
              <w:ind w:left="100"/>
              <w:spacing w:after="0"/>
              <w:rPr>
                <w:sz w:val="20"/>
                <w:szCs w:val="20"/>
                <w:color w:val="auto"/>
              </w:rPr>
            </w:pPr>
            <w:r>
              <w:rPr>
                <w:rFonts w:ascii="Arial" w:cs="Arial" w:eastAsia="Arial" w:hAnsi="Arial"/>
                <w:sz w:val="14"/>
                <w:szCs w:val="14"/>
                <w:color w:val="auto"/>
              </w:rPr>
              <w:t>shares issued and outstanding</w:t>
            </w: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74</w:t>
            </w: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Additional paid-in capital</w:t>
            </w:r>
          </w:p>
        </w:tc>
        <w:tc>
          <w:tcPr>
            <w:tcW w:w="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891,249</w:t>
            </w: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880,576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ind w:left="100"/>
              <w:spacing w:after="0" w:line="149" w:lineRule="exact"/>
              <w:rPr>
                <w:sz w:val="20"/>
                <w:szCs w:val="20"/>
                <w:color w:val="auto"/>
              </w:rPr>
            </w:pPr>
            <w:r>
              <w:rPr>
                <w:rFonts w:ascii="Arial" w:cs="Arial" w:eastAsia="Arial" w:hAnsi="Arial"/>
                <w:sz w:val="14"/>
                <w:szCs w:val="14"/>
                <w:color w:val="auto"/>
              </w:rPr>
              <w:t>Accumulated other comprehensive loss, net of tax</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(79,717)</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(90,834)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Retained deficit</w:t>
            </w:r>
          </w:p>
        </w:tc>
        <w:tc>
          <w:tcPr>
            <w:tcW w:w="2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10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(950)</w:t>
            </w:r>
          </w:p>
        </w:tc>
        <w:tc>
          <w:tcPr>
            <w:tcW w:w="5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10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(53,951)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60" w:type="dxa"/>
            <w:vAlign w:val="bottom"/>
          </w:tcPr>
          <w:p>
            <w:pPr>
              <w:ind w:left="520"/>
              <w:spacing w:after="0" w:line="142" w:lineRule="exact"/>
              <w:rPr>
                <w:sz w:val="20"/>
                <w:szCs w:val="20"/>
                <w:color w:val="auto"/>
              </w:rPr>
            </w:pPr>
            <w:r>
              <w:rPr>
                <w:rFonts w:ascii="Arial" w:cs="Arial" w:eastAsia="Arial" w:hAnsi="Arial"/>
                <w:sz w:val="14"/>
                <w:szCs w:val="14"/>
                <w:color w:val="auto"/>
              </w:rPr>
              <w:t>Total equity attributable to Acushnet Holdings Corp.</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jc w:val="right"/>
              <w:spacing w:after="0" w:line="142" w:lineRule="exact"/>
              <w:rPr>
                <w:sz w:val="20"/>
                <w:szCs w:val="20"/>
                <w:color w:val="auto"/>
              </w:rPr>
            </w:pPr>
            <w:r>
              <w:rPr>
                <w:rFonts w:ascii="Arial" w:cs="Arial" w:eastAsia="Arial" w:hAnsi="Arial"/>
                <w:sz w:val="14"/>
                <w:szCs w:val="14"/>
                <w:color w:val="auto"/>
              </w:rPr>
              <w:t>810,656</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2" w:lineRule="exact"/>
              <w:rPr>
                <w:sz w:val="20"/>
                <w:szCs w:val="20"/>
                <w:color w:val="auto"/>
              </w:rPr>
            </w:pPr>
            <w:r>
              <w:rPr>
                <w:rFonts w:ascii="Arial" w:cs="Arial" w:eastAsia="Arial" w:hAnsi="Arial"/>
                <w:sz w:val="14"/>
                <w:szCs w:val="14"/>
                <w:color w:val="auto"/>
              </w:rPr>
              <w:t>735,865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Noncontrolling interests</w:t>
            </w:r>
          </w:p>
        </w:tc>
        <w:tc>
          <w:tcPr>
            <w:tcW w:w="2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10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32,012</w:t>
            </w:r>
          </w:p>
        </w:tc>
        <w:tc>
          <w:tcPr>
            <w:tcW w:w="5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10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32,958</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60" w:type="dxa"/>
            <w:vAlign w:val="bottom"/>
            <w:tcBorders>
              <w:bottom w:val="single" w:sz="8" w:color="CCEEFF"/>
            </w:tcBorders>
          </w:tcPr>
          <w:p>
            <w:pPr>
              <w:ind w:left="520"/>
              <w:spacing w:after="0" w:line="142" w:lineRule="exact"/>
              <w:rPr>
                <w:sz w:val="20"/>
                <w:szCs w:val="20"/>
                <w:color w:val="auto"/>
              </w:rPr>
            </w:pPr>
            <w:r>
              <w:rPr>
                <w:rFonts w:ascii="Arial" w:cs="Arial" w:eastAsia="Arial" w:hAnsi="Arial"/>
                <w:sz w:val="14"/>
                <w:szCs w:val="14"/>
                <w:color w:val="auto"/>
              </w:rPr>
              <w:t>Total shareholders' equity</w:t>
            </w:r>
          </w:p>
        </w:tc>
        <w:tc>
          <w:tcPr>
            <w:tcW w:w="2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842,668</w:t>
            </w:r>
          </w:p>
        </w:tc>
        <w:tc>
          <w:tcPr>
            <w:tcW w:w="5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768,823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Borders>
              <w:bottom w:val="single" w:sz="8" w:color="CCEEFF"/>
            </w:tcBorders>
            <w:shd w:val="clear" w:color="auto" w:fill="CCEEFF"/>
          </w:tcPr>
          <w:p>
            <w:pPr>
              <w:ind w:left="520"/>
              <w:spacing w:after="0" w:line="142" w:lineRule="exact"/>
              <w:rPr>
                <w:sz w:val="20"/>
                <w:szCs w:val="20"/>
                <w:color w:val="auto"/>
              </w:rPr>
            </w:pPr>
            <w:r>
              <w:rPr>
                <w:rFonts w:ascii="Arial" w:cs="Arial" w:eastAsia="Arial" w:hAnsi="Arial"/>
                <w:sz w:val="14"/>
                <w:szCs w:val="14"/>
                <w:color w:val="auto"/>
              </w:rPr>
              <w:t>Total liabilities and shareholders' equity</w:t>
            </w:r>
          </w:p>
        </w:tc>
        <w:tc>
          <w:tcPr>
            <w:tcW w:w="28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1,705,560</w:t>
            </w:r>
          </w:p>
        </w:tc>
        <w:tc>
          <w:tcPr>
            <w:tcW w:w="58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1,736,171</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355" w:right="1419" w:bottom="1440" w:gutter="0" w:footer="0" w:header="0"/>
        </w:sectPr>
      </w:pPr>
    </w:p>
    <w:bookmarkStart w:id="10" w:name="page11"/>
    <w:bookmarkEnd w:id="10"/>
    <w:p>
      <w:pPr>
        <w:jc w:val="center"/>
        <w:spacing w:after="0"/>
        <w:rPr>
          <w:sz w:val="20"/>
          <w:szCs w:val="20"/>
          <w:color w:val="auto"/>
        </w:rPr>
      </w:pPr>
      <w:r>
        <w:rPr>
          <w:rFonts w:ascii="Arial" w:cs="Arial" w:eastAsia="Arial" w:hAnsi="Arial"/>
          <w:sz w:val="22"/>
          <w:szCs w:val="22"/>
          <w:b w:val="1"/>
          <w:bCs w:val="1"/>
          <w:color w:val="auto"/>
        </w:rPr>
        <w:t>ACUSHNET HOLDINGS CORP.</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STATEMENTS OF CASH FLOWS (UNAUDITED)</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64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6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560" w:type="dxa"/>
            <w:vAlign w:val="bottom"/>
            <w:tcBorders>
              <w:bottom w:val="single" w:sz="8" w:color="auto"/>
            </w:tcBorders>
            <w:gridSpan w:val="4"/>
          </w:tcPr>
          <w:p>
            <w:pPr>
              <w:jc w:val="right"/>
              <w:ind w:right="248"/>
              <w:spacing w:after="0"/>
              <w:rPr>
                <w:sz w:val="20"/>
                <w:szCs w:val="20"/>
                <w:color w:val="auto"/>
              </w:rPr>
            </w:pPr>
            <w:r>
              <w:rPr>
                <w:rFonts w:ascii="Arial" w:cs="Arial" w:eastAsia="Arial" w:hAnsi="Arial"/>
                <w:sz w:val="14"/>
                <w:szCs w:val="14"/>
                <w:b w:val="1"/>
                <w:bCs w:val="1"/>
                <w:color w:val="auto"/>
                <w:w w:val="96"/>
              </w:rPr>
              <w:t>Nine months ended September 30,</w:t>
            </w:r>
          </w:p>
        </w:tc>
        <w:tc>
          <w:tcPr>
            <w:tcW w:w="0" w:type="dxa"/>
            <w:vAlign w:val="bottom"/>
          </w:tcPr>
          <w:p>
            <w:pPr>
              <w:spacing w:after="0"/>
              <w:rPr>
                <w:sz w:val="1"/>
                <w:szCs w:val="1"/>
                <w:color w:val="auto"/>
              </w:rPr>
            </w:pPr>
          </w:p>
        </w:tc>
      </w:tr>
      <w:tr>
        <w:trPr>
          <w:trHeight w:val="142"/>
        </w:trPr>
        <w:tc>
          <w:tcPr>
            <w:tcW w:w="5640" w:type="dxa"/>
            <w:vAlign w:val="bottom"/>
            <w:tcBorders>
              <w:bottom w:val="single" w:sz="8" w:color="CCEEFF"/>
            </w:tcBorders>
            <w:vMerge w:val="continue"/>
          </w:tcPr>
          <w:p>
            <w:pPr>
              <w:spacing w:after="0"/>
              <w:rPr>
                <w:sz w:val="12"/>
                <w:szCs w:val="12"/>
                <w:color w:val="auto"/>
              </w:rPr>
            </w:pPr>
          </w:p>
        </w:tc>
        <w:tc>
          <w:tcPr>
            <w:tcW w:w="68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tcPr>
          <w:p>
            <w:pPr>
              <w:jc w:val="right"/>
              <w:ind w:right="528"/>
              <w:spacing w:after="0" w:line="142" w:lineRule="exact"/>
              <w:rPr>
                <w:sz w:val="20"/>
                <w:szCs w:val="20"/>
                <w:color w:val="auto"/>
              </w:rPr>
            </w:pPr>
            <w:r>
              <w:rPr>
                <w:rFonts w:ascii="Arial" w:cs="Arial" w:eastAsia="Arial" w:hAnsi="Arial"/>
                <w:sz w:val="14"/>
                <w:szCs w:val="14"/>
                <w:b w:val="1"/>
                <w:bCs w:val="1"/>
                <w:color w:val="auto"/>
              </w:rPr>
              <w:t>2017</w:t>
            </w:r>
          </w:p>
        </w:tc>
        <w:tc>
          <w:tcPr>
            <w:tcW w:w="20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308"/>
              <w:spacing w:after="0" w:line="142"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42"/>
        </w:trPr>
        <w:tc>
          <w:tcPr>
            <w:tcW w:w="56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Cash flows from operating activities</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40" w:type="dxa"/>
            <w:vAlign w:val="bottom"/>
          </w:tcPr>
          <w:p>
            <w:pPr>
              <w:spacing w:after="0" w:line="149" w:lineRule="exact"/>
              <w:rPr>
                <w:sz w:val="20"/>
                <w:szCs w:val="20"/>
                <w:color w:val="auto"/>
              </w:rPr>
            </w:pPr>
            <w:r>
              <w:rPr>
                <w:rFonts w:ascii="Arial" w:cs="Arial" w:eastAsia="Arial" w:hAnsi="Arial"/>
                <w:sz w:val="14"/>
                <w:szCs w:val="14"/>
                <w:color w:val="auto"/>
              </w:rPr>
              <w:t>Net income</w:t>
            </w:r>
          </w:p>
        </w:tc>
        <w:tc>
          <w:tcPr>
            <w:tcW w:w="860" w:type="dxa"/>
            <w:vAlign w:val="bottom"/>
            <w:gridSpan w:val="2"/>
          </w:tcPr>
          <w:p>
            <w:pPr>
              <w:jc w:val="right"/>
              <w:ind w:right="28"/>
              <w:spacing w:after="0" w:line="149" w:lineRule="exact"/>
              <w:rPr>
                <w:sz w:val="20"/>
                <w:szCs w:val="20"/>
                <w:color w:val="auto"/>
              </w:rPr>
            </w:pPr>
            <w:r>
              <w:rPr>
                <w:rFonts w:ascii="Arial" w:cs="Arial" w:eastAsia="Arial" w:hAnsi="Arial"/>
                <w:sz w:val="14"/>
                <w:szCs w:val="14"/>
                <w:color w:val="auto"/>
              </w:rPr>
              <w:t>$</w:t>
            </w: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84,302</w:t>
            </w:r>
          </w:p>
        </w:tc>
        <w:tc>
          <w:tcPr>
            <w:tcW w:w="420" w:type="dxa"/>
            <w:vAlign w:val="bottom"/>
            <w:gridSpan w:val="2"/>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48,268</w:t>
            </w: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to reconcile net income to cash provided by (used in) operating activities</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640" w:type="dxa"/>
            <w:vAlign w:val="bottom"/>
          </w:tcPr>
          <w:p>
            <w:pPr>
              <w:ind w:left="120"/>
              <w:spacing w:after="0" w:line="149" w:lineRule="exact"/>
              <w:rPr>
                <w:sz w:val="20"/>
                <w:szCs w:val="20"/>
                <w:color w:val="auto"/>
              </w:rPr>
            </w:pPr>
            <w:r>
              <w:rPr>
                <w:rFonts w:ascii="Arial" w:cs="Arial" w:eastAsia="Arial" w:hAnsi="Arial"/>
                <w:sz w:val="14"/>
                <w:szCs w:val="14"/>
                <w:color w:val="auto"/>
              </w:rPr>
              <w:t>Depreciation and amortization</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30,667</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30,553</w:t>
            </w: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Unrealized foreign exchange gain</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(2,885)</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(1,069)</w:t>
            </w:r>
          </w:p>
        </w:tc>
        <w:tc>
          <w:tcPr>
            <w:tcW w:w="0" w:type="dxa"/>
            <w:vAlign w:val="bottom"/>
          </w:tcPr>
          <w:p>
            <w:pPr>
              <w:spacing w:after="0"/>
              <w:rPr>
                <w:sz w:val="1"/>
                <w:szCs w:val="1"/>
                <w:color w:val="auto"/>
              </w:rPr>
            </w:pPr>
          </w:p>
        </w:tc>
      </w:tr>
      <w:tr>
        <w:trPr>
          <w:trHeight w:val="149"/>
        </w:trPr>
        <w:tc>
          <w:tcPr>
            <w:tcW w:w="5640" w:type="dxa"/>
            <w:vAlign w:val="bottom"/>
          </w:tcPr>
          <w:p>
            <w:pPr>
              <w:ind w:left="120"/>
              <w:spacing w:after="0" w:line="149" w:lineRule="exact"/>
              <w:rPr>
                <w:sz w:val="20"/>
                <w:szCs w:val="20"/>
                <w:color w:val="auto"/>
              </w:rPr>
            </w:pPr>
            <w:r>
              <w:rPr>
                <w:rFonts w:ascii="Arial" w:cs="Arial" w:eastAsia="Arial" w:hAnsi="Arial"/>
                <w:sz w:val="14"/>
                <w:szCs w:val="14"/>
                <w:color w:val="auto"/>
              </w:rPr>
              <w:t>Amortization of debt issuance costs</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990</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3,036</w:t>
            </w: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Amortization of discount on bonds payable</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3,963</w:t>
            </w:r>
          </w:p>
        </w:tc>
        <w:tc>
          <w:tcPr>
            <w:tcW w:w="0" w:type="dxa"/>
            <w:vAlign w:val="bottom"/>
          </w:tcPr>
          <w:p>
            <w:pPr>
              <w:spacing w:after="0"/>
              <w:rPr>
                <w:sz w:val="1"/>
                <w:szCs w:val="1"/>
                <w:color w:val="auto"/>
              </w:rPr>
            </w:pPr>
          </w:p>
        </w:tc>
      </w:tr>
      <w:tr>
        <w:trPr>
          <w:trHeight w:val="149"/>
        </w:trPr>
        <w:tc>
          <w:tcPr>
            <w:tcW w:w="5640" w:type="dxa"/>
            <w:vAlign w:val="bottom"/>
          </w:tcPr>
          <w:p>
            <w:pPr>
              <w:ind w:left="120"/>
              <w:spacing w:after="0" w:line="149" w:lineRule="exact"/>
              <w:rPr>
                <w:sz w:val="20"/>
                <w:szCs w:val="20"/>
                <w:color w:val="auto"/>
              </w:rPr>
            </w:pPr>
            <w:r>
              <w:rPr>
                <w:rFonts w:ascii="Arial" w:cs="Arial" w:eastAsia="Arial" w:hAnsi="Arial"/>
                <w:sz w:val="14"/>
                <w:szCs w:val="14"/>
                <w:color w:val="auto"/>
              </w:rPr>
              <w:t>Change in fair value of common stock warrants</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6,112</w:t>
            </w: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Share-based compensation</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11,576</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7,123</w:t>
            </w:r>
          </w:p>
        </w:tc>
        <w:tc>
          <w:tcPr>
            <w:tcW w:w="0" w:type="dxa"/>
            <w:vAlign w:val="bottom"/>
          </w:tcPr>
          <w:p>
            <w:pPr>
              <w:spacing w:after="0"/>
              <w:rPr>
                <w:sz w:val="1"/>
                <w:szCs w:val="1"/>
                <w:color w:val="auto"/>
              </w:rPr>
            </w:pPr>
          </w:p>
        </w:tc>
      </w:tr>
      <w:tr>
        <w:trPr>
          <w:trHeight w:val="149"/>
        </w:trPr>
        <w:tc>
          <w:tcPr>
            <w:tcW w:w="5640" w:type="dxa"/>
            <w:vAlign w:val="bottom"/>
          </w:tcPr>
          <w:p>
            <w:pPr>
              <w:ind w:left="120"/>
              <w:spacing w:after="0" w:line="149" w:lineRule="exact"/>
              <w:rPr>
                <w:sz w:val="20"/>
                <w:szCs w:val="20"/>
                <w:color w:val="auto"/>
              </w:rPr>
            </w:pPr>
            <w:r>
              <w:rPr>
                <w:rFonts w:ascii="Arial" w:cs="Arial" w:eastAsia="Arial" w:hAnsi="Arial"/>
                <w:sz w:val="14"/>
                <w:szCs w:val="14"/>
                <w:color w:val="auto"/>
              </w:rPr>
              <w:t>Loss on disposals of property, plant and equipment</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466</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82</w:t>
            </w: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Deferred income taxes</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28,415</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25,575</w:t>
            </w:r>
          </w:p>
        </w:tc>
        <w:tc>
          <w:tcPr>
            <w:tcW w:w="0" w:type="dxa"/>
            <w:vAlign w:val="bottom"/>
          </w:tcPr>
          <w:p>
            <w:pPr>
              <w:spacing w:after="0"/>
              <w:rPr>
                <w:sz w:val="1"/>
                <w:szCs w:val="1"/>
                <w:color w:val="auto"/>
              </w:rPr>
            </w:pPr>
          </w:p>
        </w:tc>
      </w:tr>
      <w:tr>
        <w:trPr>
          <w:trHeight w:val="149"/>
        </w:trPr>
        <w:tc>
          <w:tcPr>
            <w:tcW w:w="5640" w:type="dxa"/>
            <w:vAlign w:val="bottom"/>
            <w:tcBorders>
              <w:bottom w:val="single" w:sz="8" w:color="CCEEFF"/>
            </w:tcBorders>
          </w:tcPr>
          <w:p>
            <w:pPr>
              <w:ind w:left="120"/>
              <w:spacing w:after="0" w:line="149" w:lineRule="exact"/>
              <w:rPr>
                <w:sz w:val="20"/>
                <w:szCs w:val="20"/>
                <w:color w:val="auto"/>
              </w:rPr>
            </w:pPr>
            <w:r>
              <w:rPr>
                <w:rFonts w:ascii="Arial" w:cs="Arial" w:eastAsia="Arial" w:hAnsi="Arial"/>
                <w:sz w:val="14"/>
                <w:szCs w:val="14"/>
                <w:color w:val="auto"/>
              </w:rPr>
              <w:t>Changes in operating assets and liabilities</w:t>
            </w:r>
          </w:p>
        </w:tc>
        <w:tc>
          <w:tcPr>
            <w:tcW w:w="68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(171,415)</w:t>
            </w:r>
          </w:p>
        </w:tc>
        <w:tc>
          <w:tcPr>
            <w:tcW w:w="20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(1,615)</w:t>
            </w:r>
          </w:p>
        </w:tc>
        <w:tc>
          <w:tcPr>
            <w:tcW w:w="0" w:type="dxa"/>
            <w:vAlign w:val="bottom"/>
          </w:tcPr>
          <w:p>
            <w:pPr>
              <w:spacing w:after="0"/>
              <w:rPr>
                <w:sz w:val="1"/>
                <w:szCs w:val="1"/>
                <w:color w:val="auto"/>
              </w:rPr>
            </w:pPr>
          </w:p>
        </w:tc>
      </w:tr>
      <w:tr>
        <w:trPr>
          <w:trHeight w:val="142"/>
        </w:trPr>
        <w:tc>
          <w:tcPr>
            <w:tcW w:w="5640" w:type="dxa"/>
            <w:vAlign w:val="bottom"/>
            <w:shd w:val="clear" w:color="auto" w:fill="CCEEFF"/>
          </w:tcPr>
          <w:p>
            <w:pPr>
              <w:ind w:left="440"/>
              <w:spacing w:after="0" w:line="142" w:lineRule="exact"/>
              <w:rPr>
                <w:sz w:val="20"/>
                <w:szCs w:val="20"/>
                <w:color w:val="auto"/>
              </w:rPr>
            </w:pPr>
            <w:r>
              <w:rPr>
                <w:rFonts w:ascii="Arial" w:cs="Arial" w:eastAsia="Arial" w:hAnsi="Arial"/>
                <w:sz w:val="14"/>
                <w:szCs w:val="14"/>
                <w:color w:val="auto"/>
              </w:rPr>
              <w:t>Cash flows provided by (used in) operating activities</w:t>
            </w:r>
          </w:p>
        </w:tc>
        <w:tc>
          <w:tcPr>
            <w:tcW w:w="68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13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(17,884)</w:t>
            </w:r>
          </w:p>
        </w:tc>
        <w:tc>
          <w:tcPr>
            <w:tcW w:w="200" w:type="dxa"/>
            <w:vAlign w:val="bottom"/>
            <w:shd w:val="clear" w:color="auto" w:fill="CCEEFF"/>
          </w:tcPr>
          <w:p>
            <w:pPr>
              <w:spacing w:after="0"/>
              <w:rPr>
                <w:sz w:val="12"/>
                <w:szCs w:val="12"/>
                <w:color w:val="auto"/>
              </w:rPr>
            </w:pPr>
          </w:p>
        </w:tc>
        <w:tc>
          <w:tcPr>
            <w:tcW w:w="220" w:type="dxa"/>
            <w:vAlign w:val="bottom"/>
            <w:tcBorders>
              <w:bottom w:val="single" w:sz="8" w:color="auto"/>
            </w:tcBorders>
            <w:shd w:val="clear" w:color="auto" w:fill="CCEEFF"/>
          </w:tcPr>
          <w:p>
            <w:pPr>
              <w:spacing w:after="0"/>
              <w:rPr>
                <w:sz w:val="12"/>
                <w:szCs w:val="12"/>
                <w:color w:val="auto"/>
              </w:rPr>
            </w:pPr>
          </w:p>
        </w:tc>
        <w:tc>
          <w:tcPr>
            <w:tcW w:w="8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122,028</w:t>
            </w:r>
          </w:p>
        </w:tc>
        <w:tc>
          <w:tcPr>
            <w:tcW w:w="0" w:type="dxa"/>
            <w:vAlign w:val="bottom"/>
          </w:tcPr>
          <w:p>
            <w:pPr>
              <w:spacing w:after="0"/>
              <w:rPr>
                <w:sz w:val="1"/>
                <w:szCs w:val="1"/>
                <w:color w:val="auto"/>
              </w:rPr>
            </w:pPr>
          </w:p>
        </w:tc>
      </w:tr>
      <w:tr>
        <w:trPr>
          <w:trHeight w:val="142"/>
        </w:trPr>
        <w:tc>
          <w:tcPr>
            <w:tcW w:w="5640" w:type="dxa"/>
            <w:vAlign w:val="bottom"/>
          </w:tcPr>
          <w:p>
            <w:pPr>
              <w:spacing w:after="0" w:line="142" w:lineRule="exact"/>
              <w:rPr>
                <w:sz w:val="20"/>
                <w:szCs w:val="20"/>
                <w:color w:val="auto"/>
              </w:rPr>
            </w:pPr>
            <w:r>
              <w:rPr>
                <w:rFonts w:ascii="Arial" w:cs="Arial" w:eastAsia="Arial" w:hAnsi="Arial"/>
                <w:sz w:val="14"/>
                <w:szCs w:val="14"/>
                <w:b w:val="1"/>
                <w:bCs w:val="1"/>
                <w:color w:val="auto"/>
              </w:rPr>
              <w:t>Cash flows from investing activities</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Additions to property, plant and equipment</w:t>
            </w:r>
          </w:p>
        </w:tc>
        <w:tc>
          <w:tcPr>
            <w:tcW w:w="68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13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(12,781)</w:t>
            </w:r>
          </w:p>
        </w:tc>
        <w:tc>
          <w:tcPr>
            <w:tcW w:w="200" w:type="dxa"/>
            <w:vAlign w:val="bottom"/>
            <w:shd w:val="clear" w:color="auto" w:fill="CCEEFF"/>
          </w:tcPr>
          <w:p>
            <w:pPr>
              <w:spacing w:after="0"/>
              <w:rPr>
                <w:sz w:val="12"/>
                <w:szCs w:val="12"/>
                <w:color w:val="auto"/>
              </w:rPr>
            </w:pPr>
          </w:p>
        </w:tc>
        <w:tc>
          <w:tcPr>
            <w:tcW w:w="220" w:type="dxa"/>
            <w:vAlign w:val="bottom"/>
            <w:tcBorders>
              <w:bottom w:val="single" w:sz="8" w:color="auto"/>
            </w:tcBorders>
            <w:shd w:val="clear" w:color="auto" w:fill="CCEEFF"/>
          </w:tcPr>
          <w:p>
            <w:pPr>
              <w:spacing w:after="0"/>
              <w:rPr>
                <w:sz w:val="12"/>
                <w:szCs w:val="12"/>
                <w:color w:val="auto"/>
              </w:rPr>
            </w:pPr>
          </w:p>
        </w:tc>
        <w:tc>
          <w:tcPr>
            <w:tcW w:w="8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(13,502)</w:t>
            </w:r>
          </w:p>
        </w:tc>
        <w:tc>
          <w:tcPr>
            <w:tcW w:w="0" w:type="dxa"/>
            <w:vAlign w:val="bottom"/>
          </w:tcPr>
          <w:p>
            <w:pPr>
              <w:spacing w:after="0"/>
              <w:rPr>
                <w:sz w:val="1"/>
                <w:szCs w:val="1"/>
                <w:color w:val="auto"/>
              </w:rPr>
            </w:pPr>
          </w:p>
        </w:tc>
      </w:tr>
      <w:tr>
        <w:trPr>
          <w:trHeight w:val="142"/>
        </w:trPr>
        <w:tc>
          <w:tcPr>
            <w:tcW w:w="5640" w:type="dxa"/>
            <w:vAlign w:val="bottom"/>
            <w:tcBorders>
              <w:bottom w:val="single" w:sz="8" w:color="CCEEFF"/>
            </w:tcBorders>
          </w:tcPr>
          <w:p>
            <w:pPr>
              <w:ind w:left="440"/>
              <w:spacing w:after="0" w:line="142" w:lineRule="exact"/>
              <w:rPr>
                <w:sz w:val="20"/>
                <w:szCs w:val="20"/>
                <w:color w:val="auto"/>
              </w:rPr>
            </w:pPr>
            <w:r>
              <w:rPr>
                <w:rFonts w:ascii="Arial" w:cs="Arial" w:eastAsia="Arial" w:hAnsi="Arial"/>
                <w:sz w:val="14"/>
                <w:szCs w:val="14"/>
                <w:color w:val="auto"/>
              </w:rPr>
              <w:t>Cash flows used in investing activities</w:t>
            </w:r>
          </w:p>
        </w:tc>
        <w:tc>
          <w:tcPr>
            <w:tcW w:w="68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(12,781)</w:t>
            </w:r>
          </w:p>
        </w:tc>
        <w:tc>
          <w:tcPr>
            <w:tcW w:w="20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(13,502)</w:t>
            </w:r>
          </w:p>
        </w:tc>
        <w:tc>
          <w:tcPr>
            <w:tcW w:w="0" w:type="dxa"/>
            <w:vAlign w:val="bottom"/>
          </w:tcPr>
          <w:p>
            <w:pPr>
              <w:spacing w:after="0"/>
              <w:rPr>
                <w:sz w:val="1"/>
                <w:szCs w:val="1"/>
                <w:color w:val="auto"/>
              </w:rPr>
            </w:pPr>
          </w:p>
        </w:tc>
      </w:tr>
      <w:tr>
        <w:trPr>
          <w:trHeight w:val="142"/>
        </w:trPr>
        <w:tc>
          <w:tcPr>
            <w:tcW w:w="56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Cash flows from financing activities</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40" w:type="dxa"/>
            <w:vAlign w:val="bottom"/>
          </w:tcPr>
          <w:p>
            <w:pPr>
              <w:spacing w:after="0" w:line="149" w:lineRule="exact"/>
              <w:rPr>
                <w:sz w:val="20"/>
                <w:szCs w:val="20"/>
                <w:color w:val="auto"/>
              </w:rPr>
            </w:pPr>
            <w:r>
              <w:rPr>
                <w:rFonts w:ascii="Arial" w:cs="Arial" w:eastAsia="Arial" w:hAnsi="Arial"/>
                <w:sz w:val="14"/>
                <w:szCs w:val="14"/>
                <w:color w:val="auto"/>
              </w:rPr>
              <w:t>Decrease in short-term borrowings, net</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(31,719)</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(28,163)</w:t>
            </w: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Proceeds from delayed draw term loan A facility</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100,000</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640" w:type="dxa"/>
            <w:vAlign w:val="bottom"/>
          </w:tcPr>
          <w:p>
            <w:pPr>
              <w:spacing w:after="0" w:line="149" w:lineRule="exact"/>
              <w:rPr>
                <w:sz w:val="20"/>
                <w:szCs w:val="20"/>
                <w:color w:val="auto"/>
              </w:rPr>
            </w:pPr>
            <w:r>
              <w:rPr>
                <w:rFonts w:ascii="Arial" w:cs="Arial" w:eastAsia="Arial" w:hAnsi="Arial"/>
                <w:sz w:val="14"/>
                <w:szCs w:val="14"/>
                <w:color w:val="auto"/>
              </w:rPr>
              <w:t>Repayment of term loan facilities</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(17,814)</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Repayment of senior term loan facility</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(30,000)</w:t>
            </w:r>
          </w:p>
        </w:tc>
        <w:tc>
          <w:tcPr>
            <w:tcW w:w="0" w:type="dxa"/>
            <w:vAlign w:val="bottom"/>
          </w:tcPr>
          <w:p>
            <w:pPr>
              <w:spacing w:after="0"/>
              <w:rPr>
                <w:sz w:val="1"/>
                <w:szCs w:val="1"/>
                <w:color w:val="auto"/>
              </w:rPr>
            </w:pPr>
          </w:p>
        </w:tc>
      </w:tr>
      <w:tr>
        <w:trPr>
          <w:trHeight w:val="149"/>
        </w:trPr>
        <w:tc>
          <w:tcPr>
            <w:tcW w:w="5640" w:type="dxa"/>
            <w:vAlign w:val="bottom"/>
          </w:tcPr>
          <w:p>
            <w:pPr>
              <w:spacing w:after="0" w:line="149" w:lineRule="exact"/>
              <w:rPr>
                <w:sz w:val="20"/>
                <w:szCs w:val="20"/>
                <w:color w:val="auto"/>
              </w:rPr>
            </w:pPr>
            <w:r>
              <w:rPr>
                <w:rFonts w:ascii="Arial" w:cs="Arial" w:eastAsia="Arial" w:hAnsi="Arial"/>
                <w:sz w:val="14"/>
                <w:szCs w:val="14"/>
                <w:color w:val="auto"/>
              </w:rPr>
              <w:t>Proceeds from senior term loan facility</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375,000</w:t>
            </w: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Repayment of secured floating rate notes</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(375,000)</w:t>
            </w:r>
          </w:p>
        </w:tc>
        <w:tc>
          <w:tcPr>
            <w:tcW w:w="0" w:type="dxa"/>
            <w:vAlign w:val="bottom"/>
          </w:tcPr>
          <w:p>
            <w:pPr>
              <w:spacing w:after="0"/>
              <w:rPr>
                <w:sz w:val="1"/>
                <w:szCs w:val="1"/>
                <w:color w:val="auto"/>
              </w:rPr>
            </w:pPr>
          </w:p>
        </w:tc>
      </w:tr>
      <w:tr>
        <w:trPr>
          <w:trHeight w:val="149"/>
        </w:trPr>
        <w:tc>
          <w:tcPr>
            <w:tcW w:w="5640" w:type="dxa"/>
            <w:vAlign w:val="bottom"/>
          </w:tcPr>
          <w:p>
            <w:pPr>
              <w:spacing w:after="0" w:line="149" w:lineRule="exact"/>
              <w:rPr>
                <w:sz w:val="20"/>
                <w:szCs w:val="20"/>
                <w:color w:val="auto"/>
              </w:rPr>
            </w:pPr>
            <w:r>
              <w:rPr>
                <w:rFonts w:ascii="Arial" w:cs="Arial" w:eastAsia="Arial" w:hAnsi="Arial"/>
                <w:sz w:val="14"/>
                <w:szCs w:val="14"/>
                <w:color w:val="auto"/>
              </w:rPr>
              <w:t>Proceeds from exercise of common stock warrants</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34,503</w:t>
            </w: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Repayment of bonds</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(34,503)</w:t>
            </w:r>
          </w:p>
        </w:tc>
        <w:tc>
          <w:tcPr>
            <w:tcW w:w="0" w:type="dxa"/>
            <w:vAlign w:val="bottom"/>
          </w:tcPr>
          <w:p>
            <w:pPr>
              <w:spacing w:after="0"/>
              <w:rPr>
                <w:sz w:val="1"/>
                <w:szCs w:val="1"/>
                <w:color w:val="auto"/>
              </w:rPr>
            </w:pPr>
          </w:p>
        </w:tc>
      </w:tr>
      <w:tr>
        <w:trPr>
          <w:trHeight w:val="149"/>
        </w:trPr>
        <w:tc>
          <w:tcPr>
            <w:tcW w:w="5640" w:type="dxa"/>
            <w:vAlign w:val="bottom"/>
          </w:tcPr>
          <w:p>
            <w:pPr>
              <w:spacing w:after="0" w:line="149" w:lineRule="exact"/>
              <w:rPr>
                <w:sz w:val="20"/>
                <w:szCs w:val="20"/>
                <w:color w:val="auto"/>
              </w:rPr>
            </w:pPr>
            <w:r>
              <w:rPr>
                <w:rFonts w:ascii="Arial" w:cs="Arial" w:eastAsia="Arial" w:hAnsi="Arial"/>
                <w:sz w:val="14"/>
                <w:szCs w:val="14"/>
                <w:color w:val="auto"/>
              </w:rPr>
              <w:t>Debt issuance costs</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(6,469)</w:t>
            </w: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paid on common stock</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(26,802)</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640" w:type="dxa"/>
            <w:vAlign w:val="bottom"/>
          </w:tcPr>
          <w:p>
            <w:pPr>
              <w:spacing w:after="0" w:line="149" w:lineRule="exact"/>
              <w:rPr>
                <w:sz w:val="20"/>
                <w:szCs w:val="20"/>
                <w:color w:val="auto"/>
              </w:rPr>
            </w:pPr>
            <w:r>
              <w:rPr>
                <w:rFonts w:ascii="Arial" w:cs="Arial" w:eastAsia="Arial" w:hAnsi="Arial"/>
                <w:sz w:val="14"/>
                <w:szCs w:val="14"/>
                <w:color w:val="auto"/>
              </w:rPr>
              <w:t>Dividends paid on Series A redeemable convertible preferred stock</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(13,861)</w:t>
            </w:r>
          </w:p>
        </w:tc>
        <w:tc>
          <w:tcPr>
            <w:tcW w:w="0" w:type="dxa"/>
            <w:vAlign w:val="bottom"/>
          </w:tcPr>
          <w:p>
            <w:pPr>
              <w:spacing w:after="0"/>
              <w:rPr>
                <w:sz w:val="1"/>
                <w:szCs w:val="1"/>
                <w:color w:val="auto"/>
              </w:rPr>
            </w:pPr>
          </w:p>
        </w:tc>
      </w:tr>
      <w:tr>
        <w:trPr>
          <w:trHeight w:val="149"/>
        </w:trPr>
        <w:tc>
          <w:tcPr>
            <w:tcW w:w="5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paid to noncontrolling interests</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(2,400)</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(3,000)</w:t>
            </w:r>
          </w:p>
        </w:tc>
        <w:tc>
          <w:tcPr>
            <w:tcW w:w="0" w:type="dxa"/>
            <w:vAlign w:val="bottom"/>
          </w:tcPr>
          <w:p>
            <w:pPr>
              <w:spacing w:after="0"/>
              <w:rPr>
                <w:sz w:val="1"/>
                <w:szCs w:val="1"/>
                <w:color w:val="auto"/>
              </w:rPr>
            </w:pPr>
          </w:p>
        </w:tc>
      </w:tr>
      <w:tr>
        <w:trPr>
          <w:trHeight w:val="149"/>
        </w:trPr>
        <w:tc>
          <w:tcPr>
            <w:tcW w:w="5640" w:type="dxa"/>
            <w:vAlign w:val="bottom"/>
            <w:tcBorders>
              <w:bottom w:val="single" w:sz="8" w:color="CCEEFF"/>
            </w:tcBorders>
          </w:tcPr>
          <w:p>
            <w:pPr>
              <w:spacing w:after="0" w:line="149" w:lineRule="exact"/>
              <w:rPr>
                <w:sz w:val="20"/>
                <w:szCs w:val="20"/>
                <w:color w:val="auto"/>
              </w:rPr>
            </w:pPr>
            <w:r>
              <w:rPr>
                <w:rFonts w:ascii="Arial" w:cs="Arial" w:eastAsia="Arial" w:hAnsi="Arial"/>
                <w:sz w:val="14"/>
                <w:szCs w:val="14"/>
                <w:color w:val="auto"/>
              </w:rPr>
              <w:t>Payment of employee restricted stock tax withholdings</w:t>
            </w:r>
          </w:p>
        </w:tc>
        <w:tc>
          <w:tcPr>
            <w:tcW w:w="68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(903)</w:t>
            </w:r>
          </w:p>
        </w:tc>
        <w:tc>
          <w:tcPr>
            <w:tcW w:w="20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2"/>
        </w:trPr>
        <w:tc>
          <w:tcPr>
            <w:tcW w:w="5640" w:type="dxa"/>
            <w:vAlign w:val="bottom"/>
            <w:shd w:val="clear" w:color="auto" w:fill="CCEEFF"/>
          </w:tcPr>
          <w:p>
            <w:pPr>
              <w:ind w:left="440"/>
              <w:spacing w:after="0" w:line="142" w:lineRule="exact"/>
              <w:rPr>
                <w:sz w:val="20"/>
                <w:szCs w:val="20"/>
                <w:color w:val="auto"/>
              </w:rPr>
            </w:pPr>
            <w:r>
              <w:rPr>
                <w:rFonts w:ascii="Arial" w:cs="Arial" w:eastAsia="Arial" w:hAnsi="Arial"/>
                <w:sz w:val="14"/>
                <w:szCs w:val="14"/>
                <w:color w:val="auto"/>
              </w:rPr>
              <w:t>Cash flows provided by (used in) financing activities</w:t>
            </w:r>
          </w:p>
        </w:tc>
        <w:tc>
          <w:tcPr>
            <w:tcW w:w="68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13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20,362</w:t>
            </w:r>
          </w:p>
        </w:tc>
        <w:tc>
          <w:tcPr>
            <w:tcW w:w="200" w:type="dxa"/>
            <w:vAlign w:val="bottom"/>
            <w:shd w:val="clear" w:color="auto" w:fill="CCEEFF"/>
          </w:tcPr>
          <w:p>
            <w:pPr>
              <w:spacing w:after="0"/>
              <w:rPr>
                <w:sz w:val="12"/>
                <w:szCs w:val="12"/>
                <w:color w:val="auto"/>
              </w:rPr>
            </w:pPr>
          </w:p>
        </w:tc>
        <w:tc>
          <w:tcPr>
            <w:tcW w:w="220" w:type="dxa"/>
            <w:vAlign w:val="bottom"/>
            <w:tcBorders>
              <w:bottom w:val="single" w:sz="8" w:color="auto"/>
            </w:tcBorders>
            <w:shd w:val="clear" w:color="auto" w:fill="CCEEFF"/>
          </w:tcPr>
          <w:p>
            <w:pPr>
              <w:spacing w:after="0"/>
              <w:rPr>
                <w:sz w:val="12"/>
                <w:szCs w:val="12"/>
                <w:color w:val="auto"/>
              </w:rPr>
            </w:pPr>
          </w:p>
        </w:tc>
        <w:tc>
          <w:tcPr>
            <w:tcW w:w="8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(81,493)</w:t>
            </w:r>
          </w:p>
        </w:tc>
        <w:tc>
          <w:tcPr>
            <w:tcW w:w="0" w:type="dxa"/>
            <w:vAlign w:val="bottom"/>
          </w:tcPr>
          <w:p>
            <w:pPr>
              <w:spacing w:after="0"/>
              <w:rPr>
                <w:sz w:val="1"/>
                <w:szCs w:val="1"/>
                <w:color w:val="auto"/>
              </w:rPr>
            </w:pPr>
          </w:p>
        </w:tc>
      </w:tr>
      <w:tr>
        <w:trPr>
          <w:trHeight w:val="142"/>
        </w:trPr>
        <w:tc>
          <w:tcPr>
            <w:tcW w:w="5640" w:type="dxa"/>
            <w:vAlign w:val="bottom"/>
            <w:tcBorders>
              <w:bottom w:val="single" w:sz="8" w:color="CCEEFF"/>
            </w:tcBorders>
          </w:tcPr>
          <w:p>
            <w:pPr>
              <w:spacing w:after="0" w:line="142" w:lineRule="exact"/>
              <w:rPr>
                <w:sz w:val="20"/>
                <w:szCs w:val="20"/>
                <w:color w:val="auto"/>
              </w:rPr>
            </w:pPr>
            <w:r>
              <w:rPr>
                <w:rFonts w:ascii="Arial" w:cs="Arial" w:eastAsia="Arial" w:hAnsi="Arial"/>
                <w:sz w:val="14"/>
                <w:szCs w:val="14"/>
                <w:color w:val="auto"/>
              </w:rPr>
              <w:t>Effect of foreign exchange rate changes on cash</w:t>
            </w:r>
          </w:p>
        </w:tc>
        <w:tc>
          <w:tcPr>
            <w:tcW w:w="68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4,354</w:t>
            </w:r>
          </w:p>
        </w:tc>
        <w:tc>
          <w:tcPr>
            <w:tcW w:w="20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2,701</w:t>
            </w:r>
          </w:p>
        </w:tc>
        <w:tc>
          <w:tcPr>
            <w:tcW w:w="0" w:type="dxa"/>
            <w:vAlign w:val="bottom"/>
          </w:tcPr>
          <w:p>
            <w:pPr>
              <w:spacing w:after="0"/>
              <w:rPr>
                <w:sz w:val="1"/>
                <w:szCs w:val="1"/>
                <w:color w:val="auto"/>
              </w:rPr>
            </w:pPr>
          </w:p>
        </w:tc>
      </w:tr>
      <w:tr>
        <w:trPr>
          <w:trHeight w:val="142"/>
        </w:trPr>
        <w:tc>
          <w:tcPr>
            <w:tcW w:w="5640" w:type="dxa"/>
            <w:vAlign w:val="bottom"/>
            <w:shd w:val="clear" w:color="auto" w:fill="CCEEFF"/>
          </w:tcPr>
          <w:p>
            <w:pPr>
              <w:ind w:left="440"/>
              <w:spacing w:after="0" w:line="142" w:lineRule="exact"/>
              <w:rPr>
                <w:sz w:val="20"/>
                <w:szCs w:val="20"/>
                <w:color w:val="auto"/>
              </w:rPr>
            </w:pPr>
            <w:r>
              <w:rPr>
                <w:rFonts w:ascii="Arial" w:cs="Arial" w:eastAsia="Arial" w:hAnsi="Arial"/>
                <w:sz w:val="14"/>
                <w:szCs w:val="14"/>
                <w:color w:val="auto"/>
              </w:rPr>
              <w:t>Net increase (decrease) in cash</w:t>
            </w: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(5,949)</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29,734</w:t>
            </w:r>
          </w:p>
        </w:tc>
        <w:tc>
          <w:tcPr>
            <w:tcW w:w="0" w:type="dxa"/>
            <w:vAlign w:val="bottom"/>
          </w:tcPr>
          <w:p>
            <w:pPr>
              <w:spacing w:after="0"/>
              <w:rPr>
                <w:sz w:val="1"/>
                <w:szCs w:val="1"/>
                <w:color w:val="auto"/>
              </w:rPr>
            </w:pPr>
          </w:p>
        </w:tc>
      </w:tr>
      <w:tr>
        <w:trPr>
          <w:trHeight w:val="149"/>
        </w:trPr>
        <w:tc>
          <w:tcPr>
            <w:tcW w:w="5640" w:type="dxa"/>
            <w:vAlign w:val="bottom"/>
            <w:tcBorders>
              <w:bottom w:val="single" w:sz="8" w:color="CCEEFF"/>
            </w:tcBorders>
          </w:tcPr>
          <w:p>
            <w:pPr>
              <w:spacing w:after="0" w:line="149" w:lineRule="exact"/>
              <w:rPr>
                <w:sz w:val="20"/>
                <w:szCs w:val="20"/>
                <w:color w:val="auto"/>
              </w:rPr>
            </w:pPr>
            <w:r>
              <w:rPr>
                <w:rFonts w:ascii="Arial" w:cs="Arial" w:eastAsia="Arial" w:hAnsi="Arial"/>
                <w:sz w:val="14"/>
                <w:szCs w:val="14"/>
                <w:color w:val="auto"/>
              </w:rPr>
              <w:t>Cash and restricted cash, beginning of year</w:t>
            </w:r>
          </w:p>
        </w:tc>
        <w:tc>
          <w:tcPr>
            <w:tcW w:w="68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79,140</w:t>
            </w:r>
          </w:p>
        </w:tc>
        <w:tc>
          <w:tcPr>
            <w:tcW w:w="20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59,134</w:t>
            </w:r>
          </w:p>
        </w:tc>
        <w:tc>
          <w:tcPr>
            <w:tcW w:w="0" w:type="dxa"/>
            <w:vAlign w:val="bottom"/>
          </w:tcPr>
          <w:p>
            <w:pPr>
              <w:spacing w:after="0"/>
              <w:rPr>
                <w:sz w:val="1"/>
                <w:szCs w:val="1"/>
                <w:color w:val="auto"/>
              </w:rPr>
            </w:pPr>
          </w:p>
        </w:tc>
      </w:tr>
      <w:tr>
        <w:trPr>
          <w:trHeight w:val="149"/>
        </w:trPr>
        <w:tc>
          <w:tcPr>
            <w:tcW w:w="5640" w:type="dxa"/>
            <w:vAlign w:val="bottom"/>
            <w:tcBorders>
              <w:bottom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rPr>
              <w:t>Cash and restricted cash, end of period</w:t>
            </w:r>
          </w:p>
        </w:tc>
        <w:tc>
          <w:tcPr>
            <w:tcW w:w="680" w:type="dxa"/>
            <w:vAlign w:val="bottom"/>
            <w:tcBorders>
              <w:bottom w:val="single" w:sz="8" w:color="CCEEFF"/>
            </w:tcBorders>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jc w:val="right"/>
              <w:ind w:right="28"/>
              <w:spacing w:after="0" w:line="142" w:lineRule="exact"/>
              <w:rPr>
                <w:sz w:val="20"/>
                <w:szCs w:val="20"/>
                <w:color w:val="auto"/>
              </w:rPr>
            </w:pPr>
            <w:r>
              <w:rPr>
                <w:rFonts w:ascii="Arial" w:cs="Arial" w:eastAsia="Arial" w:hAnsi="Arial"/>
                <w:sz w:val="14"/>
                <w:szCs w:val="14"/>
                <w:color w:val="auto"/>
                <w:w w:val="76"/>
              </w:rPr>
              <w:t>$</w:t>
            </w:r>
          </w:p>
        </w:tc>
        <w:tc>
          <w:tcPr>
            <w:tcW w:w="13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73,191</w:t>
            </w:r>
          </w:p>
        </w:tc>
        <w:tc>
          <w:tcPr>
            <w:tcW w:w="200" w:type="dxa"/>
            <w:vAlign w:val="bottom"/>
            <w:tcBorders>
              <w:bottom w:val="single" w:sz="8" w:color="CCEEFF"/>
            </w:tcBorders>
            <w:shd w:val="clear" w:color="auto" w:fill="CCEEFF"/>
          </w:tcPr>
          <w:p>
            <w:pPr>
              <w:spacing w:after="0"/>
              <w:rPr>
                <w:sz w:val="12"/>
                <w:szCs w:val="12"/>
                <w:color w:val="auto"/>
              </w:rPr>
            </w:pPr>
          </w:p>
        </w:tc>
        <w:tc>
          <w:tcPr>
            <w:tcW w:w="220" w:type="dxa"/>
            <w:vAlign w:val="bottom"/>
            <w:tcBorders>
              <w:bottom w:val="single" w:sz="8" w:color="auto"/>
            </w:tcBorders>
            <w:shd w:val="clear" w:color="auto" w:fill="CCEEFF"/>
          </w:tcPr>
          <w:p>
            <w:pPr>
              <w:jc w:val="right"/>
              <w:ind w:right="68"/>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88,868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2" w:right="1419" w:bottom="1440" w:gutter="0" w:footer="0" w:header="0"/>
        </w:sectPr>
      </w:pPr>
    </w:p>
    <w:bookmarkStart w:id="11" w:name="page12"/>
    <w:bookmarkEnd w:id="11"/>
    <w:p>
      <w:pPr>
        <w:jc w:val="center"/>
        <w:ind w:right="100"/>
        <w:spacing w:after="0"/>
        <w:rPr>
          <w:sz w:val="20"/>
          <w:szCs w:val="20"/>
          <w:color w:val="auto"/>
        </w:rPr>
      </w:pPr>
      <w:r>
        <w:rPr>
          <w:rFonts w:ascii="Arial" w:cs="Arial" w:eastAsia="Arial" w:hAnsi="Arial"/>
          <w:sz w:val="22"/>
          <w:szCs w:val="22"/>
          <w:b w:val="1"/>
          <w:bCs w:val="1"/>
          <w:color w:val="auto"/>
        </w:rPr>
        <w:t>ACUSHNET HOLDINGS CORP.</w:t>
      </w:r>
    </w:p>
    <w:p>
      <w:pPr>
        <w:spacing w:after="0" w:line="15" w:lineRule="exact"/>
        <w:rPr>
          <w:sz w:val="20"/>
          <w:szCs w:val="20"/>
          <w:color w:val="auto"/>
        </w:rPr>
      </w:pPr>
    </w:p>
    <w:p>
      <w:pPr>
        <w:jc w:val="center"/>
        <w:ind w:right="100"/>
        <w:spacing w:after="0"/>
        <w:rPr>
          <w:sz w:val="20"/>
          <w:szCs w:val="20"/>
          <w:color w:val="auto"/>
        </w:rPr>
      </w:pPr>
      <w:r>
        <w:rPr>
          <w:rFonts w:ascii="Arial" w:cs="Arial" w:eastAsia="Arial" w:hAnsi="Arial"/>
          <w:sz w:val="22"/>
          <w:szCs w:val="22"/>
          <w:color w:val="auto"/>
        </w:rPr>
        <w:t>Supplemental Net Sales Information (Unaudited)</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Third Quarter Net Sales by Segment</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5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620" w:type="dxa"/>
            <w:vAlign w:val="bottom"/>
            <w:gridSpan w:val="2"/>
          </w:tcPr>
          <w:p>
            <w:pPr>
              <w:jc w:val="right"/>
              <w:ind w:right="94"/>
              <w:spacing w:after="0"/>
              <w:rPr>
                <w:sz w:val="20"/>
                <w:szCs w:val="20"/>
                <w:color w:val="auto"/>
              </w:rPr>
            </w:pPr>
            <w:r>
              <w:rPr>
                <w:rFonts w:ascii="Arial" w:cs="Arial" w:eastAsia="Arial" w:hAnsi="Arial"/>
                <w:sz w:val="14"/>
                <w:szCs w:val="14"/>
                <w:b w:val="1"/>
                <w:bCs w:val="1"/>
                <w:color w:val="auto"/>
              </w:rPr>
              <w:t>Three months ended</w:t>
            </w:r>
          </w:p>
        </w:tc>
        <w:tc>
          <w:tcPr>
            <w:tcW w:w="160" w:type="dxa"/>
            <w:vAlign w:val="bottom"/>
          </w:tcPr>
          <w:p>
            <w:pPr>
              <w:spacing w:after="0"/>
              <w:rPr>
                <w:sz w:val="14"/>
                <w:szCs w:val="14"/>
                <w:color w:val="auto"/>
              </w:rPr>
            </w:pPr>
          </w:p>
        </w:tc>
        <w:tc>
          <w:tcPr>
            <w:tcW w:w="1660" w:type="dxa"/>
            <w:vAlign w:val="bottom"/>
            <w:gridSpan w:val="2"/>
            <w:vMerge w:val="restart"/>
          </w:tcPr>
          <w:p>
            <w:pPr>
              <w:jc w:val="right"/>
              <w:ind w:right="134"/>
              <w:spacing w:after="0"/>
              <w:rPr>
                <w:sz w:val="20"/>
                <w:szCs w:val="20"/>
                <w:color w:val="auto"/>
              </w:rPr>
            </w:pPr>
            <w:r>
              <w:rPr>
                <w:rFonts w:ascii="Arial" w:cs="Arial" w:eastAsia="Arial" w:hAnsi="Arial"/>
                <w:sz w:val="14"/>
                <w:szCs w:val="14"/>
                <w:b w:val="1"/>
                <w:bCs w:val="1"/>
                <w:color w:val="auto"/>
              </w:rPr>
              <w:t>Increase/(Decrease)</w:t>
            </w:r>
          </w:p>
        </w:tc>
        <w:tc>
          <w:tcPr>
            <w:tcW w:w="160" w:type="dxa"/>
            <w:vAlign w:val="bottom"/>
          </w:tcPr>
          <w:p>
            <w:pPr>
              <w:spacing w:after="0"/>
              <w:rPr>
                <w:sz w:val="14"/>
                <w:szCs w:val="14"/>
                <w:color w:val="auto"/>
              </w:rPr>
            </w:pPr>
          </w:p>
        </w:tc>
        <w:tc>
          <w:tcPr>
            <w:tcW w:w="1680" w:type="dxa"/>
            <w:vAlign w:val="bottom"/>
            <w:gridSpan w:val="2"/>
          </w:tcPr>
          <w:p>
            <w:pPr>
              <w:jc w:val="right"/>
              <w:ind w:right="234"/>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5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620" w:type="dxa"/>
            <w:vAlign w:val="bottom"/>
            <w:tcBorders>
              <w:bottom w:val="single" w:sz="8" w:color="auto"/>
            </w:tcBorders>
            <w:gridSpan w:val="2"/>
          </w:tcPr>
          <w:p>
            <w:pPr>
              <w:jc w:val="right"/>
              <w:ind w:right="294"/>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14"/>
                <w:szCs w:val="14"/>
                <w:color w:val="auto"/>
              </w:rPr>
            </w:pPr>
          </w:p>
        </w:tc>
        <w:tc>
          <w:tcPr>
            <w:tcW w:w="1660" w:type="dxa"/>
            <w:vAlign w:val="bottom"/>
            <w:tcBorders>
              <w:bottom w:val="single" w:sz="8" w:color="auto"/>
            </w:tcBorders>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1680" w:type="dxa"/>
            <w:vAlign w:val="bottom"/>
            <w:tcBorders>
              <w:bottom w:val="single" w:sz="8" w:color="auto"/>
            </w:tcBorders>
            <w:gridSpan w:val="2"/>
          </w:tcPr>
          <w:p>
            <w:pPr>
              <w:jc w:val="right"/>
              <w:ind w:right="154"/>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42"/>
        </w:trPr>
        <w:tc>
          <w:tcPr>
            <w:tcW w:w="254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240" w:type="dxa"/>
            <w:vAlign w:val="bottom"/>
          </w:tcPr>
          <w:p>
            <w:pPr>
              <w:spacing w:after="0"/>
              <w:rPr>
                <w:sz w:val="12"/>
                <w:szCs w:val="12"/>
                <w:color w:val="auto"/>
              </w:rPr>
            </w:pPr>
          </w:p>
        </w:tc>
        <w:tc>
          <w:tcPr>
            <w:tcW w:w="80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820" w:type="dxa"/>
            <w:vAlign w:val="bottom"/>
            <w:tcBorders>
              <w:bottom w:val="single" w:sz="8" w:color="auto"/>
            </w:tcBorders>
          </w:tcPr>
          <w:p>
            <w:pPr>
              <w:jc w:val="right"/>
              <w:ind w:right="134"/>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148"/>
              <w:spacing w:after="0" w:line="142" w:lineRule="exact"/>
              <w:rPr>
                <w:sz w:val="20"/>
                <w:szCs w:val="20"/>
                <w:color w:val="auto"/>
              </w:rPr>
            </w:pPr>
            <w:r>
              <w:rPr>
                <w:rFonts w:ascii="Arial" w:cs="Arial" w:eastAsia="Arial" w:hAnsi="Arial"/>
                <w:sz w:val="14"/>
                <w:szCs w:val="14"/>
                <w:b w:val="1"/>
                <w:bCs w:val="1"/>
                <w:color w:val="auto"/>
                <w:w w:val="98"/>
              </w:rPr>
              <w:t>$ change</w:t>
            </w:r>
          </w:p>
        </w:tc>
        <w:tc>
          <w:tcPr>
            <w:tcW w:w="8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 change</w:t>
            </w:r>
          </w:p>
        </w:tc>
        <w:tc>
          <w:tcPr>
            <w:tcW w:w="840" w:type="dxa"/>
            <w:vAlign w:val="bottom"/>
            <w:tcBorders>
              <w:bottom w:val="single" w:sz="8" w:color="auto"/>
            </w:tcBorders>
          </w:tcPr>
          <w:p>
            <w:pPr>
              <w:jc w:val="right"/>
              <w:ind w:right="14"/>
              <w:spacing w:after="0" w:line="142" w:lineRule="exact"/>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42"/>
        </w:trPr>
        <w:tc>
          <w:tcPr>
            <w:tcW w:w="2540" w:type="dxa"/>
            <w:vAlign w:val="bottom"/>
            <w:vMerge w:val="continue"/>
          </w:tcPr>
          <w:p>
            <w:pPr>
              <w:spacing w:after="0"/>
              <w:rPr>
                <w:sz w:val="12"/>
                <w:szCs w:val="12"/>
                <w:color w:val="auto"/>
              </w:rPr>
            </w:pPr>
          </w:p>
        </w:tc>
        <w:tc>
          <w:tcPr>
            <w:tcW w:w="12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5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04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$ 114,950</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$119,079</w:t>
            </w:r>
          </w:p>
        </w:tc>
        <w:tc>
          <w:tcPr>
            <w:tcW w:w="100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 (4,129)</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100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 (3,723)</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16"/>
        </w:trPr>
        <w:tc>
          <w:tcPr>
            <w:tcW w:w="2540" w:type="dxa"/>
            <w:vAlign w:val="bottom"/>
          </w:tcPr>
          <w:p>
            <w:pPr>
              <w:spacing w:after="0"/>
              <w:rPr>
                <w:sz w:val="20"/>
                <w:szCs w:val="20"/>
                <w:color w:val="auto"/>
              </w:rPr>
            </w:pPr>
            <w:r>
              <w:rPr>
                <w:rFonts w:ascii="Arial" w:cs="Arial" w:eastAsia="Arial" w:hAnsi="Arial"/>
                <w:sz w:val="18"/>
                <w:szCs w:val="18"/>
                <w:color w:val="auto"/>
              </w:rPr>
              <w:t>Titleist golf clubs</w:t>
            </w:r>
          </w:p>
        </w:tc>
        <w:tc>
          <w:tcPr>
            <w:tcW w:w="2040" w:type="dxa"/>
            <w:vAlign w:val="bottom"/>
            <w:gridSpan w:val="2"/>
          </w:tcPr>
          <w:p>
            <w:pPr>
              <w:jc w:val="right"/>
              <w:ind w:right="28"/>
              <w:spacing w:after="0"/>
              <w:rPr>
                <w:sz w:val="20"/>
                <w:szCs w:val="20"/>
                <w:color w:val="auto"/>
              </w:rPr>
            </w:pPr>
            <w:r>
              <w:rPr>
                <w:rFonts w:ascii="Arial" w:cs="Arial" w:eastAsia="Arial" w:hAnsi="Arial"/>
                <w:sz w:val="18"/>
                <w:szCs w:val="18"/>
                <w:color w:val="auto"/>
              </w:rPr>
              <w:t>84,676</w:t>
            </w:r>
          </w:p>
        </w:tc>
        <w:tc>
          <w:tcPr>
            <w:tcW w:w="820" w:type="dxa"/>
            <w:vAlign w:val="bottom"/>
          </w:tcPr>
          <w:p>
            <w:pPr>
              <w:jc w:val="right"/>
              <w:spacing w:after="0"/>
              <w:rPr>
                <w:sz w:val="20"/>
                <w:szCs w:val="20"/>
                <w:color w:val="auto"/>
              </w:rPr>
            </w:pPr>
            <w:r>
              <w:rPr>
                <w:rFonts w:ascii="Arial" w:cs="Arial" w:eastAsia="Arial" w:hAnsi="Arial"/>
                <w:sz w:val="18"/>
                <w:szCs w:val="18"/>
                <w:color w:val="auto"/>
              </w:rPr>
              <w:t>77,316</w:t>
            </w:r>
          </w:p>
        </w:tc>
        <w:tc>
          <w:tcPr>
            <w:tcW w:w="1000" w:type="dxa"/>
            <w:vAlign w:val="bottom"/>
            <w:gridSpan w:val="2"/>
          </w:tcPr>
          <w:p>
            <w:pPr>
              <w:jc w:val="right"/>
              <w:ind w:right="108"/>
              <w:spacing w:after="0"/>
              <w:rPr>
                <w:sz w:val="20"/>
                <w:szCs w:val="20"/>
                <w:color w:val="auto"/>
              </w:rPr>
            </w:pPr>
            <w:r>
              <w:rPr>
                <w:rFonts w:ascii="Arial" w:cs="Arial" w:eastAsia="Arial" w:hAnsi="Arial"/>
                <w:sz w:val="18"/>
                <w:szCs w:val="18"/>
                <w:color w:val="auto"/>
              </w:rPr>
              <w:t>7,360</w:t>
            </w:r>
          </w:p>
        </w:tc>
        <w:tc>
          <w:tcPr>
            <w:tcW w:w="820" w:type="dxa"/>
            <w:vAlign w:val="bottom"/>
          </w:tcPr>
          <w:p>
            <w:pPr>
              <w:jc w:val="right"/>
              <w:spacing w:after="0"/>
              <w:rPr>
                <w:sz w:val="20"/>
                <w:szCs w:val="20"/>
                <w:color w:val="auto"/>
              </w:rPr>
            </w:pPr>
            <w:r>
              <w:rPr>
                <w:rFonts w:ascii="Arial" w:cs="Arial" w:eastAsia="Arial" w:hAnsi="Arial"/>
                <w:sz w:val="18"/>
                <w:szCs w:val="18"/>
                <w:color w:val="auto"/>
              </w:rPr>
              <w:t>9.5 %</w:t>
            </w:r>
          </w:p>
        </w:tc>
        <w:tc>
          <w:tcPr>
            <w:tcW w:w="1000" w:type="dxa"/>
            <w:vAlign w:val="bottom"/>
            <w:gridSpan w:val="2"/>
          </w:tcPr>
          <w:p>
            <w:pPr>
              <w:jc w:val="right"/>
              <w:ind w:right="88"/>
              <w:spacing w:after="0"/>
              <w:rPr>
                <w:sz w:val="20"/>
                <w:szCs w:val="20"/>
                <w:color w:val="auto"/>
              </w:rPr>
            </w:pPr>
            <w:r>
              <w:rPr>
                <w:rFonts w:ascii="Arial" w:cs="Arial" w:eastAsia="Arial" w:hAnsi="Arial"/>
                <w:sz w:val="18"/>
                <w:szCs w:val="18"/>
                <w:color w:val="auto"/>
              </w:rPr>
              <w:t>7,949</w:t>
            </w:r>
          </w:p>
        </w:tc>
        <w:tc>
          <w:tcPr>
            <w:tcW w:w="840" w:type="dxa"/>
            <w:vAlign w:val="bottom"/>
          </w:tcPr>
          <w:p>
            <w:pPr>
              <w:jc w:val="right"/>
              <w:spacing w:after="0"/>
              <w:rPr>
                <w:sz w:val="20"/>
                <w:szCs w:val="20"/>
                <w:color w:val="auto"/>
              </w:rPr>
            </w:pPr>
            <w:r>
              <w:rPr>
                <w:rFonts w:ascii="Arial" w:cs="Arial" w:eastAsia="Arial" w:hAnsi="Arial"/>
                <w:sz w:val="18"/>
                <w:szCs w:val="18"/>
                <w:color w:val="auto"/>
              </w:rPr>
              <w:t>10.3 %</w:t>
            </w:r>
          </w:p>
        </w:tc>
        <w:tc>
          <w:tcPr>
            <w:tcW w:w="0" w:type="dxa"/>
            <w:vAlign w:val="bottom"/>
          </w:tcPr>
          <w:p>
            <w:pPr>
              <w:spacing w:after="0"/>
              <w:rPr>
                <w:sz w:val="1"/>
                <w:szCs w:val="1"/>
                <w:color w:val="auto"/>
              </w:rPr>
            </w:pPr>
          </w:p>
        </w:tc>
      </w:tr>
      <w:tr>
        <w:trPr>
          <w:trHeight w:val="216"/>
        </w:trPr>
        <w:tc>
          <w:tcPr>
            <w:tcW w:w="25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04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30,895</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30,499</w:t>
            </w:r>
          </w:p>
        </w:tc>
        <w:tc>
          <w:tcPr>
            <w:tcW w:w="1000" w:type="dxa"/>
            <w:vAlign w:val="bottom"/>
            <w:gridSpan w:val="2"/>
            <w:shd w:val="clear" w:color="auto" w:fill="CCEEFF"/>
          </w:tcPr>
          <w:p>
            <w:pPr>
              <w:jc w:val="right"/>
              <w:ind w:right="108"/>
              <w:spacing w:after="0"/>
              <w:rPr>
                <w:sz w:val="20"/>
                <w:szCs w:val="20"/>
                <w:color w:val="auto"/>
              </w:rPr>
            </w:pPr>
            <w:r>
              <w:rPr>
                <w:rFonts w:ascii="Arial" w:cs="Arial" w:eastAsia="Arial" w:hAnsi="Arial"/>
                <w:sz w:val="18"/>
                <w:szCs w:val="18"/>
                <w:color w:val="auto"/>
              </w:rPr>
              <w:t>396</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1.3 %</w:t>
            </w:r>
          </w:p>
        </w:tc>
        <w:tc>
          <w:tcPr>
            <w:tcW w:w="1000" w:type="dxa"/>
            <w:vAlign w:val="bottom"/>
            <w:gridSpan w:val="2"/>
            <w:shd w:val="clear" w:color="auto" w:fill="CCEEFF"/>
          </w:tcPr>
          <w:p>
            <w:pPr>
              <w:jc w:val="right"/>
              <w:ind w:right="88"/>
              <w:spacing w:after="0"/>
              <w:rPr>
                <w:sz w:val="20"/>
                <w:szCs w:val="20"/>
                <w:color w:val="auto"/>
              </w:rPr>
            </w:pPr>
            <w:r>
              <w:rPr>
                <w:rFonts w:ascii="Arial" w:cs="Arial" w:eastAsia="Arial" w:hAnsi="Arial"/>
                <w:sz w:val="18"/>
                <w:szCs w:val="18"/>
                <w:color w:val="auto"/>
              </w:rPr>
              <w:t>626</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2.1 %</w:t>
            </w:r>
          </w:p>
        </w:tc>
        <w:tc>
          <w:tcPr>
            <w:tcW w:w="0" w:type="dxa"/>
            <w:vAlign w:val="bottom"/>
          </w:tcPr>
          <w:p>
            <w:pPr>
              <w:spacing w:after="0"/>
              <w:rPr>
                <w:sz w:val="1"/>
                <w:szCs w:val="1"/>
                <w:color w:val="auto"/>
              </w:rPr>
            </w:pPr>
          </w:p>
        </w:tc>
      </w:tr>
      <w:tr>
        <w:trPr>
          <w:trHeight w:val="230"/>
        </w:trPr>
        <w:tc>
          <w:tcPr>
            <w:tcW w:w="2540" w:type="dxa"/>
            <w:vAlign w:val="bottom"/>
          </w:tcPr>
          <w:p>
            <w:pPr>
              <w:spacing w:after="0"/>
              <w:rPr>
                <w:sz w:val="20"/>
                <w:szCs w:val="20"/>
                <w:color w:val="auto"/>
              </w:rPr>
            </w:pPr>
            <w:r>
              <w:rPr>
                <w:rFonts w:ascii="Arial" w:cs="Arial" w:eastAsia="Arial" w:hAnsi="Arial"/>
                <w:sz w:val="18"/>
                <w:szCs w:val="18"/>
                <w:color w:val="auto"/>
              </w:rPr>
              <w:t>FootJoy golf wear</w:t>
            </w:r>
          </w:p>
        </w:tc>
        <w:tc>
          <w:tcPr>
            <w:tcW w:w="2040" w:type="dxa"/>
            <w:vAlign w:val="bottom"/>
            <w:gridSpan w:val="2"/>
          </w:tcPr>
          <w:p>
            <w:pPr>
              <w:jc w:val="right"/>
              <w:ind w:right="28"/>
              <w:spacing w:after="0"/>
              <w:rPr>
                <w:sz w:val="20"/>
                <w:szCs w:val="20"/>
                <w:color w:val="auto"/>
              </w:rPr>
            </w:pPr>
            <w:r>
              <w:rPr>
                <w:rFonts w:ascii="Arial" w:cs="Arial" w:eastAsia="Arial" w:hAnsi="Arial"/>
                <w:sz w:val="18"/>
                <w:szCs w:val="18"/>
                <w:color w:val="auto"/>
              </w:rPr>
              <w:t>101,010</w:t>
            </w:r>
          </w:p>
        </w:tc>
        <w:tc>
          <w:tcPr>
            <w:tcW w:w="820" w:type="dxa"/>
            <w:vAlign w:val="bottom"/>
          </w:tcPr>
          <w:p>
            <w:pPr>
              <w:jc w:val="right"/>
              <w:spacing w:after="0"/>
              <w:rPr>
                <w:sz w:val="20"/>
                <w:szCs w:val="20"/>
                <w:color w:val="auto"/>
              </w:rPr>
            </w:pPr>
            <w:r>
              <w:rPr>
                <w:rFonts w:ascii="Arial" w:cs="Arial" w:eastAsia="Arial" w:hAnsi="Arial"/>
                <w:sz w:val="18"/>
                <w:szCs w:val="18"/>
                <w:color w:val="auto"/>
              </w:rPr>
              <w:t>97,758</w:t>
            </w:r>
          </w:p>
        </w:tc>
        <w:tc>
          <w:tcPr>
            <w:tcW w:w="1000" w:type="dxa"/>
            <w:vAlign w:val="bottom"/>
            <w:gridSpan w:val="2"/>
          </w:tcPr>
          <w:p>
            <w:pPr>
              <w:jc w:val="right"/>
              <w:ind w:right="108"/>
              <w:spacing w:after="0"/>
              <w:rPr>
                <w:sz w:val="20"/>
                <w:szCs w:val="20"/>
                <w:color w:val="auto"/>
              </w:rPr>
            </w:pPr>
            <w:r>
              <w:rPr>
                <w:rFonts w:ascii="Arial" w:cs="Arial" w:eastAsia="Arial" w:hAnsi="Arial"/>
                <w:sz w:val="18"/>
                <w:szCs w:val="18"/>
                <w:color w:val="auto"/>
              </w:rPr>
              <w:t>3,252</w:t>
            </w:r>
          </w:p>
        </w:tc>
        <w:tc>
          <w:tcPr>
            <w:tcW w:w="820" w:type="dxa"/>
            <w:vAlign w:val="bottom"/>
          </w:tcPr>
          <w:p>
            <w:pPr>
              <w:jc w:val="right"/>
              <w:spacing w:after="0"/>
              <w:rPr>
                <w:sz w:val="20"/>
                <w:szCs w:val="20"/>
                <w:color w:val="auto"/>
              </w:rPr>
            </w:pPr>
            <w:r>
              <w:rPr>
                <w:rFonts w:ascii="Arial" w:cs="Arial" w:eastAsia="Arial" w:hAnsi="Arial"/>
                <w:sz w:val="18"/>
                <w:szCs w:val="18"/>
                <w:color w:val="auto"/>
              </w:rPr>
              <w:t>3.3 %</w:t>
            </w:r>
          </w:p>
        </w:tc>
        <w:tc>
          <w:tcPr>
            <w:tcW w:w="1000" w:type="dxa"/>
            <w:vAlign w:val="bottom"/>
            <w:gridSpan w:val="2"/>
          </w:tcPr>
          <w:p>
            <w:pPr>
              <w:jc w:val="right"/>
              <w:ind w:right="88"/>
              <w:spacing w:after="0"/>
              <w:rPr>
                <w:sz w:val="20"/>
                <w:szCs w:val="20"/>
                <w:color w:val="auto"/>
              </w:rPr>
            </w:pPr>
            <w:r>
              <w:rPr>
                <w:rFonts w:ascii="Arial" w:cs="Arial" w:eastAsia="Arial" w:hAnsi="Arial"/>
                <w:sz w:val="18"/>
                <w:szCs w:val="18"/>
                <w:color w:val="auto"/>
              </w:rPr>
              <w:t>3,618</w:t>
            </w:r>
          </w:p>
        </w:tc>
        <w:tc>
          <w:tcPr>
            <w:tcW w:w="840" w:type="dxa"/>
            <w:vAlign w:val="bottom"/>
          </w:tcPr>
          <w:p>
            <w:pPr>
              <w:jc w:val="right"/>
              <w:spacing w:after="0"/>
              <w:rPr>
                <w:sz w:val="20"/>
                <w:szCs w:val="20"/>
                <w:color w:val="auto"/>
              </w:rPr>
            </w:pPr>
            <w:r>
              <w:rPr>
                <w:rFonts w:ascii="Arial" w:cs="Arial" w:eastAsia="Arial" w:hAnsi="Arial"/>
                <w:sz w:val="18"/>
                <w:szCs w:val="18"/>
                <w:color w:val="auto"/>
              </w:rPr>
              <w:t>3.7 %</w:t>
            </w:r>
          </w:p>
        </w:tc>
        <w:tc>
          <w:tcPr>
            <w:tcW w:w="0" w:type="dxa"/>
            <w:vAlign w:val="bottom"/>
          </w:tcPr>
          <w:p>
            <w:pPr>
              <w:spacing w:after="0"/>
              <w:rPr>
                <w:sz w:val="1"/>
                <w:szCs w:val="1"/>
                <w:color w:val="auto"/>
              </w:rPr>
            </w:pPr>
          </w:p>
        </w:tc>
      </w:tr>
    </w:tbl>
    <w:p>
      <w:pPr>
        <w:spacing w:after="0" w:line="39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Third Quarter Net Sales by Region</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4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640" w:type="dxa"/>
            <w:vAlign w:val="bottom"/>
            <w:gridSpan w:val="3"/>
          </w:tcPr>
          <w:p>
            <w:pPr>
              <w:jc w:val="right"/>
              <w:ind w:right="90"/>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4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Increase/(Decrease)</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00" w:type="dxa"/>
            <w:vAlign w:val="bottom"/>
            <w:gridSpan w:val="2"/>
          </w:tcPr>
          <w:p>
            <w:pPr>
              <w:jc w:val="right"/>
              <w:ind w:right="153"/>
              <w:spacing w:after="0"/>
              <w:rPr>
                <w:sz w:val="20"/>
                <w:szCs w:val="20"/>
                <w:color w:val="auto"/>
              </w:rPr>
            </w:pPr>
            <w:r>
              <w:rPr>
                <w:rFonts w:ascii="Arial" w:cs="Arial" w:eastAsia="Arial" w:hAnsi="Arial"/>
                <w:sz w:val="14"/>
                <w:szCs w:val="14"/>
                <w:b w:val="1"/>
                <w:bCs w:val="1"/>
                <w:color w:val="auto"/>
                <w:w w:val="98"/>
              </w:rPr>
              <w:t>Constant Currency</w:t>
            </w:r>
          </w:p>
        </w:tc>
        <w:tc>
          <w:tcPr>
            <w:tcW w:w="0" w:type="dxa"/>
            <w:vAlign w:val="bottom"/>
          </w:tcPr>
          <w:p>
            <w:pPr>
              <w:spacing w:after="0"/>
              <w:rPr>
                <w:sz w:val="1"/>
                <w:szCs w:val="1"/>
                <w:color w:val="auto"/>
              </w:rPr>
            </w:pPr>
          </w:p>
        </w:tc>
      </w:tr>
      <w:tr>
        <w:trPr>
          <w:trHeight w:val="171"/>
        </w:trPr>
        <w:tc>
          <w:tcPr>
            <w:tcW w:w="234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640" w:type="dxa"/>
            <w:vAlign w:val="bottom"/>
            <w:gridSpan w:val="3"/>
          </w:tcPr>
          <w:p>
            <w:pPr>
              <w:jc w:val="right"/>
              <w:ind w:right="31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4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00" w:type="dxa"/>
            <w:vAlign w:val="bottom"/>
            <w:gridSpan w:val="2"/>
          </w:tcPr>
          <w:p>
            <w:pPr>
              <w:jc w:val="right"/>
              <w:ind w:right="153"/>
              <w:spacing w:after="0"/>
              <w:rPr>
                <w:sz w:val="20"/>
                <w:szCs w:val="20"/>
                <w:color w:val="auto"/>
              </w:rPr>
            </w:pPr>
            <w:r>
              <w:rPr>
                <w:rFonts w:ascii="Arial" w:cs="Arial" w:eastAsia="Arial" w:hAnsi="Arial"/>
                <w:sz w:val="14"/>
                <w:szCs w:val="14"/>
                <w:b w:val="1"/>
                <w:bCs w:val="1"/>
                <w:color w:val="auto"/>
                <w:w w:val="93"/>
              </w:rPr>
              <w:t>Increase/(Decrease)</w:t>
            </w:r>
          </w:p>
        </w:tc>
        <w:tc>
          <w:tcPr>
            <w:tcW w:w="0" w:type="dxa"/>
            <w:vAlign w:val="bottom"/>
          </w:tcPr>
          <w:p>
            <w:pPr>
              <w:spacing w:after="0"/>
              <w:rPr>
                <w:sz w:val="1"/>
                <w:szCs w:val="1"/>
                <w:color w:val="auto"/>
              </w:rPr>
            </w:pPr>
          </w:p>
        </w:tc>
      </w:tr>
      <w:tr>
        <w:trPr>
          <w:trHeight w:val="142"/>
        </w:trPr>
        <w:tc>
          <w:tcPr>
            <w:tcW w:w="234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440" w:type="dxa"/>
            <w:vAlign w:val="bottom"/>
          </w:tcPr>
          <w:p>
            <w:pPr>
              <w:spacing w:after="0"/>
              <w:rPr>
                <w:sz w:val="12"/>
                <w:szCs w:val="12"/>
                <w:color w:val="auto"/>
              </w:rPr>
            </w:pPr>
          </w:p>
        </w:tc>
        <w:tc>
          <w:tcPr>
            <w:tcW w:w="740" w:type="dxa"/>
            <w:vAlign w:val="bottom"/>
            <w:tcBorders>
              <w:top w:val="single" w:sz="8" w:color="auto"/>
              <w:bottom w:val="single" w:sz="8" w:color="auto"/>
            </w:tcBorders>
          </w:tcPr>
          <w:p>
            <w:pPr>
              <w:jc w:val="right"/>
              <w:ind w:right="144"/>
              <w:spacing w:after="0" w:line="142" w:lineRule="exact"/>
              <w:rPr>
                <w:sz w:val="20"/>
                <w:szCs w:val="20"/>
                <w:color w:val="auto"/>
              </w:rPr>
            </w:pPr>
            <w:r>
              <w:rPr>
                <w:rFonts w:ascii="Arial" w:cs="Arial" w:eastAsia="Arial" w:hAnsi="Arial"/>
                <w:sz w:val="14"/>
                <w:szCs w:val="14"/>
                <w:b w:val="1"/>
                <w:bCs w:val="1"/>
                <w:color w:val="auto"/>
              </w:rPr>
              <w:t>2017</w:t>
            </w:r>
          </w:p>
        </w:tc>
        <w:tc>
          <w:tcPr>
            <w:tcW w:w="900" w:type="dxa"/>
            <w:vAlign w:val="bottom"/>
            <w:tcBorders>
              <w:top w:val="single" w:sz="8" w:color="auto"/>
              <w:bottom w:val="single" w:sz="8" w:color="auto"/>
            </w:tcBorders>
            <w:gridSpan w:val="2"/>
          </w:tcPr>
          <w:p>
            <w:pPr>
              <w:jc w:val="right"/>
              <w:ind w:right="130"/>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9"/>
              </w:rPr>
              <w:t>change</w:t>
            </w:r>
          </w:p>
        </w:tc>
        <w:tc>
          <w:tcPr>
            <w:tcW w:w="9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9"/>
              </w:rPr>
              <w:t>change</w:t>
            </w:r>
          </w:p>
        </w:tc>
        <w:tc>
          <w:tcPr>
            <w:tcW w:w="960" w:type="dxa"/>
            <w:vAlign w:val="bottom"/>
            <w:tcBorders>
              <w:top w:val="single" w:sz="8" w:color="auto"/>
              <w:bottom w:val="single" w:sz="8" w:color="auto"/>
            </w:tcBorders>
          </w:tcPr>
          <w:p>
            <w:pPr>
              <w:jc w:val="right"/>
              <w:ind w:right="13"/>
              <w:spacing w:after="0" w:line="142" w:lineRule="exact"/>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42"/>
        </w:trPr>
        <w:tc>
          <w:tcPr>
            <w:tcW w:w="2340" w:type="dxa"/>
            <w:vAlign w:val="bottom"/>
            <w:vMerge w:val="continue"/>
          </w:tcPr>
          <w:p>
            <w:pPr>
              <w:spacing w:after="0"/>
              <w:rPr>
                <w:sz w:val="12"/>
                <w:szCs w:val="12"/>
                <w:color w:val="auto"/>
              </w:rPr>
            </w:pPr>
          </w:p>
        </w:tc>
        <w:tc>
          <w:tcPr>
            <w:tcW w:w="14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340" w:type="dxa"/>
            <w:vAlign w:val="bottom"/>
            <w:shd w:val="clear" w:color="auto" w:fill="CCEEFF"/>
          </w:tcPr>
          <w:p>
            <w:pPr>
              <w:spacing w:after="0"/>
              <w:rPr>
                <w:sz w:val="20"/>
                <w:szCs w:val="20"/>
                <w:color w:val="auto"/>
              </w:rPr>
            </w:pPr>
            <w:r>
              <w:rPr>
                <w:rFonts w:ascii="Arial" w:cs="Arial" w:eastAsia="Arial" w:hAnsi="Arial"/>
                <w:sz w:val="16"/>
                <w:szCs w:val="16"/>
                <w:color w:val="auto"/>
              </w:rPr>
              <w:t>United States</w:t>
            </w:r>
          </w:p>
        </w:tc>
        <w:tc>
          <w:tcPr>
            <w:tcW w:w="2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$183,495</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$175,448</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8,047</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4.6 %</w:t>
            </w:r>
          </w:p>
        </w:tc>
        <w:tc>
          <w:tcPr>
            <w:tcW w:w="16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39"/>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8,047</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4.6 %</w:t>
            </w:r>
          </w:p>
        </w:tc>
        <w:tc>
          <w:tcPr>
            <w:tcW w:w="0" w:type="dxa"/>
            <w:vAlign w:val="bottom"/>
          </w:tcPr>
          <w:p>
            <w:pPr>
              <w:spacing w:after="0"/>
              <w:rPr>
                <w:sz w:val="1"/>
                <w:szCs w:val="1"/>
                <w:color w:val="auto"/>
              </w:rPr>
            </w:pPr>
          </w:p>
        </w:tc>
      </w:tr>
      <w:tr>
        <w:trPr>
          <w:trHeight w:val="216"/>
        </w:trPr>
        <w:tc>
          <w:tcPr>
            <w:tcW w:w="2340" w:type="dxa"/>
            <w:vAlign w:val="bottom"/>
          </w:tcPr>
          <w:p>
            <w:pPr>
              <w:spacing w:after="0"/>
              <w:rPr>
                <w:sz w:val="20"/>
                <w:szCs w:val="20"/>
                <w:color w:val="auto"/>
              </w:rPr>
            </w:pPr>
            <w:r>
              <w:rPr>
                <w:rFonts w:ascii="Arial" w:cs="Arial" w:eastAsia="Arial" w:hAnsi="Arial"/>
                <w:sz w:val="16"/>
                <w:szCs w:val="16"/>
                <w:color w:val="auto"/>
              </w:rPr>
              <w:t>EMEA</w:t>
            </w:r>
          </w:p>
        </w:tc>
        <w:tc>
          <w:tcPr>
            <w:tcW w:w="2180" w:type="dxa"/>
            <w:vAlign w:val="bottom"/>
            <w:gridSpan w:val="2"/>
          </w:tcPr>
          <w:p>
            <w:pPr>
              <w:jc w:val="right"/>
              <w:spacing w:after="0"/>
              <w:rPr>
                <w:sz w:val="20"/>
                <w:szCs w:val="20"/>
                <w:color w:val="auto"/>
              </w:rPr>
            </w:pPr>
            <w:r>
              <w:rPr>
                <w:rFonts w:ascii="Arial" w:cs="Arial" w:eastAsia="Arial" w:hAnsi="Arial"/>
                <w:sz w:val="18"/>
                <w:szCs w:val="18"/>
                <w:color w:val="auto"/>
              </w:rPr>
              <w:t>40,646</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39,565</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1,081</w:t>
            </w:r>
          </w:p>
        </w:tc>
        <w:tc>
          <w:tcPr>
            <w:tcW w:w="940" w:type="dxa"/>
            <w:vAlign w:val="bottom"/>
          </w:tcPr>
          <w:p>
            <w:pPr>
              <w:jc w:val="right"/>
              <w:spacing w:after="0"/>
              <w:rPr>
                <w:sz w:val="20"/>
                <w:szCs w:val="20"/>
                <w:color w:val="auto"/>
              </w:rPr>
            </w:pPr>
            <w:r>
              <w:rPr>
                <w:rFonts w:ascii="Arial" w:cs="Arial" w:eastAsia="Arial" w:hAnsi="Arial"/>
                <w:sz w:val="18"/>
                <w:szCs w:val="18"/>
                <w:color w:val="auto"/>
              </w:rPr>
              <w:t>2.7 %</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186</w:t>
            </w:r>
          </w:p>
        </w:tc>
        <w:tc>
          <w:tcPr>
            <w:tcW w:w="960" w:type="dxa"/>
            <w:vAlign w:val="bottom"/>
          </w:tcPr>
          <w:p>
            <w:pPr>
              <w:jc w:val="right"/>
              <w:spacing w:after="0"/>
              <w:rPr>
                <w:sz w:val="20"/>
                <w:szCs w:val="20"/>
                <w:color w:val="auto"/>
              </w:rPr>
            </w:pPr>
            <w:r>
              <w:rPr>
                <w:rFonts w:ascii="Arial" w:cs="Arial" w:eastAsia="Arial" w:hAnsi="Arial"/>
                <w:sz w:val="18"/>
                <w:szCs w:val="18"/>
                <w:color w:val="auto"/>
              </w:rPr>
              <w:t>0.5 %</w:t>
            </w:r>
          </w:p>
        </w:tc>
        <w:tc>
          <w:tcPr>
            <w:tcW w:w="0" w:type="dxa"/>
            <w:vAlign w:val="bottom"/>
          </w:tcPr>
          <w:p>
            <w:pPr>
              <w:spacing w:after="0"/>
              <w:rPr>
                <w:sz w:val="1"/>
                <w:szCs w:val="1"/>
                <w:color w:val="auto"/>
              </w:rPr>
            </w:pPr>
          </w:p>
        </w:tc>
      </w:tr>
      <w:tr>
        <w:trPr>
          <w:trHeight w:val="216"/>
        </w:trPr>
        <w:tc>
          <w:tcPr>
            <w:tcW w:w="2340" w:type="dxa"/>
            <w:vAlign w:val="bottom"/>
            <w:shd w:val="clear" w:color="auto" w:fill="CCEEFF"/>
          </w:tcPr>
          <w:p>
            <w:pPr>
              <w:spacing w:after="0"/>
              <w:rPr>
                <w:sz w:val="20"/>
                <w:szCs w:val="20"/>
                <w:color w:val="auto"/>
              </w:rPr>
            </w:pPr>
            <w:r>
              <w:rPr>
                <w:rFonts w:ascii="Arial" w:cs="Arial" w:eastAsia="Arial" w:hAnsi="Arial"/>
                <w:sz w:val="16"/>
                <w:szCs w:val="16"/>
                <w:color w:val="auto"/>
              </w:rPr>
              <w:t>Japan</w:t>
            </w:r>
          </w:p>
        </w:tc>
        <w:tc>
          <w:tcPr>
            <w:tcW w:w="2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41,130</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47,659</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(6,529)</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(3,288)</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16"/>
        </w:trPr>
        <w:tc>
          <w:tcPr>
            <w:tcW w:w="2340" w:type="dxa"/>
            <w:vAlign w:val="bottom"/>
          </w:tcPr>
          <w:p>
            <w:pPr>
              <w:spacing w:after="0"/>
              <w:rPr>
                <w:sz w:val="20"/>
                <w:szCs w:val="20"/>
                <w:color w:val="auto"/>
              </w:rPr>
            </w:pPr>
            <w:r>
              <w:rPr>
                <w:rFonts w:ascii="Arial" w:cs="Arial" w:eastAsia="Arial" w:hAnsi="Arial"/>
                <w:sz w:val="16"/>
                <w:szCs w:val="16"/>
                <w:color w:val="auto"/>
              </w:rPr>
              <w:t>Korea</w:t>
            </w:r>
          </w:p>
        </w:tc>
        <w:tc>
          <w:tcPr>
            <w:tcW w:w="2180" w:type="dxa"/>
            <w:vAlign w:val="bottom"/>
            <w:gridSpan w:val="2"/>
          </w:tcPr>
          <w:p>
            <w:pPr>
              <w:jc w:val="right"/>
              <w:spacing w:after="0"/>
              <w:rPr>
                <w:sz w:val="20"/>
                <w:szCs w:val="20"/>
                <w:color w:val="auto"/>
              </w:rPr>
            </w:pPr>
            <w:r>
              <w:rPr>
                <w:rFonts w:ascii="Arial" w:cs="Arial" w:eastAsia="Arial" w:hAnsi="Arial"/>
                <w:sz w:val="18"/>
                <w:szCs w:val="18"/>
                <w:color w:val="auto"/>
              </w:rPr>
              <w:t>47,502</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44,846</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2,656</w:t>
            </w:r>
          </w:p>
        </w:tc>
        <w:tc>
          <w:tcPr>
            <w:tcW w:w="940" w:type="dxa"/>
            <w:vAlign w:val="bottom"/>
          </w:tcPr>
          <w:p>
            <w:pPr>
              <w:jc w:val="right"/>
              <w:spacing w:after="0"/>
              <w:rPr>
                <w:sz w:val="20"/>
                <w:szCs w:val="20"/>
                <w:color w:val="auto"/>
              </w:rPr>
            </w:pPr>
            <w:r>
              <w:rPr>
                <w:rFonts w:ascii="Arial" w:cs="Arial" w:eastAsia="Arial" w:hAnsi="Arial"/>
                <w:sz w:val="18"/>
                <w:szCs w:val="18"/>
                <w:color w:val="auto"/>
              </w:rPr>
              <w:t>5.9 %</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2,871</w:t>
            </w:r>
          </w:p>
        </w:tc>
        <w:tc>
          <w:tcPr>
            <w:tcW w:w="960" w:type="dxa"/>
            <w:vAlign w:val="bottom"/>
          </w:tcPr>
          <w:p>
            <w:pPr>
              <w:jc w:val="right"/>
              <w:spacing w:after="0"/>
              <w:rPr>
                <w:sz w:val="20"/>
                <w:szCs w:val="20"/>
                <w:color w:val="auto"/>
              </w:rPr>
            </w:pPr>
            <w:r>
              <w:rPr>
                <w:rFonts w:ascii="Arial" w:cs="Arial" w:eastAsia="Arial" w:hAnsi="Arial"/>
                <w:sz w:val="18"/>
                <w:szCs w:val="18"/>
                <w:color w:val="auto"/>
              </w:rPr>
              <w:t>6.4 %</w:t>
            </w:r>
          </w:p>
        </w:tc>
        <w:tc>
          <w:tcPr>
            <w:tcW w:w="0" w:type="dxa"/>
            <w:vAlign w:val="bottom"/>
          </w:tcPr>
          <w:p>
            <w:pPr>
              <w:spacing w:after="0"/>
              <w:rPr>
                <w:sz w:val="1"/>
                <w:szCs w:val="1"/>
                <w:color w:val="auto"/>
              </w:rPr>
            </w:pPr>
          </w:p>
        </w:tc>
      </w:tr>
      <w:tr>
        <w:trPr>
          <w:trHeight w:val="216"/>
        </w:trPr>
        <w:tc>
          <w:tcPr>
            <w:tcW w:w="2340" w:type="dxa"/>
            <w:vAlign w:val="bottom"/>
            <w:shd w:val="clear" w:color="auto" w:fill="CCEEFF"/>
          </w:tcPr>
          <w:p>
            <w:pPr>
              <w:spacing w:after="0"/>
              <w:rPr>
                <w:sz w:val="20"/>
                <w:szCs w:val="20"/>
                <w:color w:val="auto"/>
              </w:rPr>
            </w:pPr>
            <w:r>
              <w:rPr>
                <w:rFonts w:ascii="Arial" w:cs="Arial" w:eastAsia="Arial" w:hAnsi="Arial"/>
                <w:sz w:val="16"/>
                <w:szCs w:val="16"/>
                <w:color w:val="auto"/>
              </w:rPr>
              <w:t>Rest of world</w:t>
            </w:r>
          </w:p>
        </w:tc>
        <w:tc>
          <w:tcPr>
            <w:tcW w:w="2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34,490</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31,800</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2,690</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8.5 %</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2,009</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6.3 %</w:t>
            </w:r>
          </w:p>
        </w:tc>
        <w:tc>
          <w:tcPr>
            <w:tcW w:w="0" w:type="dxa"/>
            <w:vAlign w:val="bottom"/>
          </w:tcPr>
          <w:p>
            <w:pPr>
              <w:spacing w:after="0"/>
              <w:rPr>
                <w:sz w:val="1"/>
                <w:szCs w:val="1"/>
                <w:color w:val="auto"/>
              </w:rPr>
            </w:pPr>
          </w:p>
        </w:tc>
      </w:tr>
      <w:tr>
        <w:trPr>
          <w:trHeight w:val="217"/>
        </w:trPr>
        <w:tc>
          <w:tcPr>
            <w:tcW w:w="2340" w:type="dxa"/>
            <w:vAlign w:val="bottom"/>
          </w:tcPr>
          <w:p>
            <w:pPr>
              <w:ind w:left="120"/>
              <w:spacing w:after="0"/>
              <w:rPr>
                <w:sz w:val="20"/>
                <w:szCs w:val="20"/>
                <w:color w:val="auto"/>
              </w:rPr>
            </w:pPr>
            <w:r>
              <w:rPr>
                <w:rFonts w:ascii="Arial" w:cs="Arial" w:eastAsia="Arial" w:hAnsi="Arial"/>
                <w:sz w:val="16"/>
                <w:szCs w:val="16"/>
                <w:b w:val="1"/>
                <w:bCs w:val="1"/>
                <w:color w:val="auto"/>
              </w:rPr>
              <w:t>Total sales</w:t>
            </w:r>
          </w:p>
        </w:tc>
        <w:tc>
          <w:tcPr>
            <w:tcW w:w="1440" w:type="dxa"/>
            <w:vAlign w:val="bottom"/>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347,263</w:t>
            </w:r>
          </w:p>
        </w:tc>
        <w:tc>
          <w:tcPr>
            <w:tcW w:w="160" w:type="dxa"/>
            <w:vAlign w:val="bottom"/>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339,318</w:t>
            </w:r>
          </w:p>
        </w:tc>
        <w:tc>
          <w:tcPr>
            <w:tcW w:w="14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7,945</w:t>
            </w:r>
          </w:p>
        </w:tc>
        <w:tc>
          <w:tcPr>
            <w:tcW w:w="940" w:type="dxa"/>
            <w:vAlign w:val="bottom"/>
          </w:tcPr>
          <w:p>
            <w:pPr>
              <w:jc w:val="right"/>
              <w:spacing w:after="0"/>
              <w:rPr>
                <w:sz w:val="20"/>
                <w:szCs w:val="20"/>
                <w:color w:val="auto"/>
              </w:rPr>
            </w:pPr>
            <w:r>
              <w:rPr>
                <w:rFonts w:ascii="Arial" w:cs="Arial" w:eastAsia="Arial" w:hAnsi="Arial"/>
                <w:sz w:val="18"/>
                <w:szCs w:val="18"/>
                <w:color w:val="auto"/>
              </w:rPr>
              <w:t>2.3 %</w:t>
            </w:r>
          </w:p>
        </w:tc>
        <w:tc>
          <w:tcPr>
            <w:tcW w:w="16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6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9,825</w:t>
            </w:r>
          </w:p>
        </w:tc>
        <w:tc>
          <w:tcPr>
            <w:tcW w:w="960" w:type="dxa"/>
            <w:vAlign w:val="bottom"/>
          </w:tcPr>
          <w:p>
            <w:pPr>
              <w:jc w:val="right"/>
              <w:spacing w:after="0"/>
              <w:rPr>
                <w:sz w:val="20"/>
                <w:szCs w:val="20"/>
                <w:color w:val="auto"/>
              </w:rPr>
            </w:pPr>
            <w:r>
              <w:rPr>
                <w:rFonts w:ascii="Arial" w:cs="Arial" w:eastAsia="Arial" w:hAnsi="Arial"/>
                <w:sz w:val="18"/>
                <w:szCs w:val="18"/>
                <w:color w:val="auto"/>
              </w:rPr>
              <w:t>2.9 %</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Nine Months Net Sales by Segment</w:t>
      </w: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54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640" w:type="dxa"/>
            <w:vAlign w:val="bottom"/>
            <w:gridSpan w:val="2"/>
          </w:tcPr>
          <w:p>
            <w:pPr>
              <w:jc w:val="right"/>
              <w:ind w:right="134"/>
              <w:spacing w:after="0"/>
              <w:rPr>
                <w:sz w:val="20"/>
                <w:szCs w:val="20"/>
                <w:color w:val="auto"/>
              </w:rPr>
            </w:pPr>
            <w:r>
              <w:rPr>
                <w:rFonts w:ascii="Arial" w:cs="Arial" w:eastAsia="Arial" w:hAnsi="Arial"/>
                <w:sz w:val="14"/>
                <w:szCs w:val="14"/>
                <w:b w:val="1"/>
                <w:bCs w:val="1"/>
                <w:color w:val="auto"/>
              </w:rPr>
              <w:t>Nine months ended</w:t>
            </w:r>
          </w:p>
        </w:tc>
        <w:tc>
          <w:tcPr>
            <w:tcW w:w="1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80" w:type="dxa"/>
            <w:vAlign w:val="bottom"/>
            <w:gridSpan w:val="2"/>
          </w:tcPr>
          <w:p>
            <w:pPr>
              <w:jc w:val="right"/>
              <w:ind w:right="234"/>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88"/>
        </w:trPr>
        <w:tc>
          <w:tcPr>
            <w:tcW w:w="254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640" w:type="dxa"/>
            <w:vAlign w:val="bottom"/>
            <w:tcBorders>
              <w:bottom w:val="single" w:sz="8" w:color="auto"/>
            </w:tcBorders>
            <w:gridSpan w:val="2"/>
          </w:tcPr>
          <w:p>
            <w:pPr>
              <w:jc w:val="right"/>
              <w:ind w:right="314"/>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6"/>
                <w:szCs w:val="16"/>
                <w:color w:val="auto"/>
              </w:rPr>
            </w:pPr>
          </w:p>
        </w:tc>
        <w:tc>
          <w:tcPr>
            <w:tcW w:w="1660" w:type="dxa"/>
            <w:vAlign w:val="bottom"/>
            <w:tcBorders>
              <w:bottom w:val="single" w:sz="8" w:color="auto"/>
            </w:tcBorders>
            <w:gridSpan w:val="2"/>
          </w:tcPr>
          <w:p>
            <w:pPr>
              <w:jc w:val="right"/>
              <w:ind w:right="134"/>
              <w:spacing w:after="0"/>
              <w:rPr>
                <w:sz w:val="20"/>
                <w:szCs w:val="20"/>
                <w:color w:val="auto"/>
              </w:rPr>
            </w:pPr>
            <w:r>
              <w:rPr>
                <w:rFonts w:ascii="Arial" w:cs="Arial" w:eastAsia="Arial" w:hAnsi="Arial"/>
                <w:sz w:val="14"/>
                <w:szCs w:val="14"/>
                <w:b w:val="1"/>
                <w:bCs w:val="1"/>
                <w:color w:val="auto"/>
              </w:rPr>
              <w:t>Increase/(Decrease)</w:t>
            </w:r>
          </w:p>
        </w:tc>
        <w:tc>
          <w:tcPr>
            <w:tcW w:w="160" w:type="dxa"/>
            <w:vAlign w:val="bottom"/>
          </w:tcPr>
          <w:p>
            <w:pPr>
              <w:spacing w:after="0"/>
              <w:rPr>
                <w:sz w:val="16"/>
                <w:szCs w:val="16"/>
                <w:color w:val="auto"/>
              </w:rPr>
            </w:pPr>
          </w:p>
        </w:tc>
        <w:tc>
          <w:tcPr>
            <w:tcW w:w="1680" w:type="dxa"/>
            <w:vAlign w:val="bottom"/>
            <w:tcBorders>
              <w:bottom w:val="single" w:sz="8" w:color="auto"/>
            </w:tcBorders>
            <w:gridSpan w:val="2"/>
          </w:tcPr>
          <w:p>
            <w:pPr>
              <w:jc w:val="right"/>
              <w:ind w:right="154"/>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42"/>
        </w:trPr>
        <w:tc>
          <w:tcPr>
            <w:tcW w:w="254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240" w:type="dxa"/>
            <w:vAlign w:val="bottom"/>
          </w:tcPr>
          <w:p>
            <w:pPr>
              <w:spacing w:after="0"/>
              <w:rPr>
                <w:sz w:val="12"/>
                <w:szCs w:val="12"/>
                <w:color w:val="auto"/>
              </w:rPr>
            </w:pPr>
          </w:p>
        </w:tc>
        <w:tc>
          <w:tcPr>
            <w:tcW w:w="80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840" w:type="dxa"/>
            <w:vAlign w:val="bottom"/>
            <w:tcBorders>
              <w:bottom w:val="single" w:sz="8" w:color="auto"/>
            </w:tcBorders>
          </w:tcPr>
          <w:p>
            <w:pPr>
              <w:jc w:val="right"/>
              <w:ind w:right="13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 change</w:t>
            </w:r>
          </w:p>
        </w:tc>
        <w:tc>
          <w:tcPr>
            <w:tcW w:w="8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148"/>
              <w:spacing w:after="0" w:line="142" w:lineRule="exact"/>
              <w:rPr>
                <w:sz w:val="20"/>
                <w:szCs w:val="20"/>
                <w:color w:val="auto"/>
              </w:rPr>
            </w:pPr>
            <w:r>
              <w:rPr>
                <w:rFonts w:ascii="Arial" w:cs="Arial" w:eastAsia="Arial" w:hAnsi="Arial"/>
                <w:sz w:val="14"/>
                <w:szCs w:val="14"/>
                <w:b w:val="1"/>
                <w:bCs w:val="1"/>
                <w:color w:val="auto"/>
              </w:rPr>
              <w:t>$ change</w:t>
            </w:r>
          </w:p>
        </w:tc>
        <w:tc>
          <w:tcPr>
            <w:tcW w:w="820" w:type="dxa"/>
            <w:vAlign w:val="bottom"/>
            <w:tcBorders>
              <w:bottom w:val="single" w:sz="8" w:color="auto"/>
            </w:tcBorders>
          </w:tcPr>
          <w:p>
            <w:pPr>
              <w:jc w:val="right"/>
              <w:ind w:right="14"/>
              <w:spacing w:after="0" w:line="142" w:lineRule="exact"/>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42"/>
        </w:trPr>
        <w:tc>
          <w:tcPr>
            <w:tcW w:w="2540" w:type="dxa"/>
            <w:vAlign w:val="bottom"/>
            <w:vMerge w:val="continue"/>
          </w:tcPr>
          <w:p>
            <w:pPr>
              <w:spacing w:after="0"/>
              <w:rPr>
                <w:sz w:val="12"/>
                <w:szCs w:val="12"/>
                <w:color w:val="auto"/>
              </w:rPr>
            </w:pPr>
          </w:p>
        </w:tc>
        <w:tc>
          <w:tcPr>
            <w:tcW w:w="12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5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04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$404,101</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$415,328</w:t>
            </w:r>
          </w:p>
        </w:tc>
        <w:tc>
          <w:tcPr>
            <w:tcW w:w="98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$(11,227)</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02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 (8,865)</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2540" w:type="dxa"/>
            <w:vAlign w:val="bottom"/>
          </w:tcPr>
          <w:p>
            <w:pPr>
              <w:spacing w:after="0"/>
              <w:rPr>
                <w:sz w:val="20"/>
                <w:szCs w:val="20"/>
                <w:color w:val="auto"/>
              </w:rPr>
            </w:pPr>
            <w:r>
              <w:rPr>
                <w:rFonts w:ascii="Arial" w:cs="Arial" w:eastAsia="Arial" w:hAnsi="Arial"/>
                <w:sz w:val="18"/>
                <w:szCs w:val="18"/>
                <w:color w:val="auto"/>
              </w:rPr>
              <w:t>Titleist golf clubs</w:t>
            </w:r>
          </w:p>
        </w:tc>
        <w:tc>
          <w:tcPr>
            <w:tcW w:w="2040" w:type="dxa"/>
            <w:vAlign w:val="bottom"/>
            <w:gridSpan w:val="2"/>
          </w:tcPr>
          <w:p>
            <w:pPr>
              <w:jc w:val="right"/>
              <w:ind w:right="28"/>
              <w:spacing w:after="0"/>
              <w:rPr>
                <w:sz w:val="20"/>
                <w:szCs w:val="20"/>
                <w:color w:val="auto"/>
              </w:rPr>
            </w:pPr>
            <w:r>
              <w:rPr>
                <w:rFonts w:ascii="Arial" w:cs="Arial" w:eastAsia="Arial" w:hAnsi="Arial"/>
                <w:sz w:val="18"/>
                <w:szCs w:val="18"/>
                <w:color w:val="auto"/>
              </w:rPr>
              <w:t>279,955</w:t>
            </w:r>
          </w:p>
        </w:tc>
        <w:tc>
          <w:tcPr>
            <w:tcW w:w="840" w:type="dxa"/>
            <w:vAlign w:val="bottom"/>
          </w:tcPr>
          <w:p>
            <w:pPr>
              <w:jc w:val="right"/>
              <w:spacing w:after="0"/>
              <w:rPr>
                <w:sz w:val="20"/>
                <w:szCs w:val="20"/>
                <w:color w:val="auto"/>
              </w:rPr>
            </w:pPr>
            <w:r>
              <w:rPr>
                <w:rFonts w:ascii="Arial" w:cs="Arial" w:eastAsia="Arial" w:hAnsi="Arial"/>
                <w:sz w:val="18"/>
                <w:szCs w:val="18"/>
                <w:color w:val="auto"/>
              </w:rPr>
              <w:t>311,145</w:t>
            </w:r>
          </w:p>
        </w:tc>
        <w:tc>
          <w:tcPr>
            <w:tcW w:w="980" w:type="dxa"/>
            <w:vAlign w:val="bottom"/>
            <w:gridSpan w:val="2"/>
          </w:tcPr>
          <w:p>
            <w:pPr>
              <w:jc w:val="right"/>
              <w:ind w:right="48"/>
              <w:spacing w:after="0"/>
              <w:rPr>
                <w:sz w:val="20"/>
                <w:szCs w:val="20"/>
                <w:color w:val="auto"/>
              </w:rPr>
            </w:pPr>
            <w:r>
              <w:rPr>
                <w:rFonts w:ascii="Arial" w:cs="Arial" w:eastAsia="Arial" w:hAnsi="Arial"/>
                <w:sz w:val="18"/>
                <w:szCs w:val="18"/>
                <w:color w:val="auto"/>
              </w:rPr>
              <w:t>(31,190)</w:t>
            </w:r>
          </w:p>
        </w:tc>
        <w:tc>
          <w:tcPr>
            <w:tcW w:w="820" w:type="dxa"/>
            <w:vAlign w:val="bottom"/>
          </w:tcPr>
          <w:p>
            <w:pPr>
              <w:jc w:val="right"/>
              <w:spacing w:after="0"/>
              <w:rPr>
                <w:sz w:val="20"/>
                <w:szCs w:val="20"/>
                <w:color w:val="auto"/>
              </w:rPr>
            </w:pPr>
            <w:r>
              <w:rPr>
                <w:rFonts w:ascii="Arial" w:cs="Arial" w:eastAsia="Arial" w:hAnsi="Arial"/>
                <w:sz w:val="18"/>
                <w:szCs w:val="18"/>
                <w:color w:val="auto"/>
              </w:rPr>
              <w:t>(10.0)%</w:t>
            </w:r>
          </w:p>
        </w:tc>
        <w:tc>
          <w:tcPr>
            <w:tcW w:w="1020" w:type="dxa"/>
            <w:vAlign w:val="bottom"/>
            <w:gridSpan w:val="2"/>
          </w:tcPr>
          <w:p>
            <w:pPr>
              <w:jc w:val="right"/>
              <w:ind w:right="68"/>
              <w:spacing w:after="0"/>
              <w:rPr>
                <w:sz w:val="20"/>
                <w:szCs w:val="20"/>
                <w:color w:val="auto"/>
              </w:rPr>
            </w:pPr>
            <w:r>
              <w:rPr>
                <w:rFonts w:ascii="Arial" w:cs="Arial" w:eastAsia="Arial" w:hAnsi="Arial"/>
                <w:sz w:val="18"/>
                <w:szCs w:val="18"/>
                <w:color w:val="auto"/>
              </w:rPr>
              <w:t>(28,590)</w:t>
            </w:r>
          </w:p>
        </w:tc>
        <w:tc>
          <w:tcPr>
            <w:tcW w:w="820" w:type="dxa"/>
            <w:vAlign w:val="bottom"/>
          </w:tcPr>
          <w:p>
            <w:pPr>
              <w:jc w:val="right"/>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16"/>
        </w:trPr>
        <w:tc>
          <w:tcPr>
            <w:tcW w:w="25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04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120,585</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114,833</w:t>
            </w:r>
          </w:p>
        </w:tc>
        <w:tc>
          <w:tcPr>
            <w:tcW w:w="980" w:type="dxa"/>
            <w:vAlign w:val="bottom"/>
            <w:gridSpan w:val="2"/>
            <w:shd w:val="clear" w:color="auto" w:fill="CCEEFF"/>
          </w:tcPr>
          <w:p>
            <w:pPr>
              <w:jc w:val="right"/>
              <w:ind w:right="108"/>
              <w:spacing w:after="0"/>
              <w:rPr>
                <w:sz w:val="20"/>
                <w:szCs w:val="20"/>
                <w:color w:val="auto"/>
              </w:rPr>
            </w:pPr>
            <w:r>
              <w:rPr>
                <w:rFonts w:ascii="Arial" w:cs="Arial" w:eastAsia="Arial" w:hAnsi="Arial"/>
                <w:sz w:val="18"/>
                <w:szCs w:val="18"/>
                <w:color w:val="auto"/>
              </w:rPr>
              <w:t>5,752</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5.0 %</w:t>
            </w:r>
          </w:p>
        </w:tc>
        <w:tc>
          <w:tcPr>
            <w:tcW w:w="1020" w:type="dxa"/>
            <w:vAlign w:val="bottom"/>
            <w:gridSpan w:val="2"/>
            <w:shd w:val="clear" w:color="auto" w:fill="CCEEFF"/>
          </w:tcPr>
          <w:p>
            <w:pPr>
              <w:jc w:val="right"/>
              <w:ind w:right="108"/>
              <w:spacing w:after="0"/>
              <w:rPr>
                <w:sz w:val="20"/>
                <w:szCs w:val="20"/>
                <w:color w:val="auto"/>
              </w:rPr>
            </w:pPr>
            <w:r>
              <w:rPr>
                <w:rFonts w:ascii="Arial" w:cs="Arial" w:eastAsia="Arial" w:hAnsi="Arial"/>
                <w:sz w:val="18"/>
                <w:szCs w:val="18"/>
                <w:color w:val="auto"/>
              </w:rPr>
              <w:t>6,241</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5.4 %</w:t>
            </w:r>
          </w:p>
        </w:tc>
        <w:tc>
          <w:tcPr>
            <w:tcW w:w="0" w:type="dxa"/>
            <w:vAlign w:val="bottom"/>
          </w:tcPr>
          <w:p>
            <w:pPr>
              <w:spacing w:after="0"/>
              <w:rPr>
                <w:sz w:val="1"/>
                <w:szCs w:val="1"/>
                <w:color w:val="auto"/>
              </w:rPr>
            </w:pPr>
          </w:p>
        </w:tc>
      </w:tr>
      <w:tr>
        <w:trPr>
          <w:trHeight w:val="230"/>
        </w:trPr>
        <w:tc>
          <w:tcPr>
            <w:tcW w:w="2540" w:type="dxa"/>
            <w:vAlign w:val="bottom"/>
          </w:tcPr>
          <w:p>
            <w:pPr>
              <w:spacing w:after="0"/>
              <w:rPr>
                <w:sz w:val="20"/>
                <w:szCs w:val="20"/>
                <w:color w:val="auto"/>
              </w:rPr>
            </w:pPr>
            <w:r>
              <w:rPr>
                <w:rFonts w:ascii="Arial" w:cs="Arial" w:eastAsia="Arial" w:hAnsi="Arial"/>
                <w:sz w:val="18"/>
                <w:szCs w:val="18"/>
                <w:color w:val="auto"/>
              </w:rPr>
              <w:t>FootJoy golf wear</w:t>
            </w:r>
          </w:p>
        </w:tc>
        <w:tc>
          <w:tcPr>
            <w:tcW w:w="2040" w:type="dxa"/>
            <w:vAlign w:val="bottom"/>
            <w:gridSpan w:val="2"/>
          </w:tcPr>
          <w:p>
            <w:pPr>
              <w:jc w:val="right"/>
              <w:ind w:right="28"/>
              <w:spacing w:after="0"/>
              <w:rPr>
                <w:sz w:val="20"/>
                <w:szCs w:val="20"/>
                <w:color w:val="auto"/>
              </w:rPr>
            </w:pPr>
            <w:r>
              <w:rPr>
                <w:rFonts w:ascii="Arial" w:cs="Arial" w:eastAsia="Arial" w:hAnsi="Arial"/>
                <w:sz w:val="18"/>
                <w:szCs w:val="18"/>
                <w:color w:val="auto"/>
              </w:rPr>
              <w:t>355,750</w:t>
            </w:r>
          </w:p>
        </w:tc>
        <w:tc>
          <w:tcPr>
            <w:tcW w:w="840" w:type="dxa"/>
            <w:vAlign w:val="bottom"/>
          </w:tcPr>
          <w:p>
            <w:pPr>
              <w:jc w:val="right"/>
              <w:spacing w:after="0"/>
              <w:rPr>
                <w:sz w:val="20"/>
                <w:szCs w:val="20"/>
                <w:color w:val="auto"/>
              </w:rPr>
            </w:pPr>
            <w:r>
              <w:rPr>
                <w:rFonts w:ascii="Arial" w:cs="Arial" w:eastAsia="Arial" w:hAnsi="Arial"/>
                <w:sz w:val="18"/>
                <w:szCs w:val="18"/>
                <w:color w:val="auto"/>
              </w:rPr>
              <w:t>361,788</w:t>
            </w:r>
          </w:p>
        </w:tc>
        <w:tc>
          <w:tcPr>
            <w:tcW w:w="980" w:type="dxa"/>
            <w:vAlign w:val="bottom"/>
            <w:gridSpan w:val="2"/>
          </w:tcPr>
          <w:p>
            <w:pPr>
              <w:jc w:val="right"/>
              <w:ind w:right="48"/>
              <w:spacing w:after="0"/>
              <w:rPr>
                <w:sz w:val="20"/>
                <w:szCs w:val="20"/>
                <w:color w:val="auto"/>
              </w:rPr>
            </w:pPr>
            <w:r>
              <w:rPr>
                <w:rFonts w:ascii="Arial" w:cs="Arial" w:eastAsia="Arial" w:hAnsi="Arial"/>
                <w:sz w:val="18"/>
                <w:szCs w:val="18"/>
                <w:color w:val="auto"/>
              </w:rPr>
              <w:t>(6,038)</w:t>
            </w:r>
          </w:p>
        </w:tc>
        <w:tc>
          <w:tcPr>
            <w:tcW w:w="820" w:type="dxa"/>
            <w:vAlign w:val="bottom"/>
          </w:tcPr>
          <w:p>
            <w:pPr>
              <w:jc w:val="right"/>
              <w:spacing w:after="0"/>
              <w:rPr>
                <w:sz w:val="20"/>
                <w:szCs w:val="20"/>
                <w:color w:val="auto"/>
              </w:rPr>
            </w:pPr>
            <w:r>
              <w:rPr>
                <w:rFonts w:ascii="Arial" w:cs="Arial" w:eastAsia="Arial" w:hAnsi="Arial"/>
                <w:sz w:val="18"/>
                <w:szCs w:val="18"/>
                <w:color w:val="auto"/>
              </w:rPr>
              <w:t>(1.7)%</w:t>
            </w:r>
          </w:p>
        </w:tc>
        <w:tc>
          <w:tcPr>
            <w:tcW w:w="1020" w:type="dxa"/>
            <w:vAlign w:val="bottom"/>
            <w:gridSpan w:val="2"/>
          </w:tcPr>
          <w:p>
            <w:pPr>
              <w:jc w:val="right"/>
              <w:ind w:right="68"/>
              <w:spacing w:after="0"/>
              <w:rPr>
                <w:sz w:val="20"/>
                <w:szCs w:val="20"/>
                <w:color w:val="auto"/>
              </w:rPr>
            </w:pPr>
            <w:r>
              <w:rPr>
                <w:rFonts w:ascii="Arial" w:cs="Arial" w:eastAsia="Arial" w:hAnsi="Arial"/>
                <w:sz w:val="18"/>
                <w:szCs w:val="18"/>
                <w:color w:val="auto"/>
              </w:rPr>
              <w:t>(1,740)</w:t>
            </w:r>
          </w:p>
        </w:tc>
        <w:tc>
          <w:tcPr>
            <w:tcW w:w="820" w:type="dxa"/>
            <w:vAlign w:val="bottom"/>
          </w:tcPr>
          <w:p>
            <w:pPr>
              <w:jc w:val="right"/>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Nine Months Net Sales by Region</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2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4"/>
          </w:tcPr>
          <w:p>
            <w:pPr>
              <w:jc w:val="right"/>
              <w:ind w:right="273"/>
              <w:spacing w:after="0"/>
              <w:rPr>
                <w:sz w:val="20"/>
                <w:szCs w:val="20"/>
                <w:color w:val="auto"/>
              </w:rPr>
            </w:pPr>
            <w:r>
              <w:rPr>
                <w:rFonts w:ascii="Arial" w:cs="Arial" w:eastAsia="Arial" w:hAnsi="Arial"/>
                <w:sz w:val="14"/>
                <w:szCs w:val="14"/>
                <w:b w:val="1"/>
                <w:bCs w:val="1"/>
                <w:color w:val="auto"/>
              </w:rPr>
              <w:t>Nine months ended</w:t>
            </w:r>
          </w:p>
        </w:tc>
        <w:tc>
          <w:tcPr>
            <w:tcW w:w="140" w:type="dxa"/>
            <w:vAlign w:val="bottom"/>
          </w:tcPr>
          <w:p>
            <w:pPr>
              <w:spacing w:after="0"/>
              <w:rPr>
                <w:sz w:val="14"/>
                <w:szCs w:val="14"/>
                <w:color w:val="auto"/>
              </w:rPr>
            </w:pPr>
          </w:p>
        </w:tc>
        <w:tc>
          <w:tcPr>
            <w:tcW w:w="1820" w:type="dxa"/>
            <w:vAlign w:val="bottom"/>
            <w:gridSpan w:val="4"/>
            <w:vMerge w:val="restart"/>
          </w:tcPr>
          <w:p>
            <w:pPr>
              <w:ind w:left="240"/>
              <w:spacing w:after="0"/>
              <w:rPr>
                <w:sz w:val="20"/>
                <w:szCs w:val="20"/>
                <w:color w:val="auto"/>
              </w:rPr>
            </w:pPr>
            <w:r>
              <w:rPr>
                <w:rFonts w:ascii="Arial" w:cs="Arial" w:eastAsia="Arial" w:hAnsi="Arial"/>
                <w:sz w:val="14"/>
                <w:szCs w:val="14"/>
                <w:b w:val="1"/>
                <w:bCs w:val="1"/>
                <w:color w:val="auto"/>
              </w:rPr>
              <w:t>Increase/(Decrease)</w:t>
            </w:r>
          </w:p>
        </w:tc>
        <w:tc>
          <w:tcPr>
            <w:tcW w:w="20" w:type="dxa"/>
            <w:vAlign w:val="bottom"/>
          </w:tcPr>
          <w:p>
            <w:pPr>
              <w:spacing w:after="0"/>
              <w:rPr>
                <w:sz w:val="14"/>
                <w:szCs w:val="14"/>
                <w:color w:val="auto"/>
              </w:rPr>
            </w:pPr>
          </w:p>
        </w:tc>
        <w:tc>
          <w:tcPr>
            <w:tcW w:w="1660" w:type="dxa"/>
            <w:vAlign w:val="bottom"/>
            <w:gridSpan w:val="3"/>
          </w:tcPr>
          <w:p>
            <w:pPr>
              <w:jc w:val="right"/>
              <w:ind w:right="153"/>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2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4"/>
          </w:tcPr>
          <w:p>
            <w:pPr>
              <w:jc w:val="right"/>
              <w:ind w:right="453"/>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820" w:type="dxa"/>
            <w:vAlign w:val="bottom"/>
            <w:gridSpan w:val="4"/>
            <w:vMerge w:val="continue"/>
          </w:tcPr>
          <w:p>
            <w:pPr>
              <w:spacing w:after="0"/>
              <w:rPr>
                <w:sz w:val="14"/>
                <w:szCs w:val="14"/>
                <w:color w:val="auto"/>
              </w:rPr>
            </w:pPr>
          </w:p>
        </w:tc>
        <w:tc>
          <w:tcPr>
            <w:tcW w:w="20" w:type="dxa"/>
            <w:vAlign w:val="bottom"/>
          </w:tcPr>
          <w:p>
            <w:pPr>
              <w:spacing w:after="0"/>
              <w:rPr>
                <w:sz w:val="14"/>
                <w:szCs w:val="14"/>
                <w:color w:val="auto"/>
              </w:rPr>
            </w:pPr>
          </w:p>
        </w:tc>
        <w:tc>
          <w:tcPr>
            <w:tcW w:w="1660" w:type="dxa"/>
            <w:vAlign w:val="bottom"/>
            <w:gridSpan w:val="3"/>
          </w:tcPr>
          <w:p>
            <w:pPr>
              <w:jc w:val="right"/>
              <w:ind w:right="153"/>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42"/>
        </w:trPr>
        <w:tc>
          <w:tcPr>
            <w:tcW w:w="224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3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196"/>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860" w:type="dxa"/>
            <w:vAlign w:val="bottom"/>
            <w:tcBorders>
              <w:top w:val="single" w:sz="8" w:color="auto"/>
              <w:bottom w:val="single" w:sz="8" w:color="auto"/>
            </w:tcBorders>
            <w:gridSpan w:val="2"/>
          </w:tcPr>
          <w:p>
            <w:pPr>
              <w:ind w:left="100"/>
              <w:spacing w:after="0" w:line="142" w:lineRule="exact"/>
              <w:rPr>
                <w:sz w:val="20"/>
                <w:szCs w:val="20"/>
                <w:color w:val="auto"/>
              </w:rPr>
            </w:pPr>
            <w:r>
              <w:rPr>
                <w:rFonts w:ascii="Arial" w:cs="Arial" w:eastAsia="Arial" w:hAnsi="Arial"/>
                <w:sz w:val="14"/>
                <w:szCs w:val="14"/>
                <w:b w:val="1"/>
                <w:bCs w:val="1"/>
                <w:color w:val="auto"/>
              </w:rPr>
              <w:t>$ change</w:t>
            </w:r>
          </w:p>
        </w:tc>
        <w:tc>
          <w:tcPr>
            <w:tcW w:w="820" w:type="dxa"/>
            <w:vAlign w:val="bottom"/>
            <w:tcBorders>
              <w:top w:val="single" w:sz="8" w:color="auto"/>
              <w:bottom w:val="single" w:sz="8" w:color="auto"/>
            </w:tcBorders>
          </w:tcPr>
          <w:p>
            <w:pPr>
              <w:jc w:val="right"/>
              <w:ind w:right="13"/>
              <w:spacing w:after="0" w:line="142" w:lineRule="exact"/>
              <w:rPr>
                <w:sz w:val="20"/>
                <w:szCs w:val="20"/>
                <w:color w:val="auto"/>
              </w:rPr>
            </w:pPr>
            <w:r>
              <w:rPr>
                <w:rFonts w:ascii="Arial" w:cs="Arial" w:eastAsia="Arial" w:hAnsi="Arial"/>
                <w:sz w:val="14"/>
                <w:szCs w:val="14"/>
                <w:b w:val="1"/>
                <w:bCs w:val="1"/>
                <w:color w:val="auto"/>
              </w:rPr>
              <w:t>% change</w:t>
            </w:r>
          </w:p>
        </w:tc>
        <w:tc>
          <w:tcPr>
            <w:tcW w:w="1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740" w:type="dxa"/>
            <w:vAlign w:val="bottom"/>
            <w:tcBorders>
              <w:top w:val="single" w:sz="8" w:color="auto"/>
              <w:bottom w:val="single" w:sz="8" w:color="auto"/>
            </w:tcBorders>
            <w:gridSpan w:val="2"/>
          </w:tcPr>
          <w:p>
            <w:pPr>
              <w:ind w:left="80"/>
              <w:spacing w:after="0" w:line="142" w:lineRule="exact"/>
              <w:rPr>
                <w:sz w:val="20"/>
                <w:szCs w:val="20"/>
                <w:color w:val="auto"/>
              </w:rPr>
            </w:pPr>
            <w:r>
              <w:rPr>
                <w:rFonts w:ascii="Arial" w:cs="Arial" w:eastAsia="Arial" w:hAnsi="Arial"/>
                <w:sz w:val="14"/>
                <w:szCs w:val="14"/>
                <w:b w:val="1"/>
                <w:bCs w:val="1"/>
                <w:color w:val="auto"/>
              </w:rPr>
              <w:t>$ change</w:t>
            </w:r>
          </w:p>
        </w:tc>
        <w:tc>
          <w:tcPr>
            <w:tcW w:w="920" w:type="dxa"/>
            <w:vAlign w:val="bottom"/>
            <w:tcBorders>
              <w:top w:val="single" w:sz="8" w:color="auto"/>
              <w:bottom w:val="single" w:sz="8" w:color="auto"/>
            </w:tcBorders>
          </w:tcPr>
          <w:p>
            <w:pPr>
              <w:jc w:val="right"/>
              <w:ind w:right="13"/>
              <w:spacing w:after="0" w:line="142" w:lineRule="exact"/>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42"/>
        </w:trPr>
        <w:tc>
          <w:tcPr>
            <w:tcW w:w="2240" w:type="dxa"/>
            <w:vAlign w:val="bottom"/>
            <w:vMerge w:val="continue"/>
          </w:tcPr>
          <w:p>
            <w:pPr>
              <w:spacing w:after="0"/>
              <w:rPr>
                <w:sz w:val="12"/>
                <w:szCs w:val="12"/>
                <w:color w:val="auto"/>
              </w:rPr>
            </w:pP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240" w:type="dxa"/>
            <w:vAlign w:val="bottom"/>
            <w:shd w:val="clear" w:color="auto" w:fill="CCEEFF"/>
          </w:tcPr>
          <w:p>
            <w:pPr>
              <w:spacing w:after="0"/>
              <w:rPr>
                <w:sz w:val="20"/>
                <w:szCs w:val="20"/>
                <w:color w:val="auto"/>
              </w:rPr>
            </w:pPr>
            <w:r>
              <w:rPr>
                <w:rFonts w:ascii="Arial" w:cs="Arial" w:eastAsia="Arial" w:hAnsi="Arial"/>
                <w:sz w:val="16"/>
                <w:szCs w:val="16"/>
                <w:color w:val="auto"/>
              </w:rPr>
              <w:t>United States</w:t>
            </w:r>
          </w:p>
        </w:tc>
        <w:tc>
          <w:tcPr>
            <w:tcW w:w="1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630,784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650,394</w:t>
            </w:r>
          </w:p>
        </w:tc>
        <w:tc>
          <w:tcPr>
            <w:tcW w:w="10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 (19,610)</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4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87"/>
              </w:rPr>
              <w:t>$ (19,610)</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2240" w:type="dxa"/>
            <w:vAlign w:val="bottom"/>
          </w:tcPr>
          <w:p>
            <w:pPr>
              <w:spacing w:after="0"/>
              <w:rPr>
                <w:sz w:val="20"/>
                <w:szCs w:val="20"/>
                <w:color w:val="auto"/>
              </w:rPr>
            </w:pPr>
            <w:r>
              <w:rPr>
                <w:rFonts w:ascii="Arial" w:cs="Arial" w:eastAsia="Arial" w:hAnsi="Arial"/>
                <w:sz w:val="16"/>
                <w:szCs w:val="16"/>
                <w:color w:val="auto"/>
              </w:rPr>
              <w:t>EMEA</w:t>
            </w: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166,533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177,221</w:t>
            </w:r>
          </w:p>
        </w:tc>
        <w:tc>
          <w:tcPr>
            <w:tcW w:w="1000" w:type="dxa"/>
            <w:vAlign w:val="bottom"/>
            <w:gridSpan w:val="3"/>
          </w:tcPr>
          <w:p>
            <w:pPr>
              <w:jc w:val="right"/>
              <w:ind w:right="120"/>
              <w:spacing w:after="0"/>
              <w:rPr>
                <w:sz w:val="20"/>
                <w:szCs w:val="20"/>
                <w:color w:val="auto"/>
              </w:rPr>
            </w:pPr>
            <w:r>
              <w:rPr>
                <w:rFonts w:ascii="Arial" w:cs="Arial" w:eastAsia="Arial" w:hAnsi="Arial"/>
                <w:sz w:val="18"/>
                <w:szCs w:val="18"/>
                <w:color w:val="auto"/>
              </w:rPr>
              <w:t>(10,688)</w:t>
            </w:r>
          </w:p>
        </w:tc>
        <w:tc>
          <w:tcPr>
            <w:tcW w:w="820" w:type="dxa"/>
            <w:vAlign w:val="bottom"/>
          </w:tcPr>
          <w:p>
            <w:pPr>
              <w:jc w:val="right"/>
              <w:spacing w:after="0"/>
              <w:rPr>
                <w:sz w:val="20"/>
                <w:szCs w:val="20"/>
                <w:color w:val="auto"/>
              </w:rPr>
            </w:pPr>
            <w:r>
              <w:rPr>
                <w:rFonts w:ascii="Arial" w:cs="Arial" w:eastAsia="Arial" w:hAnsi="Arial"/>
                <w:sz w:val="18"/>
                <w:szCs w:val="18"/>
                <w:color w:val="auto"/>
              </w:rPr>
              <w:t>(6.0)%</w:t>
            </w:r>
          </w:p>
        </w:tc>
        <w:tc>
          <w:tcPr>
            <w:tcW w:w="14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(1,431)</w:t>
            </w:r>
          </w:p>
        </w:tc>
        <w:tc>
          <w:tcPr>
            <w:tcW w:w="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16"/>
        </w:trPr>
        <w:tc>
          <w:tcPr>
            <w:tcW w:w="2240" w:type="dxa"/>
            <w:vAlign w:val="bottom"/>
            <w:shd w:val="clear" w:color="auto" w:fill="CCEEFF"/>
          </w:tcPr>
          <w:p>
            <w:pPr>
              <w:spacing w:after="0"/>
              <w:rPr>
                <w:sz w:val="20"/>
                <w:szCs w:val="20"/>
                <w:color w:val="auto"/>
              </w:rPr>
            </w:pPr>
            <w:r>
              <w:rPr>
                <w:rFonts w:ascii="Arial" w:cs="Arial" w:eastAsia="Arial" w:hAnsi="Arial"/>
                <w:sz w:val="16"/>
                <w:szCs w:val="16"/>
                <w:color w:val="auto"/>
              </w:rPr>
              <w:t>Japan</w:t>
            </w:r>
          </w:p>
        </w:tc>
        <w:tc>
          <w:tcPr>
            <w:tcW w:w="1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135,607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155,233</w:t>
            </w:r>
          </w:p>
        </w:tc>
        <w:tc>
          <w:tcPr>
            <w:tcW w:w="10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(19,626)</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w:t>
            </w:r>
          </w:p>
        </w:tc>
        <w:tc>
          <w:tcPr>
            <w:tcW w:w="14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(16,182)</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16"/>
        </w:trPr>
        <w:tc>
          <w:tcPr>
            <w:tcW w:w="2240" w:type="dxa"/>
            <w:vAlign w:val="bottom"/>
          </w:tcPr>
          <w:p>
            <w:pPr>
              <w:spacing w:after="0"/>
              <w:rPr>
                <w:sz w:val="20"/>
                <w:szCs w:val="20"/>
                <w:color w:val="auto"/>
              </w:rPr>
            </w:pPr>
            <w:r>
              <w:rPr>
                <w:rFonts w:ascii="Arial" w:cs="Arial" w:eastAsia="Arial" w:hAnsi="Arial"/>
                <w:sz w:val="16"/>
                <w:szCs w:val="16"/>
                <w:color w:val="auto"/>
              </w:rPr>
              <w:t>Korea</w:t>
            </w: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153,354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133,958</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19,396</w:t>
            </w: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14.5 %</w:t>
            </w:r>
          </w:p>
        </w:tc>
        <w:tc>
          <w:tcPr>
            <w:tcW w:w="14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15,963</w:t>
            </w:r>
          </w:p>
        </w:tc>
        <w:tc>
          <w:tcPr>
            <w:tcW w:w="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11.9 %</w:t>
            </w:r>
          </w:p>
        </w:tc>
        <w:tc>
          <w:tcPr>
            <w:tcW w:w="0" w:type="dxa"/>
            <w:vAlign w:val="bottom"/>
          </w:tcPr>
          <w:p>
            <w:pPr>
              <w:spacing w:after="0"/>
              <w:rPr>
                <w:sz w:val="1"/>
                <w:szCs w:val="1"/>
                <w:color w:val="auto"/>
              </w:rPr>
            </w:pPr>
          </w:p>
        </w:tc>
      </w:tr>
      <w:tr>
        <w:trPr>
          <w:trHeight w:val="230"/>
        </w:trPr>
        <w:tc>
          <w:tcPr>
            <w:tcW w:w="2240" w:type="dxa"/>
            <w:vAlign w:val="bottom"/>
            <w:shd w:val="clear" w:color="auto" w:fill="CCEEFF"/>
          </w:tcPr>
          <w:p>
            <w:pPr>
              <w:spacing w:after="0"/>
              <w:rPr>
                <w:sz w:val="20"/>
                <w:szCs w:val="20"/>
                <w:color w:val="auto"/>
              </w:rPr>
            </w:pPr>
            <w:r>
              <w:rPr>
                <w:rFonts w:ascii="Arial" w:cs="Arial" w:eastAsia="Arial" w:hAnsi="Arial"/>
                <w:sz w:val="16"/>
                <w:szCs w:val="16"/>
                <w:color w:val="auto"/>
              </w:rPr>
              <w:t>Rest of world</w:t>
            </w:r>
          </w:p>
        </w:tc>
        <w:tc>
          <w:tcPr>
            <w:tcW w:w="1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122,588</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125,708</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(3,120)</w:t>
            </w: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4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(3,082)</w:t>
            </w:r>
          </w:p>
        </w:tc>
        <w:tc>
          <w:tcPr>
            <w:tcW w:w="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7"/>
        </w:trPr>
        <w:tc>
          <w:tcPr>
            <w:tcW w:w="2240" w:type="dxa"/>
            <w:vAlign w:val="bottom"/>
          </w:tcPr>
          <w:p>
            <w:pPr>
              <w:ind w:left="120"/>
              <w:spacing w:after="0"/>
              <w:rPr>
                <w:sz w:val="20"/>
                <w:szCs w:val="20"/>
                <w:color w:val="auto"/>
              </w:rPr>
            </w:pPr>
            <w:r>
              <w:rPr>
                <w:rFonts w:ascii="Arial" w:cs="Arial" w:eastAsia="Arial" w:hAnsi="Arial"/>
                <w:sz w:val="16"/>
                <w:szCs w:val="16"/>
                <w:b w:val="1"/>
                <w:bCs w:val="1"/>
                <w:color w:val="auto"/>
              </w:rPr>
              <w:t>Total sales</w:t>
            </w:r>
          </w:p>
        </w:tc>
        <w:tc>
          <w:tcPr>
            <w:tcW w:w="13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1,208,866</w:t>
            </w: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1,242,514</w:t>
            </w:r>
          </w:p>
        </w:tc>
        <w:tc>
          <w:tcPr>
            <w:tcW w:w="140" w:type="dxa"/>
            <w:vAlign w:val="bottom"/>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 (33,648)</w:t>
            </w: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(2.7)%</w:t>
            </w:r>
          </w:p>
        </w:tc>
        <w:tc>
          <w:tcPr>
            <w:tcW w:w="1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5"/>
              </w:rPr>
              <w:t>$ (24,342)</w:t>
            </w:r>
          </w:p>
        </w:tc>
        <w:tc>
          <w:tcPr>
            <w:tcW w:w="20" w:type="dxa"/>
            <w:vAlign w:val="bottom"/>
            <w:tcBorders>
              <w:bottom w:val="single" w:sz="8" w:color="auto"/>
            </w:tcBorders>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00"/>
        <w:spacing w:after="0"/>
        <w:rPr>
          <w:sz w:val="20"/>
          <w:szCs w:val="20"/>
          <w:color w:val="auto"/>
        </w:rPr>
      </w:pPr>
      <w:r>
        <w:rPr>
          <w:rFonts w:ascii="Arial" w:cs="Arial" w:eastAsia="Arial" w:hAnsi="Arial"/>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160"/>
          </w:cols>
          <w:pgMar w:left="1420" w:top="111" w:right="1319" w:bottom="1440" w:gutter="0" w:footer="0" w:header="0"/>
        </w:sectPr>
      </w:pPr>
    </w:p>
    <w:bookmarkStart w:id="12" w:name="page13"/>
    <w:bookmarkEnd w:id="12"/>
    <w:p>
      <w:pPr>
        <w:jc w:val="center"/>
        <w:spacing w:after="0"/>
        <w:rPr>
          <w:sz w:val="20"/>
          <w:szCs w:val="20"/>
          <w:color w:val="auto"/>
        </w:rPr>
      </w:pPr>
      <w:r>
        <w:rPr>
          <w:rFonts w:ascii="Arial" w:cs="Arial" w:eastAsia="Arial" w:hAnsi="Arial"/>
          <w:sz w:val="22"/>
          <w:szCs w:val="22"/>
          <w:b w:val="1"/>
          <w:bCs w:val="1"/>
          <w:color w:val="auto"/>
        </w:rPr>
        <w:t>ACUSHNET HOLDINGS CORP.</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Reconciliation of GAAP to Non-GAAP Measures</w:t>
      </w:r>
    </w:p>
    <w:p>
      <w:pPr>
        <w:jc w:val="center"/>
        <w:spacing w:after="0"/>
        <w:rPr>
          <w:sz w:val="20"/>
          <w:szCs w:val="20"/>
          <w:color w:val="auto"/>
        </w:rPr>
      </w:pPr>
      <w:r>
        <w:rPr>
          <w:rFonts w:ascii="Arial" w:cs="Arial" w:eastAsia="Arial" w:hAnsi="Arial"/>
          <w:sz w:val="22"/>
          <w:szCs w:val="22"/>
          <w:color w:val="auto"/>
        </w:rPr>
        <w:t>(Unaudited)</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Use of Non-GAAP Financial Measures</w:t>
      </w:r>
    </w:p>
    <w:p>
      <w:pPr>
        <w:spacing w:after="0" w:line="212" w:lineRule="exact"/>
        <w:rPr>
          <w:sz w:val="20"/>
          <w:szCs w:val="20"/>
          <w:color w:val="auto"/>
        </w:rPr>
      </w:pPr>
    </w:p>
    <w:p>
      <w:pPr>
        <w:spacing w:after="0" w:line="275" w:lineRule="auto"/>
        <w:rPr>
          <w:sz w:val="20"/>
          <w:szCs w:val="20"/>
          <w:color w:val="auto"/>
        </w:rPr>
      </w:pPr>
      <w:r>
        <w:rPr>
          <w:rFonts w:ascii="Arial" w:cs="Arial" w:eastAsia="Arial" w:hAnsi="Arial"/>
          <w:sz w:val="19"/>
          <w:szCs w:val="19"/>
          <w:color w:val="auto"/>
        </w:rPr>
        <w:t>The Company reports its financial results in accordance with generally accepted accounting principles in the United States (“GAAP”). However, this release includes the non-GAAP financial measures of net sales in constant currency and Adjusted EBITDA. These non-GAAP financial measures are not measures of financial performance in accordance with GAAP and may exclude items that are significant to understanding and assessing the Company’s financial results. Therefore, these measures should not be considered in isolation or as an alternative to net sales, net income or other measures of profitability or performance under GAAP. You should be aware that the Company’s presentation of these measures may not be comparable to similarly-titled measures used by other companies.</w:t>
      </w:r>
    </w:p>
    <w:p>
      <w:pPr>
        <w:spacing w:after="0" w:line="158" w:lineRule="exact"/>
        <w:rPr>
          <w:sz w:val="20"/>
          <w:szCs w:val="20"/>
          <w:color w:val="auto"/>
        </w:rPr>
      </w:pPr>
    </w:p>
    <w:p>
      <w:pPr>
        <w:ind w:right="20"/>
        <w:spacing w:after="0" w:line="245" w:lineRule="auto"/>
        <w:rPr>
          <w:sz w:val="20"/>
          <w:szCs w:val="20"/>
          <w:color w:val="auto"/>
        </w:rPr>
      </w:pPr>
      <w:r>
        <w:rPr>
          <w:rFonts w:ascii="Arial" w:cs="Arial" w:eastAsia="Arial" w:hAnsi="Arial"/>
          <w:sz w:val="21"/>
          <w:szCs w:val="21"/>
          <w:color w:val="auto"/>
        </w:rPr>
        <w:t>We use net sales on a constant currency basis to evaluate the sales performance of our business in period over period comparisons and for forecasting our business going forward. Constant currency information allows us to estimate what our sales performance would have been without changes in foreign currency exchange rates. This information is calculated by taking the current period local currency sales and translating them into U.S. dollars based upon the foreign currency exchange rates for the applicable comparable prior period. This constant currency information should not be considered in isolation or as a substitute for any measure derived in accordance with GAAP. Our presentation of constant currency information may not be consistent with the manner in which similar measures are derived or used by other companies.</w:t>
      </w:r>
    </w:p>
    <w:p>
      <w:pPr>
        <w:spacing w:after="0" w:line="185" w:lineRule="exact"/>
        <w:rPr>
          <w:sz w:val="20"/>
          <w:szCs w:val="20"/>
          <w:color w:val="auto"/>
        </w:rPr>
      </w:pPr>
    </w:p>
    <w:p>
      <w:pPr>
        <w:spacing w:after="0" w:line="271" w:lineRule="auto"/>
        <w:rPr>
          <w:sz w:val="20"/>
          <w:szCs w:val="20"/>
          <w:color w:val="auto"/>
        </w:rPr>
      </w:pPr>
      <w:r>
        <w:rPr>
          <w:rFonts w:ascii="Arial" w:cs="Arial" w:eastAsia="Arial" w:hAnsi="Arial"/>
          <w:sz w:val="19"/>
          <w:szCs w:val="19"/>
          <w:color w:val="auto"/>
        </w:rPr>
        <w:t>Adjusted EBITDA represents net income attributable to Acushnet Holdings Corp. adjusted for income tax expense, interest expense, depreciation and amortization, the expenses relating to the Acushnet Company Equity Appreciation Rights Plan, as amended (the “EAR Plan”), share-based compensation expense, a one-time executive bonus, restructuring charges, certain transaction fees, indemnification expense (income) from our former owner Beam Suntory, Inc. (formerly known as Fortune Brands, Inc.) (“Beam”), gains (losses) on the fair value of our common stock warrants, certain other non-cash (gains) losses, net and the net income relating to non-controlling interests in our FootJoy golf shoe joint venture. We define Adjusted EBITDA in a manner consistent with the term “Consolidated EBITDA” as it is defined in our credit agreement. Consolidated EBITDA is used in our credit agreement at the Acushnet Company level for purposes of certain material terms, including (i) determining the applicable margin used to determine the interest rate per annum of outstanding borrowings and commitment fees for revolving commitments, (ii) calculating certain financial ratios used in financial maintenance covenants that require compliance on a quarterly basis, (iii) determining our ability to incur additional term loans or increases to our new revolving credit facility and (iv) determining the availability of certain baskets and the ability to enter into certain transactions.</w:t>
      </w:r>
    </w:p>
    <w:p>
      <w:pPr>
        <w:spacing w:after="0" w:line="162" w:lineRule="exact"/>
        <w:rPr>
          <w:sz w:val="20"/>
          <w:szCs w:val="20"/>
          <w:color w:val="auto"/>
        </w:rPr>
      </w:pPr>
    </w:p>
    <w:p>
      <w:pPr>
        <w:jc w:val="both"/>
        <w:spacing w:after="0" w:line="282" w:lineRule="auto"/>
        <w:rPr>
          <w:sz w:val="20"/>
          <w:szCs w:val="20"/>
          <w:color w:val="auto"/>
        </w:rPr>
      </w:pPr>
      <w:r>
        <w:rPr>
          <w:rFonts w:ascii="Arial" w:cs="Arial" w:eastAsia="Arial" w:hAnsi="Arial"/>
          <w:sz w:val="19"/>
          <w:szCs w:val="19"/>
          <w:color w:val="auto"/>
        </w:rPr>
        <w:t>We present Adjusted EBITDA as a supplemental measure because it excludes the impact of certain items that (i) we do not consider indicative of our ongoing operating performance, (ii) that relate to our acquisition of Acushnet Company, our operating subsidiary, from Beam on July 29, 2011 (the “Acquisition”) or (iii) that relate to our historical capital structure that are no longer relevant after the closing of our initial public offering. Management uses Adjusted EBITDA to evaluate the</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2" w:right="1419" w:bottom="1440" w:gutter="0" w:footer="0" w:header="0"/>
        </w:sectPr>
      </w:pPr>
    </w:p>
    <w:bookmarkStart w:id="13" w:name="page14"/>
    <w:bookmarkEnd w:id="13"/>
    <w:p>
      <w:pPr>
        <w:jc w:val="both"/>
        <w:spacing w:after="0" w:line="236" w:lineRule="auto"/>
        <w:rPr>
          <w:sz w:val="20"/>
          <w:szCs w:val="20"/>
          <w:color w:val="auto"/>
        </w:rPr>
      </w:pPr>
      <w:r>
        <w:rPr>
          <w:rFonts w:ascii="Arial" w:cs="Arial" w:eastAsia="Arial" w:hAnsi="Arial"/>
          <w:sz w:val="22"/>
          <w:szCs w:val="22"/>
          <w:color w:val="auto"/>
        </w:rPr>
        <w:t>effectiveness of our business strategies, assess our consolidated operating performance and make decisions regarding pricing of our products, go to market execution and costs to incur across our business. Adjusted EBITDA is also used as a financial performance measure for purposes of determining the vesting of equity awards that were granted under our Acushnet Holdings Corp. 2015 Omnibus Incentive Plan.</w:t>
      </w:r>
    </w:p>
    <w:p>
      <w:pPr>
        <w:spacing w:after="0" w:line="188" w:lineRule="exact"/>
        <w:rPr>
          <w:sz w:val="20"/>
          <w:szCs w:val="20"/>
          <w:color w:val="auto"/>
        </w:rPr>
      </w:pPr>
    </w:p>
    <w:p>
      <w:pPr>
        <w:ind w:right="220"/>
        <w:spacing w:after="0" w:line="238" w:lineRule="auto"/>
        <w:rPr>
          <w:sz w:val="20"/>
          <w:szCs w:val="20"/>
          <w:color w:val="auto"/>
        </w:rPr>
      </w:pPr>
      <w:r>
        <w:rPr>
          <w:rFonts w:ascii="Arial" w:cs="Arial" w:eastAsia="Arial" w:hAnsi="Arial"/>
          <w:sz w:val="22"/>
          <w:szCs w:val="22"/>
          <w:color w:val="auto"/>
        </w:rPr>
        <w:t>We believe Adjusted EBITDA provides useful information to investors regarding our consolidated operating performance. By presenting Adjusted EBITDA, we provide a basis for comparison of our business operations between different periods by excluding items that we do not believe are indicative of our core operating performance.</w:t>
      </w:r>
    </w:p>
    <w:p>
      <w:pPr>
        <w:spacing w:after="0" w:line="185" w:lineRule="exact"/>
        <w:rPr>
          <w:sz w:val="20"/>
          <w:szCs w:val="20"/>
          <w:color w:val="auto"/>
        </w:rPr>
      </w:pPr>
    </w:p>
    <w:p>
      <w:pPr>
        <w:ind w:right="240"/>
        <w:spacing w:after="0" w:line="274" w:lineRule="auto"/>
        <w:rPr>
          <w:sz w:val="20"/>
          <w:szCs w:val="20"/>
          <w:color w:val="auto"/>
        </w:rPr>
      </w:pPr>
      <w:r>
        <w:rPr>
          <w:rFonts w:ascii="Arial" w:cs="Arial" w:eastAsia="Arial" w:hAnsi="Arial"/>
          <w:sz w:val="19"/>
          <w:szCs w:val="19"/>
          <w:color w:val="auto"/>
        </w:rPr>
        <w:t>Adjusted EBITDA is not a measurement of financial performance under GAAP. It should not be considered an alternative to net income attributable to Acushnet Holdings Corp. as a measure of our operating performance or any other measure of performance derived in accordance with GAAP. In addition, Adjusted EBITDA should not be construed as an inference that our future results will be unaffected by unusual or non-recurring items, or affected by similar non-recurring items. Adjusted EBITDA has limitations as an analytical tool, and you should not consider such measure either in isolation or as a substitute for analyzing our results as reported under GAAP. Our definition and calculation of Adjusted EBITDA is not necessarily comparable to other similarly titled measures used by other companies due to different methods of calculation.</w:t>
      </w:r>
    </w:p>
    <w:p>
      <w:pPr>
        <w:spacing w:after="0" w:line="159" w:lineRule="exact"/>
        <w:rPr>
          <w:sz w:val="20"/>
          <w:szCs w:val="20"/>
          <w:color w:val="auto"/>
        </w:rPr>
      </w:pPr>
    </w:p>
    <w:p>
      <w:pPr>
        <w:ind w:right="520"/>
        <w:spacing w:after="0" w:line="274" w:lineRule="auto"/>
        <w:rPr>
          <w:sz w:val="20"/>
          <w:szCs w:val="20"/>
          <w:color w:val="auto"/>
        </w:rPr>
      </w:pPr>
      <w:r>
        <w:rPr>
          <w:rFonts w:ascii="Arial" w:cs="Arial" w:eastAsia="Arial" w:hAnsi="Arial"/>
          <w:sz w:val="21"/>
          <w:szCs w:val="21"/>
          <w:color w:val="auto"/>
        </w:rPr>
        <w:t>The following table presents reconciliations of net income (loss) attributable to Acushnet Holdings Corp. to Adjusted EBITDA for the periods presented (dollars in thousands):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00" w:type="dxa"/>
            <w:vAlign w:val="bottom"/>
            <w:gridSpan w:val="4"/>
          </w:tcPr>
          <w:p>
            <w:pPr>
              <w:jc w:val="right"/>
              <w:ind w:right="111"/>
              <w:spacing w:after="0"/>
              <w:rPr>
                <w:sz w:val="20"/>
                <w:szCs w:val="20"/>
                <w:color w:val="auto"/>
              </w:rPr>
            </w:pPr>
            <w:r>
              <w:rPr>
                <w:rFonts w:ascii="Arial" w:cs="Arial" w:eastAsia="Arial" w:hAnsi="Arial"/>
                <w:sz w:val="14"/>
                <w:szCs w:val="14"/>
                <w:b w:val="1"/>
                <w:bCs w:val="1"/>
                <w:color w:val="auto"/>
                <w:w w:val="92"/>
              </w:rPr>
              <w:t>Three months ended</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20" w:type="dxa"/>
            <w:vAlign w:val="bottom"/>
            <w:gridSpan w:val="5"/>
          </w:tcPr>
          <w:p>
            <w:pPr>
              <w:ind w:left="200"/>
              <w:spacing w:after="0"/>
              <w:rPr>
                <w:sz w:val="20"/>
                <w:szCs w:val="20"/>
                <w:color w:val="auto"/>
              </w:rPr>
            </w:pPr>
            <w:r>
              <w:rPr>
                <w:rFonts w:ascii="Arial" w:cs="Arial" w:eastAsia="Arial" w:hAnsi="Arial"/>
                <w:sz w:val="14"/>
                <w:szCs w:val="14"/>
                <w:b w:val="1"/>
                <w:bCs w:val="1"/>
                <w:color w:val="auto"/>
              </w:rPr>
              <w:t>Nine months ended</w:t>
            </w:r>
          </w:p>
        </w:tc>
      </w:tr>
      <w:tr>
        <w:trPr>
          <w:trHeight w:val="171"/>
        </w:trPr>
        <w:tc>
          <w:tcPr>
            <w:tcW w:w="49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00" w:type="dxa"/>
            <w:vAlign w:val="bottom"/>
            <w:gridSpan w:val="4"/>
          </w:tcPr>
          <w:p>
            <w:pPr>
              <w:jc w:val="right"/>
              <w:ind w:right="311"/>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20" w:type="dxa"/>
            <w:vAlign w:val="bottom"/>
            <w:gridSpan w:val="5"/>
          </w:tcPr>
          <w:p>
            <w:pPr>
              <w:ind w:left="320"/>
              <w:spacing w:after="0"/>
              <w:rPr>
                <w:sz w:val="20"/>
                <w:szCs w:val="20"/>
                <w:color w:val="auto"/>
              </w:rPr>
            </w:pPr>
            <w:r>
              <w:rPr>
                <w:rFonts w:ascii="Arial" w:cs="Arial" w:eastAsia="Arial" w:hAnsi="Arial"/>
                <w:sz w:val="14"/>
                <w:szCs w:val="14"/>
                <w:b w:val="1"/>
                <w:bCs w:val="1"/>
                <w:color w:val="auto"/>
              </w:rPr>
              <w:t>September 30,</w:t>
            </w:r>
          </w:p>
        </w:tc>
      </w:tr>
      <w:tr>
        <w:trPr>
          <w:trHeight w:val="142"/>
        </w:trPr>
        <w:tc>
          <w:tcPr>
            <w:tcW w:w="49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31"/>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Borders>
              <w:top w:val="single" w:sz="8" w:color="auto"/>
              <w:bottom w:val="single" w:sz="8" w:color="auto"/>
            </w:tcBorders>
          </w:tcPr>
          <w:p>
            <w:pPr>
              <w:ind w:left="180"/>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31"/>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r>
      <w:tr>
        <w:trPr>
          <w:trHeight w:val="210"/>
        </w:trPr>
        <w:tc>
          <w:tcPr>
            <w:tcW w:w="49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49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Net income (loss) attributable to Acushnet Holdings Corp.</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9,318</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(5,526)</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80,448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45,191</w:t>
            </w:r>
          </w:p>
        </w:tc>
        <w:tc>
          <w:tcPr>
            <w:tcW w:w="160" w:type="dxa"/>
            <w:vAlign w:val="bottom"/>
            <w:shd w:val="clear" w:color="auto" w:fill="CCEEFF"/>
          </w:tcPr>
          <w:p>
            <w:pPr>
              <w:spacing w:after="0"/>
              <w:rPr>
                <w:sz w:val="18"/>
                <w:szCs w:val="18"/>
                <w:color w:val="auto"/>
              </w:rPr>
            </w:pPr>
          </w:p>
        </w:tc>
      </w:tr>
      <w:tr>
        <w:trPr>
          <w:trHeight w:val="216"/>
        </w:trPr>
        <w:tc>
          <w:tcPr>
            <w:tcW w:w="4900" w:type="dxa"/>
            <w:vAlign w:val="bottom"/>
          </w:tcPr>
          <w:p>
            <w:pPr>
              <w:ind w:left="220"/>
              <w:spacing w:after="0"/>
              <w:rPr>
                <w:sz w:val="20"/>
                <w:szCs w:val="20"/>
                <w:color w:val="auto"/>
              </w:rPr>
            </w:pPr>
            <w:r>
              <w:rPr>
                <w:rFonts w:ascii="Arial" w:cs="Arial" w:eastAsia="Arial" w:hAnsi="Arial"/>
                <w:sz w:val="18"/>
                <w:szCs w:val="18"/>
                <w:color w:val="auto"/>
              </w:rPr>
              <w:t>Income tax expense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3,488</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785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44,180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39,495</w:t>
            </w:r>
          </w:p>
        </w:tc>
        <w:tc>
          <w:tcPr>
            <w:tcW w:w="160" w:type="dxa"/>
            <w:vAlign w:val="bottom"/>
          </w:tcPr>
          <w:p>
            <w:pPr>
              <w:spacing w:after="0"/>
              <w:rPr>
                <w:sz w:val="18"/>
                <w:szCs w:val="18"/>
                <w:color w:val="auto"/>
              </w:rPr>
            </w:pPr>
          </w:p>
        </w:tc>
      </w:tr>
      <w:tr>
        <w:trPr>
          <w:trHeight w:val="216"/>
        </w:trPr>
        <w:tc>
          <w:tcPr>
            <w:tcW w:w="49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Interest expense, net</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4,040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15,672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11,863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44,076</w:t>
            </w:r>
          </w:p>
        </w:tc>
        <w:tc>
          <w:tcPr>
            <w:tcW w:w="160" w:type="dxa"/>
            <w:vAlign w:val="bottom"/>
            <w:shd w:val="clear" w:color="auto" w:fill="CCEEFF"/>
          </w:tcPr>
          <w:p>
            <w:pPr>
              <w:spacing w:after="0"/>
              <w:rPr>
                <w:sz w:val="18"/>
                <w:szCs w:val="18"/>
                <w:color w:val="auto"/>
              </w:rPr>
            </w:pPr>
          </w:p>
        </w:tc>
      </w:tr>
      <w:tr>
        <w:trPr>
          <w:trHeight w:val="216"/>
        </w:trPr>
        <w:tc>
          <w:tcPr>
            <w:tcW w:w="4900" w:type="dxa"/>
            <w:vAlign w:val="bottom"/>
          </w:tcPr>
          <w:p>
            <w:pPr>
              <w:ind w:left="220"/>
              <w:spacing w:after="0"/>
              <w:rPr>
                <w:sz w:val="20"/>
                <w:szCs w:val="20"/>
                <w:color w:val="auto"/>
              </w:rPr>
            </w:pPr>
            <w:r>
              <w:rPr>
                <w:rFonts w:ascii="Arial" w:cs="Arial" w:eastAsia="Arial" w:hAnsi="Arial"/>
                <w:sz w:val="18"/>
                <w:szCs w:val="18"/>
                <w:color w:val="auto"/>
              </w:rPr>
              <w:t>Depreciation and amortization</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4"/>
              </w:rPr>
              <w:t>10,214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4"/>
              </w:rPr>
              <w:t>10,003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30,667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30,553</w:t>
            </w:r>
          </w:p>
        </w:tc>
        <w:tc>
          <w:tcPr>
            <w:tcW w:w="160" w:type="dxa"/>
            <w:vAlign w:val="bottom"/>
          </w:tcPr>
          <w:p>
            <w:pPr>
              <w:spacing w:after="0"/>
              <w:rPr>
                <w:sz w:val="18"/>
                <w:szCs w:val="18"/>
                <w:color w:val="auto"/>
              </w:rPr>
            </w:pPr>
          </w:p>
        </w:tc>
      </w:tr>
      <w:tr>
        <w:trPr>
          <w:trHeight w:val="216"/>
        </w:trPr>
        <w:tc>
          <w:tcPr>
            <w:tcW w:w="49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EAR Plan(a)</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(940)</w:t>
            </w:r>
          </w:p>
        </w:tc>
        <w:tc>
          <w:tcPr>
            <w:tcW w:w="160" w:type="dxa"/>
            <w:vAlign w:val="bottom"/>
            <w:shd w:val="clear" w:color="auto" w:fill="CCEEFF"/>
          </w:tcPr>
          <w:p>
            <w:pPr>
              <w:spacing w:after="0"/>
              <w:rPr>
                <w:sz w:val="18"/>
                <w:szCs w:val="18"/>
                <w:color w:val="auto"/>
              </w:rPr>
            </w:pPr>
          </w:p>
        </w:tc>
      </w:tr>
      <w:tr>
        <w:trPr>
          <w:trHeight w:val="216"/>
        </w:trPr>
        <w:tc>
          <w:tcPr>
            <w:tcW w:w="4900" w:type="dxa"/>
            <w:vAlign w:val="bottom"/>
          </w:tcPr>
          <w:p>
            <w:pPr>
              <w:ind w:left="220"/>
              <w:spacing w:after="0"/>
              <w:rPr>
                <w:sz w:val="20"/>
                <w:szCs w:val="20"/>
                <w:color w:val="auto"/>
              </w:rPr>
            </w:pPr>
            <w:r>
              <w:rPr>
                <w:rFonts w:ascii="Arial" w:cs="Arial" w:eastAsia="Arial" w:hAnsi="Arial"/>
                <w:sz w:val="18"/>
                <w:szCs w:val="18"/>
                <w:color w:val="auto"/>
              </w:rPr>
              <w:t>Shared-based compensation(b)</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3,674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6,159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11,576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7,123</w:t>
            </w:r>
          </w:p>
        </w:tc>
        <w:tc>
          <w:tcPr>
            <w:tcW w:w="160" w:type="dxa"/>
            <w:vAlign w:val="bottom"/>
          </w:tcPr>
          <w:p>
            <w:pPr>
              <w:spacing w:after="0"/>
              <w:rPr>
                <w:sz w:val="18"/>
                <w:szCs w:val="18"/>
                <w:color w:val="auto"/>
              </w:rPr>
            </w:pPr>
          </w:p>
        </w:tc>
      </w:tr>
      <w:tr>
        <w:trPr>
          <w:trHeight w:val="216"/>
        </w:trPr>
        <w:tc>
          <w:tcPr>
            <w:tcW w:w="49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One-time executive bonus(c)</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w:t>
            </w:r>
          </w:p>
        </w:tc>
        <w:tc>
          <w:tcPr>
            <w:tcW w:w="160" w:type="dxa"/>
            <w:vAlign w:val="bottom"/>
            <w:shd w:val="clear" w:color="auto" w:fill="CCEEFF"/>
          </w:tcPr>
          <w:p>
            <w:pPr>
              <w:spacing w:after="0"/>
              <w:rPr>
                <w:sz w:val="18"/>
                <w:szCs w:val="18"/>
                <w:color w:val="auto"/>
              </w:rPr>
            </w:pPr>
          </w:p>
        </w:tc>
      </w:tr>
      <w:tr>
        <w:trPr>
          <w:trHeight w:val="216"/>
        </w:trPr>
        <w:tc>
          <w:tcPr>
            <w:tcW w:w="4900" w:type="dxa"/>
            <w:vAlign w:val="bottom"/>
          </w:tcPr>
          <w:p>
            <w:pPr>
              <w:ind w:left="220"/>
              <w:spacing w:after="0"/>
              <w:rPr>
                <w:sz w:val="20"/>
                <w:szCs w:val="20"/>
                <w:color w:val="auto"/>
              </w:rPr>
            </w:pPr>
            <w:r>
              <w:rPr>
                <w:rFonts w:ascii="Arial" w:cs="Arial" w:eastAsia="Arial" w:hAnsi="Arial"/>
                <w:sz w:val="18"/>
                <w:szCs w:val="18"/>
                <w:color w:val="auto"/>
              </w:rPr>
              <w:t>Restructuring charges(d)</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174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816</w:t>
            </w:r>
          </w:p>
        </w:tc>
        <w:tc>
          <w:tcPr>
            <w:tcW w:w="160" w:type="dxa"/>
            <w:vAlign w:val="bottom"/>
          </w:tcPr>
          <w:p>
            <w:pPr>
              <w:spacing w:after="0"/>
              <w:rPr>
                <w:sz w:val="18"/>
                <w:szCs w:val="18"/>
                <w:color w:val="auto"/>
              </w:rPr>
            </w:pPr>
          </w:p>
        </w:tc>
      </w:tr>
      <w:tr>
        <w:trPr>
          <w:trHeight w:val="216"/>
        </w:trPr>
        <w:tc>
          <w:tcPr>
            <w:tcW w:w="49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Transaction fees(e)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2,947</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11,912</w:t>
            </w:r>
          </w:p>
        </w:tc>
        <w:tc>
          <w:tcPr>
            <w:tcW w:w="160" w:type="dxa"/>
            <w:vAlign w:val="bottom"/>
            <w:shd w:val="clear" w:color="auto" w:fill="CCEEFF"/>
          </w:tcPr>
          <w:p>
            <w:pPr>
              <w:spacing w:after="0"/>
              <w:rPr>
                <w:sz w:val="18"/>
                <w:szCs w:val="18"/>
                <w:color w:val="auto"/>
              </w:rPr>
            </w:pPr>
          </w:p>
        </w:tc>
      </w:tr>
      <w:tr>
        <w:trPr>
          <w:trHeight w:val="216"/>
        </w:trPr>
        <w:tc>
          <w:tcPr>
            <w:tcW w:w="4900" w:type="dxa"/>
            <w:vAlign w:val="bottom"/>
          </w:tcPr>
          <w:p>
            <w:pPr>
              <w:ind w:left="220"/>
              <w:spacing w:after="0"/>
              <w:rPr>
                <w:sz w:val="20"/>
                <w:szCs w:val="20"/>
                <w:color w:val="auto"/>
              </w:rPr>
            </w:pPr>
            <w:r>
              <w:rPr>
                <w:rFonts w:ascii="Arial" w:cs="Arial" w:eastAsia="Arial" w:hAnsi="Arial"/>
                <w:sz w:val="18"/>
                <w:szCs w:val="18"/>
                <w:color w:val="auto"/>
              </w:rPr>
              <w:t>Beam indemnification expense (income)(f)</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145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(2,156)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342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(2,641)</w:t>
            </w:r>
          </w:p>
        </w:tc>
        <w:tc>
          <w:tcPr>
            <w:tcW w:w="160" w:type="dxa"/>
            <w:vAlign w:val="bottom"/>
          </w:tcPr>
          <w:p>
            <w:pPr>
              <w:spacing w:after="0"/>
              <w:rPr>
                <w:sz w:val="18"/>
                <w:szCs w:val="18"/>
                <w:color w:val="auto"/>
              </w:rPr>
            </w:pPr>
          </w:p>
        </w:tc>
      </w:tr>
      <w:tr>
        <w:trPr>
          <w:trHeight w:val="216"/>
        </w:trPr>
        <w:tc>
          <w:tcPr>
            <w:tcW w:w="49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Losses on the fair value of our common stock warrants(g)</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6,112</w:t>
            </w:r>
          </w:p>
        </w:tc>
        <w:tc>
          <w:tcPr>
            <w:tcW w:w="160" w:type="dxa"/>
            <w:vAlign w:val="bottom"/>
            <w:shd w:val="clear" w:color="auto" w:fill="CCEEFF"/>
          </w:tcPr>
          <w:p>
            <w:pPr>
              <w:spacing w:after="0"/>
              <w:rPr>
                <w:sz w:val="18"/>
                <w:szCs w:val="18"/>
                <w:color w:val="auto"/>
              </w:rPr>
            </w:pPr>
          </w:p>
        </w:tc>
      </w:tr>
      <w:tr>
        <w:trPr>
          <w:trHeight w:val="216"/>
        </w:trPr>
        <w:tc>
          <w:tcPr>
            <w:tcW w:w="4900" w:type="dxa"/>
            <w:vAlign w:val="bottom"/>
          </w:tcPr>
          <w:p>
            <w:pPr>
              <w:ind w:left="220"/>
              <w:spacing w:after="0"/>
              <w:rPr>
                <w:sz w:val="20"/>
                <w:szCs w:val="20"/>
                <w:color w:val="auto"/>
              </w:rPr>
            </w:pPr>
            <w:r>
              <w:rPr>
                <w:rFonts w:ascii="Arial" w:cs="Arial" w:eastAsia="Arial" w:hAnsi="Arial"/>
                <w:sz w:val="18"/>
                <w:szCs w:val="18"/>
                <w:color w:val="auto"/>
              </w:rPr>
              <w:t>Other non-cash gains, net</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(17)</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(236)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(613)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(531)</w:t>
            </w:r>
          </w:p>
        </w:tc>
        <w:tc>
          <w:tcPr>
            <w:tcW w:w="160" w:type="dxa"/>
            <w:vAlign w:val="bottom"/>
          </w:tcPr>
          <w:p>
            <w:pPr>
              <w:spacing w:after="0"/>
              <w:rPr>
                <w:sz w:val="18"/>
                <w:szCs w:val="18"/>
                <w:color w:val="auto"/>
              </w:rPr>
            </w:pPr>
          </w:p>
        </w:tc>
      </w:tr>
      <w:tr>
        <w:trPr>
          <w:trHeight w:val="216"/>
        </w:trPr>
        <w:tc>
          <w:tcPr>
            <w:tcW w:w="49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Nonrecurring income(h)</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(1,467)</w:t>
            </w:r>
          </w:p>
        </w:tc>
        <w:tc>
          <w:tcPr>
            <w:tcW w:w="160" w:type="dxa"/>
            <w:vAlign w:val="bottom"/>
            <w:shd w:val="clear" w:color="auto" w:fill="CCEEFF"/>
          </w:tcPr>
          <w:p>
            <w:pPr>
              <w:spacing w:after="0"/>
              <w:rPr>
                <w:sz w:val="18"/>
                <w:szCs w:val="18"/>
                <w:color w:val="auto"/>
              </w:rPr>
            </w:pPr>
          </w:p>
        </w:tc>
      </w:tr>
      <w:tr>
        <w:trPr>
          <w:trHeight w:val="216"/>
        </w:trPr>
        <w:tc>
          <w:tcPr>
            <w:tcW w:w="490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Net income attributable to noncontrolling interests(i)</w:t>
            </w:r>
          </w:p>
        </w:tc>
        <w:tc>
          <w:tcPr>
            <w:tcW w:w="5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1,316</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1,124</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3,854</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3,077</w:t>
            </w:r>
          </w:p>
        </w:tc>
        <w:tc>
          <w:tcPr>
            <w:tcW w:w="160" w:type="dxa"/>
            <w:vAlign w:val="bottom"/>
            <w:tcBorders>
              <w:bottom w:val="single" w:sz="8" w:color="CCEEFF"/>
            </w:tcBorders>
          </w:tcPr>
          <w:p>
            <w:pPr>
              <w:spacing w:after="0"/>
              <w:rPr>
                <w:sz w:val="18"/>
                <w:szCs w:val="18"/>
                <w:color w:val="auto"/>
              </w:rPr>
            </w:pPr>
          </w:p>
        </w:tc>
      </w:tr>
      <w:tr>
        <w:trPr>
          <w:trHeight w:val="230"/>
        </w:trPr>
        <w:tc>
          <w:tcPr>
            <w:tcW w:w="49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5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32,178</w:t>
            </w:r>
          </w:p>
        </w:tc>
        <w:tc>
          <w:tcPr>
            <w:tcW w:w="16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28,006</w:t>
            </w:r>
          </w:p>
        </w:tc>
        <w:tc>
          <w:tcPr>
            <w:tcW w:w="16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182,463</w:t>
            </w:r>
          </w:p>
        </w:tc>
        <w:tc>
          <w:tcPr>
            <w:tcW w:w="1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190,276</w:t>
            </w:r>
          </w:p>
        </w:tc>
        <w:tc>
          <w:tcPr>
            <w:tcW w:w="160" w:type="dxa"/>
            <w:vAlign w:val="bottom"/>
            <w:tcBorders>
              <w:bottom w:val="single" w:sz="8" w:color="CCEEFF"/>
            </w:tcBorders>
            <w:shd w:val="clear" w:color="auto" w:fill="CCEEFF"/>
          </w:tcPr>
          <w:p>
            <w:pPr>
              <w:spacing w:after="0"/>
              <w:rPr>
                <w:sz w:val="19"/>
                <w:szCs w:val="19"/>
                <w:color w:val="auto"/>
              </w:rPr>
            </w:pPr>
          </w:p>
        </w:tc>
      </w:tr>
      <w:tr>
        <w:trPr>
          <w:trHeight w:val="217"/>
        </w:trPr>
        <w:tc>
          <w:tcPr>
            <w:tcW w:w="4900" w:type="dxa"/>
            <w:vAlign w:val="bottom"/>
          </w:tcPr>
          <w:p>
            <w:pPr>
              <w:spacing w:after="0"/>
              <w:rPr>
                <w:sz w:val="20"/>
                <w:szCs w:val="20"/>
                <w:color w:val="auto"/>
              </w:rPr>
            </w:pPr>
            <w:r>
              <w:rPr>
                <w:rFonts w:ascii="Arial" w:cs="Arial" w:eastAsia="Arial" w:hAnsi="Arial"/>
                <w:sz w:val="18"/>
                <w:szCs w:val="18"/>
                <w:color w:val="auto"/>
              </w:rPr>
              <w:t>Adjusted EBITDA margin</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15.3%</w:t>
            </w:r>
          </w:p>
        </w:tc>
        <w:tc>
          <w:tcPr>
            <w:tcW w:w="160" w:type="dxa"/>
            <w:vAlign w:val="bottom"/>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290830</wp:posOffset>
            </wp:positionV>
            <wp:extent cx="144081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440815" cy="8890"/>
                    </a:xfrm>
                    <a:prstGeom prst="rect">
                      <a:avLst/>
                    </a:prstGeom>
                    <a:noFill/>
                  </pic:spPr>
                </pic:pic>
              </a:graphicData>
            </a:graphic>
          </wp:anchor>
        </w:drawing>
      </w:r>
    </w:p>
    <w:p>
      <w:pPr>
        <w:spacing w:after="0" w:line="200" w:lineRule="exact"/>
        <w:rPr>
          <w:sz w:val="20"/>
          <w:szCs w:val="20"/>
          <w:color w:val="auto"/>
        </w:rPr>
      </w:pPr>
    </w:p>
    <w:p>
      <w:pPr>
        <w:spacing w:after="0" w:line="338" w:lineRule="exact"/>
        <w:rPr>
          <w:sz w:val="20"/>
          <w:szCs w:val="20"/>
          <w:color w:val="auto"/>
        </w:rPr>
      </w:pPr>
    </w:p>
    <w:p>
      <w:pPr>
        <w:ind w:left="320" w:right="160" w:hanging="317"/>
        <w:spacing w:after="0" w:line="282" w:lineRule="auto"/>
        <w:tabs>
          <w:tab w:leader="none" w:pos="320" w:val="left"/>
        </w:tabs>
        <w:numPr>
          <w:ilvl w:val="0"/>
          <w:numId w:val="7"/>
        </w:numPr>
        <w:rPr>
          <w:rFonts w:ascii="Arial" w:cs="Arial" w:eastAsia="Arial" w:hAnsi="Arial"/>
          <w:sz w:val="19"/>
          <w:szCs w:val="19"/>
          <w:color w:val="auto"/>
        </w:rPr>
      </w:pPr>
      <w:r>
        <w:rPr>
          <w:rFonts w:ascii="Arial" w:cs="Arial" w:eastAsia="Arial" w:hAnsi="Arial"/>
          <w:sz w:val="19"/>
          <w:szCs w:val="19"/>
          <w:color w:val="auto"/>
        </w:rPr>
        <w:t>Reflects expenses related to the Equity Appreciation Rights (“EARs”) granted under our EAR Plan and the remeasurement of the liability at each reporting period based on the then-current projection of our common stock equivalent value (as defined in the EAR Plan). See “—Critical Accounting Policies and Estimates—Share-Based Compensation” in our Annual Report on Form 10-K for the year ended December 31, 2016. The EAR Plan expired on December 31, 2016.</w:t>
      </w:r>
    </w:p>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8" w:right="1419" w:bottom="1440" w:gutter="0" w:footer="0" w:header="0"/>
        </w:sectPr>
      </w:pPr>
    </w:p>
    <w:bookmarkStart w:id="14" w:name="page15"/>
    <w:bookmarkEnd w:id="14"/>
    <w:p>
      <w:pPr>
        <w:ind w:left="320" w:right="360" w:hanging="317"/>
        <w:spacing w:after="0" w:line="251" w:lineRule="auto"/>
        <w:tabs>
          <w:tab w:leader="none" w:pos="320" w:val="left"/>
        </w:tabs>
        <w:numPr>
          <w:ilvl w:val="0"/>
          <w:numId w:val="8"/>
        </w:numPr>
        <w:rPr>
          <w:rFonts w:ascii="Arial" w:cs="Arial" w:eastAsia="Arial" w:hAnsi="Arial"/>
          <w:sz w:val="22"/>
          <w:szCs w:val="22"/>
          <w:color w:val="auto"/>
        </w:rPr>
      </w:pPr>
      <w:r>
        <w:rPr>
          <w:rFonts w:ascii="Arial" w:cs="Arial" w:eastAsia="Arial" w:hAnsi="Arial"/>
          <w:sz w:val="22"/>
          <w:szCs w:val="22"/>
          <w:color w:val="auto"/>
        </w:rPr>
        <w:t>Reflects compensation expense with respect to equity-based grants under the Acushnet Holdings Corp. 2015 Omnibus Incentive Plan.</w:t>
      </w:r>
    </w:p>
    <w:p>
      <w:pPr>
        <w:spacing w:after="0" w:line="173" w:lineRule="exact"/>
        <w:rPr>
          <w:rFonts w:ascii="Arial" w:cs="Arial" w:eastAsia="Arial" w:hAnsi="Arial"/>
          <w:sz w:val="22"/>
          <w:szCs w:val="22"/>
          <w:color w:val="auto"/>
        </w:rPr>
      </w:pPr>
    </w:p>
    <w:p>
      <w:pPr>
        <w:ind w:left="320" w:right="120" w:hanging="317"/>
        <w:spacing w:after="0" w:line="251" w:lineRule="auto"/>
        <w:tabs>
          <w:tab w:leader="none" w:pos="320" w:val="left"/>
        </w:tabs>
        <w:numPr>
          <w:ilvl w:val="0"/>
          <w:numId w:val="8"/>
        </w:numPr>
        <w:rPr>
          <w:rFonts w:ascii="Arial" w:cs="Arial" w:eastAsia="Arial" w:hAnsi="Arial"/>
          <w:sz w:val="22"/>
          <w:szCs w:val="22"/>
          <w:color w:val="auto"/>
        </w:rPr>
      </w:pPr>
      <w:r>
        <w:rPr>
          <w:rFonts w:ascii="Arial" w:cs="Arial" w:eastAsia="Arial" w:hAnsi="Arial"/>
          <w:sz w:val="22"/>
          <w:szCs w:val="22"/>
          <w:color w:val="auto"/>
        </w:rPr>
        <w:t>In the first quarter of 2016, our President and Chief Executive Officer was awarded a cash bonus in the amount of $7.5 million as consideration for past performance.</w:t>
      </w:r>
    </w:p>
    <w:p>
      <w:pPr>
        <w:spacing w:after="0" w:line="173" w:lineRule="exact"/>
        <w:rPr>
          <w:rFonts w:ascii="Arial" w:cs="Arial" w:eastAsia="Arial" w:hAnsi="Arial"/>
          <w:sz w:val="22"/>
          <w:szCs w:val="22"/>
          <w:color w:val="auto"/>
        </w:rPr>
      </w:pPr>
    </w:p>
    <w:p>
      <w:pPr>
        <w:ind w:left="320" w:right="640" w:hanging="317"/>
        <w:spacing w:after="0" w:line="251" w:lineRule="auto"/>
        <w:tabs>
          <w:tab w:leader="none" w:pos="320" w:val="left"/>
        </w:tabs>
        <w:numPr>
          <w:ilvl w:val="0"/>
          <w:numId w:val="8"/>
        </w:numPr>
        <w:rPr>
          <w:rFonts w:ascii="Arial" w:cs="Arial" w:eastAsia="Arial" w:hAnsi="Arial"/>
          <w:sz w:val="22"/>
          <w:szCs w:val="22"/>
          <w:color w:val="auto"/>
        </w:rPr>
      </w:pPr>
      <w:r>
        <w:rPr>
          <w:rFonts w:ascii="Arial" w:cs="Arial" w:eastAsia="Arial" w:hAnsi="Arial"/>
          <w:sz w:val="22"/>
          <w:szCs w:val="22"/>
          <w:color w:val="auto"/>
        </w:rPr>
        <w:t>Reflects restructuring charges incurred in connection with the reorganization of certain of our operations in 2016.</w:t>
      </w:r>
    </w:p>
    <w:p>
      <w:pPr>
        <w:spacing w:after="0" w:line="173" w:lineRule="exact"/>
        <w:rPr>
          <w:rFonts w:ascii="Arial" w:cs="Arial" w:eastAsia="Arial" w:hAnsi="Arial"/>
          <w:sz w:val="22"/>
          <w:szCs w:val="22"/>
          <w:color w:val="auto"/>
        </w:rPr>
      </w:pPr>
    </w:p>
    <w:p>
      <w:pPr>
        <w:ind w:left="320" w:right="80" w:hanging="317"/>
        <w:spacing w:after="0" w:line="235" w:lineRule="auto"/>
        <w:tabs>
          <w:tab w:leader="none" w:pos="320" w:val="left"/>
        </w:tabs>
        <w:numPr>
          <w:ilvl w:val="0"/>
          <w:numId w:val="8"/>
        </w:numPr>
        <w:rPr>
          <w:rFonts w:ascii="Arial" w:cs="Arial" w:eastAsia="Arial" w:hAnsi="Arial"/>
          <w:sz w:val="22"/>
          <w:szCs w:val="22"/>
          <w:color w:val="auto"/>
        </w:rPr>
      </w:pPr>
      <w:r>
        <w:rPr>
          <w:rFonts w:ascii="Arial" w:cs="Arial" w:eastAsia="Arial" w:hAnsi="Arial"/>
          <w:sz w:val="22"/>
          <w:szCs w:val="22"/>
          <w:color w:val="auto"/>
        </w:rPr>
        <w:t>For the nine months ended September 30, 2017, reflects legal fees incurred relating to a dispute arising from the indemnification obligations owed to us by Beam in connection with the Acquisition. For the three and nine months ended September 30, 2016, reflects certain fees and expenses we incurred in connection with our initial public offering as well as legal fees incurred relating to a dispute arising from the indemnification obligations owed to us by Beam in connection with the Acquisition.</w:t>
      </w:r>
    </w:p>
    <w:p>
      <w:pPr>
        <w:spacing w:after="0" w:line="188" w:lineRule="exact"/>
        <w:rPr>
          <w:rFonts w:ascii="Arial" w:cs="Arial" w:eastAsia="Arial" w:hAnsi="Arial"/>
          <w:sz w:val="22"/>
          <w:szCs w:val="22"/>
          <w:color w:val="auto"/>
        </w:rPr>
      </w:pPr>
    </w:p>
    <w:p>
      <w:pPr>
        <w:ind w:left="320" w:hanging="317"/>
        <w:spacing w:after="0" w:line="251" w:lineRule="auto"/>
        <w:tabs>
          <w:tab w:leader="none" w:pos="320" w:val="left"/>
        </w:tabs>
        <w:numPr>
          <w:ilvl w:val="0"/>
          <w:numId w:val="8"/>
        </w:numPr>
        <w:rPr>
          <w:rFonts w:ascii="Arial" w:cs="Arial" w:eastAsia="Arial" w:hAnsi="Arial"/>
          <w:sz w:val="22"/>
          <w:szCs w:val="22"/>
          <w:color w:val="auto"/>
        </w:rPr>
      </w:pPr>
      <w:r>
        <w:rPr>
          <w:rFonts w:ascii="Arial" w:cs="Arial" w:eastAsia="Arial" w:hAnsi="Arial"/>
          <w:sz w:val="22"/>
          <w:szCs w:val="22"/>
          <w:color w:val="auto"/>
        </w:rPr>
        <w:t>Reflects the non-cash charges related to the indemnification obligations owed to us by Beam that are included when calculating net income (loss) attributable to the Company.</w:t>
      </w:r>
    </w:p>
    <w:p>
      <w:pPr>
        <w:spacing w:after="0" w:line="173" w:lineRule="exact"/>
        <w:rPr>
          <w:rFonts w:ascii="Arial" w:cs="Arial" w:eastAsia="Arial" w:hAnsi="Arial"/>
          <w:sz w:val="22"/>
          <w:szCs w:val="22"/>
          <w:color w:val="auto"/>
        </w:rPr>
      </w:pPr>
    </w:p>
    <w:p>
      <w:pPr>
        <w:ind w:left="320" w:right="340" w:hanging="317"/>
        <w:spacing w:after="0" w:line="328" w:lineRule="auto"/>
        <w:tabs>
          <w:tab w:leader="none" w:pos="320" w:val="left"/>
        </w:tabs>
        <w:numPr>
          <w:ilvl w:val="0"/>
          <w:numId w:val="8"/>
        </w:numPr>
        <w:rPr>
          <w:rFonts w:ascii="Arial" w:cs="Arial" w:eastAsia="Arial" w:hAnsi="Arial"/>
          <w:sz w:val="19"/>
          <w:szCs w:val="19"/>
          <w:color w:val="auto"/>
        </w:rPr>
      </w:pPr>
      <w:r>
        <w:rPr>
          <w:rFonts w:ascii="Arial" w:cs="Arial" w:eastAsia="Arial" w:hAnsi="Arial"/>
          <w:sz w:val="19"/>
          <w:szCs w:val="19"/>
          <w:color w:val="auto"/>
        </w:rPr>
        <w:t>Fila Korea exercised all of our outstanding common stock warrants in July 2016 and we used the proceeds from such exercise to redeem all of our outstanding 7.5% bonds due 2021.</w:t>
      </w:r>
    </w:p>
    <w:p>
      <w:pPr>
        <w:spacing w:after="0" w:line="105" w:lineRule="exact"/>
        <w:rPr>
          <w:rFonts w:ascii="Arial" w:cs="Arial" w:eastAsia="Arial" w:hAnsi="Arial"/>
          <w:sz w:val="19"/>
          <w:szCs w:val="19"/>
          <w:color w:val="auto"/>
        </w:rPr>
      </w:pPr>
    </w:p>
    <w:p>
      <w:pPr>
        <w:ind w:left="320" w:right="360" w:hanging="317"/>
        <w:spacing w:after="0" w:line="251" w:lineRule="auto"/>
        <w:tabs>
          <w:tab w:leader="none" w:pos="320" w:val="left"/>
        </w:tabs>
        <w:numPr>
          <w:ilvl w:val="0"/>
          <w:numId w:val="8"/>
        </w:numPr>
        <w:rPr>
          <w:rFonts w:ascii="Arial" w:cs="Arial" w:eastAsia="Arial" w:hAnsi="Arial"/>
          <w:sz w:val="22"/>
          <w:szCs w:val="22"/>
          <w:color w:val="auto"/>
        </w:rPr>
      </w:pPr>
      <w:r>
        <w:rPr>
          <w:rFonts w:ascii="Arial" w:cs="Arial" w:eastAsia="Arial" w:hAnsi="Arial"/>
          <w:sz w:val="22"/>
          <w:szCs w:val="22"/>
          <w:color w:val="auto"/>
        </w:rPr>
        <w:t>Reflects legal judgment in favor of us associated with the Beam value-added tax dispute in other (income) expense.</w:t>
      </w:r>
    </w:p>
    <w:p>
      <w:pPr>
        <w:spacing w:after="0" w:line="173" w:lineRule="exact"/>
        <w:rPr>
          <w:rFonts w:ascii="Arial" w:cs="Arial" w:eastAsia="Arial" w:hAnsi="Arial"/>
          <w:sz w:val="22"/>
          <w:szCs w:val="22"/>
          <w:color w:val="auto"/>
        </w:rPr>
      </w:pPr>
    </w:p>
    <w:p>
      <w:pPr>
        <w:ind w:left="320" w:right="80" w:hanging="317"/>
        <w:spacing w:after="0" w:line="251" w:lineRule="auto"/>
        <w:tabs>
          <w:tab w:leader="none" w:pos="320" w:val="left"/>
        </w:tabs>
        <w:numPr>
          <w:ilvl w:val="0"/>
          <w:numId w:val="8"/>
        </w:numPr>
        <w:rPr>
          <w:rFonts w:ascii="Arial" w:cs="Arial" w:eastAsia="Arial" w:hAnsi="Arial"/>
          <w:sz w:val="22"/>
          <w:szCs w:val="22"/>
          <w:color w:val="auto"/>
        </w:rPr>
      </w:pPr>
      <w:r>
        <w:rPr>
          <w:rFonts w:ascii="Arial" w:cs="Arial" w:eastAsia="Arial" w:hAnsi="Arial"/>
          <w:sz w:val="22"/>
          <w:szCs w:val="22"/>
          <w:color w:val="auto"/>
        </w:rPr>
        <w:t>Reflects the net income attributable to the interest that we do not own in our FootJoy golf shoe joint venture.</w:t>
      </w:r>
    </w:p>
    <w:p>
      <w:pPr>
        <w:spacing w:after="0" w:line="173" w:lineRule="exact"/>
        <w:rPr>
          <w:sz w:val="20"/>
          <w:szCs w:val="20"/>
          <w:color w:val="auto"/>
        </w:rPr>
      </w:pPr>
    </w:p>
    <w:p>
      <w:pPr>
        <w:ind w:right="120"/>
        <w:spacing w:after="0" w:line="282" w:lineRule="auto"/>
        <w:rPr>
          <w:sz w:val="20"/>
          <w:szCs w:val="20"/>
          <w:color w:val="auto"/>
        </w:rPr>
      </w:pPr>
      <w:r>
        <w:rPr>
          <w:rFonts w:ascii="Arial" w:cs="Arial" w:eastAsia="Arial" w:hAnsi="Arial"/>
          <w:sz w:val="19"/>
          <w:szCs w:val="19"/>
          <w:color w:val="auto"/>
        </w:rPr>
        <w:t>A reconciliation of non-GAAP Adjusted EBITDA, as forecasted for 2017, to the closest corresponding GAAP measure, net income (loss), is not available without unreasonable efforts on a forward-looking basis due to the high variability and low visibility of certain charges that may impact our GAAP results on a forward-looking basis, such as the measures and effects of share- based compensation and adjustments related to the indemnification obligations owed to us by Beam.</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76200</wp:posOffset>
            </wp:positionV>
            <wp:extent cx="575437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sectPr>
      <w:pgSz w:w="11900" w:h="16838" w:orient="portrait"/>
      <w:cols w:equalWidth="0" w:num="1">
        <w:col w:w="9040"/>
      </w:cols>
      <w:pgMar w:left="1420" w:top="118" w:right="1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
      <w:numFmt w:val="bullet"/>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2020-01-18T18:20:16Z</dcterms:created>
  <dcterms:modified xsi:type="dcterms:W3CDTF">2020-01-18T18:20:16Z</dcterms:modified>
</cp:coreProperties>
</file>