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407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070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Leonard Frank X</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NOVOCURE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1550 LIBERTY RIDGE DRIVE, SUITE 115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NovoCure Ltd</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NVCR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03/03/2023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605"/>
        <w:spacing w:after="0"/>
        <w:rPr>
          <w:sz w:val="20"/>
          <w:szCs w:val="20"/>
          <w:color w:val="auto"/>
        </w:rPr>
      </w:pPr>
      <w:r>
        <w:rPr>
          <w:rFonts w:ascii="Arial" w:cs="Arial" w:eastAsia="Arial" w:hAnsi="Arial"/>
          <w:sz w:val="17"/>
          <w:szCs w:val="17"/>
          <w:color w:val="0000FF"/>
        </w:rPr>
        <w:t>President, CNS Cancers US</w:t>
      </w:r>
    </w:p>
    <w:p>
      <w:pPr>
        <w:spacing w:after="0" w:line="403" w:lineRule="exact"/>
        <w:rPr>
          <w:sz w:val="24"/>
          <w:szCs w:val="24"/>
          <w:color w:val="auto"/>
        </w:rPr>
      </w:pPr>
    </w:p>
    <w:p>
      <w:pPr>
        <w:sectPr>
          <w:pgSz w:w="11900" w:h="16838" w:orient="portrait"/>
          <w:cols w:equalWidth="0" w:num="3">
            <w:col w:w="3260" w:space="66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3480" w:type="dxa"/>
            <w:vAlign w:val="bottom"/>
            <w:gridSpan w:val="7"/>
          </w:tcPr>
          <w:p>
            <w:pPr>
              <w:ind w:left="100"/>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9"/>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60" w:type="dxa"/>
            <w:vAlign w:val="bottom"/>
            <w:gridSpan w:val="3"/>
          </w:tcPr>
          <w:p>
            <w:pPr>
              <w:ind w:left="44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Arial" w:cs="Arial" w:eastAsia="Arial" w:hAnsi="Arial"/>
                <w:sz w:val="17"/>
                <w:szCs w:val="17"/>
                <w:color w:val="0000FF"/>
              </w:rPr>
              <w:t>WAYNE</w:t>
            </w:r>
          </w:p>
        </w:tc>
        <w:tc>
          <w:tcPr>
            <w:tcW w:w="800" w:type="dxa"/>
            <w:vAlign w:val="bottom"/>
            <w:vMerge w:val="restart"/>
          </w:tcPr>
          <w:p>
            <w:pPr>
              <w:ind w:left="560"/>
              <w:spacing w:after="0"/>
              <w:rPr>
                <w:sz w:val="20"/>
                <w:szCs w:val="20"/>
                <w:color w:val="auto"/>
              </w:rPr>
            </w:pPr>
            <w:r>
              <w:rPr>
                <w:rFonts w:ascii="Arial" w:cs="Arial" w:eastAsia="Arial" w:hAnsi="Arial"/>
                <w:sz w:val="17"/>
                <w:szCs w:val="17"/>
                <w:color w:val="0000FF"/>
                <w:w w:val="96"/>
              </w:rPr>
              <w:t>PA</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19087</w:t>
            </w: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920" w:type="dxa"/>
            <w:vAlign w:val="bottom"/>
            <w:gridSpan w:val="6"/>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50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92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restart"/>
          </w:tcPr>
          <w:p>
            <w:pPr>
              <w:ind w:left="10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400" w:type="dxa"/>
            <w:vAlign w:val="bottom"/>
            <w:gridSpan w:val="3"/>
            <w:vMerge w:val="restart"/>
          </w:tcPr>
          <w:p>
            <w:pPr>
              <w:ind w:left="140"/>
              <w:spacing w:after="0"/>
              <w:rPr>
                <w:sz w:val="20"/>
                <w:szCs w:val="20"/>
                <w:color w:val="auto"/>
              </w:rPr>
            </w:pPr>
            <w:r>
              <w:rPr>
                <w:rFonts w:ascii="Arial" w:cs="Arial" w:eastAsia="Arial" w:hAnsi="Arial"/>
                <w:sz w:val="13"/>
                <w:szCs w:val="13"/>
                <w:color w:val="auto"/>
              </w:rPr>
              <w:t>(Zip)</w:t>
            </w: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56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640" w:type="dxa"/>
            <w:vAlign w:val="bottom"/>
            <w:gridSpan w:val="2"/>
            <w:vMerge w:val="continue"/>
          </w:tcPr>
          <w:p>
            <w:pPr>
              <w:spacing w:after="0"/>
              <w:rPr>
                <w:sz w:val="19"/>
                <w:szCs w:val="19"/>
                <w:color w:val="auto"/>
              </w:rPr>
            </w:pPr>
          </w:p>
        </w:tc>
        <w:tc>
          <w:tcPr>
            <w:tcW w:w="1400" w:type="dxa"/>
            <w:vAlign w:val="bottom"/>
            <w:gridSpan w:val="3"/>
            <w:vMerge w:val="continue"/>
          </w:tcPr>
          <w:p>
            <w:pPr>
              <w:spacing w:after="0"/>
              <w:rPr>
                <w:sz w:val="19"/>
                <w:szCs w:val="19"/>
                <w:color w:val="auto"/>
              </w:rPr>
            </w:pPr>
          </w:p>
        </w:tc>
        <w:tc>
          <w:tcPr>
            <w:tcW w:w="7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gridSpan w:val="3"/>
          </w:tcPr>
          <w:p>
            <w:pPr>
              <w:spacing w:after="0"/>
              <w:rPr>
                <w:sz w:val="11"/>
                <w:szCs w:val="11"/>
                <w:color w:val="auto"/>
              </w:rPr>
            </w:pPr>
          </w:p>
        </w:tc>
        <w:tc>
          <w:tcPr>
            <w:tcW w:w="2700" w:type="dxa"/>
            <w:vAlign w:val="bottom"/>
            <w:tcBorders>
              <w:bottom w:val="single" w:sz="8" w:color="2C2C2C"/>
            </w:tcBorders>
            <w:gridSpan w:val="6"/>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6"/>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00" w:type="dxa"/>
            <w:vAlign w:val="bottom"/>
            <w:gridSpan w:val="3"/>
          </w:tcPr>
          <w:p>
            <w:pPr>
              <w:ind w:left="560"/>
              <w:spacing w:after="0"/>
              <w:rPr>
                <w:sz w:val="20"/>
                <w:szCs w:val="20"/>
                <w:color w:val="auto"/>
              </w:rPr>
            </w:pPr>
            <w:r>
              <w:rPr>
                <w:rFonts w:ascii="Arial" w:cs="Arial" w:eastAsia="Arial" w:hAnsi="Arial"/>
                <w:sz w:val="12"/>
                <w:szCs w:val="12"/>
                <w:b w:val="1"/>
                <w:bCs w:val="1"/>
                <w:color w:val="auto"/>
              </w:rPr>
              <w:t>2. Transaction</w:t>
            </w:r>
          </w:p>
        </w:tc>
        <w:tc>
          <w:tcPr>
            <w:tcW w:w="1400" w:type="dxa"/>
            <w:vAlign w:val="bottom"/>
            <w:gridSpan w:val="3"/>
          </w:tcPr>
          <w:p>
            <w:pPr>
              <w:ind w:left="28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3.</w:t>
            </w:r>
          </w:p>
        </w:tc>
        <w:tc>
          <w:tcPr>
            <w:tcW w:w="620" w:type="dxa"/>
            <w:vAlign w:val="bottom"/>
          </w:tcPr>
          <w:p>
            <w:pPr>
              <w:spacing w:after="0"/>
              <w:rPr>
                <w:sz w:val="15"/>
                <w:szCs w:val="15"/>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0" w:type="dxa"/>
            <w:vAlign w:val="bottom"/>
            <w:gridSpan w:val="3"/>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28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180" w:type="dxa"/>
            <w:vAlign w:val="bottom"/>
            <w:gridSpan w:val="4"/>
          </w:tcPr>
          <w:p>
            <w:pPr>
              <w:ind w:left="56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28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79"/>
              <w:spacing w:after="0"/>
              <w:rPr>
                <w:sz w:val="20"/>
                <w:szCs w:val="20"/>
                <w:color w:val="auto"/>
              </w:rPr>
            </w:pPr>
            <w:r>
              <w:rPr>
                <w:rFonts w:ascii="Arial" w:cs="Arial" w:eastAsia="Arial" w:hAnsi="Arial"/>
                <w:sz w:val="17"/>
                <w:szCs w:val="17"/>
                <w:color w:val="0000FF"/>
              </w:rPr>
              <w:t>03/03/2023</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0"/>
                <w:szCs w:val="20"/>
                <w:color w:val="auto"/>
              </w:rPr>
            </w:pPr>
            <w:r>
              <w:rPr>
                <w:rFonts w:ascii="Arial" w:cs="Arial" w:eastAsia="Arial" w:hAnsi="Arial"/>
                <w:sz w:val="13"/>
                <w:szCs w:val="13"/>
                <w:color w:val="0000FF"/>
              </w:rPr>
              <w:t>S</w:t>
            </w:r>
          </w:p>
        </w:tc>
        <w:tc>
          <w:tcPr>
            <w:tcW w:w="840" w:type="dxa"/>
            <w:vAlign w:val="bottom"/>
            <w:tcBorders>
              <w:bottom w:val="single" w:sz="8" w:color="2C2C2C"/>
            </w:tcBorders>
          </w:tcPr>
          <w:p>
            <w:pPr>
              <w:jc w:val="center"/>
              <w:ind w:right="7"/>
              <w:spacing w:after="0"/>
              <w:rPr>
                <w:sz w:val="20"/>
                <w:szCs w:val="20"/>
                <w:color w:val="auto"/>
              </w:rPr>
            </w:pPr>
            <w:r>
              <w:rPr>
                <w:rFonts w:ascii="Arial" w:cs="Arial" w:eastAsia="Arial" w:hAnsi="Arial"/>
                <w:sz w:val="17"/>
                <w:szCs w:val="17"/>
                <w:color w:val="0000FF"/>
                <w:w w:val="85"/>
              </w:rPr>
              <w:t>4,403</w:t>
            </w:r>
            <w:r>
              <w:rPr>
                <w:rFonts w:ascii="Arial" w:cs="Arial" w:eastAsia="Arial" w:hAnsi="Arial"/>
                <w:sz w:val="22"/>
                <w:szCs w:val="22"/>
                <w:color w:val="008000"/>
                <w:w w:val="85"/>
                <w:vertAlign w:val="superscript"/>
              </w:rPr>
              <w:t>(1)</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76.1594</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63,490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79"/>
              <w:spacing w:after="0"/>
              <w:rPr>
                <w:sz w:val="20"/>
                <w:szCs w:val="20"/>
                <w:color w:val="auto"/>
              </w:rPr>
            </w:pPr>
            <w:r>
              <w:rPr>
                <w:rFonts w:ascii="Arial" w:cs="Arial" w:eastAsia="Arial" w:hAnsi="Arial"/>
                <w:sz w:val="17"/>
                <w:szCs w:val="17"/>
                <w:color w:val="0000FF"/>
              </w:rPr>
              <w:t>03/03/2023</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0"/>
                <w:szCs w:val="20"/>
                <w:color w:val="auto"/>
              </w:rPr>
            </w:pPr>
            <w:r>
              <w:rPr>
                <w:rFonts w:ascii="Arial" w:cs="Arial" w:eastAsia="Arial" w:hAnsi="Arial"/>
                <w:sz w:val="13"/>
                <w:szCs w:val="13"/>
                <w:color w:val="0000FF"/>
              </w:rPr>
              <w:t>S</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2"/>
              </w:rPr>
              <w:t>888</w:t>
            </w:r>
            <w:r>
              <w:rPr>
                <w:rFonts w:ascii="Arial" w:cs="Arial" w:eastAsia="Arial" w:hAnsi="Arial"/>
                <w:sz w:val="22"/>
                <w:szCs w:val="22"/>
                <w:color w:val="008000"/>
                <w:w w:val="82"/>
                <w:vertAlign w:val="superscript"/>
              </w:rPr>
              <w:t>(1)</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76.1594</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62,602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79"/>
              <w:spacing w:after="0"/>
              <w:rPr>
                <w:sz w:val="20"/>
                <w:szCs w:val="20"/>
                <w:color w:val="auto"/>
              </w:rPr>
            </w:pPr>
            <w:r>
              <w:rPr>
                <w:rFonts w:ascii="Arial" w:cs="Arial" w:eastAsia="Arial" w:hAnsi="Arial"/>
                <w:sz w:val="17"/>
                <w:szCs w:val="17"/>
                <w:color w:val="0000FF"/>
              </w:rPr>
              <w:t>03/07/2023</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0"/>
                <w:szCs w:val="20"/>
                <w:color w:val="auto"/>
              </w:rPr>
            </w:pPr>
            <w:r>
              <w:rPr>
                <w:rFonts w:ascii="Arial" w:cs="Arial" w:eastAsia="Arial" w:hAnsi="Arial"/>
                <w:sz w:val="13"/>
                <w:szCs w:val="13"/>
                <w:color w:val="0000FF"/>
              </w:rPr>
              <w:t>S</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6,003</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74.9968</w:t>
            </w:r>
            <w:r>
              <w:rPr>
                <w:rFonts w:ascii="Arial" w:cs="Arial" w:eastAsia="Arial" w:hAnsi="Arial"/>
                <w:sz w:val="22"/>
                <w:szCs w:val="22"/>
                <w:color w:val="008000"/>
                <w:w w:val="87"/>
                <w:vertAlign w:val="superscript"/>
              </w:rPr>
              <w:t>(2)</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56,599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79"/>
              <w:spacing w:after="0"/>
              <w:rPr>
                <w:sz w:val="20"/>
                <w:szCs w:val="20"/>
                <w:color w:val="auto"/>
              </w:rPr>
            </w:pPr>
            <w:r>
              <w:rPr>
                <w:rFonts w:ascii="Arial" w:cs="Arial" w:eastAsia="Arial" w:hAnsi="Arial"/>
                <w:sz w:val="17"/>
                <w:szCs w:val="17"/>
                <w:color w:val="0000FF"/>
              </w:rPr>
              <w:t>03/07/2023</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0"/>
                <w:szCs w:val="20"/>
                <w:color w:val="auto"/>
              </w:rPr>
            </w:pPr>
            <w:r>
              <w:rPr>
                <w:rFonts w:ascii="Arial" w:cs="Arial" w:eastAsia="Arial" w:hAnsi="Arial"/>
                <w:sz w:val="13"/>
                <w:szCs w:val="13"/>
                <w:color w:val="0000FF"/>
              </w:rPr>
              <w:t>S</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2,315</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75.5937</w:t>
            </w:r>
            <w:r>
              <w:rPr>
                <w:rFonts w:ascii="Arial" w:cs="Arial" w:eastAsia="Arial" w:hAnsi="Arial"/>
                <w:sz w:val="22"/>
                <w:szCs w:val="22"/>
                <w:color w:val="008000"/>
                <w:w w:val="87"/>
                <w:vertAlign w:val="superscript"/>
              </w:rPr>
              <w:t>(3)</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54,284</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2.</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3"/>
                <w:szCs w:val="13"/>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number of shares required to be sold by the reporting person to cover tax withholding obligations in connection with the vesting of Restricted Stock Units. This sale is mandated by the issuer's award agreement under its equity incentive plans to require the satisfaction of tax withholding obligations to be funded by a "sell to cover" transaction and does not represent a discretionary trade by the reporting person.</w:t>
      </w:r>
    </w:p>
    <w:p>
      <w:pPr>
        <w:spacing w:after="0" w:line="25" w:lineRule="exact"/>
        <w:rPr>
          <w:rFonts w:ascii="Arial" w:cs="Arial" w:eastAsia="Arial" w:hAnsi="Arial"/>
          <w:sz w:val="13"/>
          <w:szCs w:val="13"/>
          <w:color w:val="008000"/>
        </w:rPr>
      </w:pPr>
    </w:p>
    <w:p>
      <w:pPr>
        <w:ind w:left="40" w:right="2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the transaction date, pursuant to a Rule 10b5-1 trading plan adopted by the reporting person, the reporting person sold 6,003 shares in multiple trades at prices ranging from $74.33 to $75.32. The price reported above reflects the weighted average sale price. The reporting person hereby undertakes to provide to the Staff, the issuer for any security holder of the issuer, upon request, full information regarding the number of shares and prices at which the transaction was effected.</w:t>
      </w:r>
    </w:p>
    <w:p>
      <w:pPr>
        <w:spacing w:after="0" w:line="25" w:lineRule="exact"/>
        <w:rPr>
          <w:rFonts w:ascii="Arial" w:cs="Arial" w:eastAsia="Arial" w:hAnsi="Arial"/>
          <w:sz w:val="13"/>
          <w:szCs w:val="13"/>
          <w:color w:val="008000"/>
        </w:rPr>
      </w:pPr>
    </w:p>
    <w:p>
      <w:pPr>
        <w:ind w:left="40" w:right="2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the transaction date, pursuant to a Rule 10b5-1 trading plan adopted by the reporting person, the reporting person sold 2,315 shares in multiple trades at prices ranging from $75.33 to $75.94. The price reported above reflects the weighted average sale price. The reporting person hereby undertakes to provide to the Staff, the issuer for any security holder of the issuer, upon request, full information regarding the number of shares and prices at which the transaction was effected.</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ectPr>
          <w:pgSz w:w="11900" w:h="16838" w:orient="portrait"/>
          <w:cols w:equalWidth="0" w:num="1">
            <w:col w:w="11080"/>
          </w:cols>
          <w:pgMar w:left="460" w:top="225" w:right="359" w:bottom="1440" w:gutter="0" w:footer="0" w:header="0"/>
          <w:type w:val="continuous"/>
        </w:sectPr>
      </w:pP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5"/>
          <w:szCs w:val="15"/>
          <w:color w:val="0000FF"/>
        </w:rPr>
        <w:t>Steven Robbins, as attorney 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5715</wp:posOffset>
            </wp:positionV>
            <wp:extent cx="13411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41120" cy="8255"/>
                    </a:xfrm>
                    <a:prstGeom prst="rect">
                      <a:avLst/>
                    </a:prstGeom>
                    <a:noFill/>
                  </pic:spPr>
                </pic:pic>
              </a:graphicData>
            </a:graphic>
          </wp:anchor>
        </w:drawing>
      </w:r>
    </w:p>
    <w:p>
      <w:pPr>
        <w:spacing w:after="0" w:line="2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fact for Leonard, Frank X.</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1607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60780" cy="8255"/>
                    </a:xfrm>
                    <a:prstGeom prst="rect">
                      <a:avLst/>
                    </a:prstGeom>
                    <a:noFill/>
                  </pic:spPr>
                </pic:pic>
              </a:graphicData>
            </a:graphic>
          </wp:anchor>
        </w:drawing>
      </w:r>
    </w:p>
    <w:p>
      <w:pPr>
        <w:spacing w:after="0" w:line="52"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9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rPr>
          <w:sz w:val="20"/>
          <w:szCs w:val="20"/>
          <w:color w:val="auto"/>
        </w:rPr>
      </w:pPr>
      <w:r>
        <w:rPr>
          <w:rFonts w:ascii="Arial" w:cs="Arial" w:eastAsia="Arial" w:hAnsi="Arial"/>
          <w:sz w:val="15"/>
          <w:szCs w:val="15"/>
          <w:color w:val="0000FF"/>
        </w:rPr>
        <w:t>03/07/2023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4"/>
          <w:szCs w:val="24"/>
          <w:color w:val="auto"/>
        </w:rPr>
      </w:pPr>
    </w:p>
    <w:p>
      <w:pPr>
        <w:sectPr>
          <w:pgSz w:w="11900" w:h="16838" w:orient="portrait"/>
          <w:cols w:equalWidth="0" w:num="2">
            <w:col w:w="8700" w:space="8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22879"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2023-03-07T16:27:35Z</dcterms:created>
  <dcterms:modified xsi:type="dcterms:W3CDTF">2023-03-07T16:27:35Z</dcterms:modified>
</cp:coreProperties>
</file>