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Benaim Ely</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NOVOCURE INC.,</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1550 LIBERTY RIDGE DRIVE, SUITE 115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NovoCure Ltd</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NVCR</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6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01/06/2023</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Chief Medical Officer</w:t>
      </w:r>
    </w:p>
    <w:p>
      <w:pPr>
        <w:spacing w:after="0" w:line="408" w:lineRule="exact"/>
        <w:rPr>
          <w:sz w:val="24"/>
          <w:szCs w:val="24"/>
          <w:color w:val="auto"/>
        </w:rPr>
      </w:pPr>
    </w:p>
    <w:p>
      <w:pPr>
        <w:sectPr>
          <w:pgSz w:w="11900" w:h="16838" w:orient="portrait"/>
          <w:cols w:equalWidth="0" w:num="3">
            <w:col w:w="3260" w:space="66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8"/>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9"/>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20" w:type="dxa"/>
            <w:vAlign w:val="bottom"/>
            <w:gridSpan w:val="3"/>
          </w:tcPr>
          <w:p>
            <w:pPr>
              <w:ind w:left="4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 w:type="dxa"/>
            <w:vAlign w:val="bottom"/>
          </w:tcPr>
          <w:p>
            <w:pPr>
              <w:spacing w:after="0"/>
              <w:rPr>
                <w:sz w:val="9"/>
                <w:szCs w:val="9"/>
                <w:color w:val="auto"/>
              </w:rPr>
            </w:pPr>
          </w:p>
        </w:tc>
        <w:tc>
          <w:tcPr>
            <w:tcW w:w="420" w:type="dxa"/>
            <w:vAlign w:val="bottom"/>
          </w:tcPr>
          <w:p>
            <w:pPr>
              <w:spacing w:after="0"/>
              <w:rPr>
                <w:sz w:val="9"/>
                <w:szCs w:val="9"/>
                <w:color w:val="auto"/>
              </w:rPr>
            </w:pPr>
          </w:p>
        </w:tc>
        <w:tc>
          <w:tcPr>
            <w:tcW w:w="360" w:type="dxa"/>
            <w:vAlign w:val="bottom"/>
          </w:tcPr>
          <w:p>
            <w:pPr>
              <w:spacing w:after="0"/>
              <w:rPr>
                <w:sz w:val="9"/>
                <w:szCs w:val="9"/>
                <w:color w:val="auto"/>
              </w:rPr>
            </w:pPr>
          </w:p>
        </w:tc>
        <w:tc>
          <w:tcPr>
            <w:tcW w:w="760" w:type="dxa"/>
            <w:vAlign w:val="bottom"/>
          </w:tcPr>
          <w:p>
            <w:pPr>
              <w:spacing w:after="0"/>
              <w:rPr>
                <w:sz w:val="9"/>
                <w:szCs w:val="9"/>
                <w:color w:val="auto"/>
              </w:rPr>
            </w:pPr>
          </w:p>
        </w:tc>
        <w:tc>
          <w:tcPr>
            <w:tcW w:w="48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WAYNE</w:t>
            </w:r>
          </w:p>
        </w:tc>
        <w:tc>
          <w:tcPr>
            <w:tcW w:w="800" w:type="dxa"/>
            <w:vAlign w:val="bottom"/>
            <w:vMerge w:val="restart"/>
          </w:tcPr>
          <w:p>
            <w:pPr>
              <w:ind w:left="560"/>
              <w:spacing w:after="0"/>
              <w:rPr>
                <w:sz w:val="20"/>
                <w:szCs w:val="20"/>
                <w:color w:val="auto"/>
              </w:rPr>
            </w:pPr>
            <w:r>
              <w:rPr>
                <w:rFonts w:ascii="Times New Roman" w:cs="Times New Roman" w:eastAsia="Times New Roman" w:hAnsi="Times New Roman"/>
                <w:sz w:val="17"/>
                <w:szCs w:val="17"/>
                <w:color w:val="0000FF"/>
              </w:rPr>
              <w:t>PA</w:t>
            </w:r>
          </w:p>
        </w:tc>
        <w:tc>
          <w:tcPr>
            <w:tcW w:w="84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19087</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 w:type="dxa"/>
            <w:vAlign w:val="bottom"/>
          </w:tcPr>
          <w:p>
            <w:pPr>
              <w:spacing w:after="0"/>
              <w:rPr>
                <w:sz w:val="9"/>
                <w:szCs w:val="9"/>
                <w:color w:val="auto"/>
              </w:rPr>
            </w:pPr>
          </w:p>
        </w:tc>
        <w:tc>
          <w:tcPr>
            <w:tcW w:w="420" w:type="dxa"/>
            <w:vAlign w:val="bottom"/>
          </w:tcPr>
          <w:p>
            <w:pPr>
              <w:spacing w:after="0"/>
              <w:rPr>
                <w:sz w:val="9"/>
                <w:szCs w:val="9"/>
                <w:color w:val="auto"/>
              </w:rPr>
            </w:pPr>
          </w:p>
        </w:tc>
        <w:tc>
          <w:tcPr>
            <w:tcW w:w="360" w:type="dxa"/>
            <w:vAlign w:val="bottom"/>
          </w:tcPr>
          <w:p>
            <w:pPr>
              <w:spacing w:after="0"/>
              <w:rPr>
                <w:sz w:val="9"/>
                <w:szCs w:val="9"/>
                <w:color w:val="auto"/>
              </w:rPr>
            </w:pPr>
          </w:p>
        </w:tc>
        <w:tc>
          <w:tcPr>
            <w:tcW w:w="760" w:type="dxa"/>
            <w:vAlign w:val="bottom"/>
          </w:tcPr>
          <w:p>
            <w:pPr>
              <w:spacing w:after="0"/>
              <w:rPr>
                <w:sz w:val="9"/>
                <w:szCs w:val="9"/>
                <w:color w:val="auto"/>
              </w:rPr>
            </w:pPr>
          </w:p>
        </w:tc>
        <w:tc>
          <w:tcPr>
            <w:tcW w:w="48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80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8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294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360" w:type="dxa"/>
            <w:vAlign w:val="bottom"/>
          </w:tcPr>
          <w:p>
            <w:pPr>
              <w:spacing w:after="0"/>
              <w:rPr>
                <w:sz w:val="6"/>
                <w:szCs w:val="6"/>
                <w:color w:val="auto"/>
              </w:rPr>
            </w:pPr>
          </w:p>
        </w:tc>
        <w:tc>
          <w:tcPr>
            <w:tcW w:w="760" w:type="dxa"/>
            <w:vAlign w:val="bottom"/>
          </w:tcPr>
          <w:p>
            <w:pPr>
              <w:spacing w:after="0"/>
              <w:rPr>
                <w:sz w:val="6"/>
                <w:szCs w:val="6"/>
                <w:color w:val="auto"/>
              </w:rPr>
            </w:pPr>
          </w:p>
        </w:tc>
        <w:tc>
          <w:tcPr>
            <w:tcW w:w="48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40" w:type="dxa"/>
            <w:vAlign w:val="bottom"/>
            <w:gridSpan w:val="2"/>
            <w:vMerge w:val="restart"/>
          </w:tcPr>
          <w:p>
            <w:pPr>
              <w:ind w:left="56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8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164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3"/>
          </w:tcPr>
          <w:p>
            <w:pPr>
              <w:spacing w:after="0"/>
              <w:rPr>
                <w:sz w:val="10"/>
                <w:szCs w:val="10"/>
                <w:color w:val="auto"/>
              </w:rPr>
            </w:pPr>
          </w:p>
        </w:tc>
        <w:tc>
          <w:tcPr>
            <w:tcW w:w="1460" w:type="dxa"/>
            <w:vAlign w:val="bottom"/>
            <w:tcBorders>
              <w:bottom w:val="single" w:sz="8" w:color="2C2C2C"/>
            </w:tcBorders>
            <w:gridSpan w:val="3"/>
          </w:tcPr>
          <w:p>
            <w:pPr>
              <w:spacing w:after="0"/>
              <w:rPr>
                <w:sz w:val="10"/>
                <w:szCs w:val="10"/>
                <w:color w:val="auto"/>
              </w:rPr>
            </w:pPr>
          </w:p>
        </w:tc>
        <w:tc>
          <w:tcPr>
            <w:tcW w:w="2620" w:type="dxa"/>
            <w:vAlign w:val="bottom"/>
            <w:tcBorders>
              <w:bottom w:val="single" w:sz="8" w:color="2C2C2C"/>
            </w:tcBorders>
            <w:gridSpan w:val="6"/>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760" w:type="dxa"/>
            <w:vAlign w:val="bottom"/>
            <w:tcBorders>
              <w:top w:val="single" w:sz="8" w:color="2C2C2C"/>
            </w:tcBorders>
            <w:gridSpan w:val="16"/>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3"/>
          </w:tcPr>
          <w:p>
            <w:pPr>
              <w:ind w:left="6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5"/>
                <w:szCs w:val="15"/>
                <w:color w:val="auto"/>
              </w:rPr>
            </w:pP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66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740" w:type="dxa"/>
            <w:vAlign w:val="bottom"/>
            <w:gridSpan w:val="3"/>
          </w:tcPr>
          <w:p>
            <w:pPr>
              <w:ind w:left="6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0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60" w:type="dxa"/>
            <w:vAlign w:val="bottom"/>
          </w:tcPr>
          <w:p>
            <w:pPr>
              <w:spacing w:after="0"/>
              <w:rPr>
                <w:sz w:val="3"/>
                <w:szCs w:val="3"/>
                <w:color w:val="auto"/>
              </w:rPr>
            </w:pPr>
          </w:p>
        </w:tc>
        <w:tc>
          <w:tcPr>
            <w:tcW w:w="760" w:type="dxa"/>
            <w:vAlign w:val="bottom"/>
          </w:tcPr>
          <w:p>
            <w:pPr>
              <w:spacing w:after="0"/>
              <w:rPr>
                <w:sz w:val="3"/>
                <w:szCs w:val="3"/>
                <w:color w:val="auto"/>
              </w:rPr>
            </w:pPr>
          </w:p>
        </w:tc>
        <w:tc>
          <w:tcPr>
            <w:tcW w:w="48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w:t>
            </w:r>
          </w:p>
        </w:tc>
        <w:tc>
          <w:tcPr>
            <w:tcW w:w="3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00" w:type="dxa"/>
            <w:vAlign w:val="bottom"/>
          </w:tcPr>
          <w:p>
            <w:pPr>
              <w:spacing w:after="0"/>
              <w:rPr>
                <w:sz w:val="8"/>
                <w:szCs w:val="8"/>
                <w:color w:val="auto"/>
              </w:rPr>
            </w:pPr>
          </w:p>
        </w:tc>
        <w:tc>
          <w:tcPr>
            <w:tcW w:w="8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vMerge w:val="continue"/>
          </w:tcPr>
          <w:p>
            <w:pPr>
              <w:spacing w:after="0"/>
              <w:rPr>
                <w:sz w:val="8"/>
                <w:szCs w:val="8"/>
                <w:color w:val="auto"/>
              </w:rPr>
            </w:pPr>
          </w:p>
        </w:tc>
        <w:tc>
          <w:tcPr>
            <w:tcW w:w="36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3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60" w:type="dxa"/>
            <w:vAlign w:val="bottom"/>
            <w:tcBorders>
              <w:bottom w:val="single" w:sz="8" w:color="2C2C2C"/>
            </w:tcBorders>
            <w:gridSpan w:val="3"/>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Ordinary Shares</w:t>
            </w:r>
            <w:r>
              <w:rPr>
                <w:rFonts w:ascii="Times New Roman" w:cs="Times New Roman" w:eastAsia="Times New Roman" w:hAnsi="Times New Roman"/>
                <w:sz w:val="22"/>
                <w:szCs w:val="22"/>
                <w:color w:val="008000"/>
                <w:vertAlign w:val="superscript"/>
              </w:rPr>
              <w:t>(1)</w:t>
            </w:r>
          </w:p>
        </w:tc>
        <w:tc>
          <w:tcPr>
            <w:tcW w:w="8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3"/>
          </w:tcPr>
          <w:p>
            <w:pPr>
              <w:ind w:left="760"/>
              <w:spacing w:after="0"/>
              <w:rPr>
                <w:sz w:val="20"/>
                <w:szCs w:val="20"/>
                <w:color w:val="auto"/>
              </w:rPr>
            </w:pPr>
            <w:r>
              <w:rPr>
                <w:rFonts w:ascii="Times New Roman" w:cs="Times New Roman" w:eastAsia="Times New Roman" w:hAnsi="Times New Roman"/>
                <w:sz w:val="17"/>
                <w:szCs w:val="17"/>
                <w:color w:val="0000FF"/>
              </w:rPr>
              <w:t>01/06/2023</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3"/>
                <w:szCs w:val="13"/>
                <w:color w:val="0000FF"/>
              </w:rPr>
              <w:t>A</w:t>
            </w:r>
          </w:p>
        </w:tc>
        <w:tc>
          <w:tcPr>
            <w:tcW w:w="36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3"/>
                <w:szCs w:val="13"/>
                <w:color w:val="0000FF"/>
              </w:rPr>
              <w:t>V</w:t>
            </w:r>
          </w:p>
        </w:tc>
        <w:tc>
          <w:tcPr>
            <w:tcW w:w="760" w:type="dxa"/>
            <w:vAlign w:val="bottom"/>
            <w:tcBorders>
              <w:bottom w:val="single" w:sz="8" w:color="2C2C2C"/>
            </w:tcBorders>
          </w:tcPr>
          <w:p>
            <w:pPr>
              <w:ind w:left="260"/>
              <w:spacing w:after="0"/>
              <w:rPr>
                <w:sz w:val="20"/>
                <w:szCs w:val="20"/>
                <w:color w:val="auto"/>
              </w:rPr>
            </w:pPr>
            <w:r>
              <w:rPr>
                <w:rFonts w:ascii="Times New Roman" w:cs="Times New Roman" w:eastAsia="Times New Roman" w:hAnsi="Times New Roman"/>
                <w:sz w:val="17"/>
                <w:szCs w:val="17"/>
                <w:color w:val="0000FF"/>
              </w:rPr>
              <w:t>98</w:t>
            </w:r>
          </w:p>
        </w:tc>
        <w:tc>
          <w:tcPr>
            <w:tcW w:w="48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62.305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28,770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3"/>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2.</w:t>
            </w: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360" w:type="dxa"/>
            <w:vAlign w:val="bottom"/>
          </w:tcPr>
          <w:p>
            <w:pPr>
              <w:spacing w:after="0"/>
              <w:rPr>
                <w:sz w:val="11"/>
                <w:szCs w:val="11"/>
                <w:color w:val="auto"/>
              </w:rPr>
            </w:pP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2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reporting person is voluntarily reporting the acquisition of shares of the issuer's ordinary shares pursuant to the NovoCure Limited Employee Share Purchase Plan ("ESPP"), for the ESPP purchase period of July 1, 2022 through December 30, 2022. This transaction is also exempt under Rule 16b-3(c).</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 accordance with the ESPP, these shares were purchased based on 85% of the closing price of the issuer's ordinary shares on July 1, 2022.</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27" w:lineRule="auto"/>
        <w:rPr>
          <w:sz w:val="20"/>
          <w:szCs w:val="20"/>
          <w:color w:val="auto"/>
        </w:rPr>
      </w:pPr>
      <w:r>
        <w:rPr>
          <w:rFonts w:ascii="Times New Roman" w:cs="Times New Roman" w:eastAsia="Times New Roman" w:hAnsi="Times New Roman"/>
          <w:sz w:val="17"/>
          <w:szCs w:val="17"/>
          <w:color w:val="0000FF"/>
        </w:rPr>
        <w:t xml:space="preserve">/s/ Steven Robbins Attorney in </w:t>
      </w:r>
      <w:r>
        <w:rPr>
          <w:rFonts w:ascii="Times New Roman" w:cs="Times New Roman" w:eastAsia="Times New Roman" w:hAnsi="Times New Roman"/>
          <w:sz w:val="34"/>
          <w:szCs w:val="34"/>
          <w:color w:val="0000FF"/>
          <w:vertAlign w:val="subscript"/>
        </w:rPr>
        <w:t>01/10/2023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563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5636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Fact for Ely Benaim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89471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89471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3"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632237" TargetMode="External"/><Relationship Id="rId13" Type="http://schemas.openxmlformats.org/officeDocument/2006/relationships/hyperlink" Target="http://www.sec.gov/cgi-bin/browse-edgar?action=getcompany&amp;CIK=00016451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2023-01-10T15:16:49Z</dcterms:created>
  <dcterms:modified xsi:type="dcterms:W3CDTF">2023-01-10T15:16:49Z</dcterms:modified>
</cp:coreProperties>
</file>