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Times New Roman" w:cs="Times New Roman" w:eastAsia="Times New Roman" w:hAnsi="Times New Roman"/>
          <w:sz w:val="20"/>
          <w:szCs w:val="20"/>
          <w:b w:val="1"/>
          <w:bCs w:val="1"/>
          <w:color w:val="auto"/>
        </w:rPr>
        <w:t>UNITED STATES</w:t>
      </w:r>
    </w:p>
    <w:p>
      <w:pPr>
        <w:spacing w:after="0" w:line="29"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SECURITIES AND EXCHANGE COMMISSION</w:t>
      </w:r>
    </w:p>
    <w:p>
      <w:pPr>
        <w:spacing w:after="0" w:line="6" w:lineRule="exact"/>
        <w:rPr>
          <w:sz w:val="24"/>
          <w:szCs w:val="24"/>
          <w:color w:val="auto"/>
        </w:rPr>
      </w:pPr>
    </w:p>
    <w:p>
      <w:pPr>
        <w:ind w:left="4780"/>
        <w:spacing w:after="0"/>
        <w:rPr>
          <w:sz w:val="20"/>
          <w:szCs w:val="20"/>
          <w:color w:val="auto"/>
        </w:rPr>
      </w:pPr>
      <w:r>
        <w:rPr>
          <w:rFonts w:ascii="Times New Roman" w:cs="Times New Roman" w:eastAsia="Times New Roman" w:hAnsi="Times New Roman"/>
          <w:sz w:val="14"/>
          <w:szCs w:val="14"/>
          <w:b w:val="1"/>
          <w:bCs w:val="1"/>
          <w:color w:val="auto"/>
        </w:rPr>
        <w:t>WASHINGTON, D.C. 20549</w:t>
      </w:r>
    </w:p>
    <w:p>
      <w:pPr>
        <w:spacing w:after="0" w:line="187" w:lineRule="exact"/>
        <w:rPr>
          <w:sz w:val="24"/>
          <w:szCs w:val="24"/>
          <w:color w:val="auto"/>
        </w:rPr>
      </w:pPr>
    </w:p>
    <w:p>
      <w:pPr>
        <w:jc w:val="center"/>
        <w:ind w:right="-59"/>
        <w:spacing w:after="0"/>
        <w:rPr>
          <w:sz w:val="20"/>
          <w:szCs w:val="20"/>
          <w:color w:val="auto"/>
        </w:rPr>
      </w:pPr>
      <w:r>
        <w:rPr>
          <w:rFonts w:ascii="Times New Roman" w:cs="Times New Roman" w:eastAsia="Times New Roman" w:hAnsi="Times New Roman"/>
          <w:sz w:val="25"/>
          <w:szCs w:val="25"/>
          <w:b w:val="1"/>
          <w:bCs w:val="1"/>
          <w:color w:val="auto"/>
        </w:rPr>
        <w:t>FORM 8-K/A</w:t>
      </w:r>
    </w:p>
    <w:p>
      <w:pPr>
        <w:spacing w:after="0" w:line="200" w:lineRule="exact"/>
        <w:rPr>
          <w:sz w:val="24"/>
          <w:szCs w:val="24"/>
          <w:color w:val="auto"/>
        </w:rPr>
      </w:pPr>
    </w:p>
    <w:p>
      <w:pPr>
        <w:spacing w:after="0" w:line="202"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4"/>
          <w:szCs w:val="14"/>
          <w:b w:val="1"/>
          <w:bCs w:val="1"/>
          <w:color w:val="auto"/>
        </w:rPr>
        <w:t>CURRENT REPORT</w:t>
      </w:r>
    </w:p>
    <w:p>
      <w:pPr>
        <w:spacing w:after="0" w:line="25"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4"/>
          <w:szCs w:val="14"/>
          <w:b w:val="1"/>
          <w:bCs w:val="1"/>
          <w:color w:val="auto"/>
        </w:rPr>
        <w:t>Pursuant to Section 13 or 15(d) of</w:t>
      </w:r>
    </w:p>
    <w:p>
      <w:pPr>
        <w:spacing w:after="0" w:line="9"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4"/>
          <w:szCs w:val="14"/>
          <w:b w:val="1"/>
          <w:bCs w:val="1"/>
          <w:color w:val="auto"/>
        </w:rPr>
        <w:t>The Securities Exchange Act of 1934</w:t>
      </w:r>
    </w:p>
    <w:p>
      <w:pPr>
        <w:spacing w:after="0" w:line="162"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4"/>
          <w:szCs w:val="14"/>
          <w:b w:val="1"/>
          <w:bCs w:val="1"/>
          <w:color w:val="auto"/>
        </w:rPr>
        <w:t>February 10, 2022</w:t>
      </w:r>
    </w:p>
    <w:p>
      <w:pPr>
        <w:spacing w:after="0" w:line="41" w:lineRule="exact"/>
        <w:rPr>
          <w:sz w:val="24"/>
          <w:szCs w:val="24"/>
          <w:color w:val="auto"/>
        </w:rPr>
      </w:pPr>
    </w:p>
    <w:p>
      <w:pPr>
        <w:jc w:val="center"/>
        <w:ind w:right="60"/>
        <w:spacing w:after="0"/>
        <w:rPr>
          <w:sz w:val="20"/>
          <w:szCs w:val="20"/>
          <w:color w:val="auto"/>
        </w:rPr>
      </w:pPr>
      <w:r>
        <w:rPr>
          <w:rFonts w:ascii="Times New Roman" w:cs="Times New Roman" w:eastAsia="Times New Roman" w:hAnsi="Times New Roman"/>
          <w:sz w:val="14"/>
          <w:szCs w:val="14"/>
          <w:b w:val="1"/>
          <w:bCs w:val="1"/>
          <w:color w:val="auto"/>
        </w:rPr>
        <w:t>Date of Report (Date of earliest event reported)</w:t>
      </w:r>
    </w:p>
    <w:p>
      <w:pPr>
        <w:spacing w:after="0" w:line="78" w:lineRule="exact"/>
        <w:rPr>
          <w:sz w:val="24"/>
          <w:szCs w:val="24"/>
          <w:color w:val="auto"/>
        </w:rPr>
      </w:pPr>
    </w:p>
    <w:p>
      <w:pPr>
        <w:jc w:val="center"/>
        <w:ind w:right="-59"/>
        <w:spacing w:after="0"/>
        <w:rPr>
          <w:sz w:val="20"/>
          <w:szCs w:val="20"/>
          <w:color w:val="auto"/>
        </w:rPr>
      </w:pPr>
      <w:r>
        <w:rPr>
          <w:rFonts w:ascii="Times New Roman" w:cs="Times New Roman" w:eastAsia="Times New Roman" w:hAnsi="Times New Roman"/>
          <w:sz w:val="31"/>
          <w:szCs w:val="31"/>
          <w:b w:val="1"/>
          <w:bCs w:val="1"/>
          <w:color w:val="auto"/>
        </w:rPr>
        <w:t>Planet Fitness, Inc.</w:t>
      </w:r>
    </w:p>
    <w:p>
      <w:pPr>
        <w:spacing w:after="0" w:line="113"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1"/>
          <w:szCs w:val="11"/>
          <w:b w:val="1"/>
          <w:bCs w:val="1"/>
          <w:color w:val="auto"/>
        </w:rPr>
        <w:t>(Exact name of registrant as specified in its charter)</w:t>
      </w:r>
    </w:p>
    <w:p>
      <w:pPr>
        <w:spacing w:after="0" w:line="300" w:lineRule="exact"/>
        <w:rPr>
          <w:sz w:val="24"/>
          <w:szCs w:val="24"/>
          <w:color w:val="auto"/>
        </w:rPr>
      </w:pPr>
    </w:p>
    <w:tbl>
      <w:tblPr>
        <w:tblLayout w:type="fixed"/>
        <w:tblInd w:w="0" w:type="dxa"/>
        <w:tblCellMar>
          <w:top w:w="0" w:type="dxa"/>
          <w:left w:w="0" w:type="dxa"/>
          <w:bottom w:w="0" w:type="dxa"/>
          <w:right w:w="0" w:type="dxa"/>
        </w:tblCellMar>
      </w:tblPr>
      <w:tr>
        <w:trPr>
          <w:trHeight w:val="186"/>
        </w:trPr>
        <w:tc>
          <w:tcPr>
            <w:tcW w:w="3360" w:type="dxa"/>
            <w:vAlign w:val="bottom"/>
            <w:tcBorders>
              <w:bottom w:val="single" w:sz="8" w:color="auto"/>
            </w:tcBorders>
          </w:tcPr>
          <w:p>
            <w:pPr>
              <w:jc w:val="center"/>
              <w:ind w:left="396"/>
              <w:spacing w:after="0"/>
              <w:rPr>
                <w:sz w:val="20"/>
                <w:szCs w:val="20"/>
                <w:color w:val="auto"/>
              </w:rPr>
            </w:pPr>
            <w:r>
              <w:rPr>
                <w:rFonts w:ascii="Times New Roman" w:cs="Times New Roman" w:eastAsia="Times New Roman" w:hAnsi="Times New Roman"/>
                <w:sz w:val="14"/>
                <w:szCs w:val="14"/>
                <w:b w:val="1"/>
                <w:bCs w:val="1"/>
                <w:color w:val="auto"/>
              </w:rPr>
              <w:t>Delaware</w:t>
            </w:r>
          </w:p>
        </w:tc>
        <w:tc>
          <w:tcPr>
            <w:tcW w:w="4740" w:type="dxa"/>
            <w:vAlign w:val="bottom"/>
            <w:tcBorders>
              <w:bottom w:val="single" w:sz="8" w:color="auto"/>
            </w:tcBorders>
          </w:tcPr>
          <w:p>
            <w:pPr>
              <w:jc w:val="right"/>
              <w:ind w:right="1975"/>
              <w:spacing w:after="0"/>
              <w:rPr>
                <w:sz w:val="20"/>
                <w:szCs w:val="20"/>
                <w:color w:val="auto"/>
              </w:rPr>
            </w:pPr>
            <w:r>
              <w:rPr>
                <w:rFonts w:ascii="Times New Roman" w:cs="Times New Roman" w:eastAsia="Times New Roman" w:hAnsi="Times New Roman"/>
                <w:sz w:val="14"/>
                <w:szCs w:val="14"/>
                <w:b w:val="1"/>
                <w:bCs w:val="1"/>
                <w:color w:val="auto"/>
              </w:rPr>
              <w:t>001-37534</w:t>
            </w:r>
          </w:p>
        </w:tc>
        <w:tc>
          <w:tcPr>
            <w:tcW w:w="3180" w:type="dxa"/>
            <w:vAlign w:val="bottom"/>
            <w:tcBorders>
              <w:bottom w:val="single" w:sz="8" w:color="auto"/>
            </w:tcBorders>
          </w:tcPr>
          <w:p>
            <w:pPr>
              <w:jc w:val="right"/>
              <w:ind w:right="1396"/>
              <w:spacing w:after="0"/>
              <w:rPr>
                <w:sz w:val="20"/>
                <w:szCs w:val="20"/>
                <w:color w:val="auto"/>
              </w:rPr>
            </w:pPr>
            <w:r>
              <w:rPr>
                <w:rFonts w:ascii="Times New Roman" w:cs="Times New Roman" w:eastAsia="Times New Roman" w:hAnsi="Times New Roman"/>
                <w:sz w:val="14"/>
                <w:szCs w:val="14"/>
                <w:b w:val="1"/>
                <w:bCs w:val="1"/>
                <w:color w:val="auto"/>
              </w:rPr>
              <w:t>38-3942097</w:t>
            </w:r>
          </w:p>
        </w:tc>
      </w:tr>
      <w:tr>
        <w:trPr>
          <w:trHeight w:val="140"/>
        </w:trPr>
        <w:tc>
          <w:tcPr>
            <w:tcW w:w="3360" w:type="dxa"/>
            <w:vAlign w:val="bottom"/>
          </w:tcPr>
          <w:p>
            <w:pPr>
              <w:jc w:val="center"/>
              <w:ind w:left="396"/>
              <w:spacing w:after="0"/>
              <w:rPr>
                <w:sz w:val="20"/>
                <w:szCs w:val="20"/>
                <w:color w:val="auto"/>
              </w:rPr>
            </w:pPr>
            <w:r>
              <w:rPr>
                <w:rFonts w:ascii="Times New Roman" w:cs="Times New Roman" w:eastAsia="Times New Roman" w:hAnsi="Times New Roman"/>
                <w:sz w:val="11"/>
                <w:szCs w:val="11"/>
                <w:b w:val="1"/>
                <w:bCs w:val="1"/>
                <w:color w:val="auto"/>
              </w:rPr>
              <w:t>(State or other jurisdiction of incorporation)</w:t>
            </w:r>
          </w:p>
        </w:tc>
        <w:tc>
          <w:tcPr>
            <w:tcW w:w="4740" w:type="dxa"/>
            <w:vAlign w:val="bottom"/>
          </w:tcPr>
          <w:p>
            <w:pPr>
              <w:jc w:val="center"/>
              <w:spacing w:after="0"/>
              <w:rPr>
                <w:sz w:val="20"/>
                <w:szCs w:val="20"/>
                <w:color w:val="auto"/>
              </w:rPr>
            </w:pPr>
            <w:r>
              <w:rPr>
                <w:rFonts w:ascii="Times New Roman" w:cs="Times New Roman" w:eastAsia="Times New Roman" w:hAnsi="Times New Roman"/>
                <w:sz w:val="11"/>
                <w:szCs w:val="11"/>
                <w:b w:val="1"/>
                <w:bCs w:val="1"/>
                <w:color w:val="auto"/>
              </w:rPr>
              <w:t>(Commission File Number)</w:t>
            </w:r>
          </w:p>
        </w:tc>
        <w:tc>
          <w:tcPr>
            <w:tcW w:w="3180" w:type="dxa"/>
            <w:vAlign w:val="bottom"/>
          </w:tcPr>
          <w:p>
            <w:pPr>
              <w:jc w:val="center"/>
              <w:ind w:right="336"/>
              <w:spacing w:after="0"/>
              <w:rPr>
                <w:sz w:val="20"/>
                <w:szCs w:val="20"/>
                <w:color w:val="auto"/>
              </w:rPr>
            </w:pPr>
            <w:r>
              <w:rPr>
                <w:rFonts w:ascii="Times New Roman" w:cs="Times New Roman" w:eastAsia="Times New Roman" w:hAnsi="Times New Roman"/>
                <w:sz w:val="11"/>
                <w:szCs w:val="11"/>
                <w:b w:val="1"/>
                <w:bCs w:val="1"/>
                <w:color w:val="auto"/>
              </w:rPr>
              <w:t>(I.R.S. Employer Identification No.)</w:t>
            </w:r>
          </w:p>
        </w:tc>
      </w:tr>
      <w:tr>
        <w:trPr>
          <w:trHeight w:val="333"/>
        </w:trPr>
        <w:tc>
          <w:tcPr>
            <w:tcW w:w="3360" w:type="dxa"/>
            <w:vAlign w:val="bottom"/>
          </w:tcPr>
          <w:p>
            <w:pPr>
              <w:spacing w:after="0"/>
              <w:rPr>
                <w:sz w:val="24"/>
                <w:szCs w:val="24"/>
                <w:color w:val="auto"/>
              </w:rPr>
            </w:pPr>
          </w:p>
        </w:tc>
        <w:tc>
          <w:tcPr>
            <w:tcW w:w="4740" w:type="dxa"/>
            <w:vAlign w:val="bottom"/>
          </w:tcPr>
          <w:p>
            <w:pPr>
              <w:jc w:val="center"/>
              <w:ind w:right="115"/>
              <w:spacing w:after="0"/>
              <w:rPr>
                <w:sz w:val="20"/>
                <w:szCs w:val="20"/>
                <w:color w:val="auto"/>
              </w:rPr>
            </w:pPr>
            <w:r>
              <w:rPr>
                <w:rFonts w:ascii="Times New Roman" w:cs="Times New Roman" w:eastAsia="Times New Roman" w:hAnsi="Times New Roman"/>
                <w:sz w:val="14"/>
                <w:szCs w:val="14"/>
                <w:b w:val="1"/>
                <w:bCs w:val="1"/>
                <w:color w:val="auto"/>
              </w:rPr>
              <w:t>4 Liberty Lane West</w:t>
            </w:r>
          </w:p>
        </w:tc>
        <w:tc>
          <w:tcPr>
            <w:tcW w:w="3180" w:type="dxa"/>
            <w:vAlign w:val="bottom"/>
          </w:tcPr>
          <w:p>
            <w:pPr>
              <w:spacing w:after="0"/>
              <w:rPr>
                <w:sz w:val="24"/>
                <w:szCs w:val="24"/>
                <w:color w:val="auto"/>
              </w:rPr>
            </w:pPr>
          </w:p>
        </w:tc>
      </w:tr>
      <w:tr>
        <w:trPr>
          <w:trHeight w:val="167"/>
        </w:trPr>
        <w:tc>
          <w:tcPr>
            <w:tcW w:w="3360" w:type="dxa"/>
            <w:vAlign w:val="bottom"/>
          </w:tcPr>
          <w:p>
            <w:pPr>
              <w:spacing w:after="0"/>
              <w:rPr>
                <w:sz w:val="14"/>
                <w:szCs w:val="14"/>
                <w:color w:val="auto"/>
              </w:rPr>
            </w:pPr>
          </w:p>
        </w:tc>
        <w:tc>
          <w:tcPr>
            <w:tcW w:w="4740" w:type="dxa"/>
            <w:vAlign w:val="bottom"/>
          </w:tcPr>
          <w:p>
            <w:pPr>
              <w:jc w:val="center"/>
              <w:ind w:right="115"/>
              <w:spacing w:after="0"/>
              <w:rPr>
                <w:sz w:val="20"/>
                <w:szCs w:val="20"/>
                <w:color w:val="auto"/>
              </w:rPr>
            </w:pPr>
            <w:r>
              <w:rPr>
                <w:rFonts w:ascii="Times New Roman" w:cs="Times New Roman" w:eastAsia="Times New Roman" w:hAnsi="Times New Roman"/>
                <w:sz w:val="14"/>
                <w:szCs w:val="14"/>
                <w:b w:val="1"/>
                <w:bCs w:val="1"/>
                <w:color w:val="auto"/>
              </w:rPr>
              <w:t xml:space="preserve">Hampton, NH </w:t>
            </w:r>
            <w:r>
              <w:rPr>
                <w:rFonts w:ascii="Times New Roman" w:cs="Times New Roman" w:eastAsia="Times New Roman" w:hAnsi="Times New Roman"/>
                <w:sz w:val="14"/>
                <w:szCs w:val="14"/>
                <w:color w:val="auto"/>
              </w:rPr>
              <w:t>03842</w:t>
            </w:r>
          </w:p>
        </w:tc>
        <w:tc>
          <w:tcPr>
            <w:tcW w:w="3180" w:type="dxa"/>
            <w:vAlign w:val="bottom"/>
          </w:tcPr>
          <w:p>
            <w:pPr>
              <w:spacing w:after="0"/>
              <w:rPr>
                <w:sz w:val="14"/>
                <w:szCs w:val="14"/>
                <w:color w:val="auto"/>
              </w:rPr>
            </w:pPr>
          </w:p>
        </w:tc>
      </w:tr>
      <w:tr>
        <w:trPr>
          <w:trHeight w:val="138"/>
        </w:trPr>
        <w:tc>
          <w:tcPr>
            <w:tcW w:w="3360" w:type="dxa"/>
            <w:vAlign w:val="bottom"/>
          </w:tcPr>
          <w:p>
            <w:pPr>
              <w:spacing w:after="0"/>
              <w:rPr>
                <w:sz w:val="11"/>
                <w:szCs w:val="11"/>
                <w:color w:val="auto"/>
              </w:rPr>
            </w:pPr>
          </w:p>
        </w:tc>
        <w:tc>
          <w:tcPr>
            <w:tcW w:w="4740" w:type="dxa"/>
            <w:vAlign w:val="bottom"/>
          </w:tcPr>
          <w:p>
            <w:pPr>
              <w:jc w:val="center"/>
              <w:ind w:right="115"/>
              <w:spacing w:after="0"/>
              <w:rPr>
                <w:sz w:val="20"/>
                <w:szCs w:val="20"/>
                <w:color w:val="auto"/>
              </w:rPr>
            </w:pPr>
            <w:r>
              <w:rPr>
                <w:rFonts w:ascii="Times New Roman" w:cs="Times New Roman" w:eastAsia="Times New Roman" w:hAnsi="Times New Roman"/>
                <w:sz w:val="11"/>
                <w:szCs w:val="11"/>
                <w:b w:val="1"/>
                <w:bCs w:val="1"/>
                <w:color w:val="auto"/>
              </w:rPr>
              <w:t>(Address of principal executive offices)</w:t>
            </w:r>
          </w:p>
        </w:tc>
        <w:tc>
          <w:tcPr>
            <w:tcW w:w="3180" w:type="dxa"/>
            <w:vAlign w:val="bottom"/>
          </w:tcPr>
          <w:p>
            <w:pPr>
              <w:spacing w:after="0"/>
              <w:rPr>
                <w:sz w:val="11"/>
                <w:szCs w:val="11"/>
                <w:color w:val="auto"/>
              </w:rPr>
            </w:pPr>
          </w:p>
        </w:tc>
      </w:tr>
      <w:tr>
        <w:trPr>
          <w:trHeight w:val="149"/>
        </w:trPr>
        <w:tc>
          <w:tcPr>
            <w:tcW w:w="3360" w:type="dxa"/>
            <w:vAlign w:val="bottom"/>
          </w:tcPr>
          <w:p>
            <w:pPr>
              <w:spacing w:after="0"/>
              <w:rPr>
                <w:sz w:val="12"/>
                <w:szCs w:val="12"/>
                <w:color w:val="auto"/>
              </w:rPr>
            </w:pPr>
          </w:p>
        </w:tc>
        <w:tc>
          <w:tcPr>
            <w:tcW w:w="4740" w:type="dxa"/>
            <w:vAlign w:val="bottom"/>
          </w:tcPr>
          <w:p>
            <w:pPr>
              <w:jc w:val="center"/>
              <w:ind w:right="115"/>
              <w:spacing w:after="0"/>
              <w:rPr>
                <w:sz w:val="20"/>
                <w:szCs w:val="20"/>
                <w:color w:val="auto"/>
              </w:rPr>
            </w:pPr>
            <w:r>
              <w:rPr>
                <w:rFonts w:ascii="Times New Roman" w:cs="Times New Roman" w:eastAsia="Times New Roman" w:hAnsi="Times New Roman"/>
                <w:sz w:val="11"/>
                <w:szCs w:val="11"/>
                <w:b w:val="1"/>
                <w:bCs w:val="1"/>
                <w:color w:val="auto"/>
              </w:rPr>
              <w:t>(Zip Code)</w:t>
            </w:r>
          </w:p>
        </w:tc>
        <w:tc>
          <w:tcPr>
            <w:tcW w:w="3180" w:type="dxa"/>
            <w:vAlign w:val="bottom"/>
          </w:tcPr>
          <w:p>
            <w:pPr>
              <w:spacing w:after="0"/>
              <w:rPr>
                <w:sz w:val="12"/>
                <w:szCs w:val="12"/>
                <w:color w:val="auto"/>
              </w:rPr>
            </w:pPr>
          </w:p>
        </w:tc>
      </w:tr>
      <w:tr>
        <w:trPr>
          <w:trHeight w:val="337"/>
        </w:trPr>
        <w:tc>
          <w:tcPr>
            <w:tcW w:w="3360" w:type="dxa"/>
            <w:vAlign w:val="bottom"/>
          </w:tcPr>
          <w:p>
            <w:pPr>
              <w:spacing w:after="0"/>
              <w:rPr>
                <w:sz w:val="24"/>
                <w:szCs w:val="24"/>
                <w:color w:val="auto"/>
              </w:rPr>
            </w:pPr>
          </w:p>
        </w:tc>
        <w:tc>
          <w:tcPr>
            <w:tcW w:w="4740" w:type="dxa"/>
            <w:vAlign w:val="bottom"/>
          </w:tcPr>
          <w:p>
            <w:pPr>
              <w:jc w:val="center"/>
              <w:ind w:right="95"/>
              <w:spacing w:after="0"/>
              <w:rPr>
                <w:sz w:val="20"/>
                <w:szCs w:val="20"/>
                <w:color w:val="auto"/>
              </w:rPr>
            </w:pPr>
            <w:r>
              <w:rPr>
                <w:rFonts w:ascii="Times New Roman" w:cs="Times New Roman" w:eastAsia="Times New Roman" w:hAnsi="Times New Roman"/>
                <w:sz w:val="14"/>
                <w:szCs w:val="14"/>
                <w:color w:val="auto"/>
              </w:rPr>
              <w:t xml:space="preserve">Registrant’s telephone number, including area code: </w:t>
            </w:r>
            <w:r>
              <w:rPr>
                <w:rFonts w:ascii="Times New Roman" w:cs="Times New Roman" w:eastAsia="Times New Roman" w:hAnsi="Times New Roman"/>
                <w:sz w:val="14"/>
                <w:szCs w:val="14"/>
                <w:b w:val="1"/>
                <w:bCs w:val="1"/>
                <w:color w:val="auto"/>
              </w:rPr>
              <w:t>(603) 750-0001</w:t>
            </w:r>
          </w:p>
        </w:tc>
        <w:tc>
          <w:tcPr>
            <w:tcW w:w="3180" w:type="dxa"/>
            <w:vAlign w:val="bottom"/>
          </w:tcPr>
          <w:p>
            <w:pPr>
              <w:spacing w:after="0"/>
              <w:rPr>
                <w:sz w:val="24"/>
                <w:szCs w:val="24"/>
                <w:color w:val="auto"/>
              </w:rPr>
            </w:pPr>
          </w:p>
        </w:tc>
      </w:tr>
    </w:tbl>
    <w:p>
      <w:pPr>
        <w:spacing w:after="0" w:line="156" w:lineRule="exact"/>
        <w:rPr>
          <w:sz w:val="24"/>
          <w:szCs w:val="24"/>
          <w:color w:val="auto"/>
        </w:rPr>
      </w:pPr>
    </w:p>
    <w:p>
      <w:pPr>
        <w:spacing w:after="0"/>
        <w:rPr>
          <w:sz w:val="20"/>
          <w:szCs w:val="20"/>
          <w:color w:val="auto"/>
        </w:rPr>
      </w:pPr>
      <w:r>
        <w:rPr>
          <w:rFonts w:ascii="Times New Roman" w:cs="Times New Roman" w:eastAsia="Times New Roman" w:hAnsi="Times New Roman"/>
          <w:sz w:val="14"/>
          <w:szCs w:val="14"/>
          <w:color w:val="auto"/>
        </w:rPr>
        <w:t>Check the appropriate box below if the Form 8-K filing is intended to simultaneously satisfy the filing obligation of the registrant under any of the following provisions:</w:t>
      </w:r>
    </w:p>
    <w:p>
      <w:pPr>
        <w:spacing w:after="0" w:line="219" w:lineRule="exact"/>
        <w:rPr>
          <w:sz w:val="24"/>
          <w:szCs w:val="24"/>
          <w:color w:val="auto"/>
        </w:rPr>
      </w:pPr>
    </w:p>
    <w:p>
      <w:pPr>
        <w:ind w:left="480" w:hanging="461"/>
        <w:spacing w:after="0"/>
        <w:tabs>
          <w:tab w:leader="none" w:pos="480" w:val="left"/>
        </w:tabs>
        <w:numPr>
          <w:ilvl w:val="0"/>
          <w:numId w:val="1"/>
        </w:numPr>
        <w:rPr>
          <w:rFonts w:ascii="MS PGothic" w:cs="MS PGothic" w:eastAsia="MS PGothic" w:hAnsi="MS PGothic"/>
          <w:sz w:val="14"/>
          <w:szCs w:val="14"/>
          <w:color w:val="auto"/>
        </w:rPr>
      </w:pPr>
      <w:r>
        <w:rPr>
          <w:rFonts w:ascii="Times New Roman" w:cs="Times New Roman" w:eastAsia="Times New Roman" w:hAnsi="Times New Roman"/>
          <w:sz w:val="14"/>
          <w:szCs w:val="14"/>
          <w:b w:val="1"/>
          <w:bCs w:val="1"/>
          <w:color w:val="auto"/>
        </w:rPr>
        <w:t>Written communications pursuant to Rule 425 under the Securities Act (17 CFR 230.425)</w:t>
      </w:r>
    </w:p>
    <w:p>
      <w:pPr>
        <w:spacing w:after="0" w:line="284" w:lineRule="exact"/>
        <w:rPr>
          <w:rFonts w:ascii="MS PGothic" w:cs="MS PGothic" w:eastAsia="MS PGothic" w:hAnsi="MS PGothic"/>
          <w:sz w:val="14"/>
          <w:szCs w:val="14"/>
          <w:color w:val="auto"/>
        </w:rPr>
      </w:pPr>
    </w:p>
    <w:p>
      <w:pPr>
        <w:ind w:left="480" w:hanging="461"/>
        <w:spacing w:after="0"/>
        <w:tabs>
          <w:tab w:leader="none" w:pos="480" w:val="left"/>
        </w:tabs>
        <w:numPr>
          <w:ilvl w:val="0"/>
          <w:numId w:val="1"/>
        </w:numPr>
        <w:rPr>
          <w:rFonts w:ascii="MS PGothic" w:cs="MS PGothic" w:eastAsia="MS PGothic" w:hAnsi="MS PGothic"/>
          <w:sz w:val="14"/>
          <w:szCs w:val="14"/>
          <w:color w:val="auto"/>
        </w:rPr>
      </w:pPr>
      <w:r>
        <w:rPr>
          <w:rFonts w:ascii="Times New Roman" w:cs="Times New Roman" w:eastAsia="Times New Roman" w:hAnsi="Times New Roman"/>
          <w:sz w:val="14"/>
          <w:szCs w:val="14"/>
          <w:b w:val="1"/>
          <w:bCs w:val="1"/>
          <w:color w:val="auto"/>
        </w:rPr>
        <w:t>Soliciting material pursuant to Rule 14a-12 under the Exchange Act (17 CFR 240.14a-12)</w:t>
      </w:r>
    </w:p>
    <w:p>
      <w:pPr>
        <w:spacing w:after="0" w:line="274" w:lineRule="exact"/>
        <w:rPr>
          <w:rFonts w:ascii="MS PGothic" w:cs="MS PGothic" w:eastAsia="MS PGothic" w:hAnsi="MS PGothic"/>
          <w:sz w:val="14"/>
          <w:szCs w:val="14"/>
          <w:color w:val="auto"/>
        </w:rPr>
      </w:pPr>
    </w:p>
    <w:p>
      <w:pPr>
        <w:ind w:left="480" w:hanging="461"/>
        <w:spacing w:after="0"/>
        <w:tabs>
          <w:tab w:leader="none" w:pos="480" w:val="left"/>
        </w:tabs>
        <w:numPr>
          <w:ilvl w:val="0"/>
          <w:numId w:val="1"/>
        </w:numPr>
        <w:rPr>
          <w:rFonts w:ascii="MS PGothic" w:cs="MS PGothic" w:eastAsia="MS PGothic" w:hAnsi="MS PGothic"/>
          <w:sz w:val="14"/>
          <w:szCs w:val="14"/>
          <w:color w:val="auto"/>
        </w:rPr>
      </w:pPr>
      <w:r>
        <w:rPr>
          <w:rFonts w:ascii="Times New Roman" w:cs="Times New Roman" w:eastAsia="Times New Roman" w:hAnsi="Times New Roman"/>
          <w:sz w:val="14"/>
          <w:szCs w:val="14"/>
          <w:b w:val="1"/>
          <w:bCs w:val="1"/>
          <w:color w:val="auto"/>
        </w:rPr>
        <w:t>Pre-commencement communications pursuant to Rule 14d-2(b) under the Exchange Act (17 CFR 240.14d-2(b))</w:t>
      </w:r>
    </w:p>
    <w:p>
      <w:pPr>
        <w:spacing w:after="0" w:line="284" w:lineRule="exact"/>
        <w:rPr>
          <w:rFonts w:ascii="MS PGothic" w:cs="MS PGothic" w:eastAsia="MS PGothic" w:hAnsi="MS PGothic"/>
          <w:sz w:val="14"/>
          <w:szCs w:val="14"/>
          <w:color w:val="auto"/>
        </w:rPr>
      </w:pPr>
    </w:p>
    <w:p>
      <w:pPr>
        <w:ind w:right="4160" w:firstLine="19"/>
        <w:spacing w:after="0" w:line="573" w:lineRule="auto"/>
        <w:tabs>
          <w:tab w:leader="none" w:pos="470" w:val="left"/>
        </w:tabs>
        <w:numPr>
          <w:ilvl w:val="0"/>
          <w:numId w:val="1"/>
        </w:numPr>
        <w:rPr>
          <w:rFonts w:ascii="MS PGothic" w:cs="MS PGothic" w:eastAsia="MS PGothic" w:hAnsi="MS PGothic"/>
          <w:sz w:val="14"/>
          <w:szCs w:val="14"/>
          <w:color w:val="auto"/>
        </w:rPr>
      </w:pPr>
      <w:r>
        <w:rPr>
          <w:rFonts w:ascii="Times New Roman" w:cs="Times New Roman" w:eastAsia="Times New Roman" w:hAnsi="Times New Roman"/>
          <w:sz w:val="14"/>
          <w:szCs w:val="14"/>
          <w:b w:val="1"/>
          <w:bCs w:val="1"/>
          <w:color w:val="auto"/>
        </w:rPr>
        <w:t>Pre-commencement communications pursuant to Rule 13e-4(c) under the Exchange Act (17 CFR 240.13e-4(c)) Securities registered pursuant to Section 12(b) of the Exchange Act:</w:t>
      </w:r>
    </w:p>
    <w:tbl>
      <w:tblPr>
        <w:tblLayout w:type="fixed"/>
        <w:tblInd w:w="30" w:type="dxa"/>
        <w:tblCellMar>
          <w:top w:w="0" w:type="dxa"/>
          <w:left w:w="0" w:type="dxa"/>
          <w:bottom w:w="0" w:type="dxa"/>
          <w:right w:w="0" w:type="dxa"/>
        </w:tblCellMar>
      </w:tblPr>
      <w:tr>
        <w:trPr>
          <w:trHeight w:val="172"/>
        </w:trPr>
        <w:tc>
          <w:tcPr>
            <w:tcW w:w="4420" w:type="dxa"/>
            <w:vAlign w:val="bottom"/>
            <w:tcBorders>
              <w:top w:val="single" w:sz="8" w:color="auto"/>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rPr>
              <w:t>Title of each class</w:t>
            </w:r>
          </w:p>
        </w:tc>
        <w:tc>
          <w:tcPr>
            <w:tcW w:w="2440" w:type="dxa"/>
            <w:vAlign w:val="bottom"/>
            <w:tcBorders>
              <w:top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rPr>
              <w:t>Trading Symbol(s)</w:t>
            </w:r>
          </w:p>
        </w:tc>
        <w:tc>
          <w:tcPr>
            <w:tcW w:w="4420" w:type="dxa"/>
            <w:vAlign w:val="bottom"/>
            <w:tcBorders>
              <w:top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rPr>
              <w:t>Name of each exchange on which registered</w:t>
            </w:r>
          </w:p>
        </w:tc>
      </w:tr>
      <w:tr>
        <w:trPr>
          <w:trHeight w:val="171"/>
        </w:trPr>
        <w:tc>
          <w:tcPr>
            <w:tcW w:w="4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4"/>
                <w:szCs w:val="14"/>
                <w:color w:val="auto"/>
              </w:rPr>
              <w:t>Class A common stock, $0.0001 Par Value</w:t>
            </w:r>
          </w:p>
        </w:tc>
        <w:tc>
          <w:tcPr>
            <w:tcW w:w="24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4"/>
                <w:szCs w:val="14"/>
                <w:color w:val="auto"/>
                <w:w w:val="97"/>
              </w:rPr>
              <w:t>PLNT</w:t>
            </w:r>
          </w:p>
        </w:tc>
        <w:tc>
          <w:tcPr>
            <w:tcW w:w="44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4"/>
                <w:szCs w:val="14"/>
                <w:color w:val="auto"/>
                <w:w w:val="99"/>
              </w:rPr>
              <w:t>New York Stock Exchange</w:t>
            </w:r>
          </w:p>
        </w:tc>
      </w:tr>
    </w:tbl>
    <w:p>
      <w:pPr>
        <w:spacing w:after="0" w:line="346" w:lineRule="exact"/>
        <w:rPr>
          <w:sz w:val="24"/>
          <w:szCs w:val="24"/>
          <w:color w:val="auto"/>
        </w:rPr>
      </w:pPr>
    </w:p>
    <w:p>
      <w:pPr>
        <w:ind w:right="740"/>
        <w:spacing w:after="0" w:line="254" w:lineRule="exact"/>
        <w:rPr>
          <w:sz w:val="20"/>
          <w:szCs w:val="20"/>
          <w:color w:val="auto"/>
        </w:rPr>
      </w:pPr>
      <w:r>
        <w:rPr>
          <w:rFonts w:ascii="Times New Roman" w:cs="Times New Roman" w:eastAsia="Times New Roman" w:hAnsi="Times New Roman"/>
          <w:sz w:val="14"/>
          <w:szCs w:val="14"/>
          <w:color w:val="auto"/>
        </w:rPr>
        <w:t xml:space="preserve">Indicate by check mark whether the registrant is an emerging growth company as defined in Rule 405 of the Securities Act of 1933 or Rule 12b-2 of the Securities Exchange Act of 1934. Emerging growth company </w:t>
      </w:r>
      <w:r>
        <w:rPr>
          <w:rFonts w:ascii="MS PGothic" w:cs="MS PGothic" w:eastAsia="MS PGothic" w:hAnsi="MS PGothic"/>
          <w:sz w:val="14"/>
          <w:szCs w:val="14"/>
          <w:color w:val="auto"/>
        </w:rPr>
        <w:t>☐</w:t>
      </w:r>
    </w:p>
    <w:p>
      <w:pPr>
        <w:spacing w:after="0" w:line="119" w:lineRule="exact"/>
        <w:rPr>
          <w:sz w:val="24"/>
          <w:szCs w:val="24"/>
          <w:color w:val="auto"/>
        </w:rPr>
      </w:pPr>
    </w:p>
    <w:p>
      <w:pPr>
        <w:jc w:val="both"/>
        <w:spacing w:after="0" w:line="185" w:lineRule="exact"/>
        <w:rPr>
          <w:sz w:val="20"/>
          <w:szCs w:val="20"/>
          <w:color w:val="auto"/>
        </w:rPr>
      </w:pPr>
      <w:r>
        <w:rPr>
          <w:rFonts w:ascii="Times New Roman" w:cs="Times New Roman" w:eastAsia="Times New Roman" w:hAnsi="Times New Roman"/>
          <w:sz w:val="14"/>
          <w:szCs w:val="14"/>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4"/>
          <w:szCs w:val="14"/>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-8890</wp:posOffset>
            </wp:positionH>
            <wp:positionV relativeFrom="paragraph">
              <wp:posOffset>415925</wp:posOffset>
            </wp:positionV>
            <wp:extent cx="7186930" cy="387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86930" cy="38735"/>
                    </a:xfrm>
                    <a:prstGeom prst="rect">
                      <a:avLst/>
                    </a:prstGeom>
                    <a:noFill/>
                  </pic:spPr>
                </pic:pic>
              </a:graphicData>
            </a:graphic>
          </wp:anchor>
        </w:drawing>
      </w:r>
    </w:p>
    <w:p>
      <w:pPr>
        <w:sectPr>
          <w:pgSz w:w="11900" w:h="16838" w:orient="portrait"/>
          <w:cols w:equalWidth="0" w:num="1">
            <w:col w:w="11280"/>
          </w:cols>
          <w:pgMar w:left="300" w:top="807" w:right="319" w:bottom="1440" w:gutter="0" w:footer="0" w:header="0"/>
        </w:sectPr>
      </w:pPr>
    </w:p>
    <w:bookmarkStart w:id="1" w:name="page2"/>
    <w:bookmarkEnd w:id="1"/>
    <w:p>
      <w:pPr>
        <w:jc w:val="center"/>
        <w:spacing w:after="0"/>
        <w:rPr>
          <w:sz w:val="20"/>
          <w:szCs w:val="20"/>
          <w:color w:val="auto"/>
        </w:rPr>
      </w:pPr>
      <w:r>
        <w:rPr>
          <w:rFonts w:ascii="Times New Roman" w:cs="Times New Roman" w:eastAsia="Times New Roman" w:hAnsi="Times New Roman"/>
          <w:sz w:val="14"/>
          <w:szCs w:val="14"/>
          <w:b w:val="1"/>
          <w:bCs w:val="1"/>
          <w:color w:val="auto"/>
        </w:rPr>
        <w:t>EXPLANATORY NOTE</w:t>
      </w:r>
    </w:p>
    <w:p>
      <w:pPr>
        <w:spacing w:after="0" w:line="202" w:lineRule="exact"/>
        <w:rPr>
          <w:sz w:val="20"/>
          <w:szCs w:val="20"/>
          <w:color w:val="auto"/>
        </w:rPr>
      </w:pPr>
    </w:p>
    <w:p>
      <w:pPr>
        <w:jc w:val="both"/>
        <w:spacing w:after="0" w:line="176" w:lineRule="exact"/>
        <w:rPr>
          <w:sz w:val="20"/>
          <w:szCs w:val="20"/>
          <w:color w:val="auto"/>
        </w:rPr>
      </w:pPr>
      <w:r>
        <w:rPr>
          <w:rFonts w:ascii="Times New Roman" w:cs="Times New Roman" w:eastAsia="Times New Roman" w:hAnsi="Times New Roman"/>
          <w:sz w:val="14"/>
          <w:szCs w:val="14"/>
          <w:color w:val="auto"/>
        </w:rPr>
        <w:t>This Current Report on Form 8-K/A (the “Amendment”) amends the Current Report on Form 8-K previously filed by Planet Fitness, Inc. (the “Company”) on February 10, 2022 (the “Initial Form 8-K”) relating to the acquisition of Sunshine Fitness Growth Holdings, LLC and its subsidiaries (collectively, “Sunshine Fitness”). This Amendment files as exhibits hereto (1) the audited consolidated financial statements of Sunshine Fitness for the year ended December 31, 2021 and (2) the unaudited pro forma condensed combined financial statements of the Company for the year ended December 31, 2021, after giving effect to the acquisition of Sunshine Fitness. This Amendment should be read in conjunction with the Initial Form 8</w:t>
      </w:r>
      <w:r>
        <w:rPr>
          <w:rFonts w:ascii="MS PGothic" w:cs="MS PGothic" w:eastAsia="MS PGothic" w:hAnsi="MS PGothic"/>
          <w:sz w:val="14"/>
          <w:szCs w:val="14"/>
          <w:color w:val="auto"/>
        </w:rPr>
        <w:t>‑</w:t>
      </w:r>
      <w:r>
        <w:rPr>
          <w:rFonts w:ascii="Times New Roman" w:cs="Times New Roman" w:eastAsia="Times New Roman" w:hAnsi="Times New Roman"/>
          <w:sz w:val="14"/>
          <w:szCs w:val="14"/>
          <w:color w:val="auto"/>
        </w:rPr>
        <w:t>K and the Company’s other filings with the Securities and Exchange Commission. Except as provided herein, all information in the Initial Form 8</w:t>
      </w:r>
      <w:r>
        <w:rPr>
          <w:rFonts w:ascii="MS PGothic" w:cs="MS PGothic" w:eastAsia="MS PGothic" w:hAnsi="MS PGothic"/>
          <w:sz w:val="14"/>
          <w:szCs w:val="14"/>
          <w:color w:val="auto"/>
        </w:rPr>
        <w:t>‑</w:t>
      </w:r>
      <w:r>
        <w:rPr>
          <w:rFonts w:ascii="Times New Roman" w:cs="Times New Roman" w:eastAsia="Times New Roman" w:hAnsi="Times New Roman"/>
          <w:sz w:val="14"/>
          <w:szCs w:val="14"/>
          <w:color w:val="auto"/>
        </w:rPr>
        <w:t>K remains unchanged.</w:t>
      </w:r>
    </w:p>
    <w:p>
      <w:pPr>
        <w:spacing w:after="0" w:line="21" w:lineRule="exact"/>
        <w:rPr>
          <w:sz w:val="20"/>
          <w:szCs w:val="20"/>
          <w:color w:val="auto"/>
        </w:rPr>
      </w:pPr>
    </w:p>
    <w:p>
      <w:pPr>
        <w:ind w:left="20"/>
        <w:spacing w:after="0"/>
        <w:tabs>
          <w:tab w:leader="none" w:pos="1020" w:val="left"/>
        </w:tabs>
        <w:rPr>
          <w:sz w:val="20"/>
          <w:szCs w:val="20"/>
          <w:color w:val="auto"/>
        </w:rPr>
      </w:pPr>
      <w:r>
        <w:rPr>
          <w:rFonts w:ascii="Times New Roman" w:cs="Times New Roman" w:eastAsia="Times New Roman" w:hAnsi="Times New Roman"/>
          <w:sz w:val="14"/>
          <w:szCs w:val="14"/>
          <w:b w:val="1"/>
          <w:bCs w:val="1"/>
          <w:color w:val="auto"/>
        </w:rPr>
        <w:t>Item 9.01</w:t>
      </w:r>
      <w:r>
        <w:rPr>
          <w:sz w:val="20"/>
          <w:szCs w:val="20"/>
          <w:color w:val="auto"/>
        </w:rPr>
        <w:tab/>
      </w:r>
      <w:r>
        <w:rPr>
          <w:rFonts w:ascii="Times New Roman" w:cs="Times New Roman" w:eastAsia="Times New Roman" w:hAnsi="Times New Roman"/>
          <w:sz w:val="14"/>
          <w:szCs w:val="14"/>
          <w:b w:val="1"/>
          <w:bCs w:val="1"/>
          <w:color w:val="auto"/>
        </w:rPr>
        <w:t>Financial Statements and Exhibits.</w:t>
      </w:r>
    </w:p>
    <w:p>
      <w:pPr>
        <w:spacing w:after="0" w:line="191" w:lineRule="exact"/>
        <w:rPr>
          <w:sz w:val="20"/>
          <w:szCs w:val="20"/>
          <w:color w:val="auto"/>
        </w:rPr>
      </w:pPr>
    </w:p>
    <w:p>
      <w:pPr>
        <w:ind w:left="480" w:hanging="461"/>
        <w:spacing w:after="0"/>
        <w:tabs>
          <w:tab w:leader="none" w:pos="480" w:val="left"/>
        </w:tabs>
        <w:numPr>
          <w:ilvl w:val="0"/>
          <w:numId w:val="2"/>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The audited consolidated financial statements of Sunshine Fitness for the year ended December 31, 2021 are filed as Exhibit 99.1</w:t>
      </w:r>
    </w:p>
    <w:p>
      <w:pPr>
        <w:spacing w:after="0" w:line="40" w:lineRule="exact"/>
        <w:rPr>
          <w:rFonts w:ascii="Times New Roman" w:cs="Times New Roman" w:eastAsia="Times New Roman" w:hAnsi="Times New Roman"/>
          <w:sz w:val="14"/>
          <w:szCs w:val="14"/>
          <w:color w:val="auto"/>
        </w:rPr>
      </w:pPr>
    </w:p>
    <w:p>
      <w:pPr>
        <w:ind w:left="480" w:hanging="461"/>
        <w:spacing w:after="0"/>
        <w:tabs>
          <w:tab w:leader="none" w:pos="480" w:val="left"/>
        </w:tabs>
        <w:numPr>
          <w:ilvl w:val="0"/>
          <w:numId w:val="2"/>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The unaudited pro forma condensed combined financial statements of the Company for the year ended December 31, 2021 are filed as Exhibit 99.2</w:t>
      </w:r>
    </w:p>
    <w:p>
      <w:pPr>
        <w:spacing w:after="0" w:line="41" w:lineRule="exact"/>
        <w:rPr>
          <w:sz w:val="20"/>
          <w:szCs w:val="20"/>
          <w:color w:val="auto"/>
        </w:rPr>
      </w:pPr>
    </w:p>
    <w:p>
      <w:pPr>
        <w:ind w:left="480" w:hanging="461"/>
        <w:spacing w:after="0"/>
        <w:tabs>
          <w:tab w:leader="none" w:pos="480" w:val="left"/>
        </w:tabs>
        <w:numPr>
          <w:ilvl w:val="0"/>
          <w:numId w:val="3"/>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Exhibits</w:t>
      </w:r>
    </w:p>
    <w:p>
      <w:pPr>
        <w:spacing w:after="0" w:line="344" w:lineRule="exact"/>
        <w:rPr>
          <w:sz w:val="20"/>
          <w:szCs w:val="20"/>
          <w:color w:val="auto"/>
        </w:rPr>
      </w:pPr>
    </w:p>
    <w:tbl>
      <w:tblPr>
        <w:tblLayout w:type="fixed"/>
        <w:tblInd w:w="0" w:type="dxa"/>
        <w:tblCellMar>
          <w:top w:w="0" w:type="dxa"/>
          <w:left w:w="0" w:type="dxa"/>
          <w:bottom w:w="0" w:type="dxa"/>
          <w:right w:w="0" w:type="dxa"/>
        </w:tblCellMar>
      </w:tblPr>
      <w:tr>
        <w:trPr>
          <w:trHeight w:val="158"/>
        </w:trPr>
        <w:tc>
          <w:tcPr>
            <w:tcW w:w="1760" w:type="dxa"/>
            <w:vAlign w:val="bottom"/>
            <w:tcBorders>
              <w:bottom w:val="single" w:sz="8" w:color="auto"/>
            </w:tcBorders>
          </w:tcPr>
          <w:p>
            <w:pPr>
              <w:ind w:left="20"/>
              <w:spacing w:after="0"/>
              <w:rPr>
                <w:sz w:val="20"/>
                <w:szCs w:val="20"/>
                <w:color w:val="auto"/>
              </w:rPr>
            </w:pPr>
            <w:r>
              <w:rPr>
                <w:rFonts w:ascii="Times New Roman" w:cs="Times New Roman" w:eastAsia="Times New Roman" w:hAnsi="Times New Roman"/>
                <w:sz w:val="11"/>
                <w:szCs w:val="11"/>
                <w:b w:val="1"/>
                <w:bCs w:val="1"/>
                <w:color w:val="auto"/>
              </w:rPr>
              <w:t>Exhibit No.</w:t>
            </w:r>
          </w:p>
        </w:tc>
        <w:tc>
          <w:tcPr>
            <w:tcW w:w="9520" w:type="dxa"/>
            <w:vAlign w:val="bottom"/>
            <w:tcBorders>
              <w:bottom w:val="single" w:sz="8" w:color="auto"/>
            </w:tcBorders>
            <w:gridSpan w:val="6"/>
          </w:tcPr>
          <w:p>
            <w:pPr>
              <w:spacing w:after="0"/>
              <w:rPr>
                <w:sz w:val="20"/>
                <w:szCs w:val="20"/>
                <w:color w:val="auto"/>
              </w:rPr>
            </w:pPr>
            <w:r>
              <w:rPr>
                <w:rFonts w:ascii="Times New Roman" w:cs="Times New Roman" w:eastAsia="Times New Roman" w:hAnsi="Times New Roman"/>
                <w:sz w:val="11"/>
                <w:szCs w:val="11"/>
                <w:b w:val="1"/>
                <w:bCs w:val="1"/>
                <w:color w:val="auto"/>
              </w:rPr>
              <w:t>Description</w:t>
            </w:r>
          </w:p>
        </w:tc>
      </w:tr>
      <w:tr>
        <w:trPr>
          <w:trHeight w:val="265"/>
        </w:trPr>
        <w:tc>
          <w:tcPr>
            <w:tcW w:w="1760" w:type="dxa"/>
            <w:vAlign w:val="bottom"/>
          </w:tcPr>
          <w:p>
            <w:pPr>
              <w:ind w:left="20"/>
              <w:spacing w:after="0"/>
              <w:rPr>
                <w:sz w:val="20"/>
                <w:szCs w:val="20"/>
                <w:color w:val="auto"/>
              </w:rPr>
            </w:pPr>
            <w:r>
              <w:rPr>
                <w:rFonts w:ascii="Times New Roman" w:cs="Times New Roman" w:eastAsia="Times New Roman" w:hAnsi="Times New Roman"/>
                <w:sz w:val="14"/>
                <w:szCs w:val="14"/>
                <w:color w:val="auto"/>
              </w:rPr>
              <w:t>23.1</w:t>
            </w:r>
          </w:p>
        </w:tc>
        <w:tc>
          <w:tcPr>
            <w:tcW w:w="9520" w:type="dxa"/>
            <w:vAlign w:val="bottom"/>
            <w:gridSpan w:val="6"/>
          </w:tcPr>
          <w:p>
            <w:pPr>
              <w:spacing w:after="0"/>
              <w:rPr>
                <w:sz w:val="20"/>
                <w:szCs w:val="20"/>
                <w:color w:val="auto"/>
              </w:rPr>
            </w:pPr>
            <w:r>
              <w:rPr>
                <w:rFonts w:ascii="Times New Roman" w:cs="Times New Roman" w:eastAsia="Times New Roman" w:hAnsi="Times New Roman"/>
                <w:sz w:val="14"/>
                <w:szCs w:val="14"/>
                <w:color w:val="0000FF"/>
              </w:rPr>
              <w:t>Consent of Grant Thornton, LLP</w:t>
            </w:r>
          </w:p>
        </w:tc>
      </w:tr>
      <w:tr>
        <w:trPr>
          <w:trHeight w:val="20"/>
        </w:trPr>
        <w:tc>
          <w:tcPr>
            <w:tcW w:w="1760" w:type="dxa"/>
            <w:vAlign w:val="bottom"/>
          </w:tcPr>
          <w:p>
            <w:pPr>
              <w:spacing w:after="0" w:line="20" w:lineRule="exact"/>
              <w:rPr>
                <w:sz w:val="1"/>
                <w:szCs w:val="1"/>
                <w:color w:val="auto"/>
              </w:rPr>
            </w:pPr>
          </w:p>
        </w:tc>
        <w:tc>
          <w:tcPr>
            <w:tcW w:w="500" w:type="dxa"/>
            <w:vAlign w:val="bottom"/>
            <w:shd w:val="clear" w:color="auto" w:fill="0000FF"/>
          </w:tcPr>
          <w:p>
            <w:pPr>
              <w:spacing w:after="0" w:line="20" w:lineRule="exact"/>
              <w:rPr>
                <w:sz w:val="1"/>
                <w:szCs w:val="1"/>
                <w:color w:val="auto"/>
              </w:rPr>
            </w:pPr>
          </w:p>
        </w:tc>
        <w:tc>
          <w:tcPr>
            <w:tcW w:w="12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75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160"/>
        </w:trPr>
        <w:tc>
          <w:tcPr>
            <w:tcW w:w="1760" w:type="dxa"/>
            <w:vAlign w:val="bottom"/>
          </w:tcPr>
          <w:p>
            <w:pPr>
              <w:ind w:left="20"/>
              <w:spacing w:after="0"/>
              <w:rPr>
                <w:sz w:val="20"/>
                <w:szCs w:val="20"/>
                <w:color w:val="auto"/>
              </w:rPr>
            </w:pPr>
            <w:r>
              <w:rPr>
                <w:rFonts w:ascii="Times New Roman" w:cs="Times New Roman" w:eastAsia="Times New Roman" w:hAnsi="Times New Roman"/>
                <w:sz w:val="14"/>
                <w:szCs w:val="14"/>
                <w:color w:val="auto"/>
              </w:rPr>
              <w:t>99.1</w:t>
            </w:r>
          </w:p>
        </w:tc>
        <w:tc>
          <w:tcPr>
            <w:tcW w:w="9520" w:type="dxa"/>
            <w:vAlign w:val="bottom"/>
            <w:gridSpan w:val="6"/>
          </w:tcPr>
          <w:p>
            <w:pPr>
              <w:spacing w:after="0"/>
              <w:rPr>
                <w:sz w:val="20"/>
                <w:szCs w:val="20"/>
                <w:color w:val="auto"/>
              </w:rPr>
            </w:pPr>
            <w:r>
              <w:rPr>
                <w:rFonts w:ascii="Times New Roman" w:cs="Times New Roman" w:eastAsia="Times New Roman" w:hAnsi="Times New Roman"/>
                <w:sz w:val="14"/>
                <w:szCs w:val="14"/>
                <w:color w:val="0000FF"/>
              </w:rPr>
              <w:t>Audited Consolidated Financial Statements of Sunshine Fitness Growth Holdings, LLC and Subsidiaries (d/b/a Planet Fitness) as of and for the year ended December</w:t>
            </w:r>
          </w:p>
        </w:tc>
      </w:tr>
      <w:tr>
        <w:trPr>
          <w:trHeight w:val="129"/>
        </w:trPr>
        <w:tc>
          <w:tcPr>
            <w:tcW w:w="1760" w:type="dxa"/>
            <w:vAlign w:val="bottom"/>
          </w:tcPr>
          <w:p>
            <w:pPr>
              <w:spacing w:after="0"/>
              <w:rPr>
                <w:sz w:val="11"/>
                <w:szCs w:val="11"/>
                <w:color w:val="auto"/>
              </w:rPr>
            </w:pPr>
          </w:p>
        </w:tc>
        <w:tc>
          <w:tcPr>
            <w:tcW w:w="500" w:type="dxa"/>
            <w:vAlign w:val="bottom"/>
            <w:tcBorders>
              <w:top w:val="single" w:sz="8" w:color="0000FF"/>
              <w:bottom w:val="single" w:sz="8" w:color="0000FF"/>
            </w:tcBorders>
          </w:tcPr>
          <w:p>
            <w:pPr>
              <w:spacing w:after="0" w:line="129" w:lineRule="exact"/>
              <w:rPr>
                <w:sz w:val="20"/>
                <w:szCs w:val="20"/>
                <w:color w:val="auto"/>
              </w:rPr>
            </w:pPr>
            <w:r>
              <w:rPr>
                <w:rFonts w:ascii="Times New Roman" w:cs="Times New Roman" w:eastAsia="Times New Roman" w:hAnsi="Times New Roman"/>
                <w:sz w:val="14"/>
                <w:szCs w:val="14"/>
                <w:color w:val="0000FF"/>
                <w:w w:val="97"/>
              </w:rPr>
              <w:t>31, 2021</w:t>
            </w:r>
          </w:p>
        </w:tc>
        <w:tc>
          <w:tcPr>
            <w:tcW w:w="1280" w:type="dxa"/>
            <w:vAlign w:val="bottom"/>
            <w:tcBorders>
              <w:top w:val="single" w:sz="8" w:color="0000FF"/>
            </w:tcBorders>
          </w:tcPr>
          <w:p>
            <w:pPr>
              <w:spacing w:after="0"/>
              <w:rPr>
                <w:sz w:val="11"/>
                <w:szCs w:val="11"/>
                <w:color w:val="auto"/>
              </w:rPr>
            </w:pPr>
          </w:p>
        </w:tc>
        <w:tc>
          <w:tcPr>
            <w:tcW w:w="80" w:type="dxa"/>
            <w:vAlign w:val="bottom"/>
            <w:tcBorders>
              <w:top w:val="single" w:sz="8" w:color="0000FF"/>
            </w:tcBorders>
          </w:tcPr>
          <w:p>
            <w:pPr>
              <w:spacing w:after="0"/>
              <w:rPr>
                <w:sz w:val="11"/>
                <w:szCs w:val="11"/>
                <w:color w:val="auto"/>
              </w:rPr>
            </w:pPr>
          </w:p>
        </w:tc>
        <w:tc>
          <w:tcPr>
            <w:tcW w:w="7540" w:type="dxa"/>
            <w:vAlign w:val="bottom"/>
            <w:tcBorders>
              <w:top w:val="single" w:sz="8" w:color="0000FF"/>
            </w:tcBorders>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60"/>
        </w:trPr>
        <w:tc>
          <w:tcPr>
            <w:tcW w:w="1760" w:type="dxa"/>
            <w:vAlign w:val="bottom"/>
          </w:tcPr>
          <w:p>
            <w:pPr>
              <w:ind w:left="20"/>
              <w:spacing w:after="0"/>
              <w:rPr>
                <w:sz w:val="20"/>
                <w:szCs w:val="20"/>
                <w:color w:val="auto"/>
              </w:rPr>
            </w:pPr>
            <w:r>
              <w:rPr>
                <w:rFonts w:ascii="Times New Roman" w:cs="Times New Roman" w:eastAsia="Times New Roman" w:hAnsi="Times New Roman"/>
                <w:sz w:val="14"/>
                <w:szCs w:val="14"/>
                <w:color w:val="auto"/>
              </w:rPr>
              <w:t>99.2</w:t>
            </w:r>
          </w:p>
        </w:tc>
        <w:tc>
          <w:tcPr>
            <w:tcW w:w="9520" w:type="dxa"/>
            <w:vAlign w:val="bottom"/>
            <w:gridSpan w:val="6"/>
          </w:tcPr>
          <w:p>
            <w:pPr>
              <w:spacing w:after="0"/>
              <w:rPr>
                <w:sz w:val="20"/>
                <w:szCs w:val="20"/>
                <w:color w:val="auto"/>
              </w:rPr>
            </w:pPr>
            <w:r>
              <w:rPr>
                <w:rFonts w:ascii="Times New Roman" w:cs="Times New Roman" w:eastAsia="Times New Roman" w:hAnsi="Times New Roman"/>
                <w:sz w:val="14"/>
                <w:szCs w:val="14"/>
                <w:color w:val="0000FF"/>
              </w:rPr>
              <w:t>Unaudited Pro Forma Condensed Combined Balance sheet as of December 31, 2021 and Unaudited Pro Forma Condensed Combined Statements of Operations for the</w:t>
            </w:r>
          </w:p>
        </w:tc>
      </w:tr>
      <w:tr>
        <w:trPr>
          <w:trHeight w:val="129"/>
        </w:trPr>
        <w:tc>
          <w:tcPr>
            <w:tcW w:w="1760" w:type="dxa"/>
            <w:vAlign w:val="bottom"/>
          </w:tcPr>
          <w:p>
            <w:pPr>
              <w:spacing w:after="0"/>
              <w:rPr>
                <w:sz w:val="11"/>
                <w:szCs w:val="11"/>
                <w:color w:val="auto"/>
              </w:rPr>
            </w:pPr>
          </w:p>
        </w:tc>
        <w:tc>
          <w:tcPr>
            <w:tcW w:w="1780" w:type="dxa"/>
            <w:vAlign w:val="bottom"/>
            <w:tcBorders>
              <w:top w:val="single" w:sz="8" w:color="0000FF"/>
              <w:bottom w:val="single" w:sz="8" w:color="0000FF"/>
            </w:tcBorders>
            <w:gridSpan w:val="2"/>
          </w:tcPr>
          <w:p>
            <w:pPr>
              <w:spacing w:after="0" w:line="129" w:lineRule="exact"/>
              <w:rPr>
                <w:sz w:val="20"/>
                <w:szCs w:val="20"/>
                <w:color w:val="auto"/>
              </w:rPr>
            </w:pPr>
            <w:r>
              <w:rPr>
                <w:rFonts w:ascii="Times New Roman" w:cs="Times New Roman" w:eastAsia="Times New Roman" w:hAnsi="Times New Roman"/>
                <w:sz w:val="14"/>
                <w:szCs w:val="14"/>
                <w:color w:val="0000FF"/>
              </w:rPr>
              <w:t>year ended December 31, 2021</w:t>
            </w:r>
          </w:p>
        </w:tc>
        <w:tc>
          <w:tcPr>
            <w:tcW w:w="7680" w:type="dxa"/>
            <w:vAlign w:val="bottom"/>
            <w:tcBorders>
              <w:top w:val="single" w:sz="8" w:color="0000FF"/>
            </w:tcBorders>
            <w:gridSpan w:val="3"/>
          </w:tcPr>
          <w:p>
            <w:pPr>
              <w:spacing w:after="0"/>
              <w:rPr>
                <w:sz w:val="11"/>
                <w:szCs w:val="11"/>
                <w:color w:val="auto"/>
              </w:rPr>
            </w:pPr>
          </w:p>
        </w:tc>
        <w:tc>
          <w:tcPr>
            <w:tcW w:w="60" w:type="dxa"/>
            <w:vAlign w:val="bottom"/>
          </w:tcPr>
          <w:p>
            <w:pPr>
              <w:spacing w:after="0"/>
              <w:rPr>
                <w:sz w:val="11"/>
                <w:szCs w:val="11"/>
                <w:color w:val="auto"/>
              </w:rPr>
            </w:pPr>
          </w:p>
        </w:tc>
      </w:tr>
      <w:tr>
        <w:trPr>
          <w:trHeight w:val="192"/>
        </w:trPr>
        <w:tc>
          <w:tcPr>
            <w:tcW w:w="1760" w:type="dxa"/>
            <w:vAlign w:val="bottom"/>
          </w:tcPr>
          <w:p>
            <w:pPr>
              <w:ind w:left="20"/>
              <w:spacing w:after="0"/>
              <w:rPr>
                <w:sz w:val="20"/>
                <w:szCs w:val="20"/>
                <w:color w:val="auto"/>
              </w:rPr>
            </w:pPr>
            <w:r>
              <w:rPr>
                <w:rFonts w:ascii="Times New Roman" w:cs="Times New Roman" w:eastAsia="Times New Roman" w:hAnsi="Times New Roman"/>
                <w:sz w:val="14"/>
                <w:szCs w:val="14"/>
                <w:color w:val="auto"/>
              </w:rPr>
              <w:t>104</w:t>
            </w:r>
          </w:p>
        </w:tc>
        <w:tc>
          <w:tcPr>
            <w:tcW w:w="9520" w:type="dxa"/>
            <w:vAlign w:val="bottom"/>
            <w:gridSpan w:val="6"/>
          </w:tcPr>
          <w:p>
            <w:pPr>
              <w:spacing w:after="0"/>
              <w:rPr>
                <w:sz w:val="20"/>
                <w:szCs w:val="20"/>
                <w:color w:val="auto"/>
              </w:rPr>
            </w:pPr>
            <w:r>
              <w:rPr>
                <w:rFonts w:ascii="Times New Roman" w:cs="Times New Roman" w:eastAsia="Times New Roman" w:hAnsi="Times New Roman"/>
                <w:sz w:val="14"/>
                <w:szCs w:val="14"/>
                <w:color w:val="auto"/>
              </w:rPr>
              <w:t>The cover page from this Current Report on Form 8-K, formatted in Inline XBRL (included as Exhibit 101)</w:t>
            </w:r>
          </w:p>
        </w:tc>
      </w:tr>
    </w:tbl>
    <w:p>
      <w:pPr>
        <w:spacing w:after="0" w:line="37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4"/>
          <w:szCs w:val="14"/>
          <w:b w:val="1"/>
          <w:bCs w:val="1"/>
          <w:color w:val="auto"/>
        </w:rPr>
        <w:t>SIGNATURE</w:t>
      </w:r>
    </w:p>
    <w:p>
      <w:pPr>
        <w:spacing w:after="0" w:line="181" w:lineRule="exact"/>
        <w:rPr>
          <w:sz w:val="20"/>
          <w:szCs w:val="20"/>
          <w:color w:val="auto"/>
        </w:rPr>
      </w:pPr>
    </w:p>
    <w:p>
      <w:pPr>
        <w:spacing w:after="0"/>
        <w:rPr>
          <w:sz w:val="20"/>
          <w:szCs w:val="20"/>
          <w:color w:val="auto"/>
        </w:rPr>
      </w:pPr>
      <w:r>
        <w:rPr>
          <w:rFonts w:ascii="Times New Roman" w:cs="Times New Roman" w:eastAsia="Times New Roman" w:hAnsi="Times New Roman"/>
          <w:sz w:val="14"/>
          <w:szCs w:val="14"/>
          <w:color w:val="auto"/>
        </w:rPr>
        <w:t>Pursuant to the requirements of the Securities Exchange Act of 1934, the Registrant has duly caused this report to be signed on its behalf by the undersigned hereunto duly authorized.</w:t>
      </w:r>
    </w:p>
    <w:p>
      <w:pPr>
        <w:spacing w:after="0" w:line="200" w:lineRule="exact"/>
        <w:rPr>
          <w:sz w:val="20"/>
          <w:szCs w:val="20"/>
          <w:color w:val="auto"/>
        </w:rPr>
      </w:pPr>
    </w:p>
    <w:p>
      <w:pPr>
        <w:spacing w:after="0" w:line="295" w:lineRule="exact"/>
        <w:rPr>
          <w:sz w:val="20"/>
          <w:szCs w:val="20"/>
          <w:color w:val="auto"/>
        </w:rPr>
      </w:pPr>
    </w:p>
    <w:p>
      <w:pPr>
        <w:ind w:left="3160"/>
        <w:spacing w:after="0"/>
        <w:rPr>
          <w:sz w:val="20"/>
          <w:szCs w:val="20"/>
          <w:color w:val="auto"/>
        </w:rPr>
      </w:pPr>
      <w:r>
        <w:rPr>
          <w:rFonts w:ascii="Times New Roman" w:cs="Times New Roman" w:eastAsia="Times New Roman" w:hAnsi="Times New Roman"/>
          <w:sz w:val="14"/>
          <w:szCs w:val="14"/>
          <w:b w:val="1"/>
          <w:bCs w:val="1"/>
          <w:color w:val="auto"/>
        </w:rPr>
        <w:t>PLANET FITNESS, INC.</w:t>
      </w:r>
    </w:p>
    <w:p>
      <w:pPr>
        <w:spacing w:after="0" w:line="138" w:lineRule="exact"/>
        <w:rPr>
          <w:sz w:val="20"/>
          <w:szCs w:val="20"/>
          <w:color w:val="auto"/>
        </w:rPr>
      </w:pPr>
    </w:p>
    <w:tbl>
      <w:tblPr>
        <w:tblLayout w:type="fixed"/>
        <w:tblInd w:w="3140" w:type="dxa"/>
        <w:tblCellMar>
          <w:top w:w="0" w:type="dxa"/>
          <w:left w:w="0" w:type="dxa"/>
          <w:bottom w:w="0" w:type="dxa"/>
          <w:right w:w="0" w:type="dxa"/>
        </w:tblCellMar>
      </w:tblPr>
      <w:tr>
        <w:trPr>
          <w:trHeight w:val="184"/>
        </w:trPr>
        <w:tc>
          <w:tcPr>
            <w:tcW w:w="640" w:type="dxa"/>
            <w:vAlign w:val="bottom"/>
            <w:tcBorders>
              <w:bottom w:val="single" w:sz="8" w:color="auto"/>
            </w:tcBorders>
          </w:tcPr>
          <w:p>
            <w:pPr>
              <w:ind w:left="20"/>
              <w:spacing w:after="0"/>
              <w:rPr>
                <w:sz w:val="20"/>
                <w:szCs w:val="20"/>
                <w:color w:val="auto"/>
              </w:rPr>
            </w:pPr>
            <w:r>
              <w:rPr>
                <w:rFonts w:ascii="Times New Roman" w:cs="Times New Roman" w:eastAsia="Times New Roman" w:hAnsi="Times New Roman"/>
                <w:sz w:val="14"/>
                <w:szCs w:val="14"/>
                <w:color w:val="auto"/>
              </w:rPr>
              <w:t>By:</w:t>
            </w:r>
          </w:p>
        </w:tc>
        <w:tc>
          <w:tcPr>
            <w:tcW w:w="4380" w:type="dxa"/>
            <w:vAlign w:val="bottom"/>
            <w:tcBorders>
              <w:bottom w:val="single" w:sz="8" w:color="auto"/>
            </w:tcBorders>
          </w:tcPr>
          <w:p>
            <w:pPr>
              <w:ind w:left="260"/>
              <w:spacing w:after="0"/>
              <w:rPr>
                <w:sz w:val="20"/>
                <w:szCs w:val="20"/>
                <w:color w:val="auto"/>
              </w:rPr>
            </w:pPr>
            <w:r>
              <w:rPr>
                <w:rFonts w:ascii="Times New Roman" w:cs="Times New Roman" w:eastAsia="Times New Roman" w:hAnsi="Times New Roman"/>
                <w:sz w:val="14"/>
                <w:szCs w:val="14"/>
                <w:color w:val="auto"/>
              </w:rPr>
              <w:t>/s/ Thomas Fitzgerald</w:t>
            </w:r>
          </w:p>
        </w:tc>
      </w:tr>
      <w:tr>
        <w:trPr>
          <w:trHeight w:val="129"/>
        </w:trPr>
        <w:tc>
          <w:tcPr>
            <w:tcW w:w="640" w:type="dxa"/>
            <w:vAlign w:val="bottom"/>
          </w:tcPr>
          <w:p>
            <w:pPr>
              <w:ind w:left="20"/>
              <w:spacing w:after="0" w:line="129" w:lineRule="exact"/>
              <w:rPr>
                <w:sz w:val="20"/>
                <w:szCs w:val="20"/>
                <w:color w:val="auto"/>
              </w:rPr>
            </w:pPr>
            <w:r>
              <w:rPr>
                <w:rFonts w:ascii="Times New Roman" w:cs="Times New Roman" w:eastAsia="Times New Roman" w:hAnsi="Times New Roman"/>
                <w:sz w:val="14"/>
                <w:szCs w:val="14"/>
                <w:color w:val="auto"/>
              </w:rPr>
              <w:t>Name:</w:t>
            </w:r>
          </w:p>
        </w:tc>
        <w:tc>
          <w:tcPr>
            <w:tcW w:w="4380" w:type="dxa"/>
            <w:vAlign w:val="bottom"/>
          </w:tcPr>
          <w:p>
            <w:pPr>
              <w:ind w:left="260"/>
              <w:spacing w:after="0" w:line="129" w:lineRule="exact"/>
              <w:rPr>
                <w:sz w:val="20"/>
                <w:szCs w:val="20"/>
                <w:color w:val="auto"/>
              </w:rPr>
            </w:pPr>
            <w:r>
              <w:rPr>
                <w:rFonts w:ascii="Times New Roman" w:cs="Times New Roman" w:eastAsia="Times New Roman" w:hAnsi="Times New Roman"/>
                <w:sz w:val="14"/>
                <w:szCs w:val="14"/>
                <w:color w:val="auto"/>
              </w:rPr>
              <w:t>Thomas Fitzgerald</w:t>
            </w:r>
          </w:p>
        </w:tc>
      </w:tr>
      <w:tr>
        <w:trPr>
          <w:trHeight w:val="184"/>
        </w:trPr>
        <w:tc>
          <w:tcPr>
            <w:tcW w:w="640" w:type="dxa"/>
            <w:vAlign w:val="bottom"/>
          </w:tcPr>
          <w:p>
            <w:pPr>
              <w:ind w:left="20"/>
              <w:spacing w:after="0"/>
              <w:rPr>
                <w:sz w:val="20"/>
                <w:szCs w:val="20"/>
                <w:color w:val="auto"/>
              </w:rPr>
            </w:pPr>
            <w:r>
              <w:rPr>
                <w:rFonts w:ascii="Times New Roman" w:cs="Times New Roman" w:eastAsia="Times New Roman" w:hAnsi="Times New Roman"/>
                <w:sz w:val="14"/>
                <w:szCs w:val="14"/>
                <w:color w:val="auto"/>
              </w:rPr>
              <w:t>Title:</w:t>
            </w:r>
          </w:p>
        </w:tc>
        <w:tc>
          <w:tcPr>
            <w:tcW w:w="4380" w:type="dxa"/>
            <w:vAlign w:val="bottom"/>
          </w:tcPr>
          <w:p>
            <w:pPr>
              <w:ind w:left="260"/>
              <w:spacing w:after="0"/>
              <w:rPr>
                <w:sz w:val="20"/>
                <w:szCs w:val="20"/>
                <w:color w:val="auto"/>
              </w:rPr>
            </w:pPr>
            <w:r>
              <w:rPr>
                <w:rFonts w:ascii="Times New Roman" w:cs="Times New Roman" w:eastAsia="Times New Roman" w:hAnsi="Times New Roman"/>
                <w:sz w:val="14"/>
                <w:szCs w:val="14"/>
                <w:color w:val="auto"/>
              </w:rPr>
              <w:t>Chief Financial Officer</w:t>
            </w:r>
          </w:p>
        </w:tc>
      </w:tr>
    </w:tbl>
    <w:p>
      <w:pPr>
        <w:spacing w:after="0" w:line="67" w:lineRule="exact"/>
        <w:rPr>
          <w:sz w:val="20"/>
          <w:szCs w:val="20"/>
          <w:color w:val="auto"/>
        </w:rPr>
      </w:pPr>
    </w:p>
    <w:p>
      <w:pPr>
        <w:ind w:left="40"/>
        <w:spacing w:after="0"/>
        <w:rPr>
          <w:sz w:val="20"/>
          <w:szCs w:val="20"/>
          <w:color w:val="auto"/>
        </w:rPr>
      </w:pPr>
      <w:r>
        <w:rPr>
          <w:rFonts w:ascii="Times New Roman" w:cs="Times New Roman" w:eastAsia="Times New Roman" w:hAnsi="Times New Roman"/>
          <w:sz w:val="14"/>
          <w:szCs w:val="14"/>
          <w:color w:val="auto"/>
        </w:rPr>
        <w:t>Dated: April 26, 2022</w:t>
      </w:r>
    </w:p>
    <w:p>
      <w:pPr>
        <w:sectPr>
          <w:pgSz w:w="11900" w:h="16838" w:orient="portrait"/>
          <w:cols w:equalWidth="0" w:num="1">
            <w:col w:w="11280"/>
          </w:cols>
          <w:pgMar w:left="300" w:top="759" w:right="319" w:bottom="1440" w:gutter="0" w:footer="0" w:header="0"/>
        </w:sectPr>
      </w:pPr>
    </w:p>
    <w:bookmarkStart w:id="2" w:name="page3"/>
    <w:bookmarkEnd w:id="2"/>
    <w:p>
      <w:pPr>
        <w:jc w:val="center"/>
        <w:spacing w:after="0"/>
        <w:rPr>
          <w:sz w:val="20"/>
          <w:szCs w:val="20"/>
          <w:color w:val="auto"/>
        </w:rPr>
      </w:pPr>
      <w:r>
        <w:rPr>
          <w:rFonts w:ascii="Times New Roman" w:cs="Times New Roman" w:eastAsia="Times New Roman" w:hAnsi="Times New Roman"/>
          <w:sz w:val="14"/>
          <w:szCs w:val="14"/>
          <w:b w:val="1"/>
          <w:bCs w:val="1"/>
          <w:color w:val="auto"/>
        </w:rPr>
        <w:t>CONSENT OF INDEPENDENT CERTIFIED PUBLIC ACCOUNTANTS</w:t>
      </w:r>
    </w:p>
    <w:p>
      <w:pPr>
        <w:spacing w:after="0" w:line="202"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14"/>
          <w:szCs w:val="14"/>
          <w:color w:val="auto"/>
        </w:rPr>
        <w:t>We have issued our report dated April 12, 2022, with respect to the consolidated financial statements of Sunshine Fitness Growth Holdings, LLC and Subsidiaries (d/b/a Planet Fitness) included in the current report of Planet Fitness, Inc. on Form 8-K/A filed April 26, 2022. We consent to the incorporation by reference of said report in the Registration Statement of Planet Fitness, Inc. on Form S-3ASR (File No. 333-263230).</w:t>
      </w:r>
    </w:p>
    <w:p>
      <w:pPr>
        <w:spacing w:after="0" w:line="14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4"/>
          <w:szCs w:val="14"/>
          <w:color w:val="auto"/>
        </w:rPr>
        <w:t>/s/ Grant Thornton LLP</w:t>
      </w:r>
    </w:p>
    <w:p>
      <w:pPr>
        <w:spacing w:after="0" w:line="189" w:lineRule="exact"/>
        <w:rPr>
          <w:sz w:val="20"/>
          <w:szCs w:val="20"/>
          <w:color w:val="auto"/>
        </w:rPr>
      </w:pPr>
    </w:p>
    <w:p>
      <w:pPr>
        <w:spacing w:after="0"/>
        <w:rPr>
          <w:sz w:val="20"/>
          <w:szCs w:val="20"/>
          <w:color w:val="auto"/>
        </w:rPr>
      </w:pPr>
      <w:r>
        <w:rPr>
          <w:rFonts w:ascii="Times New Roman" w:cs="Times New Roman" w:eastAsia="Times New Roman" w:hAnsi="Times New Roman"/>
          <w:sz w:val="14"/>
          <w:szCs w:val="14"/>
          <w:color w:val="auto"/>
        </w:rPr>
        <w:t>Orlando, Florida</w:t>
      </w:r>
    </w:p>
    <w:p>
      <w:pPr>
        <w:spacing w:after="0" w:line="14" w:lineRule="exact"/>
        <w:rPr>
          <w:sz w:val="20"/>
          <w:szCs w:val="20"/>
          <w:color w:val="auto"/>
        </w:rPr>
      </w:pPr>
    </w:p>
    <w:p>
      <w:pPr>
        <w:spacing w:after="0"/>
        <w:rPr>
          <w:sz w:val="20"/>
          <w:szCs w:val="20"/>
          <w:color w:val="auto"/>
        </w:rPr>
      </w:pPr>
      <w:r>
        <w:rPr>
          <w:rFonts w:ascii="Times New Roman" w:cs="Times New Roman" w:eastAsia="Times New Roman" w:hAnsi="Times New Roman"/>
          <w:sz w:val="14"/>
          <w:szCs w:val="14"/>
          <w:color w:val="auto"/>
        </w:rPr>
        <w:t>April 26, 2022</w:t>
      </w:r>
    </w:p>
    <w:p>
      <w:pPr>
        <w:sectPr>
          <w:pgSz w:w="11900" w:h="16838" w:orient="portrait"/>
          <w:cols w:equalWidth="0" w:num="1">
            <w:col w:w="11280"/>
          </w:cols>
          <w:pgMar w:left="300" w:top="1152" w:right="319" w:bottom="1440" w:gutter="0" w:footer="0" w:header="0"/>
        </w:sectPr>
      </w:pPr>
    </w:p>
    <w:bookmarkStart w:id="3" w:name="page4"/>
    <w:bookmarkEnd w:id="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304800</wp:posOffset>
            </wp:positionV>
            <wp:extent cx="7105650" cy="93275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0565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 w:name="page5"/>
    <w:bookmarkEnd w:id="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425450</wp:posOffset>
            </wp:positionV>
            <wp:extent cx="7105650" cy="93275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0565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425450</wp:posOffset>
            </wp:positionV>
            <wp:extent cx="7105650" cy="93338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05650" cy="93338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425450</wp:posOffset>
            </wp:positionV>
            <wp:extent cx="7105650" cy="93338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05650" cy="93338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425450</wp:posOffset>
            </wp:positionV>
            <wp:extent cx="7105650" cy="93275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0565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425450</wp:posOffset>
            </wp:positionV>
            <wp:extent cx="7105650" cy="93275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0565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425450</wp:posOffset>
            </wp:positionV>
            <wp:extent cx="7105650" cy="93275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0565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426085</wp:posOffset>
            </wp:positionV>
            <wp:extent cx="7105650" cy="93275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0565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425450</wp:posOffset>
            </wp:positionV>
            <wp:extent cx="7105650" cy="93338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05650" cy="93338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426085</wp:posOffset>
            </wp:positionV>
            <wp:extent cx="7105650" cy="93338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05650" cy="93338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426085</wp:posOffset>
            </wp:positionV>
            <wp:extent cx="7105650" cy="93408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05650" cy="9340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425450</wp:posOffset>
            </wp:positionV>
            <wp:extent cx="7105650" cy="93338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05650" cy="93338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425450</wp:posOffset>
            </wp:positionV>
            <wp:extent cx="7105650" cy="93338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05650" cy="93338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426085</wp:posOffset>
            </wp:positionV>
            <wp:extent cx="7105650" cy="93338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05650" cy="93338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425450</wp:posOffset>
            </wp:positionV>
            <wp:extent cx="7105650" cy="93338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05650" cy="93338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426085</wp:posOffset>
            </wp:positionV>
            <wp:extent cx="7105650" cy="93338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05650" cy="93338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425450</wp:posOffset>
            </wp:positionV>
            <wp:extent cx="7105650" cy="93338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05650" cy="93338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298450</wp:posOffset>
            </wp:positionH>
            <wp:positionV relativeFrom="page">
              <wp:posOffset>426085</wp:posOffset>
            </wp:positionV>
            <wp:extent cx="7105650" cy="93275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0565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rPr>
          <w:sz w:val="20"/>
          <w:szCs w:val="20"/>
          <w:color w:val="auto"/>
        </w:rPr>
      </w:pPr>
    </w:p>
    <w:p>
      <w:pPr>
        <w:sectPr>
          <w:pgSz w:w="11900" w:h="16838" w:orient="portrait"/>
          <w:cols w:equalWidth="1" w:num="1" w:space="0"/>
          <w:pgMar w:left="1440" w:top="1440" w:right="1440" w:bottom="875" w:gutter="0" w:footer="0" w:header="0"/>
        </w:sectPr>
      </w:pPr>
    </w:p>
    <w:bookmarkStart w:id="22" w:name="page23"/>
    <w:bookmarkEnd w:id="22"/>
    <w:p>
      <w:pPr>
        <w:jc w:val="right"/>
        <w:spacing w:after="0"/>
        <w:rPr>
          <w:sz w:val="20"/>
          <w:szCs w:val="20"/>
          <w:color w:val="auto"/>
        </w:rPr>
      </w:pPr>
      <w:r>
        <w:rPr>
          <w:rFonts w:ascii="Times New Roman" w:cs="Times New Roman" w:eastAsia="Times New Roman" w:hAnsi="Times New Roman"/>
          <w:sz w:val="14"/>
          <w:szCs w:val="14"/>
          <w:b w:val="1"/>
          <w:bCs w:val="1"/>
          <w:color w:val="auto"/>
        </w:rPr>
        <w:t>Exhibit 99.2</w:t>
      </w:r>
    </w:p>
    <w:p>
      <w:pPr>
        <w:spacing w:after="0" w:line="20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4"/>
          <w:szCs w:val="14"/>
          <w:b w:val="1"/>
          <w:bCs w:val="1"/>
          <w:color w:val="auto"/>
        </w:rPr>
        <w:t>UNAUDITED PRO FORMA CONDENSED COMBINED FINANCIAL INFORMATION</w:t>
      </w:r>
    </w:p>
    <w:p>
      <w:pPr>
        <w:spacing w:after="0" w:line="96" w:lineRule="exact"/>
        <w:rPr>
          <w:sz w:val="20"/>
          <w:szCs w:val="20"/>
          <w:color w:val="auto"/>
        </w:rPr>
      </w:pPr>
    </w:p>
    <w:p>
      <w:pPr>
        <w:jc w:val="both"/>
        <w:spacing w:after="0" w:line="264" w:lineRule="auto"/>
        <w:rPr>
          <w:sz w:val="20"/>
          <w:szCs w:val="20"/>
          <w:color w:val="auto"/>
        </w:rPr>
      </w:pPr>
      <w:r>
        <w:rPr>
          <w:rFonts w:ascii="Times New Roman" w:cs="Times New Roman" w:eastAsia="Times New Roman" w:hAnsi="Times New Roman"/>
          <w:sz w:val="14"/>
          <w:szCs w:val="14"/>
          <w:color w:val="auto"/>
        </w:rPr>
        <w:t>The following sets forth the unaudited pro forma condensed combined financial statements (the “Pro Forma Financial Statements”) of Planet Fitness, Inc. (the “Company”) after giving effect to the acquisition of Sunshine Fitness Growth Holdings, LLC and its subsidiaries (collectively, “Sunshine Fitness”). On February 10, 2022, the Company and Pla-Fit Holdings, LLC (together with the Company, the “Buyers”) acquired 100% of the equity interests of Sunshine Fitness, a Delaware limited liability company and Planet Fitness franchisee (the “Acquisition”). At the date of Acquisition, Sunshine Fitness operated 114 locations in Alabama, Florida, Georgia, North Carolina, and South Carolina.</w:t>
      </w:r>
    </w:p>
    <w:p>
      <w:pPr>
        <w:spacing w:after="0" w:line="45"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14"/>
          <w:szCs w:val="14"/>
          <w:color w:val="auto"/>
        </w:rPr>
        <w:t>The purchase price of the Acquisition was approximately $825.7 million including approximately $431.9 million in cash consideration and approximately $393.7 million of equity consideration, including 517,348 shares of Class A Common Stock, par value $0.0001, of the Company and 3,637,678 membership units of Pla-Fit Holdings, LLC, together with an equivalent number of shares of Class B Common Stock, par value $0.0001, of the Company.</w:t>
      </w:r>
    </w:p>
    <w:p>
      <w:pPr>
        <w:spacing w:after="0" w:line="51" w:lineRule="exact"/>
        <w:rPr>
          <w:sz w:val="20"/>
          <w:szCs w:val="20"/>
          <w:color w:val="auto"/>
        </w:rPr>
      </w:pPr>
    </w:p>
    <w:p>
      <w:pPr>
        <w:jc w:val="both"/>
        <w:spacing w:after="0"/>
        <w:rPr>
          <w:sz w:val="20"/>
          <w:szCs w:val="20"/>
          <w:color w:val="auto"/>
        </w:rPr>
      </w:pPr>
      <w:r>
        <w:rPr>
          <w:rFonts w:ascii="Times New Roman" w:cs="Times New Roman" w:eastAsia="Times New Roman" w:hAnsi="Times New Roman"/>
          <w:sz w:val="14"/>
          <w:szCs w:val="14"/>
          <w:color w:val="auto"/>
        </w:rPr>
        <w:t>Also closing on February 10, 2022, the Company issued the Series 2022-1 Class A-2 Fixed Rate Senior Secured Notes (the “2022 Class A-2 Notes”), which consist of two tranches: the 2022 Class A-2-I Senior Secured Notes with an anticipated repayment term of five years, with an aggregate principal amount of $425.0 million and a fixed interest rate of 3.251% per annum, payable quarterly, and the 2022 Class A-2-II Senior Secured Notes with an anticipated repayment term of ten years, with an aggregate principal amount of $475.0 million and a fixed interest rate of 4.008% per annum, payable quarterly. The 2022 Class A-2 Notes were issued in a privately placed securitization transaction. In conjunction with the issuance, the Company used a portion of the net proceeds for the repayment in full of approximately $556.3 million in aggregate principal amount of the Series 2018-1 Class A-2-I Notes (together with any accrued and unpaid interest on such Series 2018-1 Class A-2-I Notes), and paid the transaction costs, funded the reserve accounts associated with the securitized financing facility and funded a portion of the Acquisition. The Acquisition of Sunshine Fitness and related refinancing are collectively referred to as the “Transaction.”</w:t>
      </w:r>
    </w:p>
    <w:p>
      <w:pPr>
        <w:spacing w:after="0" w:line="72" w:lineRule="exact"/>
        <w:rPr>
          <w:sz w:val="20"/>
          <w:szCs w:val="20"/>
          <w:color w:val="auto"/>
        </w:rPr>
      </w:pPr>
    </w:p>
    <w:p>
      <w:pPr>
        <w:jc w:val="both"/>
        <w:spacing w:after="0" w:line="264" w:lineRule="auto"/>
        <w:rPr>
          <w:sz w:val="20"/>
          <w:szCs w:val="20"/>
          <w:color w:val="auto"/>
        </w:rPr>
      </w:pPr>
      <w:r>
        <w:rPr>
          <w:rFonts w:ascii="Times New Roman" w:cs="Times New Roman" w:eastAsia="Times New Roman" w:hAnsi="Times New Roman"/>
          <w:sz w:val="14"/>
          <w:szCs w:val="14"/>
          <w:color w:val="auto"/>
        </w:rPr>
        <w:t>The unaudited pro forma condensed combined statements of operations for the year ended December 31, 2021 (the “Pro Forma Statements of Operations”) gives effect to the Transaction as if it were consummated on January 1, 2021. The unaudited pro forma condensed combined balance sheet as of December 31, 2021 (the “Pro Forma Balance Sheet”) gives effect to the Transaction as if it were consummated on December 31, 2021. The historical consolidated financial information has been adjusted in the Pro Forma Financial Statements to reflect the pro forma impact of the Transaction. These Pro Forma Financial Statements do not include the effects of any transactions that took place subsequent to February 10, 2022.</w:t>
      </w:r>
    </w:p>
    <w:p>
      <w:pPr>
        <w:spacing w:after="0" w:line="56" w:lineRule="exact"/>
        <w:rPr>
          <w:sz w:val="20"/>
          <w:szCs w:val="20"/>
          <w:color w:val="auto"/>
        </w:rPr>
      </w:pPr>
    </w:p>
    <w:p>
      <w:pPr>
        <w:jc w:val="both"/>
        <w:spacing w:after="0" w:line="264" w:lineRule="auto"/>
        <w:rPr>
          <w:sz w:val="20"/>
          <w:szCs w:val="20"/>
          <w:color w:val="auto"/>
        </w:rPr>
      </w:pPr>
      <w:r>
        <w:rPr>
          <w:rFonts w:ascii="Times New Roman" w:cs="Times New Roman" w:eastAsia="Times New Roman" w:hAnsi="Times New Roman"/>
          <w:sz w:val="14"/>
          <w:szCs w:val="14"/>
          <w:color w:val="auto"/>
        </w:rPr>
        <w:t>The Pro Forma Financial Statements do not reflect any cost savings or associated costs to achieve such savings from operating efficiencies, synergies, or other restructuring that may result from the Acquisition. The Pro Forma Financial Statements are preliminary and are not necessarily indicative of the operating results or financial position that would have occurred if the Transaction had been completed on the date assumed, nor are they necessarily indicative of the future operating results or financial position of the combined company. The assumptions and estimates underlying the unaudited adjustments to the Pro Forma Financial Statements are described in the accompanying notes, which should be read together with the Pro Forma Financial Statements.</w:t>
      </w:r>
    </w:p>
    <w:p>
      <w:pPr>
        <w:spacing w:after="0" w:line="56"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14"/>
          <w:szCs w:val="14"/>
          <w:color w:val="auto"/>
        </w:rPr>
        <w:t>The Pro Forma Financial Statements have been derived from and should be read in conjunction with the consolidated financial statements and the related notes of the Company included in its Annual Report on Form 10-K for the year ended December 31, 2021.</w:t>
      </w:r>
    </w:p>
    <w:p>
      <w:pPr>
        <w:sectPr>
          <w:pgSz w:w="11900" w:h="16838" w:orient="portrait"/>
          <w:cols w:equalWidth="0" w:num="1">
            <w:col w:w="11280"/>
          </w:cols>
          <w:pgMar w:left="300" w:top="759" w:right="319" w:bottom="1440" w:gutter="0" w:footer="0" w:header="0"/>
        </w:sectPr>
      </w:pPr>
    </w:p>
    <w:bookmarkStart w:id="23" w:name="page24"/>
    <w:bookmarkEnd w:id="23"/>
    <w:p>
      <w:pPr>
        <w:jc w:val="center"/>
        <w:spacing w:after="0"/>
        <w:rPr>
          <w:sz w:val="20"/>
          <w:szCs w:val="20"/>
          <w:color w:val="auto"/>
        </w:rPr>
      </w:pPr>
      <w:r>
        <w:rPr>
          <w:rFonts w:ascii="Times New Roman" w:cs="Times New Roman" w:eastAsia="Times New Roman" w:hAnsi="Times New Roman"/>
          <w:sz w:val="14"/>
          <w:szCs w:val="14"/>
          <w:b w:val="1"/>
          <w:bCs w:val="1"/>
          <w:color w:val="auto"/>
        </w:rPr>
        <w:t>Planet Fitness, Inc.</w:t>
      </w:r>
    </w:p>
    <w:p>
      <w:pPr>
        <w:spacing w:after="0" w:line="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4"/>
          <w:szCs w:val="14"/>
          <w:b w:val="1"/>
          <w:bCs w:val="1"/>
          <w:color w:val="auto"/>
        </w:rPr>
        <w:t>Unaudited Pro Forma Condensed Combined Balance Sheet as of December 31, 2021</w:t>
      </w:r>
    </w:p>
    <w:p>
      <w:pPr>
        <w:spacing w:after="0" w:line="200" w:lineRule="exact"/>
        <w:rPr>
          <w:sz w:val="20"/>
          <w:szCs w:val="20"/>
          <w:color w:val="auto"/>
        </w:rPr>
      </w:pPr>
    </w:p>
    <w:p>
      <w:pPr>
        <w:spacing w:after="0" w:line="320" w:lineRule="exact"/>
        <w:rPr>
          <w:sz w:val="20"/>
          <w:szCs w:val="20"/>
          <w:color w:val="auto"/>
        </w:rPr>
      </w:pPr>
    </w:p>
    <w:tbl>
      <w:tblPr>
        <w:tblLayout w:type="fixed"/>
        <w:tblInd w:w="0" w:type="dxa"/>
        <w:tblCellMar>
          <w:top w:w="0" w:type="dxa"/>
          <w:left w:w="0" w:type="dxa"/>
          <w:bottom w:w="0" w:type="dxa"/>
          <w:right w:w="0" w:type="dxa"/>
        </w:tblCellMar>
      </w:tblPr>
      <w:tr>
        <w:trPr>
          <w:trHeight w:val="158"/>
        </w:trPr>
        <w:tc>
          <w:tcPr>
            <w:tcW w:w="508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1400" w:type="dxa"/>
            <w:vAlign w:val="bottom"/>
            <w:tcBorders>
              <w:bottom w:val="single" w:sz="8" w:color="auto"/>
            </w:tcBorders>
            <w:gridSpan w:val="3"/>
          </w:tcPr>
          <w:p>
            <w:pPr>
              <w:jc w:val="right"/>
              <w:spacing w:after="0"/>
              <w:rPr>
                <w:sz w:val="20"/>
                <w:szCs w:val="20"/>
                <w:color w:val="auto"/>
              </w:rPr>
            </w:pPr>
            <w:r>
              <w:rPr>
                <w:rFonts w:ascii="Times New Roman" w:cs="Times New Roman" w:eastAsia="Times New Roman" w:hAnsi="Times New Roman"/>
                <w:sz w:val="11"/>
                <w:szCs w:val="11"/>
                <w:b w:val="1"/>
                <w:bCs w:val="1"/>
                <w:color w:val="auto"/>
              </w:rPr>
              <w:t>Historical</w:t>
            </w:r>
          </w:p>
        </w:tc>
        <w:tc>
          <w:tcPr>
            <w:tcW w:w="1020" w:type="dxa"/>
            <w:vAlign w:val="bottom"/>
            <w:tcBorders>
              <w:bottom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140" w:type="dxa"/>
            <w:vAlign w:val="bottom"/>
          </w:tcPr>
          <w:p>
            <w:pPr>
              <w:spacing w:after="0"/>
              <w:rPr>
                <w:sz w:val="13"/>
                <w:szCs w:val="13"/>
                <w:color w:val="auto"/>
              </w:rPr>
            </w:pPr>
          </w:p>
        </w:tc>
      </w:tr>
      <w:tr>
        <w:trPr>
          <w:trHeight w:val="154"/>
        </w:trPr>
        <w:tc>
          <w:tcPr>
            <w:tcW w:w="5080" w:type="dxa"/>
            <w:vAlign w:val="bottom"/>
          </w:tcPr>
          <w:p>
            <w:pPr>
              <w:ind w:left="20"/>
              <w:spacing w:after="0"/>
              <w:rPr>
                <w:sz w:val="20"/>
                <w:szCs w:val="20"/>
                <w:color w:val="auto"/>
              </w:rPr>
            </w:pPr>
            <w:r>
              <w:rPr>
                <w:rFonts w:ascii="Times New Roman" w:cs="Times New Roman" w:eastAsia="Times New Roman" w:hAnsi="Times New Roman"/>
                <w:sz w:val="11"/>
                <w:szCs w:val="11"/>
                <w:b w:val="1"/>
                <w:bCs w:val="1"/>
                <w:color w:val="auto"/>
              </w:rPr>
              <w:t>(in thousands)</w:t>
            </w:r>
          </w:p>
        </w:tc>
        <w:tc>
          <w:tcPr>
            <w:tcW w:w="140" w:type="dxa"/>
            <w:vAlign w:val="bottom"/>
          </w:tcPr>
          <w:p>
            <w:pPr>
              <w:spacing w:after="0"/>
              <w:rPr>
                <w:sz w:val="13"/>
                <w:szCs w:val="13"/>
                <w:color w:val="auto"/>
              </w:rPr>
            </w:pPr>
          </w:p>
        </w:tc>
        <w:tc>
          <w:tcPr>
            <w:tcW w:w="1200" w:type="dxa"/>
            <w:vAlign w:val="bottom"/>
            <w:gridSpan w:val="2"/>
          </w:tcPr>
          <w:p>
            <w:pPr>
              <w:ind w:left="40"/>
              <w:spacing w:after="0"/>
              <w:rPr>
                <w:sz w:val="20"/>
                <w:szCs w:val="20"/>
                <w:color w:val="auto"/>
              </w:rPr>
            </w:pPr>
            <w:r>
              <w:rPr>
                <w:rFonts w:ascii="Times New Roman" w:cs="Times New Roman" w:eastAsia="Times New Roman" w:hAnsi="Times New Roman"/>
                <w:sz w:val="11"/>
                <w:szCs w:val="11"/>
                <w:b w:val="1"/>
                <w:bCs w:val="1"/>
                <w:color w:val="auto"/>
              </w:rPr>
              <w:t>Planet Fitness, Inc</w:t>
            </w:r>
          </w:p>
        </w:tc>
        <w:tc>
          <w:tcPr>
            <w:tcW w:w="200" w:type="dxa"/>
            <w:vAlign w:val="bottom"/>
          </w:tcPr>
          <w:p>
            <w:pPr>
              <w:spacing w:after="0"/>
              <w:rPr>
                <w:sz w:val="13"/>
                <w:szCs w:val="13"/>
                <w:color w:val="auto"/>
              </w:rPr>
            </w:pPr>
          </w:p>
        </w:tc>
        <w:tc>
          <w:tcPr>
            <w:tcW w:w="1020" w:type="dxa"/>
            <w:vAlign w:val="bottom"/>
          </w:tcPr>
          <w:p>
            <w:pPr>
              <w:jc w:val="right"/>
              <w:ind w:right="137"/>
              <w:spacing w:after="0"/>
              <w:rPr>
                <w:sz w:val="20"/>
                <w:szCs w:val="20"/>
                <w:color w:val="auto"/>
              </w:rPr>
            </w:pPr>
            <w:r>
              <w:rPr>
                <w:rFonts w:ascii="Times New Roman" w:cs="Times New Roman" w:eastAsia="Times New Roman" w:hAnsi="Times New Roman"/>
                <w:sz w:val="11"/>
                <w:szCs w:val="11"/>
                <w:b w:val="1"/>
                <w:bCs w:val="1"/>
                <w:color w:val="auto"/>
              </w:rPr>
              <w:t>Sunshine Fitness</w:t>
            </w:r>
          </w:p>
        </w:tc>
        <w:tc>
          <w:tcPr>
            <w:tcW w:w="80" w:type="dxa"/>
            <w:vAlign w:val="bottom"/>
          </w:tcPr>
          <w:p>
            <w:pPr>
              <w:spacing w:after="0"/>
              <w:rPr>
                <w:sz w:val="13"/>
                <w:szCs w:val="13"/>
                <w:color w:val="auto"/>
              </w:rPr>
            </w:pPr>
          </w:p>
        </w:tc>
        <w:tc>
          <w:tcPr>
            <w:tcW w:w="1240" w:type="dxa"/>
            <w:vAlign w:val="bottom"/>
            <w:gridSpan w:val="2"/>
          </w:tcPr>
          <w:p>
            <w:pPr>
              <w:ind w:left="40"/>
              <w:spacing w:after="0"/>
              <w:rPr>
                <w:sz w:val="20"/>
                <w:szCs w:val="20"/>
                <w:color w:val="auto"/>
              </w:rPr>
            </w:pPr>
            <w:r>
              <w:rPr>
                <w:rFonts w:ascii="Times New Roman" w:cs="Times New Roman" w:eastAsia="Times New Roman" w:hAnsi="Times New Roman"/>
                <w:sz w:val="11"/>
                <w:szCs w:val="11"/>
                <w:b w:val="1"/>
                <w:bCs w:val="1"/>
                <w:color w:val="auto"/>
              </w:rPr>
              <w:t>Pro Forma Adjustments</w:t>
            </w:r>
          </w:p>
        </w:tc>
        <w:tc>
          <w:tcPr>
            <w:tcW w:w="80" w:type="dxa"/>
            <w:vAlign w:val="bottom"/>
          </w:tcPr>
          <w:p>
            <w:pPr>
              <w:spacing w:after="0"/>
              <w:rPr>
                <w:sz w:val="13"/>
                <w:szCs w:val="13"/>
                <w:color w:val="auto"/>
              </w:rPr>
            </w:pPr>
          </w:p>
        </w:tc>
        <w:tc>
          <w:tcPr>
            <w:tcW w:w="1020" w:type="dxa"/>
            <w:vAlign w:val="bottom"/>
            <w:gridSpan w:val="2"/>
          </w:tcPr>
          <w:p>
            <w:pPr>
              <w:ind w:left="340"/>
              <w:spacing w:after="0"/>
              <w:rPr>
                <w:sz w:val="20"/>
                <w:szCs w:val="20"/>
                <w:color w:val="auto"/>
              </w:rPr>
            </w:pPr>
            <w:r>
              <w:rPr>
                <w:rFonts w:ascii="Times New Roman" w:cs="Times New Roman" w:eastAsia="Times New Roman" w:hAnsi="Times New Roman"/>
                <w:sz w:val="11"/>
                <w:szCs w:val="11"/>
                <w:b w:val="1"/>
                <w:bCs w:val="1"/>
                <w:color w:val="auto"/>
              </w:rPr>
              <w:t>Notes</w:t>
            </w:r>
          </w:p>
        </w:tc>
        <w:tc>
          <w:tcPr>
            <w:tcW w:w="80" w:type="dxa"/>
            <w:vAlign w:val="bottom"/>
          </w:tcPr>
          <w:p>
            <w:pPr>
              <w:spacing w:after="0"/>
              <w:rPr>
                <w:sz w:val="13"/>
                <w:szCs w:val="13"/>
                <w:color w:val="auto"/>
              </w:rPr>
            </w:pPr>
          </w:p>
        </w:tc>
        <w:tc>
          <w:tcPr>
            <w:tcW w:w="1140" w:type="dxa"/>
            <w:vAlign w:val="bottom"/>
          </w:tcPr>
          <w:p>
            <w:pPr>
              <w:jc w:val="right"/>
              <w:ind w:right="17"/>
              <w:spacing w:after="0"/>
              <w:rPr>
                <w:sz w:val="20"/>
                <w:szCs w:val="20"/>
                <w:color w:val="auto"/>
              </w:rPr>
            </w:pPr>
            <w:r>
              <w:rPr>
                <w:rFonts w:ascii="Times New Roman" w:cs="Times New Roman" w:eastAsia="Times New Roman" w:hAnsi="Times New Roman"/>
                <w:sz w:val="11"/>
                <w:szCs w:val="11"/>
                <w:b w:val="1"/>
                <w:bCs w:val="1"/>
                <w:color w:val="auto"/>
              </w:rPr>
              <w:t>Pro Forma Combined</w:t>
            </w:r>
          </w:p>
        </w:tc>
      </w:tr>
      <w:tr>
        <w:trPr>
          <w:trHeight w:val="155"/>
        </w:trPr>
        <w:tc>
          <w:tcPr>
            <w:tcW w:w="5080" w:type="dxa"/>
            <w:vAlign w:val="bottom"/>
            <w:tcBorders>
              <w:top w:val="single" w:sz="8" w:color="CCEEFF"/>
            </w:tcBorders>
            <w:shd w:val="clear" w:color="auto" w:fill="CCEEFF"/>
          </w:tcPr>
          <w:p>
            <w:pPr>
              <w:ind w:left="20"/>
              <w:spacing w:after="0"/>
              <w:rPr>
                <w:sz w:val="20"/>
                <w:szCs w:val="20"/>
                <w:color w:val="auto"/>
              </w:rPr>
            </w:pPr>
            <w:r>
              <w:rPr>
                <w:rFonts w:ascii="Times New Roman" w:cs="Times New Roman" w:eastAsia="Times New Roman" w:hAnsi="Times New Roman"/>
                <w:sz w:val="13"/>
                <w:szCs w:val="13"/>
                <w:b w:val="1"/>
                <w:bCs w:val="1"/>
                <w:color w:val="auto"/>
              </w:rPr>
              <w:t>Assets</w:t>
            </w:r>
          </w:p>
        </w:tc>
        <w:tc>
          <w:tcPr>
            <w:tcW w:w="140" w:type="dxa"/>
            <w:vAlign w:val="bottom"/>
            <w:tcBorders>
              <w:top w:val="single" w:sz="8" w:color="auto"/>
            </w:tcBorders>
            <w:shd w:val="clear" w:color="auto" w:fill="CCEEFF"/>
          </w:tcPr>
          <w:p>
            <w:pPr>
              <w:spacing w:after="0"/>
              <w:rPr>
                <w:sz w:val="13"/>
                <w:szCs w:val="13"/>
                <w:color w:val="auto"/>
              </w:rPr>
            </w:pPr>
          </w:p>
        </w:tc>
        <w:tc>
          <w:tcPr>
            <w:tcW w:w="1100" w:type="dxa"/>
            <w:vAlign w:val="bottom"/>
            <w:tcBorders>
              <w:top w:val="single" w:sz="8" w:color="auto"/>
            </w:tcBorders>
            <w:shd w:val="clear" w:color="auto" w:fill="CCEEFF"/>
          </w:tcPr>
          <w:p>
            <w:pPr>
              <w:spacing w:after="0"/>
              <w:rPr>
                <w:sz w:val="13"/>
                <w:szCs w:val="13"/>
                <w:color w:val="auto"/>
              </w:rPr>
            </w:pPr>
          </w:p>
        </w:tc>
        <w:tc>
          <w:tcPr>
            <w:tcW w:w="100" w:type="dxa"/>
            <w:vAlign w:val="bottom"/>
            <w:tcBorders>
              <w:top w:val="single" w:sz="8" w:color="CCEEFF"/>
            </w:tcBorders>
            <w:shd w:val="clear" w:color="auto" w:fill="CCEEFF"/>
          </w:tcPr>
          <w:p>
            <w:pPr>
              <w:spacing w:after="0"/>
              <w:rPr>
                <w:sz w:val="13"/>
                <w:szCs w:val="13"/>
                <w:color w:val="auto"/>
              </w:rPr>
            </w:pPr>
          </w:p>
        </w:tc>
        <w:tc>
          <w:tcPr>
            <w:tcW w:w="200" w:type="dxa"/>
            <w:vAlign w:val="bottom"/>
            <w:tcBorders>
              <w:top w:val="single" w:sz="8" w:color="auto"/>
            </w:tcBorders>
            <w:shd w:val="clear" w:color="auto" w:fill="CCEEFF"/>
          </w:tcPr>
          <w:p>
            <w:pPr>
              <w:spacing w:after="0"/>
              <w:rPr>
                <w:sz w:val="13"/>
                <w:szCs w:val="13"/>
                <w:color w:val="auto"/>
              </w:rPr>
            </w:pPr>
          </w:p>
        </w:tc>
        <w:tc>
          <w:tcPr>
            <w:tcW w:w="1020" w:type="dxa"/>
            <w:vAlign w:val="bottom"/>
            <w:tcBorders>
              <w:top w:val="single" w:sz="8" w:color="auto"/>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400" w:type="dxa"/>
            <w:vAlign w:val="bottom"/>
            <w:tcBorders>
              <w:top w:val="single" w:sz="8" w:color="auto"/>
            </w:tcBorders>
            <w:shd w:val="clear" w:color="auto" w:fill="CCEEFF"/>
          </w:tcPr>
          <w:p>
            <w:pPr>
              <w:spacing w:after="0"/>
              <w:rPr>
                <w:sz w:val="13"/>
                <w:szCs w:val="13"/>
                <w:color w:val="auto"/>
              </w:rPr>
            </w:pPr>
          </w:p>
        </w:tc>
        <w:tc>
          <w:tcPr>
            <w:tcW w:w="840" w:type="dxa"/>
            <w:vAlign w:val="bottom"/>
            <w:tcBorders>
              <w:top w:val="single" w:sz="8" w:color="auto"/>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920" w:type="dxa"/>
            <w:vAlign w:val="bottom"/>
            <w:tcBorders>
              <w:top w:val="single" w:sz="8" w:color="auto"/>
            </w:tcBorders>
            <w:shd w:val="clear" w:color="auto" w:fill="CCEEFF"/>
          </w:tcPr>
          <w:p>
            <w:pPr>
              <w:spacing w:after="0"/>
              <w:rPr>
                <w:sz w:val="13"/>
                <w:szCs w:val="13"/>
                <w:color w:val="auto"/>
              </w:rPr>
            </w:pPr>
          </w:p>
        </w:tc>
        <w:tc>
          <w:tcPr>
            <w:tcW w:w="10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1140" w:type="dxa"/>
            <w:vAlign w:val="bottom"/>
            <w:tcBorders>
              <w:top w:val="single" w:sz="8" w:color="auto"/>
            </w:tcBorders>
            <w:shd w:val="clear" w:color="auto" w:fill="CCEEFF"/>
          </w:tcPr>
          <w:p>
            <w:pPr>
              <w:spacing w:after="0"/>
              <w:rPr>
                <w:sz w:val="13"/>
                <w:szCs w:val="13"/>
                <w:color w:val="auto"/>
              </w:rPr>
            </w:pPr>
          </w:p>
        </w:tc>
      </w:tr>
      <w:tr>
        <w:trPr>
          <w:trHeight w:val="168"/>
        </w:trPr>
        <w:tc>
          <w:tcPr>
            <w:tcW w:w="5080" w:type="dxa"/>
            <w:vAlign w:val="bottom"/>
          </w:tcPr>
          <w:p>
            <w:pPr>
              <w:ind w:left="20"/>
              <w:spacing w:after="0"/>
              <w:rPr>
                <w:sz w:val="20"/>
                <w:szCs w:val="20"/>
                <w:color w:val="auto"/>
              </w:rPr>
            </w:pPr>
            <w:r>
              <w:rPr>
                <w:rFonts w:ascii="Times New Roman" w:cs="Times New Roman" w:eastAsia="Times New Roman" w:hAnsi="Times New Roman"/>
                <w:sz w:val="13"/>
                <w:szCs w:val="13"/>
                <w:color w:val="auto"/>
              </w:rPr>
              <w:t>Current assets:</w:t>
            </w:r>
          </w:p>
        </w:tc>
        <w:tc>
          <w:tcPr>
            <w:tcW w:w="14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tcPr>
          <w:p>
            <w:pPr>
              <w:spacing w:after="0"/>
              <w:rPr>
                <w:sz w:val="14"/>
                <w:szCs w:val="14"/>
                <w:color w:val="auto"/>
              </w:rPr>
            </w:pPr>
          </w:p>
        </w:tc>
      </w:tr>
      <w:tr>
        <w:trPr>
          <w:trHeight w:val="172"/>
        </w:trPr>
        <w:tc>
          <w:tcPr>
            <w:tcW w:w="50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3"/>
                <w:szCs w:val="13"/>
                <w:color w:val="auto"/>
              </w:rPr>
              <w:t>Cash and cash equivalents</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w w:val="91"/>
              </w:rPr>
              <w:t>$</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545,909</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56"/>
              <w:spacing w:after="0"/>
              <w:rPr>
                <w:sz w:val="20"/>
                <w:szCs w:val="20"/>
                <w:color w:val="auto"/>
              </w:rPr>
            </w:pPr>
            <w:r>
              <w:rPr>
                <w:rFonts w:ascii="Times New Roman" w:cs="Times New Roman" w:eastAsia="Times New Roman" w:hAnsi="Times New Roman"/>
                <w:sz w:val="13"/>
                <w:szCs w:val="13"/>
                <w:color w:val="auto"/>
                <w:w w:val="91"/>
              </w:rPr>
              <w:t>$</w:t>
            </w: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19,174</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3"/>
                <w:szCs w:val="13"/>
                <w:color w:val="auto"/>
              </w:rPr>
              <w:t>$</w:t>
            </w: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(106,133)</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3(a)</w:t>
            </w:r>
          </w:p>
        </w:tc>
        <w:tc>
          <w:tcPr>
            <w:tcW w:w="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w w:val="91"/>
              </w:rPr>
              <w:t>$</w:t>
            </w: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458,950</w:t>
            </w:r>
          </w:p>
        </w:tc>
      </w:tr>
      <w:tr>
        <w:trPr>
          <w:trHeight w:val="168"/>
        </w:trPr>
        <w:tc>
          <w:tcPr>
            <w:tcW w:w="5080" w:type="dxa"/>
            <w:vAlign w:val="bottom"/>
          </w:tcPr>
          <w:p>
            <w:pPr>
              <w:ind w:left="180"/>
              <w:spacing w:after="0"/>
              <w:rPr>
                <w:sz w:val="20"/>
                <w:szCs w:val="20"/>
                <w:color w:val="auto"/>
              </w:rPr>
            </w:pPr>
            <w:r>
              <w:rPr>
                <w:rFonts w:ascii="Times New Roman" w:cs="Times New Roman" w:eastAsia="Times New Roman" w:hAnsi="Times New Roman"/>
                <w:sz w:val="13"/>
                <w:szCs w:val="13"/>
                <w:color w:val="auto"/>
              </w:rPr>
              <w:t>Restricted cash</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58,032</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4,941</w:t>
            </w:r>
          </w:p>
        </w:tc>
        <w:tc>
          <w:tcPr>
            <w:tcW w:w="80" w:type="dxa"/>
            <w:vAlign w:val="bottom"/>
          </w:tcPr>
          <w:p>
            <w:pPr>
              <w:spacing w:after="0"/>
              <w:rPr>
                <w:sz w:val="14"/>
                <w:szCs w:val="14"/>
                <w:color w:val="auto"/>
              </w:rPr>
            </w:pPr>
          </w:p>
        </w:tc>
        <w:tc>
          <w:tcPr>
            <w:tcW w:w="102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3(a)</w:t>
            </w: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62,973</w:t>
            </w:r>
          </w:p>
        </w:tc>
      </w:tr>
      <w:tr>
        <w:trPr>
          <w:trHeight w:val="172"/>
        </w:trPr>
        <w:tc>
          <w:tcPr>
            <w:tcW w:w="508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3"/>
                <w:szCs w:val="13"/>
                <w:color w:val="auto"/>
              </w:rPr>
              <w:t>Accounts receivable, net</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27,257</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1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(381)</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3(d)</w:t>
            </w: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26,876</w:t>
            </w:r>
          </w:p>
        </w:tc>
      </w:tr>
      <w:tr>
        <w:trPr>
          <w:trHeight w:val="168"/>
        </w:trPr>
        <w:tc>
          <w:tcPr>
            <w:tcW w:w="5080" w:type="dxa"/>
            <w:vAlign w:val="bottom"/>
          </w:tcPr>
          <w:p>
            <w:pPr>
              <w:ind w:left="180"/>
              <w:spacing w:after="0"/>
              <w:rPr>
                <w:sz w:val="20"/>
                <w:szCs w:val="20"/>
                <w:color w:val="auto"/>
              </w:rPr>
            </w:pPr>
            <w:r>
              <w:rPr>
                <w:rFonts w:ascii="Times New Roman" w:cs="Times New Roman" w:eastAsia="Times New Roman" w:hAnsi="Times New Roman"/>
                <w:sz w:val="13"/>
                <w:szCs w:val="13"/>
                <w:color w:val="auto"/>
              </w:rPr>
              <w:t>Inventory</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1,155</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1,155</w:t>
            </w:r>
          </w:p>
        </w:tc>
      </w:tr>
      <w:tr>
        <w:trPr>
          <w:trHeight w:val="172"/>
        </w:trPr>
        <w:tc>
          <w:tcPr>
            <w:tcW w:w="50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3"/>
                <w:szCs w:val="13"/>
                <w:color w:val="auto"/>
              </w:rPr>
              <w:t>Prepaid expenses</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12,869</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2,973</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shd w:val="clear" w:color="auto" w:fill="CCEEFF"/>
          </w:tcPr>
          <w:p>
            <w:pPr>
              <w:spacing w:after="0"/>
              <w:rPr>
                <w:sz w:val="14"/>
                <w:szCs w:val="14"/>
                <w:color w:val="auto"/>
              </w:rPr>
            </w:pPr>
          </w:p>
        </w:tc>
        <w:tc>
          <w:tcPr>
            <w:tcW w:w="9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15,842</w:t>
            </w:r>
          </w:p>
        </w:tc>
      </w:tr>
      <w:tr>
        <w:trPr>
          <w:trHeight w:val="168"/>
        </w:trPr>
        <w:tc>
          <w:tcPr>
            <w:tcW w:w="5080" w:type="dxa"/>
            <w:vAlign w:val="bottom"/>
          </w:tcPr>
          <w:p>
            <w:pPr>
              <w:ind w:left="180"/>
              <w:spacing w:after="0"/>
              <w:rPr>
                <w:sz w:val="20"/>
                <w:szCs w:val="20"/>
                <w:color w:val="auto"/>
              </w:rPr>
            </w:pPr>
            <w:r>
              <w:rPr>
                <w:rFonts w:ascii="Times New Roman" w:cs="Times New Roman" w:eastAsia="Times New Roman" w:hAnsi="Times New Roman"/>
                <w:sz w:val="13"/>
                <w:szCs w:val="13"/>
                <w:color w:val="auto"/>
              </w:rPr>
              <w:t>Other receivables</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13,519</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2,936</w:t>
            </w:r>
          </w:p>
        </w:tc>
        <w:tc>
          <w:tcPr>
            <w:tcW w:w="80" w:type="dxa"/>
            <w:vAlign w:val="bottom"/>
          </w:tcPr>
          <w:p>
            <w:pPr>
              <w:spacing w:after="0"/>
              <w:rPr>
                <w:sz w:val="14"/>
                <w:szCs w:val="14"/>
                <w:color w:val="auto"/>
              </w:rPr>
            </w:pPr>
          </w:p>
        </w:tc>
        <w:tc>
          <w:tcPr>
            <w:tcW w:w="102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3(c)</w:t>
            </w: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16,455</w:t>
            </w:r>
          </w:p>
        </w:tc>
      </w:tr>
      <w:tr>
        <w:trPr>
          <w:trHeight w:val="172"/>
        </w:trPr>
        <w:tc>
          <w:tcPr>
            <w:tcW w:w="50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3"/>
                <w:szCs w:val="13"/>
                <w:color w:val="auto"/>
              </w:rPr>
              <w:t>Income tax receivable</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3,673</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1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shd w:val="clear" w:color="auto" w:fill="CCEEFF"/>
          </w:tcPr>
          <w:p>
            <w:pPr>
              <w:spacing w:after="0"/>
              <w:rPr>
                <w:sz w:val="14"/>
                <w:szCs w:val="14"/>
                <w:color w:val="auto"/>
              </w:rPr>
            </w:pPr>
          </w:p>
        </w:tc>
        <w:tc>
          <w:tcPr>
            <w:tcW w:w="9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3,673</w:t>
            </w:r>
          </w:p>
        </w:tc>
      </w:tr>
      <w:tr>
        <w:trPr>
          <w:trHeight w:val="158"/>
        </w:trPr>
        <w:tc>
          <w:tcPr>
            <w:tcW w:w="5080" w:type="dxa"/>
            <w:vAlign w:val="bottom"/>
          </w:tcPr>
          <w:p>
            <w:pPr>
              <w:ind w:left="360"/>
              <w:spacing w:after="0"/>
              <w:rPr>
                <w:sz w:val="20"/>
                <w:szCs w:val="20"/>
                <w:color w:val="auto"/>
              </w:rPr>
            </w:pPr>
            <w:r>
              <w:rPr>
                <w:rFonts w:ascii="Times New Roman" w:cs="Times New Roman" w:eastAsia="Times New Roman" w:hAnsi="Times New Roman"/>
                <w:sz w:val="13"/>
                <w:szCs w:val="13"/>
                <w:color w:val="auto"/>
              </w:rPr>
              <w:t>Total current assets</w:t>
            </w:r>
          </w:p>
        </w:tc>
        <w:tc>
          <w:tcPr>
            <w:tcW w:w="140" w:type="dxa"/>
            <w:vAlign w:val="bottom"/>
            <w:tcBorders>
              <w:top w:val="single" w:sz="8" w:color="auto"/>
            </w:tcBorders>
          </w:tcPr>
          <w:p>
            <w:pPr>
              <w:spacing w:after="0"/>
              <w:rPr>
                <w:sz w:val="13"/>
                <w:szCs w:val="13"/>
                <w:color w:val="auto"/>
              </w:rPr>
            </w:pPr>
          </w:p>
        </w:tc>
        <w:tc>
          <w:tcPr>
            <w:tcW w:w="11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662,414</w:t>
            </w:r>
          </w:p>
        </w:tc>
        <w:tc>
          <w:tcPr>
            <w:tcW w:w="100" w:type="dxa"/>
            <w:vAlign w:val="bottom"/>
          </w:tcPr>
          <w:p>
            <w:pPr>
              <w:spacing w:after="0"/>
              <w:rPr>
                <w:sz w:val="13"/>
                <w:szCs w:val="13"/>
                <w:color w:val="auto"/>
              </w:rPr>
            </w:pPr>
          </w:p>
        </w:tc>
        <w:tc>
          <w:tcPr>
            <w:tcW w:w="200" w:type="dxa"/>
            <w:vAlign w:val="bottom"/>
            <w:tcBorders>
              <w:top w:val="single" w:sz="8" w:color="auto"/>
            </w:tcBorders>
          </w:tcPr>
          <w:p>
            <w:pPr>
              <w:spacing w:after="0"/>
              <w:rPr>
                <w:sz w:val="13"/>
                <w:szCs w:val="13"/>
                <w:color w:val="auto"/>
              </w:rPr>
            </w:pPr>
          </w:p>
        </w:tc>
        <w:tc>
          <w:tcPr>
            <w:tcW w:w="10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22,147</w:t>
            </w:r>
          </w:p>
        </w:tc>
        <w:tc>
          <w:tcPr>
            <w:tcW w:w="80" w:type="dxa"/>
            <w:vAlign w:val="bottom"/>
          </w:tcPr>
          <w:p>
            <w:pPr>
              <w:spacing w:after="0"/>
              <w:rPr>
                <w:sz w:val="13"/>
                <w:szCs w:val="13"/>
                <w:color w:val="auto"/>
              </w:rPr>
            </w:pPr>
          </w:p>
        </w:tc>
        <w:tc>
          <w:tcPr>
            <w:tcW w:w="400" w:type="dxa"/>
            <w:vAlign w:val="bottom"/>
            <w:tcBorders>
              <w:top w:val="single" w:sz="8" w:color="auto"/>
            </w:tcBorders>
          </w:tcPr>
          <w:p>
            <w:pPr>
              <w:spacing w:after="0"/>
              <w:rPr>
                <w:sz w:val="13"/>
                <w:szCs w:val="13"/>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(98,637)</w:t>
            </w:r>
          </w:p>
        </w:tc>
        <w:tc>
          <w:tcPr>
            <w:tcW w:w="8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11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585,924</w:t>
            </w:r>
          </w:p>
        </w:tc>
      </w:tr>
      <w:tr>
        <w:trPr>
          <w:trHeight w:val="172"/>
        </w:trPr>
        <w:tc>
          <w:tcPr>
            <w:tcW w:w="50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3"/>
                <w:szCs w:val="13"/>
                <w:color w:val="auto"/>
              </w:rPr>
              <w:t>Property and equipment, net</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173,687</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126,541</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26,007</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3(f)</w:t>
            </w: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326,235</w:t>
            </w:r>
          </w:p>
        </w:tc>
      </w:tr>
      <w:tr>
        <w:trPr>
          <w:trHeight w:val="168"/>
        </w:trPr>
        <w:tc>
          <w:tcPr>
            <w:tcW w:w="5080" w:type="dxa"/>
            <w:vAlign w:val="bottom"/>
          </w:tcPr>
          <w:p>
            <w:pPr>
              <w:ind w:left="20"/>
              <w:spacing w:after="0"/>
              <w:rPr>
                <w:sz w:val="20"/>
                <w:szCs w:val="20"/>
                <w:color w:val="auto"/>
              </w:rPr>
            </w:pPr>
            <w:r>
              <w:rPr>
                <w:rFonts w:ascii="Times New Roman" w:cs="Times New Roman" w:eastAsia="Times New Roman" w:hAnsi="Times New Roman"/>
                <w:sz w:val="13"/>
                <w:szCs w:val="13"/>
                <w:color w:val="auto"/>
              </w:rPr>
              <w:t>Investments, net of allowance for expected credit losses</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18,760</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18,760</w:t>
            </w:r>
          </w:p>
        </w:tc>
      </w:tr>
      <w:tr>
        <w:trPr>
          <w:trHeight w:val="172"/>
        </w:trPr>
        <w:tc>
          <w:tcPr>
            <w:tcW w:w="50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3"/>
                <w:szCs w:val="13"/>
                <w:color w:val="auto"/>
              </w:rPr>
              <w:t>Right-of-use assets, net</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190,330</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1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165,847</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3(c)</w:t>
            </w: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356,177</w:t>
            </w:r>
          </w:p>
        </w:tc>
      </w:tr>
      <w:tr>
        <w:trPr>
          <w:trHeight w:val="168"/>
        </w:trPr>
        <w:tc>
          <w:tcPr>
            <w:tcW w:w="5080" w:type="dxa"/>
            <w:vAlign w:val="bottom"/>
          </w:tcPr>
          <w:p>
            <w:pPr>
              <w:ind w:left="20"/>
              <w:spacing w:after="0"/>
              <w:rPr>
                <w:sz w:val="20"/>
                <w:szCs w:val="20"/>
                <w:color w:val="auto"/>
              </w:rPr>
            </w:pPr>
            <w:r>
              <w:rPr>
                <w:rFonts w:ascii="Times New Roman" w:cs="Times New Roman" w:eastAsia="Times New Roman" w:hAnsi="Times New Roman"/>
                <w:sz w:val="13"/>
                <w:szCs w:val="13"/>
                <w:color w:val="auto"/>
              </w:rPr>
              <w:t>Intangible assets, net</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200,937</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99,600</w:t>
            </w:r>
          </w:p>
        </w:tc>
        <w:tc>
          <w:tcPr>
            <w:tcW w:w="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183,840</w:t>
            </w:r>
          </w:p>
        </w:tc>
        <w:tc>
          <w:tcPr>
            <w:tcW w:w="80" w:type="dxa"/>
            <w:vAlign w:val="bottom"/>
          </w:tcPr>
          <w:p>
            <w:pPr>
              <w:spacing w:after="0"/>
              <w:rPr>
                <w:sz w:val="14"/>
                <w:szCs w:val="14"/>
                <w:color w:val="auto"/>
              </w:rPr>
            </w:pPr>
          </w:p>
        </w:tc>
        <w:tc>
          <w:tcPr>
            <w:tcW w:w="102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3(e)</w:t>
            </w: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484,377</w:t>
            </w:r>
          </w:p>
        </w:tc>
      </w:tr>
      <w:tr>
        <w:trPr>
          <w:trHeight w:val="172"/>
        </w:trPr>
        <w:tc>
          <w:tcPr>
            <w:tcW w:w="50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3"/>
                <w:szCs w:val="13"/>
                <w:color w:val="auto"/>
              </w:rPr>
              <w:t>Goodwill</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228,569</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118,391</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331,414</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3(b)</w:t>
            </w: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678,374</w:t>
            </w:r>
          </w:p>
        </w:tc>
      </w:tr>
      <w:tr>
        <w:trPr>
          <w:trHeight w:val="168"/>
        </w:trPr>
        <w:tc>
          <w:tcPr>
            <w:tcW w:w="5080" w:type="dxa"/>
            <w:vAlign w:val="bottom"/>
          </w:tcPr>
          <w:p>
            <w:pPr>
              <w:ind w:left="20"/>
              <w:spacing w:after="0"/>
              <w:rPr>
                <w:sz w:val="20"/>
                <w:szCs w:val="20"/>
                <w:color w:val="auto"/>
              </w:rPr>
            </w:pPr>
            <w:r>
              <w:rPr>
                <w:rFonts w:ascii="Times New Roman" w:cs="Times New Roman" w:eastAsia="Times New Roman" w:hAnsi="Times New Roman"/>
                <w:sz w:val="13"/>
                <w:szCs w:val="13"/>
                <w:color w:val="auto"/>
              </w:rPr>
              <w:t>Deferred income taxes</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539,264</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(53,752)</w:t>
            </w:r>
          </w:p>
        </w:tc>
        <w:tc>
          <w:tcPr>
            <w:tcW w:w="80" w:type="dxa"/>
            <w:vAlign w:val="bottom"/>
          </w:tcPr>
          <w:p>
            <w:pPr>
              <w:spacing w:after="0"/>
              <w:rPr>
                <w:sz w:val="14"/>
                <w:szCs w:val="14"/>
                <w:color w:val="auto"/>
              </w:rPr>
            </w:pPr>
          </w:p>
        </w:tc>
        <w:tc>
          <w:tcPr>
            <w:tcW w:w="102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3(g)</w:t>
            </w: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485,512</w:t>
            </w:r>
          </w:p>
        </w:tc>
      </w:tr>
      <w:tr>
        <w:trPr>
          <w:trHeight w:val="170"/>
        </w:trPr>
        <w:tc>
          <w:tcPr>
            <w:tcW w:w="50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3"/>
                <w:szCs w:val="13"/>
                <w:color w:val="auto"/>
              </w:rPr>
              <w:t>Other assets, net</w:t>
            </w:r>
          </w:p>
        </w:tc>
        <w:tc>
          <w:tcPr>
            <w:tcW w:w="140" w:type="dxa"/>
            <w:vAlign w:val="bottom"/>
            <w:tcBorders>
              <w:bottom w:val="single" w:sz="8" w:color="auto"/>
            </w:tcBorders>
            <w:shd w:val="clear" w:color="auto" w:fill="CCEEFF"/>
          </w:tcPr>
          <w:p>
            <w:pPr>
              <w:spacing w:after="0"/>
              <w:rPr>
                <w:sz w:val="14"/>
                <w:szCs w:val="14"/>
                <w:color w:val="auto"/>
              </w:rPr>
            </w:pPr>
          </w:p>
        </w:tc>
        <w:tc>
          <w:tcPr>
            <w:tcW w:w="11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2,022</w:t>
            </w:r>
          </w:p>
        </w:tc>
        <w:tc>
          <w:tcPr>
            <w:tcW w:w="100" w:type="dxa"/>
            <w:vAlign w:val="bottom"/>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spacing w:after="0"/>
              <w:rPr>
                <w:sz w:val="14"/>
                <w:szCs w:val="14"/>
                <w:color w:val="auto"/>
              </w:rPr>
            </w:pPr>
          </w:p>
        </w:tc>
        <w:tc>
          <w:tcPr>
            <w:tcW w:w="102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1,079</w:t>
            </w:r>
          </w:p>
        </w:tc>
        <w:tc>
          <w:tcPr>
            <w:tcW w:w="80" w:type="dxa"/>
            <w:vAlign w:val="bottom"/>
            <w:shd w:val="clear" w:color="auto" w:fill="CCEEFF"/>
          </w:tcPr>
          <w:p>
            <w:pPr>
              <w:spacing w:after="0"/>
              <w:rPr>
                <w:sz w:val="14"/>
                <w:szCs w:val="14"/>
                <w:color w:val="auto"/>
              </w:rPr>
            </w:pPr>
          </w:p>
        </w:tc>
        <w:tc>
          <w:tcPr>
            <w:tcW w:w="400" w:type="dxa"/>
            <w:vAlign w:val="bottom"/>
            <w:tcBorders>
              <w:bottom w:val="single" w:sz="8" w:color="auto"/>
            </w:tcBorders>
            <w:shd w:val="clear" w:color="auto" w:fill="CCEEFF"/>
          </w:tcPr>
          <w:p>
            <w:pPr>
              <w:spacing w:after="0"/>
              <w:rPr>
                <w:sz w:val="14"/>
                <w:szCs w:val="14"/>
                <w:color w:val="auto"/>
              </w:rPr>
            </w:pPr>
          </w:p>
        </w:tc>
        <w:tc>
          <w:tcPr>
            <w:tcW w:w="8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shd w:val="clear" w:color="auto" w:fill="CCEEFF"/>
          </w:tcPr>
          <w:p>
            <w:pPr>
              <w:spacing w:after="0"/>
              <w:rPr>
                <w:sz w:val="14"/>
                <w:szCs w:val="14"/>
                <w:color w:val="auto"/>
              </w:rPr>
            </w:pPr>
          </w:p>
        </w:tc>
        <w:tc>
          <w:tcPr>
            <w:tcW w:w="9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0" w:type="dxa"/>
            <w:vAlign w:val="bottom"/>
            <w:tcBorders>
              <w:bottom w:val="single" w:sz="8" w:color="auto"/>
            </w:tcBorders>
            <w:shd w:val="clear" w:color="auto" w:fill="CCEEFF"/>
          </w:tcPr>
          <w:p>
            <w:pPr>
              <w:spacing w:after="0"/>
              <w:rPr>
                <w:sz w:val="14"/>
                <w:szCs w:val="14"/>
                <w:color w:val="auto"/>
              </w:rPr>
            </w:pPr>
          </w:p>
        </w:tc>
        <w:tc>
          <w:tcPr>
            <w:tcW w:w="11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3,101</w:t>
            </w:r>
          </w:p>
        </w:tc>
      </w:tr>
      <w:tr>
        <w:trPr>
          <w:trHeight w:val="163"/>
        </w:trPr>
        <w:tc>
          <w:tcPr>
            <w:tcW w:w="5080" w:type="dxa"/>
            <w:vAlign w:val="bottom"/>
          </w:tcPr>
          <w:p>
            <w:pPr>
              <w:ind w:left="360"/>
              <w:spacing w:after="0"/>
              <w:rPr>
                <w:sz w:val="20"/>
                <w:szCs w:val="20"/>
                <w:color w:val="auto"/>
              </w:rPr>
            </w:pPr>
            <w:r>
              <w:rPr>
                <w:rFonts w:ascii="Times New Roman" w:cs="Times New Roman" w:eastAsia="Times New Roman" w:hAnsi="Times New Roman"/>
                <w:sz w:val="13"/>
                <w:szCs w:val="13"/>
                <w:color w:val="auto"/>
              </w:rPr>
              <w:t>Total assets</w:t>
            </w:r>
          </w:p>
        </w:tc>
        <w:tc>
          <w:tcPr>
            <w:tcW w:w="1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w w:val="91"/>
              </w:rPr>
              <w:t>$</w:t>
            </w:r>
          </w:p>
        </w:tc>
        <w:tc>
          <w:tcPr>
            <w:tcW w:w="11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2,015,983</w:t>
            </w:r>
          </w:p>
        </w:tc>
        <w:tc>
          <w:tcPr>
            <w:tcW w:w="100" w:type="dxa"/>
            <w:vAlign w:val="bottom"/>
          </w:tcPr>
          <w:p>
            <w:pPr>
              <w:spacing w:after="0"/>
              <w:rPr>
                <w:sz w:val="14"/>
                <w:szCs w:val="14"/>
                <w:color w:val="auto"/>
              </w:rPr>
            </w:pPr>
          </w:p>
        </w:tc>
        <w:tc>
          <w:tcPr>
            <w:tcW w:w="200" w:type="dxa"/>
            <w:vAlign w:val="bottom"/>
            <w:tcBorders>
              <w:bottom w:val="single" w:sz="8" w:color="auto"/>
            </w:tcBorders>
          </w:tcPr>
          <w:p>
            <w:pPr>
              <w:jc w:val="right"/>
              <w:ind w:right="56"/>
              <w:spacing w:after="0"/>
              <w:rPr>
                <w:sz w:val="20"/>
                <w:szCs w:val="20"/>
                <w:color w:val="auto"/>
              </w:rPr>
            </w:pPr>
            <w:r>
              <w:rPr>
                <w:rFonts w:ascii="Times New Roman" w:cs="Times New Roman" w:eastAsia="Times New Roman" w:hAnsi="Times New Roman"/>
                <w:sz w:val="13"/>
                <w:szCs w:val="13"/>
                <w:color w:val="auto"/>
                <w:w w:val="91"/>
              </w:rPr>
              <w:t>$</w:t>
            </w:r>
          </w:p>
        </w:tc>
        <w:tc>
          <w:tcPr>
            <w:tcW w:w="10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367,758</w:t>
            </w:r>
          </w:p>
        </w:tc>
        <w:tc>
          <w:tcPr>
            <w:tcW w:w="80" w:type="dxa"/>
            <w:vAlign w:val="bottom"/>
          </w:tcPr>
          <w:p>
            <w:pPr>
              <w:spacing w:after="0"/>
              <w:rPr>
                <w:sz w:val="14"/>
                <w:szCs w:val="14"/>
                <w:color w:val="auto"/>
              </w:rPr>
            </w:pPr>
          </w:p>
        </w:tc>
        <w:tc>
          <w:tcPr>
            <w:tcW w:w="400" w:type="dxa"/>
            <w:vAlign w:val="bottom"/>
            <w:tcBorders>
              <w:bottom w:val="single" w:sz="8" w:color="auto"/>
            </w:tcBorders>
          </w:tcPr>
          <w:p>
            <w:pPr>
              <w:ind w:left="20"/>
              <w:spacing w:after="0"/>
              <w:rPr>
                <w:sz w:val="20"/>
                <w:szCs w:val="20"/>
                <w:color w:val="auto"/>
              </w:rPr>
            </w:pPr>
            <w:r>
              <w:rPr>
                <w:rFonts w:ascii="Times New Roman" w:cs="Times New Roman" w:eastAsia="Times New Roman" w:hAnsi="Times New Roman"/>
                <w:sz w:val="13"/>
                <w:szCs w:val="13"/>
                <w:color w:val="auto"/>
              </w:rPr>
              <w:t>$</w:t>
            </w:r>
          </w:p>
        </w:tc>
        <w:tc>
          <w:tcPr>
            <w:tcW w:w="8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554,719</w:t>
            </w: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w w:val="91"/>
              </w:rPr>
              <w:t>$</w:t>
            </w:r>
          </w:p>
        </w:tc>
        <w:tc>
          <w:tcPr>
            <w:tcW w:w="11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2,938,460</w:t>
            </w:r>
          </w:p>
        </w:tc>
      </w:tr>
      <w:tr>
        <w:trPr>
          <w:trHeight w:val="20"/>
        </w:trPr>
        <w:tc>
          <w:tcPr>
            <w:tcW w:w="508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9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r>
      <w:tr>
        <w:trPr>
          <w:trHeight w:val="131"/>
        </w:trPr>
        <w:tc>
          <w:tcPr>
            <w:tcW w:w="5080" w:type="dxa"/>
            <w:vAlign w:val="bottom"/>
            <w:shd w:val="clear" w:color="auto" w:fill="CCEEFF"/>
          </w:tcPr>
          <w:p>
            <w:pPr>
              <w:ind w:left="20"/>
              <w:spacing w:after="0" w:line="131" w:lineRule="exact"/>
              <w:rPr>
                <w:sz w:val="20"/>
                <w:szCs w:val="20"/>
                <w:color w:val="auto"/>
              </w:rPr>
            </w:pPr>
            <w:r>
              <w:rPr>
                <w:rFonts w:ascii="Times New Roman" w:cs="Times New Roman" w:eastAsia="Times New Roman" w:hAnsi="Times New Roman"/>
                <w:sz w:val="13"/>
                <w:szCs w:val="13"/>
                <w:b w:val="1"/>
                <w:bCs w:val="1"/>
                <w:color w:val="auto"/>
              </w:rPr>
              <w:t>Liabilities and stockholders’ deficit</w:t>
            </w:r>
          </w:p>
        </w:tc>
        <w:tc>
          <w:tcPr>
            <w:tcW w:w="14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40" w:type="dxa"/>
            <w:vAlign w:val="bottom"/>
            <w:shd w:val="clear" w:color="auto" w:fill="CCEEFF"/>
          </w:tcPr>
          <w:p>
            <w:pPr>
              <w:spacing w:after="0"/>
              <w:rPr>
                <w:sz w:val="11"/>
                <w:szCs w:val="11"/>
                <w:color w:val="auto"/>
              </w:rPr>
            </w:pPr>
          </w:p>
        </w:tc>
      </w:tr>
      <w:tr>
        <w:trPr>
          <w:trHeight w:val="168"/>
        </w:trPr>
        <w:tc>
          <w:tcPr>
            <w:tcW w:w="5080" w:type="dxa"/>
            <w:vAlign w:val="bottom"/>
          </w:tcPr>
          <w:p>
            <w:pPr>
              <w:ind w:left="20"/>
              <w:spacing w:after="0"/>
              <w:rPr>
                <w:sz w:val="20"/>
                <w:szCs w:val="20"/>
                <w:color w:val="auto"/>
              </w:rPr>
            </w:pPr>
            <w:r>
              <w:rPr>
                <w:rFonts w:ascii="Times New Roman" w:cs="Times New Roman" w:eastAsia="Times New Roman" w:hAnsi="Times New Roman"/>
                <w:sz w:val="13"/>
                <w:szCs w:val="13"/>
                <w:color w:val="auto"/>
              </w:rPr>
              <w:t>Current liabilities:</w:t>
            </w:r>
          </w:p>
        </w:tc>
        <w:tc>
          <w:tcPr>
            <w:tcW w:w="14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tcPr>
          <w:p>
            <w:pPr>
              <w:spacing w:after="0"/>
              <w:rPr>
                <w:sz w:val="14"/>
                <w:szCs w:val="14"/>
                <w:color w:val="auto"/>
              </w:rPr>
            </w:pPr>
          </w:p>
        </w:tc>
      </w:tr>
      <w:tr>
        <w:trPr>
          <w:trHeight w:val="172"/>
        </w:trPr>
        <w:tc>
          <w:tcPr>
            <w:tcW w:w="50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3"/>
                <w:szCs w:val="13"/>
                <w:color w:val="auto"/>
              </w:rPr>
              <w:t>Current maturities of long-term debt</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w w:val="91"/>
              </w:rPr>
              <w:t>$</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17,500</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56"/>
              <w:spacing w:after="0"/>
              <w:rPr>
                <w:sz w:val="20"/>
                <w:szCs w:val="20"/>
                <w:color w:val="auto"/>
              </w:rPr>
            </w:pPr>
            <w:r>
              <w:rPr>
                <w:rFonts w:ascii="Times New Roman" w:cs="Times New Roman" w:eastAsia="Times New Roman" w:hAnsi="Times New Roman"/>
                <w:sz w:val="13"/>
                <w:szCs w:val="13"/>
                <w:color w:val="auto"/>
                <w:w w:val="91"/>
              </w:rPr>
              <w:t>$</w:t>
            </w: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2,380</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3"/>
                <w:szCs w:val="13"/>
                <w:color w:val="auto"/>
              </w:rPr>
              <w:t>$</w:t>
            </w: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870</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3(a)</w:t>
            </w:r>
          </w:p>
        </w:tc>
        <w:tc>
          <w:tcPr>
            <w:tcW w:w="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w w:val="91"/>
              </w:rPr>
              <w:t>$</w:t>
            </w: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20,750</w:t>
            </w:r>
          </w:p>
        </w:tc>
      </w:tr>
      <w:tr>
        <w:trPr>
          <w:trHeight w:val="168"/>
        </w:trPr>
        <w:tc>
          <w:tcPr>
            <w:tcW w:w="5080" w:type="dxa"/>
            <w:vAlign w:val="bottom"/>
          </w:tcPr>
          <w:p>
            <w:pPr>
              <w:ind w:left="180"/>
              <w:spacing w:after="0"/>
              <w:rPr>
                <w:sz w:val="20"/>
                <w:szCs w:val="20"/>
                <w:color w:val="auto"/>
              </w:rPr>
            </w:pPr>
            <w:r>
              <w:rPr>
                <w:rFonts w:ascii="Times New Roman" w:cs="Times New Roman" w:eastAsia="Times New Roman" w:hAnsi="Times New Roman"/>
                <w:sz w:val="13"/>
                <w:szCs w:val="13"/>
                <w:color w:val="auto"/>
              </w:rPr>
              <w:t>Accounts payable</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27,892</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3,487</w:t>
            </w:r>
          </w:p>
        </w:tc>
        <w:tc>
          <w:tcPr>
            <w:tcW w:w="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(381)</w:t>
            </w:r>
          </w:p>
        </w:tc>
        <w:tc>
          <w:tcPr>
            <w:tcW w:w="80" w:type="dxa"/>
            <w:vAlign w:val="bottom"/>
          </w:tcPr>
          <w:p>
            <w:pPr>
              <w:spacing w:after="0"/>
              <w:rPr>
                <w:sz w:val="14"/>
                <w:szCs w:val="14"/>
                <w:color w:val="auto"/>
              </w:rPr>
            </w:pPr>
          </w:p>
        </w:tc>
        <w:tc>
          <w:tcPr>
            <w:tcW w:w="102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3(d)</w:t>
            </w: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30,998</w:t>
            </w:r>
          </w:p>
        </w:tc>
      </w:tr>
      <w:tr>
        <w:trPr>
          <w:trHeight w:val="172"/>
        </w:trPr>
        <w:tc>
          <w:tcPr>
            <w:tcW w:w="50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3"/>
                <w:szCs w:val="13"/>
                <w:color w:val="auto"/>
              </w:rPr>
              <w:t>Accrued expenses</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51,714</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6,858</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shd w:val="clear" w:color="auto" w:fill="CCEEFF"/>
          </w:tcPr>
          <w:p>
            <w:pPr>
              <w:spacing w:after="0"/>
              <w:rPr>
                <w:sz w:val="14"/>
                <w:szCs w:val="14"/>
                <w:color w:val="auto"/>
              </w:rPr>
            </w:pPr>
          </w:p>
        </w:tc>
        <w:tc>
          <w:tcPr>
            <w:tcW w:w="9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58,572</w:t>
            </w:r>
          </w:p>
        </w:tc>
      </w:tr>
      <w:tr>
        <w:trPr>
          <w:trHeight w:val="168"/>
        </w:trPr>
        <w:tc>
          <w:tcPr>
            <w:tcW w:w="5080" w:type="dxa"/>
            <w:vAlign w:val="bottom"/>
          </w:tcPr>
          <w:p>
            <w:pPr>
              <w:ind w:left="180"/>
              <w:spacing w:after="0"/>
              <w:rPr>
                <w:sz w:val="20"/>
                <w:szCs w:val="20"/>
                <w:color w:val="auto"/>
              </w:rPr>
            </w:pPr>
            <w:r>
              <w:rPr>
                <w:rFonts w:ascii="Times New Roman" w:cs="Times New Roman" w:eastAsia="Times New Roman" w:hAnsi="Times New Roman"/>
                <w:sz w:val="13"/>
                <w:szCs w:val="13"/>
                <w:color w:val="auto"/>
              </w:rPr>
              <w:t>Equipment deposits</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6,036</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6,036</w:t>
            </w:r>
          </w:p>
        </w:tc>
      </w:tr>
      <w:tr>
        <w:trPr>
          <w:trHeight w:val="172"/>
        </w:trPr>
        <w:tc>
          <w:tcPr>
            <w:tcW w:w="50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3"/>
                <w:szCs w:val="13"/>
                <w:color w:val="auto"/>
              </w:rPr>
              <w:t>Deferred revenue, current</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28,351</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21,048</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(228)</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3(d)</w:t>
            </w: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49,171</w:t>
            </w:r>
          </w:p>
        </w:tc>
      </w:tr>
      <w:tr>
        <w:trPr>
          <w:trHeight w:val="168"/>
        </w:trPr>
        <w:tc>
          <w:tcPr>
            <w:tcW w:w="5080" w:type="dxa"/>
            <w:vAlign w:val="bottom"/>
          </w:tcPr>
          <w:p>
            <w:pPr>
              <w:ind w:left="180"/>
              <w:spacing w:after="0"/>
              <w:rPr>
                <w:sz w:val="20"/>
                <w:szCs w:val="20"/>
                <w:color w:val="auto"/>
              </w:rPr>
            </w:pPr>
            <w:r>
              <w:rPr>
                <w:rFonts w:ascii="Times New Roman" w:cs="Times New Roman" w:eastAsia="Times New Roman" w:hAnsi="Times New Roman"/>
                <w:sz w:val="13"/>
                <w:szCs w:val="13"/>
                <w:color w:val="auto"/>
              </w:rPr>
              <w:t>Payable pursuant to tax benefit arrangements, current</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20,302</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20,302</w:t>
            </w:r>
          </w:p>
        </w:tc>
      </w:tr>
      <w:tr>
        <w:trPr>
          <w:trHeight w:val="172"/>
        </w:trPr>
        <w:tc>
          <w:tcPr>
            <w:tcW w:w="50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3"/>
                <w:szCs w:val="13"/>
                <w:color w:val="auto"/>
              </w:rPr>
              <w:t>Other current liabilities</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24,815</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1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18,076</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3(c)</w:t>
            </w: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42,891</w:t>
            </w:r>
          </w:p>
        </w:tc>
      </w:tr>
      <w:tr>
        <w:trPr>
          <w:trHeight w:val="158"/>
        </w:trPr>
        <w:tc>
          <w:tcPr>
            <w:tcW w:w="5080" w:type="dxa"/>
            <w:vAlign w:val="bottom"/>
            <w:tcBorders>
              <w:bottom w:val="single" w:sz="8" w:color="CCEEFF"/>
            </w:tcBorders>
          </w:tcPr>
          <w:p>
            <w:pPr>
              <w:ind w:left="360"/>
              <w:spacing w:after="0"/>
              <w:rPr>
                <w:sz w:val="20"/>
                <w:szCs w:val="20"/>
                <w:color w:val="auto"/>
              </w:rPr>
            </w:pPr>
            <w:r>
              <w:rPr>
                <w:rFonts w:ascii="Times New Roman" w:cs="Times New Roman" w:eastAsia="Times New Roman" w:hAnsi="Times New Roman"/>
                <w:sz w:val="13"/>
                <w:szCs w:val="13"/>
                <w:color w:val="auto"/>
              </w:rPr>
              <w:t>Total current liabilities</w:t>
            </w:r>
          </w:p>
        </w:tc>
        <w:tc>
          <w:tcPr>
            <w:tcW w:w="140" w:type="dxa"/>
            <w:vAlign w:val="bottom"/>
            <w:tcBorders>
              <w:top w:val="single" w:sz="8" w:color="auto"/>
              <w:bottom w:val="single" w:sz="8" w:color="auto"/>
            </w:tcBorders>
          </w:tcPr>
          <w:p>
            <w:pPr>
              <w:spacing w:after="0"/>
              <w:rPr>
                <w:sz w:val="13"/>
                <w:szCs w:val="13"/>
                <w:color w:val="auto"/>
              </w:rPr>
            </w:pPr>
          </w:p>
        </w:tc>
        <w:tc>
          <w:tcPr>
            <w:tcW w:w="1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176,610</w:t>
            </w:r>
          </w:p>
        </w:tc>
        <w:tc>
          <w:tcPr>
            <w:tcW w:w="100" w:type="dxa"/>
            <w:vAlign w:val="bottom"/>
            <w:tcBorders>
              <w:bottom w:val="single" w:sz="8" w:color="CCEEFF"/>
            </w:tcBorders>
          </w:tcPr>
          <w:p>
            <w:pPr>
              <w:spacing w:after="0"/>
              <w:rPr>
                <w:sz w:val="13"/>
                <w:szCs w:val="13"/>
                <w:color w:val="auto"/>
              </w:rPr>
            </w:pPr>
          </w:p>
        </w:tc>
        <w:tc>
          <w:tcPr>
            <w:tcW w:w="200" w:type="dxa"/>
            <w:vAlign w:val="bottom"/>
            <w:tcBorders>
              <w:top w:val="single" w:sz="8" w:color="auto"/>
              <w:bottom w:val="single" w:sz="8" w:color="auto"/>
            </w:tcBorders>
          </w:tcPr>
          <w:p>
            <w:pPr>
              <w:spacing w:after="0"/>
              <w:rPr>
                <w:sz w:val="13"/>
                <w:szCs w:val="13"/>
                <w:color w:val="auto"/>
              </w:rPr>
            </w:pPr>
          </w:p>
        </w:tc>
        <w:tc>
          <w:tcPr>
            <w:tcW w:w="10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33,773</w:t>
            </w:r>
          </w:p>
        </w:tc>
        <w:tc>
          <w:tcPr>
            <w:tcW w:w="80" w:type="dxa"/>
            <w:vAlign w:val="bottom"/>
            <w:tcBorders>
              <w:bottom w:val="single" w:sz="8" w:color="CCEEFF"/>
            </w:tcBorders>
          </w:tcPr>
          <w:p>
            <w:pPr>
              <w:spacing w:after="0"/>
              <w:rPr>
                <w:sz w:val="13"/>
                <w:szCs w:val="13"/>
                <w:color w:val="auto"/>
              </w:rPr>
            </w:pPr>
          </w:p>
        </w:tc>
        <w:tc>
          <w:tcPr>
            <w:tcW w:w="400" w:type="dxa"/>
            <w:vAlign w:val="bottom"/>
            <w:tcBorders>
              <w:top w:val="single" w:sz="8" w:color="auto"/>
              <w:bottom w:val="single" w:sz="8" w:color="auto"/>
            </w:tcBorders>
          </w:tcPr>
          <w:p>
            <w:pPr>
              <w:spacing w:after="0"/>
              <w:rPr>
                <w:sz w:val="13"/>
                <w:szCs w:val="13"/>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18,337</w:t>
            </w:r>
          </w:p>
        </w:tc>
        <w:tc>
          <w:tcPr>
            <w:tcW w:w="80" w:type="dxa"/>
            <w:vAlign w:val="bottom"/>
            <w:tcBorders>
              <w:bottom w:val="single" w:sz="8" w:color="CCEEFF"/>
            </w:tcBorders>
          </w:tcPr>
          <w:p>
            <w:pPr>
              <w:spacing w:after="0"/>
              <w:rPr>
                <w:sz w:val="13"/>
                <w:szCs w:val="13"/>
                <w:color w:val="auto"/>
              </w:rPr>
            </w:pPr>
          </w:p>
        </w:tc>
        <w:tc>
          <w:tcPr>
            <w:tcW w:w="920" w:type="dxa"/>
            <w:vAlign w:val="bottom"/>
            <w:tcBorders>
              <w:bottom w:val="single" w:sz="8" w:color="CCEEFF"/>
            </w:tcBorders>
          </w:tcPr>
          <w:p>
            <w:pPr>
              <w:spacing w:after="0"/>
              <w:rPr>
                <w:sz w:val="13"/>
                <w:szCs w:val="13"/>
                <w:color w:val="auto"/>
              </w:rPr>
            </w:pPr>
          </w:p>
        </w:tc>
        <w:tc>
          <w:tcPr>
            <w:tcW w:w="100" w:type="dxa"/>
            <w:vAlign w:val="bottom"/>
            <w:tcBorders>
              <w:bottom w:val="single" w:sz="8" w:color="CCEEFF"/>
            </w:tcBorders>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11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228,720</w:t>
            </w:r>
          </w:p>
        </w:tc>
      </w:tr>
      <w:tr>
        <w:trPr>
          <w:trHeight w:val="163"/>
        </w:trPr>
        <w:tc>
          <w:tcPr>
            <w:tcW w:w="50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3"/>
                <w:szCs w:val="13"/>
                <w:color w:val="auto"/>
              </w:rPr>
              <w:t>Long-term debt, net of current maturities</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1,665,273</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225,497</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102,000</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3(a)</w:t>
            </w: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1,992,770</w:t>
            </w:r>
          </w:p>
        </w:tc>
      </w:tr>
      <w:tr>
        <w:trPr>
          <w:trHeight w:val="168"/>
        </w:trPr>
        <w:tc>
          <w:tcPr>
            <w:tcW w:w="5080" w:type="dxa"/>
            <w:vAlign w:val="bottom"/>
          </w:tcPr>
          <w:p>
            <w:pPr>
              <w:ind w:left="20"/>
              <w:spacing w:after="0"/>
              <w:rPr>
                <w:sz w:val="20"/>
                <w:szCs w:val="20"/>
                <w:color w:val="auto"/>
              </w:rPr>
            </w:pPr>
            <w:r>
              <w:rPr>
                <w:rFonts w:ascii="Times New Roman" w:cs="Times New Roman" w:eastAsia="Times New Roman" w:hAnsi="Times New Roman"/>
                <w:sz w:val="13"/>
                <w:szCs w:val="13"/>
                <w:color w:val="auto"/>
              </w:rPr>
              <w:t>Borrowings under 2018 Variable Funding Notes</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75,000</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75,000</w:t>
            </w:r>
          </w:p>
        </w:tc>
      </w:tr>
      <w:tr>
        <w:trPr>
          <w:trHeight w:val="172"/>
        </w:trPr>
        <w:tc>
          <w:tcPr>
            <w:tcW w:w="50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3"/>
                <w:szCs w:val="13"/>
                <w:color w:val="auto"/>
              </w:rPr>
              <w:t>Deferred rent, net of current portion</w:t>
            </w:r>
          </w:p>
        </w:tc>
        <w:tc>
          <w:tcPr>
            <w:tcW w:w="140" w:type="dxa"/>
            <w:vAlign w:val="bottom"/>
            <w:shd w:val="clear" w:color="auto" w:fill="CCEEFF"/>
          </w:tcPr>
          <w:p>
            <w:pPr>
              <w:spacing w:after="0"/>
              <w:rPr>
                <w:sz w:val="14"/>
                <w:szCs w:val="14"/>
                <w:color w:val="auto"/>
              </w:rPr>
            </w:pPr>
          </w:p>
        </w:tc>
        <w:tc>
          <w:tcPr>
            <w:tcW w:w="120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3"/>
                <w:szCs w:val="13"/>
                <w:color w:val="auto"/>
              </w:rPr>
              <w:t>—</w:t>
            </w:r>
          </w:p>
        </w:tc>
        <w:tc>
          <w:tcPr>
            <w:tcW w:w="200" w:type="dxa"/>
            <w:vAlign w:val="bottom"/>
            <w:shd w:val="clear" w:color="auto" w:fill="CCEEFF"/>
          </w:tcPr>
          <w:p>
            <w:pPr>
              <w:spacing w:after="0"/>
              <w:rPr>
                <w:sz w:val="14"/>
                <w:szCs w:val="14"/>
                <w:color w:val="auto"/>
              </w:rPr>
            </w:pP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8,079</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(8,079)</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3(c)</w:t>
            </w: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r>
      <w:tr>
        <w:trPr>
          <w:trHeight w:val="168"/>
        </w:trPr>
        <w:tc>
          <w:tcPr>
            <w:tcW w:w="5080" w:type="dxa"/>
            <w:vAlign w:val="bottom"/>
          </w:tcPr>
          <w:p>
            <w:pPr>
              <w:ind w:left="20"/>
              <w:spacing w:after="0"/>
              <w:rPr>
                <w:sz w:val="20"/>
                <w:szCs w:val="20"/>
                <w:color w:val="auto"/>
              </w:rPr>
            </w:pPr>
            <w:r>
              <w:rPr>
                <w:rFonts w:ascii="Times New Roman" w:cs="Times New Roman" w:eastAsia="Times New Roman" w:hAnsi="Times New Roman"/>
                <w:sz w:val="13"/>
                <w:szCs w:val="13"/>
                <w:color w:val="auto"/>
              </w:rPr>
              <w:t>Lease liabilities, net of current portion</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197,682</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150,707</w:t>
            </w:r>
          </w:p>
        </w:tc>
        <w:tc>
          <w:tcPr>
            <w:tcW w:w="80" w:type="dxa"/>
            <w:vAlign w:val="bottom"/>
          </w:tcPr>
          <w:p>
            <w:pPr>
              <w:spacing w:after="0"/>
              <w:rPr>
                <w:sz w:val="14"/>
                <w:szCs w:val="14"/>
                <w:color w:val="auto"/>
              </w:rPr>
            </w:pPr>
          </w:p>
        </w:tc>
        <w:tc>
          <w:tcPr>
            <w:tcW w:w="102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3(c)</w:t>
            </w: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348,389</w:t>
            </w:r>
          </w:p>
        </w:tc>
      </w:tr>
      <w:tr>
        <w:trPr>
          <w:trHeight w:val="172"/>
        </w:trPr>
        <w:tc>
          <w:tcPr>
            <w:tcW w:w="50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3"/>
                <w:szCs w:val="13"/>
                <w:color w:val="auto"/>
              </w:rPr>
              <w:t>Deferred revenue, net of current portion</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33,428</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1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(1,567)</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3(d)</w:t>
            </w: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31,861</w:t>
            </w:r>
          </w:p>
        </w:tc>
      </w:tr>
      <w:tr>
        <w:trPr>
          <w:trHeight w:val="168"/>
        </w:trPr>
        <w:tc>
          <w:tcPr>
            <w:tcW w:w="5080" w:type="dxa"/>
            <w:vAlign w:val="bottom"/>
          </w:tcPr>
          <w:p>
            <w:pPr>
              <w:ind w:left="20"/>
              <w:spacing w:after="0"/>
              <w:rPr>
                <w:sz w:val="20"/>
                <w:szCs w:val="20"/>
                <w:color w:val="auto"/>
              </w:rPr>
            </w:pPr>
            <w:r>
              <w:rPr>
                <w:rFonts w:ascii="Times New Roman" w:cs="Times New Roman" w:eastAsia="Times New Roman" w:hAnsi="Times New Roman"/>
                <w:sz w:val="13"/>
                <w:szCs w:val="13"/>
                <w:color w:val="auto"/>
              </w:rPr>
              <w:t>Payable pursuant to tax benefit arrangements, net of current portion</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507,805</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507,805</w:t>
            </w:r>
          </w:p>
        </w:tc>
      </w:tr>
      <w:tr>
        <w:trPr>
          <w:trHeight w:val="172"/>
        </w:trPr>
        <w:tc>
          <w:tcPr>
            <w:tcW w:w="50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3"/>
                <w:szCs w:val="13"/>
                <w:color w:val="auto"/>
              </w:rPr>
              <w:t>Other liabilities</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3,030</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1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shd w:val="clear" w:color="auto" w:fill="CCEEFF"/>
          </w:tcPr>
          <w:p>
            <w:pPr>
              <w:spacing w:after="0"/>
              <w:rPr>
                <w:sz w:val="14"/>
                <w:szCs w:val="14"/>
                <w:color w:val="auto"/>
              </w:rPr>
            </w:pPr>
          </w:p>
        </w:tc>
        <w:tc>
          <w:tcPr>
            <w:tcW w:w="9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3,030</w:t>
            </w:r>
          </w:p>
        </w:tc>
      </w:tr>
      <w:tr>
        <w:trPr>
          <w:trHeight w:val="158"/>
        </w:trPr>
        <w:tc>
          <w:tcPr>
            <w:tcW w:w="5080" w:type="dxa"/>
            <w:vAlign w:val="bottom"/>
            <w:tcBorders>
              <w:bottom w:val="single" w:sz="8" w:color="CCEEFF"/>
            </w:tcBorders>
          </w:tcPr>
          <w:p>
            <w:pPr>
              <w:ind w:left="360"/>
              <w:spacing w:after="0"/>
              <w:rPr>
                <w:sz w:val="20"/>
                <w:szCs w:val="20"/>
                <w:color w:val="auto"/>
              </w:rPr>
            </w:pPr>
            <w:r>
              <w:rPr>
                <w:rFonts w:ascii="Times New Roman" w:cs="Times New Roman" w:eastAsia="Times New Roman" w:hAnsi="Times New Roman"/>
                <w:sz w:val="13"/>
                <w:szCs w:val="13"/>
                <w:color w:val="auto"/>
              </w:rPr>
              <w:t>Total noncurrent liabilities</w:t>
            </w:r>
          </w:p>
        </w:tc>
        <w:tc>
          <w:tcPr>
            <w:tcW w:w="140" w:type="dxa"/>
            <w:vAlign w:val="bottom"/>
            <w:tcBorders>
              <w:top w:val="single" w:sz="8" w:color="auto"/>
              <w:bottom w:val="single" w:sz="8" w:color="auto"/>
            </w:tcBorders>
          </w:tcPr>
          <w:p>
            <w:pPr>
              <w:spacing w:after="0"/>
              <w:rPr>
                <w:sz w:val="13"/>
                <w:szCs w:val="13"/>
                <w:color w:val="auto"/>
              </w:rPr>
            </w:pPr>
          </w:p>
        </w:tc>
        <w:tc>
          <w:tcPr>
            <w:tcW w:w="1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2,482,218</w:t>
            </w:r>
          </w:p>
        </w:tc>
        <w:tc>
          <w:tcPr>
            <w:tcW w:w="100" w:type="dxa"/>
            <w:vAlign w:val="bottom"/>
            <w:tcBorders>
              <w:bottom w:val="single" w:sz="8" w:color="CCEEFF"/>
            </w:tcBorders>
          </w:tcPr>
          <w:p>
            <w:pPr>
              <w:spacing w:after="0"/>
              <w:rPr>
                <w:sz w:val="13"/>
                <w:szCs w:val="13"/>
                <w:color w:val="auto"/>
              </w:rPr>
            </w:pPr>
          </w:p>
        </w:tc>
        <w:tc>
          <w:tcPr>
            <w:tcW w:w="200" w:type="dxa"/>
            <w:vAlign w:val="bottom"/>
            <w:tcBorders>
              <w:top w:val="single" w:sz="8" w:color="auto"/>
              <w:bottom w:val="single" w:sz="8" w:color="auto"/>
            </w:tcBorders>
          </w:tcPr>
          <w:p>
            <w:pPr>
              <w:spacing w:after="0"/>
              <w:rPr>
                <w:sz w:val="13"/>
                <w:szCs w:val="13"/>
                <w:color w:val="auto"/>
              </w:rPr>
            </w:pPr>
          </w:p>
        </w:tc>
        <w:tc>
          <w:tcPr>
            <w:tcW w:w="10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233,576</w:t>
            </w:r>
          </w:p>
        </w:tc>
        <w:tc>
          <w:tcPr>
            <w:tcW w:w="80" w:type="dxa"/>
            <w:vAlign w:val="bottom"/>
            <w:tcBorders>
              <w:bottom w:val="single" w:sz="8" w:color="CCEEFF"/>
            </w:tcBorders>
          </w:tcPr>
          <w:p>
            <w:pPr>
              <w:spacing w:after="0"/>
              <w:rPr>
                <w:sz w:val="13"/>
                <w:szCs w:val="13"/>
                <w:color w:val="auto"/>
              </w:rPr>
            </w:pPr>
          </w:p>
        </w:tc>
        <w:tc>
          <w:tcPr>
            <w:tcW w:w="400" w:type="dxa"/>
            <w:vAlign w:val="bottom"/>
            <w:tcBorders>
              <w:top w:val="single" w:sz="8" w:color="auto"/>
              <w:bottom w:val="single" w:sz="8" w:color="auto"/>
            </w:tcBorders>
          </w:tcPr>
          <w:p>
            <w:pPr>
              <w:spacing w:after="0"/>
              <w:rPr>
                <w:sz w:val="13"/>
                <w:szCs w:val="13"/>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243,061</w:t>
            </w:r>
          </w:p>
        </w:tc>
        <w:tc>
          <w:tcPr>
            <w:tcW w:w="80" w:type="dxa"/>
            <w:vAlign w:val="bottom"/>
            <w:tcBorders>
              <w:bottom w:val="single" w:sz="8" w:color="CCEEFF"/>
            </w:tcBorders>
          </w:tcPr>
          <w:p>
            <w:pPr>
              <w:spacing w:after="0"/>
              <w:rPr>
                <w:sz w:val="13"/>
                <w:szCs w:val="13"/>
                <w:color w:val="auto"/>
              </w:rPr>
            </w:pPr>
          </w:p>
        </w:tc>
        <w:tc>
          <w:tcPr>
            <w:tcW w:w="920" w:type="dxa"/>
            <w:vAlign w:val="bottom"/>
            <w:tcBorders>
              <w:bottom w:val="single" w:sz="8" w:color="CCEEFF"/>
            </w:tcBorders>
          </w:tcPr>
          <w:p>
            <w:pPr>
              <w:spacing w:after="0"/>
              <w:rPr>
                <w:sz w:val="13"/>
                <w:szCs w:val="13"/>
                <w:color w:val="auto"/>
              </w:rPr>
            </w:pPr>
          </w:p>
        </w:tc>
        <w:tc>
          <w:tcPr>
            <w:tcW w:w="100" w:type="dxa"/>
            <w:vAlign w:val="bottom"/>
            <w:tcBorders>
              <w:bottom w:val="single" w:sz="8" w:color="CCEEFF"/>
            </w:tcBorders>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11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2,958,855</w:t>
            </w:r>
          </w:p>
        </w:tc>
      </w:tr>
      <w:tr>
        <w:trPr>
          <w:trHeight w:val="152"/>
        </w:trPr>
        <w:tc>
          <w:tcPr>
            <w:tcW w:w="5080" w:type="dxa"/>
            <w:vAlign w:val="bottom"/>
            <w:shd w:val="clear" w:color="auto" w:fill="CCEEFF"/>
          </w:tcPr>
          <w:p>
            <w:pPr>
              <w:ind w:left="20"/>
              <w:spacing w:after="0" w:line="147" w:lineRule="exact"/>
              <w:rPr>
                <w:sz w:val="20"/>
                <w:szCs w:val="20"/>
                <w:color w:val="auto"/>
              </w:rPr>
            </w:pPr>
            <w:r>
              <w:rPr>
                <w:rFonts w:ascii="Times New Roman" w:cs="Times New Roman" w:eastAsia="Times New Roman" w:hAnsi="Times New Roman"/>
                <w:sz w:val="13"/>
                <w:szCs w:val="13"/>
                <w:color w:val="auto"/>
              </w:rPr>
              <w:t>Stockholders’ equity (deficit):</w:t>
            </w:r>
          </w:p>
        </w:tc>
        <w:tc>
          <w:tcPr>
            <w:tcW w:w="14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140" w:type="dxa"/>
            <w:vAlign w:val="bottom"/>
            <w:shd w:val="clear" w:color="auto" w:fill="CCEEFF"/>
          </w:tcPr>
          <w:p>
            <w:pPr>
              <w:spacing w:after="0"/>
              <w:rPr>
                <w:sz w:val="13"/>
                <w:szCs w:val="13"/>
                <w:color w:val="auto"/>
              </w:rPr>
            </w:pPr>
          </w:p>
        </w:tc>
      </w:tr>
      <w:tr>
        <w:trPr>
          <w:trHeight w:val="168"/>
        </w:trPr>
        <w:tc>
          <w:tcPr>
            <w:tcW w:w="5080" w:type="dxa"/>
            <w:vAlign w:val="bottom"/>
          </w:tcPr>
          <w:p>
            <w:pPr>
              <w:ind w:left="220"/>
              <w:spacing w:after="0"/>
              <w:rPr>
                <w:sz w:val="20"/>
                <w:szCs w:val="20"/>
                <w:color w:val="auto"/>
              </w:rPr>
            </w:pPr>
            <w:r>
              <w:rPr>
                <w:rFonts w:ascii="Times New Roman" w:cs="Times New Roman" w:eastAsia="Times New Roman" w:hAnsi="Times New Roman"/>
                <w:sz w:val="13"/>
                <w:szCs w:val="13"/>
                <w:color w:val="auto"/>
              </w:rPr>
              <w:t>Class A common stock</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8</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8</w:t>
            </w:r>
          </w:p>
        </w:tc>
      </w:tr>
      <w:tr>
        <w:trPr>
          <w:trHeight w:val="172"/>
        </w:trPr>
        <w:tc>
          <w:tcPr>
            <w:tcW w:w="5080" w:type="dxa"/>
            <w:vAlign w:val="bottom"/>
            <w:shd w:val="clear" w:color="auto" w:fill="CCEEFF"/>
          </w:tcPr>
          <w:p>
            <w:pPr>
              <w:ind w:left="220"/>
              <w:spacing w:after="0"/>
              <w:rPr>
                <w:sz w:val="20"/>
                <w:szCs w:val="20"/>
                <w:color w:val="auto"/>
              </w:rPr>
            </w:pPr>
            <w:r>
              <w:rPr>
                <w:rFonts w:ascii="Times New Roman" w:cs="Times New Roman" w:eastAsia="Times New Roman" w:hAnsi="Times New Roman"/>
                <w:sz w:val="13"/>
                <w:szCs w:val="13"/>
                <w:color w:val="auto"/>
              </w:rPr>
              <w:t>Class B common stock</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1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shd w:val="clear" w:color="auto" w:fill="CCEEFF"/>
          </w:tcPr>
          <w:p>
            <w:pPr>
              <w:spacing w:after="0"/>
              <w:rPr>
                <w:sz w:val="14"/>
                <w:szCs w:val="14"/>
                <w:color w:val="auto"/>
              </w:rPr>
            </w:pPr>
          </w:p>
        </w:tc>
        <w:tc>
          <w:tcPr>
            <w:tcW w:w="9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w:t>
            </w:r>
          </w:p>
        </w:tc>
      </w:tr>
      <w:tr>
        <w:trPr>
          <w:trHeight w:val="168"/>
        </w:trPr>
        <w:tc>
          <w:tcPr>
            <w:tcW w:w="5080" w:type="dxa"/>
            <w:vAlign w:val="bottom"/>
          </w:tcPr>
          <w:p>
            <w:pPr>
              <w:ind w:left="180"/>
              <w:spacing w:after="0"/>
              <w:rPr>
                <w:sz w:val="20"/>
                <w:szCs w:val="20"/>
                <w:color w:val="auto"/>
              </w:rPr>
            </w:pPr>
            <w:r>
              <w:rPr>
                <w:rFonts w:ascii="Times New Roman" w:cs="Times New Roman" w:eastAsia="Times New Roman" w:hAnsi="Times New Roman"/>
                <w:sz w:val="13"/>
                <w:szCs w:val="13"/>
                <w:color w:val="auto"/>
              </w:rPr>
              <w:t>Accumulated other comprehensive income</w:t>
            </w:r>
          </w:p>
        </w:tc>
        <w:tc>
          <w:tcPr>
            <w:tcW w:w="1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12</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12</w:t>
            </w:r>
          </w:p>
        </w:tc>
      </w:tr>
      <w:tr>
        <w:trPr>
          <w:trHeight w:val="172"/>
        </w:trPr>
        <w:tc>
          <w:tcPr>
            <w:tcW w:w="50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3"/>
                <w:szCs w:val="13"/>
                <w:color w:val="auto"/>
              </w:rPr>
              <w:t>Additional paid in capital</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63,428</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0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390,999</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3(h)</w:t>
            </w: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454,427</w:t>
            </w:r>
          </w:p>
        </w:tc>
      </w:tr>
      <w:tr>
        <w:trPr>
          <w:trHeight w:val="168"/>
        </w:trPr>
        <w:tc>
          <w:tcPr>
            <w:tcW w:w="5080" w:type="dxa"/>
            <w:vAlign w:val="bottom"/>
          </w:tcPr>
          <w:p>
            <w:pPr>
              <w:ind w:left="180"/>
              <w:spacing w:after="0"/>
              <w:rPr>
                <w:sz w:val="20"/>
                <w:szCs w:val="20"/>
                <w:color w:val="auto"/>
              </w:rPr>
            </w:pPr>
            <w:r>
              <w:rPr>
                <w:rFonts w:ascii="Times New Roman" w:cs="Times New Roman" w:eastAsia="Times New Roman" w:hAnsi="Times New Roman"/>
                <w:sz w:val="13"/>
                <w:szCs w:val="13"/>
                <w:color w:val="auto"/>
              </w:rPr>
              <w:t>Members’ equity</w:t>
            </w:r>
          </w:p>
        </w:tc>
        <w:tc>
          <w:tcPr>
            <w:tcW w:w="140" w:type="dxa"/>
            <w:vAlign w:val="bottom"/>
          </w:tcPr>
          <w:p>
            <w:pPr>
              <w:spacing w:after="0"/>
              <w:rPr>
                <w:sz w:val="14"/>
                <w:szCs w:val="14"/>
                <w:color w:val="auto"/>
              </w:rPr>
            </w:pPr>
          </w:p>
        </w:tc>
        <w:tc>
          <w:tcPr>
            <w:tcW w:w="120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w:t>
            </w:r>
          </w:p>
        </w:tc>
        <w:tc>
          <w:tcPr>
            <w:tcW w:w="200" w:type="dxa"/>
            <w:vAlign w:val="bottom"/>
          </w:tcPr>
          <w:p>
            <w:pPr>
              <w:spacing w:after="0"/>
              <w:rPr>
                <w:sz w:val="14"/>
                <w:szCs w:val="14"/>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100,409</w:t>
            </w:r>
          </w:p>
        </w:tc>
        <w:tc>
          <w:tcPr>
            <w:tcW w:w="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(100,409)</w:t>
            </w:r>
          </w:p>
        </w:tc>
        <w:tc>
          <w:tcPr>
            <w:tcW w:w="80" w:type="dxa"/>
            <w:vAlign w:val="bottom"/>
          </w:tcPr>
          <w:p>
            <w:pPr>
              <w:spacing w:after="0"/>
              <w:rPr>
                <w:sz w:val="14"/>
                <w:szCs w:val="14"/>
                <w:color w:val="auto"/>
              </w:rPr>
            </w:pPr>
          </w:p>
        </w:tc>
        <w:tc>
          <w:tcPr>
            <w:tcW w:w="102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3(h)</w:t>
            </w:r>
          </w:p>
        </w:tc>
        <w:tc>
          <w:tcPr>
            <w:tcW w:w="80" w:type="dxa"/>
            <w:vAlign w:val="bottom"/>
          </w:tcPr>
          <w:p>
            <w:pPr>
              <w:spacing w:after="0"/>
              <w:rPr>
                <w:sz w:val="14"/>
                <w:szCs w:val="1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w:t>
            </w:r>
          </w:p>
        </w:tc>
      </w:tr>
      <w:tr>
        <w:trPr>
          <w:trHeight w:val="172"/>
        </w:trPr>
        <w:tc>
          <w:tcPr>
            <w:tcW w:w="50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3"/>
                <w:szCs w:val="13"/>
                <w:color w:val="auto"/>
              </w:rPr>
              <w:t>Accumulated deficit</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(708,804)</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1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80" w:type="dxa"/>
            <w:vAlign w:val="bottom"/>
            <w:shd w:val="clear" w:color="auto" w:fill="CCEEFF"/>
          </w:tcPr>
          <w:p>
            <w:pPr>
              <w:spacing w:after="0"/>
              <w:rPr>
                <w:sz w:val="14"/>
                <w:szCs w:val="14"/>
                <w:color w:val="auto"/>
              </w:rPr>
            </w:pPr>
          </w:p>
        </w:tc>
        <w:tc>
          <w:tcPr>
            <w:tcW w:w="9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(708,804)</w:t>
            </w:r>
          </w:p>
        </w:tc>
      </w:tr>
      <w:tr>
        <w:trPr>
          <w:trHeight w:val="158"/>
        </w:trPr>
        <w:tc>
          <w:tcPr>
            <w:tcW w:w="5080" w:type="dxa"/>
            <w:vAlign w:val="bottom"/>
          </w:tcPr>
          <w:p>
            <w:pPr>
              <w:ind w:left="360"/>
              <w:spacing w:after="0"/>
              <w:rPr>
                <w:sz w:val="20"/>
                <w:szCs w:val="20"/>
                <w:color w:val="auto"/>
              </w:rPr>
            </w:pPr>
            <w:r>
              <w:rPr>
                <w:rFonts w:ascii="Times New Roman" w:cs="Times New Roman" w:eastAsia="Times New Roman" w:hAnsi="Times New Roman"/>
                <w:sz w:val="13"/>
                <w:szCs w:val="13"/>
                <w:color w:val="auto"/>
              </w:rPr>
              <w:t>Total stockholders’ deficit attributable to Planet Fitness, Inc.</w:t>
            </w:r>
          </w:p>
        </w:tc>
        <w:tc>
          <w:tcPr>
            <w:tcW w:w="140" w:type="dxa"/>
            <w:vAlign w:val="bottom"/>
            <w:tcBorders>
              <w:top w:val="single" w:sz="8" w:color="auto"/>
            </w:tcBorders>
          </w:tcPr>
          <w:p>
            <w:pPr>
              <w:spacing w:after="0"/>
              <w:rPr>
                <w:sz w:val="13"/>
                <w:szCs w:val="13"/>
                <w:color w:val="auto"/>
              </w:rPr>
            </w:pPr>
          </w:p>
        </w:tc>
        <w:tc>
          <w:tcPr>
            <w:tcW w:w="11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(645,355)</w:t>
            </w:r>
          </w:p>
        </w:tc>
        <w:tc>
          <w:tcPr>
            <w:tcW w:w="100" w:type="dxa"/>
            <w:vAlign w:val="bottom"/>
          </w:tcPr>
          <w:p>
            <w:pPr>
              <w:spacing w:after="0"/>
              <w:rPr>
                <w:sz w:val="13"/>
                <w:szCs w:val="13"/>
                <w:color w:val="auto"/>
              </w:rPr>
            </w:pPr>
          </w:p>
        </w:tc>
        <w:tc>
          <w:tcPr>
            <w:tcW w:w="200" w:type="dxa"/>
            <w:vAlign w:val="bottom"/>
            <w:tcBorders>
              <w:top w:val="single" w:sz="8" w:color="auto"/>
            </w:tcBorders>
          </w:tcPr>
          <w:p>
            <w:pPr>
              <w:spacing w:after="0"/>
              <w:rPr>
                <w:sz w:val="13"/>
                <w:szCs w:val="13"/>
                <w:color w:val="auto"/>
              </w:rPr>
            </w:pPr>
          </w:p>
        </w:tc>
        <w:tc>
          <w:tcPr>
            <w:tcW w:w="10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100,409</w:t>
            </w:r>
          </w:p>
        </w:tc>
        <w:tc>
          <w:tcPr>
            <w:tcW w:w="80" w:type="dxa"/>
            <w:vAlign w:val="bottom"/>
          </w:tcPr>
          <w:p>
            <w:pPr>
              <w:spacing w:after="0"/>
              <w:rPr>
                <w:sz w:val="13"/>
                <w:szCs w:val="13"/>
                <w:color w:val="auto"/>
              </w:rPr>
            </w:pPr>
          </w:p>
        </w:tc>
        <w:tc>
          <w:tcPr>
            <w:tcW w:w="400" w:type="dxa"/>
            <w:vAlign w:val="bottom"/>
            <w:tcBorders>
              <w:top w:val="single" w:sz="8" w:color="auto"/>
            </w:tcBorders>
          </w:tcPr>
          <w:p>
            <w:pPr>
              <w:spacing w:after="0"/>
              <w:rPr>
                <w:sz w:val="13"/>
                <w:szCs w:val="13"/>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290,590</w:t>
            </w:r>
          </w:p>
        </w:tc>
        <w:tc>
          <w:tcPr>
            <w:tcW w:w="8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11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(254,356)</w:t>
            </w:r>
          </w:p>
        </w:tc>
      </w:tr>
      <w:tr>
        <w:trPr>
          <w:trHeight w:val="172"/>
        </w:trPr>
        <w:tc>
          <w:tcPr>
            <w:tcW w:w="50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3"/>
                <w:szCs w:val="13"/>
                <w:color w:val="auto"/>
              </w:rPr>
              <w:t>Non-controlling interests</w:t>
            </w:r>
          </w:p>
        </w:tc>
        <w:tc>
          <w:tcPr>
            <w:tcW w:w="140" w:type="dxa"/>
            <w:vAlign w:val="bottom"/>
            <w:shd w:val="clear" w:color="auto" w:fill="CCEEFF"/>
          </w:tcPr>
          <w:p>
            <w:pPr>
              <w:spacing w:after="0"/>
              <w:rPr>
                <w:sz w:val="14"/>
                <w:szCs w:val="14"/>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2,510</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1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2,731</w:t>
            </w:r>
          </w:p>
        </w:tc>
        <w:tc>
          <w:tcPr>
            <w:tcW w:w="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3(j)</w:t>
            </w:r>
          </w:p>
        </w:tc>
        <w:tc>
          <w:tcPr>
            <w:tcW w:w="80" w:type="dxa"/>
            <w:vAlign w:val="bottom"/>
            <w:shd w:val="clear" w:color="auto" w:fill="CCEEFF"/>
          </w:tcPr>
          <w:p>
            <w:pPr>
              <w:spacing w:after="0"/>
              <w:rPr>
                <w:sz w:val="14"/>
                <w:szCs w:val="14"/>
                <w:color w:val="auto"/>
              </w:rPr>
            </w:pPr>
          </w:p>
        </w:tc>
        <w:tc>
          <w:tcPr>
            <w:tcW w:w="1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5,241</w:t>
            </w:r>
          </w:p>
        </w:tc>
      </w:tr>
      <w:tr>
        <w:trPr>
          <w:trHeight w:val="158"/>
        </w:trPr>
        <w:tc>
          <w:tcPr>
            <w:tcW w:w="5080" w:type="dxa"/>
            <w:vAlign w:val="bottom"/>
            <w:tcBorders>
              <w:bottom w:val="single" w:sz="8" w:color="CCEEFF"/>
            </w:tcBorders>
          </w:tcPr>
          <w:p>
            <w:pPr>
              <w:ind w:left="360"/>
              <w:spacing w:after="0"/>
              <w:rPr>
                <w:sz w:val="20"/>
                <w:szCs w:val="20"/>
                <w:color w:val="auto"/>
              </w:rPr>
            </w:pPr>
            <w:r>
              <w:rPr>
                <w:rFonts w:ascii="Times New Roman" w:cs="Times New Roman" w:eastAsia="Times New Roman" w:hAnsi="Times New Roman"/>
                <w:sz w:val="13"/>
                <w:szCs w:val="13"/>
                <w:color w:val="auto"/>
              </w:rPr>
              <w:t>Total stockholders’ deficit</w:t>
            </w:r>
          </w:p>
        </w:tc>
        <w:tc>
          <w:tcPr>
            <w:tcW w:w="140" w:type="dxa"/>
            <w:vAlign w:val="bottom"/>
            <w:tcBorders>
              <w:top w:val="single" w:sz="8" w:color="auto"/>
              <w:bottom w:val="single" w:sz="8" w:color="auto"/>
            </w:tcBorders>
          </w:tcPr>
          <w:p>
            <w:pPr>
              <w:spacing w:after="0"/>
              <w:rPr>
                <w:sz w:val="13"/>
                <w:szCs w:val="13"/>
                <w:color w:val="auto"/>
              </w:rPr>
            </w:pPr>
          </w:p>
        </w:tc>
        <w:tc>
          <w:tcPr>
            <w:tcW w:w="1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(642,845)</w:t>
            </w:r>
          </w:p>
        </w:tc>
        <w:tc>
          <w:tcPr>
            <w:tcW w:w="100" w:type="dxa"/>
            <w:vAlign w:val="bottom"/>
            <w:tcBorders>
              <w:bottom w:val="single" w:sz="8" w:color="CCEEFF"/>
            </w:tcBorders>
          </w:tcPr>
          <w:p>
            <w:pPr>
              <w:spacing w:after="0"/>
              <w:rPr>
                <w:sz w:val="13"/>
                <w:szCs w:val="13"/>
                <w:color w:val="auto"/>
              </w:rPr>
            </w:pPr>
          </w:p>
        </w:tc>
        <w:tc>
          <w:tcPr>
            <w:tcW w:w="200" w:type="dxa"/>
            <w:vAlign w:val="bottom"/>
            <w:tcBorders>
              <w:top w:val="single" w:sz="8" w:color="auto"/>
              <w:bottom w:val="single" w:sz="8" w:color="auto"/>
            </w:tcBorders>
          </w:tcPr>
          <w:p>
            <w:pPr>
              <w:spacing w:after="0"/>
              <w:rPr>
                <w:sz w:val="13"/>
                <w:szCs w:val="13"/>
                <w:color w:val="auto"/>
              </w:rPr>
            </w:pPr>
          </w:p>
        </w:tc>
        <w:tc>
          <w:tcPr>
            <w:tcW w:w="10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100,409</w:t>
            </w:r>
          </w:p>
        </w:tc>
        <w:tc>
          <w:tcPr>
            <w:tcW w:w="80" w:type="dxa"/>
            <w:vAlign w:val="bottom"/>
            <w:tcBorders>
              <w:bottom w:val="single" w:sz="8" w:color="CCEEFF"/>
            </w:tcBorders>
          </w:tcPr>
          <w:p>
            <w:pPr>
              <w:spacing w:after="0"/>
              <w:rPr>
                <w:sz w:val="13"/>
                <w:szCs w:val="13"/>
                <w:color w:val="auto"/>
              </w:rPr>
            </w:pPr>
          </w:p>
        </w:tc>
        <w:tc>
          <w:tcPr>
            <w:tcW w:w="400" w:type="dxa"/>
            <w:vAlign w:val="bottom"/>
            <w:tcBorders>
              <w:top w:val="single" w:sz="8" w:color="auto"/>
              <w:bottom w:val="single" w:sz="8" w:color="auto"/>
            </w:tcBorders>
          </w:tcPr>
          <w:p>
            <w:pPr>
              <w:spacing w:after="0"/>
              <w:rPr>
                <w:sz w:val="13"/>
                <w:szCs w:val="13"/>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293,321</w:t>
            </w:r>
          </w:p>
        </w:tc>
        <w:tc>
          <w:tcPr>
            <w:tcW w:w="80" w:type="dxa"/>
            <w:vAlign w:val="bottom"/>
            <w:tcBorders>
              <w:bottom w:val="single" w:sz="8" w:color="CCEEFF"/>
            </w:tcBorders>
          </w:tcPr>
          <w:p>
            <w:pPr>
              <w:spacing w:after="0"/>
              <w:rPr>
                <w:sz w:val="13"/>
                <w:szCs w:val="13"/>
                <w:color w:val="auto"/>
              </w:rPr>
            </w:pPr>
          </w:p>
        </w:tc>
        <w:tc>
          <w:tcPr>
            <w:tcW w:w="920" w:type="dxa"/>
            <w:vAlign w:val="bottom"/>
            <w:tcBorders>
              <w:bottom w:val="single" w:sz="8" w:color="CCEEFF"/>
            </w:tcBorders>
          </w:tcPr>
          <w:p>
            <w:pPr>
              <w:spacing w:after="0"/>
              <w:rPr>
                <w:sz w:val="13"/>
                <w:szCs w:val="13"/>
                <w:color w:val="auto"/>
              </w:rPr>
            </w:pPr>
          </w:p>
        </w:tc>
        <w:tc>
          <w:tcPr>
            <w:tcW w:w="100" w:type="dxa"/>
            <w:vAlign w:val="bottom"/>
            <w:tcBorders>
              <w:bottom w:val="single" w:sz="8" w:color="CCEEFF"/>
            </w:tcBorders>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11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(249,115)</w:t>
            </w:r>
          </w:p>
        </w:tc>
      </w:tr>
      <w:tr>
        <w:trPr>
          <w:trHeight w:val="188"/>
        </w:trPr>
        <w:tc>
          <w:tcPr>
            <w:tcW w:w="5080" w:type="dxa"/>
            <w:vAlign w:val="bottom"/>
            <w:tcBorders>
              <w:bottom w:val="single" w:sz="8" w:color="CCEEFF"/>
            </w:tcBorders>
            <w:shd w:val="clear" w:color="auto" w:fill="CCEEFF"/>
          </w:tcPr>
          <w:p>
            <w:pPr>
              <w:ind w:left="360"/>
              <w:spacing w:after="0"/>
              <w:rPr>
                <w:sz w:val="20"/>
                <w:szCs w:val="20"/>
                <w:color w:val="auto"/>
              </w:rPr>
            </w:pPr>
            <w:r>
              <w:rPr>
                <w:rFonts w:ascii="Times New Roman" w:cs="Times New Roman" w:eastAsia="Times New Roman" w:hAnsi="Times New Roman"/>
                <w:sz w:val="13"/>
                <w:szCs w:val="13"/>
                <w:color w:val="auto"/>
              </w:rPr>
              <w:t>Total liabilities and stockholders’ deficit</w:t>
            </w:r>
          </w:p>
        </w:tc>
        <w:tc>
          <w:tcPr>
            <w:tcW w:w="1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w w:val="91"/>
              </w:rPr>
              <w:t>$</w:t>
            </w:r>
          </w:p>
        </w:tc>
        <w:tc>
          <w:tcPr>
            <w:tcW w:w="11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2,015,983</w:t>
            </w:r>
          </w:p>
        </w:tc>
        <w:tc>
          <w:tcPr>
            <w:tcW w:w="1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jc w:val="right"/>
              <w:ind w:right="56"/>
              <w:spacing w:after="0"/>
              <w:rPr>
                <w:sz w:val="20"/>
                <w:szCs w:val="20"/>
                <w:color w:val="auto"/>
              </w:rPr>
            </w:pPr>
            <w:r>
              <w:rPr>
                <w:rFonts w:ascii="Times New Roman" w:cs="Times New Roman" w:eastAsia="Times New Roman" w:hAnsi="Times New Roman"/>
                <w:sz w:val="13"/>
                <w:szCs w:val="13"/>
                <w:color w:val="auto"/>
                <w:w w:val="91"/>
              </w:rPr>
              <w:t>$</w:t>
            </w:r>
          </w:p>
        </w:tc>
        <w:tc>
          <w:tcPr>
            <w:tcW w:w="102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367,758</w:t>
            </w:r>
          </w:p>
        </w:tc>
        <w:tc>
          <w:tcPr>
            <w:tcW w:w="80" w:type="dxa"/>
            <w:vAlign w:val="bottom"/>
            <w:tcBorders>
              <w:bottom w:val="single" w:sz="8" w:color="CCEEFF"/>
            </w:tcBorders>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ind w:left="20"/>
              <w:spacing w:after="0"/>
              <w:rPr>
                <w:sz w:val="20"/>
                <w:szCs w:val="20"/>
                <w:color w:val="auto"/>
              </w:rPr>
            </w:pPr>
            <w:r>
              <w:rPr>
                <w:rFonts w:ascii="Times New Roman" w:cs="Times New Roman" w:eastAsia="Times New Roman" w:hAnsi="Times New Roman"/>
                <w:sz w:val="13"/>
                <w:szCs w:val="13"/>
                <w:color w:val="auto"/>
              </w:rPr>
              <w:t>$</w:t>
            </w:r>
          </w:p>
        </w:tc>
        <w:tc>
          <w:tcPr>
            <w:tcW w:w="8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554,719</w:t>
            </w:r>
          </w:p>
        </w:tc>
        <w:tc>
          <w:tcPr>
            <w:tcW w:w="80" w:type="dxa"/>
            <w:vAlign w:val="bottom"/>
            <w:tcBorders>
              <w:bottom w:val="single" w:sz="8" w:color="CCEEFF"/>
            </w:tcBorders>
            <w:shd w:val="clear" w:color="auto" w:fill="CCEEFF"/>
          </w:tcPr>
          <w:p>
            <w:pPr>
              <w:spacing w:after="0"/>
              <w:rPr>
                <w:sz w:val="15"/>
                <w:szCs w:val="15"/>
                <w:color w:val="auto"/>
              </w:rPr>
            </w:pPr>
          </w:p>
        </w:tc>
        <w:tc>
          <w:tcPr>
            <w:tcW w:w="920" w:type="dxa"/>
            <w:vAlign w:val="bottom"/>
            <w:tcBorders>
              <w:bottom w:val="single" w:sz="8" w:color="CCEEFF"/>
            </w:tcBorders>
            <w:shd w:val="clear" w:color="auto" w:fill="CCEEFF"/>
          </w:tcPr>
          <w:p>
            <w:pPr>
              <w:spacing w:after="0"/>
              <w:rPr>
                <w:sz w:val="15"/>
                <w:szCs w:val="15"/>
                <w:color w:val="auto"/>
              </w:rPr>
            </w:pPr>
          </w:p>
        </w:tc>
        <w:tc>
          <w:tcPr>
            <w:tcW w:w="100" w:type="dxa"/>
            <w:vAlign w:val="bottom"/>
            <w:tcBorders>
              <w:bottom w:val="single" w:sz="8" w:color="CCEEFF"/>
            </w:tcBorders>
            <w:shd w:val="clear" w:color="auto" w:fill="CCEEFF"/>
          </w:tcPr>
          <w:p>
            <w:pPr>
              <w:spacing w:after="0"/>
              <w:rPr>
                <w:sz w:val="15"/>
                <w:szCs w:val="15"/>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w w:val="91"/>
              </w:rPr>
              <w:t>$</w:t>
            </w:r>
          </w:p>
        </w:tc>
        <w:tc>
          <w:tcPr>
            <w:tcW w:w="11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2,938,460</w:t>
            </w:r>
          </w:p>
        </w:tc>
      </w:tr>
      <w:tr>
        <w:trPr>
          <w:trHeight w:val="20"/>
        </w:trPr>
        <w:tc>
          <w:tcPr>
            <w:tcW w:w="50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bottom w:val="single" w:sz="8" w:color="auto"/>
            </w:tcBorders>
          </w:tcPr>
          <w:p>
            <w:pPr>
              <w:spacing w:after="0" w:line="20" w:lineRule="exact"/>
              <w:rPr>
                <w:sz w:val="1"/>
                <w:szCs w:val="1"/>
                <w:color w:val="auto"/>
              </w:rPr>
            </w:pPr>
          </w:p>
        </w:tc>
        <w:tc>
          <w:tcPr>
            <w:tcW w:w="110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bottom w:val="single" w:sz="8" w:color="auto"/>
            </w:tcBorders>
          </w:tcPr>
          <w:p>
            <w:pPr>
              <w:spacing w:after="0" w:line="20" w:lineRule="exact"/>
              <w:rPr>
                <w:sz w:val="1"/>
                <w:szCs w:val="1"/>
                <w:color w:val="auto"/>
              </w:rPr>
            </w:pPr>
          </w:p>
        </w:tc>
        <w:tc>
          <w:tcPr>
            <w:tcW w:w="1020" w:type="dxa"/>
            <w:vAlign w:val="bottom"/>
            <w:tcBorders>
              <w:top w:val="single" w:sz="8" w:color="CCEEFF"/>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CCEEFF"/>
              <w:bottom w:val="single" w:sz="8" w:color="auto"/>
            </w:tcBorders>
          </w:tcPr>
          <w:p>
            <w:pPr>
              <w:spacing w:after="0" w:line="20" w:lineRule="exact"/>
              <w:rPr>
                <w:sz w:val="1"/>
                <w:szCs w:val="1"/>
                <w:color w:val="auto"/>
              </w:rPr>
            </w:pPr>
          </w:p>
        </w:tc>
        <w:tc>
          <w:tcPr>
            <w:tcW w:w="840" w:type="dxa"/>
            <w:vAlign w:val="bottom"/>
            <w:tcBorders>
              <w:top w:val="single" w:sz="8" w:color="CCEEFF"/>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9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bottom w:val="single" w:sz="8" w:color="auto"/>
            </w:tcBorders>
          </w:tcPr>
          <w:p>
            <w:pPr>
              <w:spacing w:after="0" w:line="20" w:lineRule="exact"/>
              <w:rPr>
                <w:sz w:val="1"/>
                <w:szCs w:val="1"/>
                <w:color w:val="auto"/>
              </w:rPr>
            </w:pPr>
          </w:p>
        </w:tc>
        <w:tc>
          <w:tcPr>
            <w:tcW w:w="1140" w:type="dxa"/>
            <w:vAlign w:val="bottom"/>
            <w:tcBorders>
              <w:top w:val="single" w:sz="8" w:color="CCEEFF"/>
              <w:bottom w:val="single" w:sz="8" w:color="auto"/>
            </w:tcBorders>
          </w:tcPr>
          <w:p>
            <w:pPr>
              <w:spacing w:after="0" w:line="20" w:lineRule="exact"/>
              <w:rPr>
                <w:sz w:val="1"/>
                <w:szCs w:val="1"/>
                <w:color w:val="auto"/>
              </w:rPr>
            </w:pPr>
          </w:p>
        </w:tc>
      </w:tr>
    </w:tbl>
    <w:p>
      <w:pPr>
        <w:spacing w:after="0" w:line="14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4"/>
          <w:szCs w:val="14"/>
          <w:color w:val="auto"/>
        </w:rPr>
        <w:t>See accompanying notes to the Unaudited Pro Forma Condensed Combined Financial Information</w:t>
      </w:r>
    </w:p>
    <w:p>
      <w:pPr>
        <w:sectPr>
          <w:pgSz w:w="11900" w:h="16838" w:orient="portrait"/>
          <w:cols w:equalWidth="0" w:num="1">
            <w:col w:w="11280"/>
          </w:cols>
          <w:pgMar w:left="300" w:top="123" w:right="319" w:bottom="1440" w:gutter="0" w:footer="0" w:header="0"/>
        </w:sectPr>
      </w:pPr>
    </w:p>
    <w:bookmarkStart w:id="24" w:name="page25"/>
    <w:bookmarkEnd w:id="24"/>
    <w:p>
      <w:pPr>
        <w:jc w:val="center"/>
        <w:spacing w:after="0"/>
        <w:rPr>
          <w:sz w:val="20"/>
          <w:szCs w:val="20"/>
          <w:color w:val="auto"/>
        </w:rPr>
      </w:pPr>
      <w:r>
        <w:rPr>
          <w:rFonts w:ascii="Times New Roman" w:cs="Times New Roman" w:eastAsia="Times New Roman" w:hAnsi="Times New Roman"/>
          <w:sz w:val="14"/>
          <w:szCs w:val="14"/>
          <w:b w:val="1"/>
          <w:bCs w:val="1"/>
          <w:color w:val="auto"/>
        </w:rPr>
        <w:t>Planet Fitness, Inc.</w:t>
      </w:r>
    </w:p>
    <w:p>
      <w:pPr>
        <w:spacing w:after="0" w:line="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4"/>
          <w:szCs w:val="14"/>
          <w:b w:val="1"/>
          <w:bCs w:val="1"/>
          <w:color w:val="auto"/>
        </w:rPr>
        <w:t>Unaudited Pro Forma Condensed Combined Statement of Operations for the year ended December 31, 2021</w:t>
      </w:r>
    </w:p>
    <w:p>
      <w:pPr>
        <w:spacing w:after="0" w:line="340" w:lineRule="exact"/>
        <w:rPr>
          <w:sz w:val="20"/>
          <w:szCs w:val="20"/>
          <w:color w:val="auto"/>
        </w:rPr>
      </w:pPr>
    </w:p>
    <w:tbl>
      <w:tblPr>
        <w:tblLayout w:type="fixed"/>
        <w:tblInd w:w="0" w:type="dxa"/>
        <w:tblCellMar>
          <w:top w:w="0" w:type="dxa"/>
          <w:left w:w="0" w:type="dxa"/>
          <w:bottom w:w="0" w:type="dxa"/>
          <w:right w:w="0" w:type="dxa"/>
        </w:tblCellMar>
      </w:tblPr>
      <w:tr>
        <w:trPr>
          <w:trHeight w:val="158"/>
        </w:trPr>
        <w:tc>
          <w:tcPr>
            <w:tcW w:w="5200" w:type="dxa"/>
            <w:vAlign w:val="bottom"/>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1340" w:type="dxa"/>
            <w:vAlign w:val="bottom"/>
            <w:tcBorders>
              <w:bottom w:val="single" w:sz="8" w:color="auto"/>
            </w:tcBorders>
            <w:gridSpan w:val="3"/>
          </w:tcPr>
          <w:p>
            <w:pPr>
              <w:jc w:val="right"/>
              <w:spacing w:after="0"/>
              <w:rPr>
                <w:sz w:val="20"/>
                <w:szCs w:val="20"/>
                <w:color w:val="auto"/>
              </w:rPr>
            </w:pPr>
            <w:r>
              <w:rPr>
                <w:rFonts w:ascii="Times New Roman" w:cs="Times New Roman" w:eastAsia="Times New Roman" w:hAnsi="Times New Roman"/>
                <w:sz w:val="11"/>
                <w:szCs w:val="11"/>
                <w:b w:val="1"/>
                <w:bCs w:val="1"/>
                <w:color w:val="auto"/>
              </w:rPr>
              <w:t>Historical</w:t>
            </w:r>
          </w:p>
        </w:tc>
        <w:tc>
          <w:tcPr>
            <w:tcW w:w="96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97"/>
        </w:trPr>
        <w:tc>
          <w:tcPr>
            <w:tcW w:w="5200" w:type="dxa"/>
            <w:vAlign w:val="bottom"/>
            <w:vMerge w:val="restart"/>
          </w:tcPr>
          <w:p>
            <w:pPr>
              <w:ind w:left="20"/>
              <w:spacing w:after="0"/>
              <w:rPr>
                <w:sz w:val="20"/>
                <w:szCs w:val="20"/>
                <w:color w:val="auto"/>
              </w:rPr>
            </w:pPr>
            <w:r>
              <w:rPr>
                <w:rFonts w:ascii="Times New Roman" w:cs="Times New Roman" w:eastAsia="Times New Roman" w:hAnsi="Times New Roman"/>
                <w:sz w:val="11"/>
                <w:szCs w:val="11"/>
                <w:b w:val="1"/>
                <w:bCs w:val="1"/>
                <w:color w:val="auto"/>
              </w:rPr>
              <w:t>(in thousands, except per share amounts)</w:t>
            </w:r>
          </w:p>
        </w:tc>
        <w:tc>
          <w:tcPr>
            <w:tcW w:w="120" w:type="dxa"/>
            <w:vAlign w:val="bottom"/>
          </w:tcPr>
          <w:p>
            <w:pPr>
              <w:spacing w:after="0"/>
              <w:rPr>
                <w:sz w:val="8"/>
                <w:szCs w:val="8"/>
                <w:color w:val="auto"/>
              </w:rPr>
            </w:pPr>
          </w:p>
        </w:tc>
        <w:tc>
          <w:tcPr>
            <w:tcW w:w="1160" w:type="dxa"/>
            <w:vAlign w:val="bottom"/>
            <w:gridSpan w:val="2"/>
            <w:vMerge w:val="restart"/>
          </w:tcPr>
          <w:p>
            <w:pPr>
              <w:ind w:left="20"/>
              <w:spacing w:after="0"/>
              <w:rPr>
                <w:sz w:val="20"/>
                <w:szCs w:val="20"/>
                <w:color w:val="auto"/>
              </w:rPr>
            </w:pPr>
            <w:r>
              <w:rPr>
                <w:rFonts w:ascii="Times New Roman" w:cs="Times New Roman" w:eastAsia="Times New Roman" w:hAnsi="Times New Roman"/>
                <w:sz w:val="11"/>
                <w:szCs w:val="11"/>
                <w:b w:val="1"/>
                <w:bCs w:val="1"/>
                <w:color w:val="auto"/>
              </w:rPr>
              <w:t>Planet Fitness, Inc.</w:t>
            </w:r>
          </w:p>
        </w:tc>
        <w:tc>
          <w:tcPr>
            <w:tcW w:w="180" w:type="dxa"/>
            <w:vAlign w:val="bottom"/>
          </w:tcPr>
          <w:p>
            <w:pPr>
              <w:spacing w:after="0"/>
              <w:rPr>
                <w:sz w:val="8"/>
                <w:szCs w:val="8"/>
                <w:color w:val="auto"/>
              </w:rPr>
            </w:pPr>
          </w:p>
        </w:tc>
        <w:tc>
          <w:tcPr>
            <w:tcW w:w="1060" w:type="dxa"/>
            <w:vAlign w:val="bottom"/>
            <w:gridSpan w:val="2"/>
            <w:vMerge w:val="restart"/>
          </w:tcPr>
          <w:p>
            <w:pPr>
              <w:spacing w:after="0"/>
              <w:rPr>
                <w:sz w:val="20"/>
                <w:szCs w:val="20"/>
                <w:color w:val="auto"/>
              </w:rPr>
            </w:pPr>
            <w:r>
              <w:rPr>
                <w:rFonts w:ascii="Times New Roman" w:cs="Times New Roman" w:eastAsia="Times New Roman" w:hAnsi="Times New Roman"/>
                <w:sz w:val="11"/>
                <w:szCs w:val="11"/>
                <w:b w:val="1"/>
                <w:bCs w:val="1"/>
                <w:color w:val="auto"/>
              </w:rPr>
              <w:t>Sunshine Fitness</w:t>
            </w:r>
          </w:p>
        </w:tc>
        <w:tc>
          <w:tcPr>
            <w:tcW w:w="180" w:type="dxa"/>
            <w:vAlign w:val="bottom"/>
          </w:tcPr>
          <w:p>
            <w:pPr>
              <w:spacing w:after="0"/>
              <w:rPr>
                <w:sz w:val="8"/>
                <w:szCs w:val="8"/>
                <w:color w:val="auto"/>
              </w:rPr>
            </w:pPr>
          </w:p>
        </w:tc>
        <w:tc>
          <w:tcPr>
            <w:tcW w:w="1000" w:type="dxa"/>
            <w:vAlign w:val="bottom"/>
          </w:tcPr>
          <w:p>
            <w:pPr>
              <w:jc w:val="right"/>
              <w:ind w:right="250"/>
              <w:spacing w:after="0" w:line="97" w:lineRule="exact"/>
              <w:rPr>
                <w:sz w:val="20"/>
                <w:szCs w:val="20"/>
                <w:color w:val="auto"/>
              </w:rPr>
            </w:pPr>
            <w:r>
              <w:rPr>
                <w:rFonts w:ascii="Times New Roman" w:cs="Times New Roman" w:eastAsia="Times New Roman" w:hAnsi="Times New Roman"/>
                <w:sz w:val="11"/>
                <w:szCs w:val="11"/>
                <w:b w:val="1"/>
                <w:bCs w:val="1"/>
                <w:color w:val="auto"/>
              </w:rPr>
              <w:t>Pro Forma</w:t>
            </w:r>
          </w:p>
        </w:tc>
        <w:tc>
          <w:tcPr>
            <w:tcW w:w="100" w:type="dxa"/>
            <w:vAlign w:val="bottom"/>
          </w:tcPr>
          <w:p>
            <w:pPr>
              <w:spacing w:after="0"/>
              <w:rPr>
                <w:sz w:val="8"/>
                <w:szCs w:val="8"/>
                <w:color w:val="auto"/>
              </w:rPr>
            </w:pPr>
          </w:p>
        </w:tc>
        <w:tc>
          <w:tcPr>
            <w:tcW w:w="1140" w:type="dxa"/>
            <w:vAlign w:val="bottom"/>
            <w:gridSpan w:val="2"/>
            <w:vMerge w:val="restart"/>
          </w:tcPr>
          <w:p>
            <w:pPr>
              <w:ind w:left="400"/>
              <w:spacing w:after="0"/>
              <w:rPr>
                <w:sz w:val="20"/>
                <w:szCs w:val="20"/>
                <w:color w:val="auto"/>
              </w:rPr>
            </w:pPr>
            <w:r>
              <w:rPr>
                <w:rFonts w:ascii="Times New Roman" w:cs="Times New Roman" w:eastAsia="Times New Roman" w:hAnsi="Times New Roman"/>
                <w:sz w:val="11"/>
                <w:szCs w:val="11"/>
                <w:b w:val="1"/>
                <w:bCs w:val="1"/>
                <w:color w:val="auto"/>
              </w:rPr>
              <w:t>Notes</w:t>
            </w:r>
          </w:p>
        </w:tc>
        <w:tc>
          <w:tcPr>
            <w:tcW w:w="11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1"/>
                <w:szCs w:val="11"/>
                <w:b w:val="1"/>
                <w:bCs w:val="1"/>
                <w:color w:val="auto"/>
              </w:rPr>
              <w:t>Pro Forma Combined</w:t>
            </w:r>
          </w:p>
        </w:tc>
        <w:tc>
          <w:tcPr>
            <w:tcW w:w="0" w:type="dxa"/>
            <w:vAlign w:val="bottom"/>
          </w:tcPr>
          <w:p>
            <w:pPr>
              <w:spacing w:after="0"/>
              <w:rPr>
                <w:sz w:val="1"/>
                <w:szCs w:val="1"/>
                <w:color w:val="auto"/>
              </w:rPr>
            </w:pPr>
          </w:p>
        </w:tc>
      </w:tr>
      <w:tr>
        <w:trPr>
          <w:trHeight w:val="153"/>
        </w:trPr>
        <w:tc>
          <w:tcPr>
            <w:tcW w:w="5200" w:type="dxa"/>
            <w:vAlign w:val="bottom"/>
            <w:vMerge w:val="continue"/>
          </w:tcPr>
          <w:p>
            <w:pPr>
              <w:spacing w:after="0"/>
              <w:rPr>
                <w:sz w:val="13"/>
                <w:szCs w:val="13"/>
                <w:color w:val="auto"/>
              </w:rPr>
            </w:pPr>
          </w:p>
        </w:tc>
        <w:tc>
          <w:tcPr>
            <w:tcW w:w="120" w:type="dxa"/>
            <w:vAlign w:val="bottom"/>
          </w:tcPr>
          <w:p>
            <w:pPr>
              <w:spacing w:after="0"/>
              <w:rPr>
                <w:sz w:val="13"/>
                <w:szCs w:val="13"/>
                <w:color w:val="auto"/>
              </w:rPr>
            </w:pPr>
          </w:p>
        </w:tc>
        <w:tc>
          <w:tcPr>
            <w:tcW w:w="1160" w:type="dxa"/>
            <w:vAlign w:val="bottom"/>
            <w:gridSpan w:val="2"/>
            <w:vMerge w:val="continue"/>
          </w:tcPr>
          <w:p>
            <w:pPr>
              <w:spacing w:after="0"/>
              <w:rPr>
                <w:sz w:val="13"/>
                <w:szCs w:val="13"/>
                <w:color w:val="auto"/>
              </w:rPr>
            </w:pPr>
          </w:p>
        </w:tc>
        <w:tc>
          <w:tcPr>
            <w:tcW w:w="180" w:type="dxa"/>
            <w:vAlign w:val="bottom"/>
          </w:tcPr>
          <w:p>
            <w:pPr>
              <w:spacing w:after="0"/>
              <w:rPr>
                <w:sz w:val="13"/>
                <w:szCs w:val="13"/>
                <w:color w:val="auto"/>
              </w:rPr>
            </w:pPr>
          </w:p>
        </w:tc>
        <w:tc>
          <w:tcPr>
            <w:tcW w:w="1060" w:type="dxa"/>
            <w:vAlign w:val="bottom"/>
            <w:gridSpan w:val="2"/>
            <w:vMerge w:val="continue"/>
          </w:tcPr>
          <w:p>
            <w:pPr>
              <w:spacing w:after="0"/>
              <w:rPr>
                <w:sz w:val="13"/>
                <w:szCs w:val="13"/>
                <w:color w:val="auto"/>
              </w:rPr>
            </w:pPr>
          </w:p>
        </w:tc>
        <w:tc>
          <w:tcPr>
            <w:tcW w:w="180" w:type="dxa"/>
            <w:vAlign w:val="bottom"/>
          </w:tcPr>
          <w:p>
            <w:pPr>
              <w:spacing w:after="0"/>
              <w:rPr>
                <w:sz w:val="13"/>
                <w:szCs w:val="13"/>
                <w:color w:val="auto"/>
              </w:rPr>
            </w:pPr>
          </w:p>
        </w:tc>
        <w:tc>
          <w:tcPr>
            <w:tcW w:w="1000" w:type="dxa"/>
            <w:vAlign w:val="bottom"/>
          </w:tcPr>
          <w:p>
            <w:pPr>
              <w:jc w:val="right"/>
              <w:ind w:right="210"/>
              <w:spacing w:after="0"/>
              <w:rPr>
                <w:sz w:val="20"/>
                <w:szCs w:val="20"/>
                <w:color w:val="auto"/>
              </w:rPr>
            </w:pPr>
            <w:r>
              <w:rPr>
                <w:rFonts w:ascii="Times New Roman" w:cs="Times New Roman" w:eastAsia="Times New Roman" w:hAnsi="Times New Roman"/>
                <w:sz w:val="11"/>
                <w:szCs w:val="11"/>
                <w:b w:val="1"/>
                <w:bCs w:val="1"/>
                <w:color w:val="auto"/>
              </w:rPr>
              <w:t>Adjustments</w:t>
            </w:r>
          </w:p>
        </w:tc>
        <w:tc>
          <w:tcPr>
            <w:tcW w:w="100" w:type="dxa"/>
            <w:vAlign w:val="bottom"/>
          </w:tcPr>
          <w:p>
            <w:pPr>
              <w:spacing w:after="0"/>
              <w:rPr>
                <w:sz w:val="13"/>
                <w:szCs w:val="13"/>
                <w:color w:val="auto"/>
              </w:rPr>
            </w:pPr>
          </w:p>
        </w:tc>
        <w:tc>
          <w:tcPr>
            <w:tcW w:w="1140" w:type="dxa"/>
            <w:vAlign w:val="bottom"/>
            <w:gridSpan w:val="2"/>
            <w:vMerge w:val="continue"/>
          </w:tcPr>
          <w:p>
            <w:pPr>
              <w:spacing w:after="0"/>
              <w:rPr>
                <w:sz w:val="13"/>
                <w:szCs w:val="13"/>
                <w:color w:val="auto"/>
              </w:rPr>
            </w:pPr>
          </w:p>
        </w:tc>
        <w:tc>
          <w:tcPr>
            <w:tcW w:w="1140" w:type="dxa"/>
            <w:vAlign w:val="bottom"/>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5"/>
        </w:trPr>
        <w:tc>
          <w:tcPr>
            <w:tcW w:w="5200" w:type="dxa"/>
            <w:vAlign w:val="bottom"/>
            <w:tcBorders>
              <w:top w:val="single" w:sz="8" w:color="CCEEFF"/>
            </w:tcBorders>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Revenue:</w:t>
            </w:r>
          </w:p>
        </w:tc>
        <w:tc>
          <w:tcPr>
            <w:tcW w:w="120" w:type="dxa"/>
            <w:vAlign w:val="bottom"/>
            <w:tcBorders>
              <w:top w:val="single" w:sz="8" w:color="auto"/>
            </w:tcBorders>
            <w:shd w:val="clear" w:color="auto" w:fill="CCEEFF"/>
          </w:tcPr>
          <w:p>
            <w:pPr>
              <w:spacing w:after="0"/>
              <w:rPr>
                <w:sz w:val="14"/>
                <w:szCs w:val="14"/>
                <w:color w:val="auto"/>
              </w:rPr>
            </w:pPr>
          </w:p>
        </w:tc>
        <w:tc>
          <w:tcPr>
            <w:tcW w:w="1080" w:type="dxa"/>
            <w:vAlign w:val="bottom"/>
            <w:tcBorders>
              <w:top w:val="single" w:sz="8" w:color="auto"/>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auto"/>
            </w:tcBorders>
            <w:shd w:val="clear" w:color="auto" w:fill="CCEEFF"/>
          </w:tcPr>
          <w:p>
            <w:pPr>
              <w:spacing w:after="0"/>
              <w:rPr>
                <w:sz w:val="14"/>
                <w:szCs w:val="14"/>
                <w:color w:val="auto"/>
              </w:rPr>
            </w:pPr>
          </w:p>
        </w:tc>
        <w:tc>
          <w:tcPr>
            <w:tcW w:w="960" w:type="dxa"/>
            <w:vAlign w:val="bottom"/>
            <w:tcBorders>
              <w:top w:val="single" w:sz="8" w:color="auto"/>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auto"/>
            </w:tcBorders>
            <w:shd w:val="clear" w:color="auto" w:fill="CCEEFF"/>
          </w:tcPr>
          <w:p>
            <w:pPr>
              <w:spacing w:after="0"/>
              <w:rPr>
                <w:sz w:val="14"/>
                <w:szCs w:val="14"/>
                <w:color w:val="auto"/>
              </w:rPr>
            </w:pPr>
          </w:p>
        </w:tc>
        <w:tc>
          <w:tcPr>
            <w:tcW w:w="1000" w:type="dxa"/>
            <w:vAlign w:val="bottom"/>
            <w:tcBorders>
              <w:top w:val="single" w:sz="8" w:color="auto"/>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1060" w:type="dxa"/>
            <w:vAlign w:val="bottom"/>
            <w:tcBorders>
              <w:top w:val="single" w:sz="8" w:color="auto"/>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340" w:type="dxa"/>
            <w:vAlign w:val="bottom"/>
            <w:tcBorders>
              <w:top w:val="single" w:sz="8" w:color="auto"/>
            </w:tcBorders>
            <w:shd w:val="clear" w:color="auto" w:fill="CCEEFF"/>
          </w:tcPr>
          <w:p>
            <w:pPr>
              <w:spacing w:after="0"/>
              <w:rPr>
                <w:sz w:val="14"/>
                <w:szCs w:val="14"/>
                <w:color w:val="auto"/>
              </w:rPr>
            </w:pPr>
          </w:p>
        </w:tc>
        <w:tc>
          <w:tcPr>
            <w:tcW w:w="800" w:type="dxa"/>
            <w:vAlign w:val="bottom"/>
            <w:tcBorders>
              <w:top w:val="single" w:sz="8" w:color="auto"/>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0"/>
        </w:trPr>
        <w:tc>
          <w:tcPr>
            <w:tcW w:w="5200" w:type="dxa"/>
            <w:vAlign w:val="bottom"/>
          </w:tcPr>
          <w:p>
            <w:pPr>
              <w:ind w:left="180"/>
              <w:spacing w:after="0"/>
              <w:rPr>
                <w:sz w:val="20"/>
                <w:szCs w:val="20"/>
                <w:color w:val="auto"/>
              </w:rPr>
            </w:pPr>
            <w:r>
              <w:rPr>
                <w:rFonts w:ascii="Times New Roman" w:cs="Times New Roman" w:eastAsia="Times New Roman" w:hAnsi="Times New Roman"/>
                <w:sz w:val="14"/>
                <w:szCs w:val="14"/>
                <w:color w:val="auto"/>
              </w:rPr>
              <w:t>Franchise</w:t>
            </w:r>
          </w:p>
        </w:tc>
        <w:tc>
          <w:tcPr>
            <w:tcW w:w="12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237,570</w:t>
            </w:r>
          </w:p>
        </w:tc>
        <w:tc>
          <w:tcPr>
            <w:tcW w:w="80" w:type="dxa"/>
            <w:vAlign w:val="bottom"/>
          </w:tcPr>
          <w:p>
            <w:pPr>
              <w:spacing w:after="0"/>
              <w:rPr>
                <w:sz w:val="15"/>
                <w:szCs w:val="15"/>
                <w:color w:val="auto"/>
              </w:rPr>
            </w:pPr>
          </w:p>
        </w:tc>
        <w:tc>
          <w:tcPr>
            <w:tcW w:w="180" w:type="dxa"/>
            <w:vAlign w:val="bottom"/>
          </w:tcPr>
          <w:p>
            <w:pPr>
              <w:jc w:val="right"/>
              <w:ind w:right="9"/>
              <w:spacing w:after="0"/>
              <w:rPr>
                <w:sz w:val="20"/>
                <w:szCs w:val="20"/>
                <w:color w:val="auto"/>
              </w:rPr>
            </w:pPr>
            <w:r>
              <w:rPr>
                <w:rFonts w:ascii="Times New Roman" w:cs="Times New Roman" w:eastAsia="Times New Roman" w:hAnsi="Times New Roman"/>
                <w:sz w:val="14"/>
                <w:szCs w:val="14"/>
                <w:color w:val="auto"/>
              </w:rPr>
              <w:t>$</w:t>
            </w:r>
          </w:p>
        </w:tc>
        <w:tc>
          <w:tcPr>
            <w:tcW w:w="1060" w:type="dxa"/>
            <w:vAlign w:val="bottom"/>
            <w:gridSpan w:val="2"/>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tcPr>
          <w:p>
            <w:pPr>
              <w:jc w:val="right"/>
              <w:ind w:right="29"/>
              <w:spacing w:after="0"/>
              <w:rPr>
                <w:sz w:val="20"/>
                <w:szCs w:val="20"/>
                <w:color w:val="auto"/>
              </w:rPr>
            </w:pPr>
            <w:r>
              <w:rPr>
                <w:rFonts w:ascii="Times New Roman" w:cs="Times New Roman" w:eastAsia="Times New Roman" w:hAnsi="Times New Roman"/>
                <w:sz w:val="14"/>
                <w:szCs w:val="14"/>
                <w:color w:val="auto"/>
                <w:w w:val="85"/>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(14,640)</w:t>
            </w:r>
          </w:p>
        </w:tc>
        <w:tc>
          <w:tcPr>
            <w:tcW w:w="100" w:type="dxa"/>
            <w:vAlign w:val="bottom"/>
          </w:tcPr>
          <w:p>
            <w:pPr>
              <w:spacing w:after="0"/>
              <w:rPr>
                <w:sz w:val="15"/>
                <w:szCs w:val="15"/>
                <w:color w:val="auto"/>
              </w:rPr>
            </w:pPr>
          </w:p>
        </w:tc>
        <w:tc>
          <w:tcPr>
            <w:tcW w:w="114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3(k)</w:t>
            </w:r>
          </w:p>
        </w:tc>
        <w:tc>
          <w:tcPr>
            <w:tcW w:w="340" w:type="dxa"/>
            <w:vAlign w:val="bottom"/>
          </w:tcPr>
          <w:p>
            <w:pPr>
              <w:jc w:val="right"/>
              <w:ind w:right="172"/>
              <w:spacing w:after="0"/>
              <w:rPr>
                <w:sz w:val="20"/>
                <w:szCs w:val="20"/>
                <w:color w:val="auto"/>
              </w:rPr>
            </w:pPr>
            <w:r>
              <w:rPr>
                <w:rFonts w:ascii="Times New Roman" w:cs="Times New Roman" w:eastAsia="Times New Roman" w:hAnsi="Times New Roman"/>
                <w:sz w:val="14"/>
                <w:szCs w:val="14"/>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222,930</w:t>
            </w:r>
          </w:p>
        </w:tc>
        <w:tc>
          <w:tcPr>
            <w:tcW w:w="0" w:type="dxa"/>
            <w:vAlign w:val="bottom"/>
          </w:tcPr>
          <w:p>
            <w:pPr>
              <w:spacing w:after="0"/>
              <w:rPr>
                <w:sz w:val="1"/>
                <w:szCs w:val="1"/>
                <w:color w:val="auto"/>
              </w:rPr>
            </w:pPr>
          </w:p>
        </w:tc>
      </w:tr>
      <w:tr>
        <w:trPr>
          <w:trHeight w:val="180"/>
        </w:trPr>
        <w:tc>
          <w:tcPr>
            <w:tcW w:w="52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rPr>
              <w:t>Commission income</w:t>
            </w:r>
          </w:p>
        </w:tc>
        <w:tc>
          <w:tcPr>
            <w:tcW w:w="120" w:type="dxa"/>
            <w:vAlign w:val="bottom"/>
            <w:shd w:val="clear" w:color="auto" w:fill="CCEEFF"/>
          </w:tcPr>
          <w:p>
            <w:pPr>
              <w:spacing w:after="0"/>
              <w:rPr>
                <w:sz w:val="15"/>
                <w:szCs w:val="15"/>
                <w:color w:val="auto"/>
              </w:rPr>
            </w:pPr>
          </w:p>
        </w:tc>
        <w:tc>
          <w:tcPr>
            <w:tcW w:w="10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779</w:t>
            </w:r>
          </w:p>
        </w:tc>
        <w:tc>
          <w:tcPr>
            <w:tcW w:w="8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06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shd w:val="clear" w:color="auto" w:fill="CCEEFF"/>
          </w:tcPr>
          <w:p>
            <w:pPr>
              <w:spacing w:after="0"/>
              <w:rPr>
                <w:sz w:val="15"/>
                <w:szCs w:val="15"/>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shd w:val="clear" w:color="auto" w:fill="CCEEFF"/>
          </w:tcPr>
          <w:p>
            <w:pPr>
              <w:spacing w:after="0"/>
              <w:rPr>
                <w:sz w:val="15"/>
                <w:szCs w:val="15"/>
                <w:color w:val="auto"/>
              </w:rPr>
            </w:pPr>
          </w:p>
        </w:tc>
        <w:tc>
          <w:tcPr>
            <w:tcW w:w="10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779</w:t>
            </w:r>
          </w:p>
        </w:tc>
        <w:tc>
          <w:tcPr>
            <w:tcW w:w="0" w:type="dxa"/>
            <w:vAlign w:val="bottom"/>
          </w:tcPr>
          <w:p>
            <w:pPr>
              <w:spacing w:after="0"/>
              <w:rPr>
                <w:sz w:val="1"/>
                <w:szCs w:val="1"/>
                <w:color w:val="auto"/>
              </w:rPr>
            </w:pPr>
          </w:p>
        </w:tc>
      </w:tr>
      <w:tr>
        <w:trPr>
          <w:trHeight w:val="180"/>
        </w:trPr>
        <w:tc>
          <w:tcPr>
            <w:tcW w:w="5200" w:type="dxa"/>
            <w:vAlign w:val="bottom"/>
          </w:tcPr>
          <w:p>
            <w:pPr>
              <w:ind w:left="180"/>
              <w:spacing w:after="0"/>
              <w:rPr>
                <w:sz w:val="20"/>
                <w:szCs w:val="20"/>
                <w:color w:val="auto"/>
              </w:rPr>
            </w:pPr>
            <w:r>
              <w:rPr>
                <w:rFonts w:ascii="Times New Roman" w:cs="Times New Roman" w:eastAsia="Times New Roman" w:hAnsi="Times New Roman"/>
                <w:sz w:val="14"/>
                <w:szCs w:val="14"/>
                <w:color w:val="auto"/>
              </w:rPr>
              <w:t>National advertising fund revenue</w:t>
            </w:r>
          </w:p>
        </w:tc>
        <w:tc>
          <w:tcPr>
            <w:tcW w:w="120" w:type="dxa"/>
            <w:vAlign w:val="bottom"/>
          </w:tcPr>
          <w:p>
            <w:pPr>
              <w:spacing w:after="0"/>
              <w:rPr>
                <w:sz w:val="15"/>
                <w:szCs w:val="15"/>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52,361</w:t>
            </w: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gridSpan w:val="2"/>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tcPr>
          <w:p>
            <w:pPr>
              <w:spacing w:after="0"/>
              <w:rPr>
                <w:sz w:val="15"/>
                <w:szCs w:val="15"/>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(2,983)</w:t>
            </w:r>
          </w:p>
        </w:tc>
        <w:tc>
          <w:tcPr>
            <w:tcW w:w="100" w:type="dxa"/>
            <w:vAlign w:val="bottom"/>
          </w:tcPr>
          <w:p>
            <w:pPr>
              <w:spacing w:after="0"/>
              <w:rPr>
                <w:sz w:val="15"/>
                <w:szCs w:val="15"/>
                <w:color w:val="auto"/>
              </w:rPr>
            </w:pPr>
          </w:p>
        </w:tc>
        <w:tc>
          <w:tcPr>
            <w:tcW w:w="114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3(k)</w:t>
            </w:r>
          </w:p>
        </w:tc>
        <w:tc>
          <w:tcPr>
            <w:tcW w:w="340" w:type="dxa"/>
            <w:vAlign w:val="bottom"/>
          </w:tcPr>
          <w:p>
            <w:pPr>
              <w:spacing w:after="0"/>
              <w:rPr>
                <w:sz w:val="15"/>
                <w:szCs w:val="15"/>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49,378</w:t>
            </w:r>
          </w:p>
        </w:tc>
        <w:tc>
          <w:tcPr>
            <w:tcW w:w="0" w:type="dxa"/>
            <w:vAlign w:val="bottom"/>
          </w:tcPr>
          <w:p>
            <w:pPr>
              <w:spacing w:after="0"/>
              <w:rPr>
                <w:sz w:val="1"/>
                <w:szCs w:val="1"/>
                <w:color w:val="auto"/>
              </w:rPr>
            </w:pPr>
          </w:p>
        </w:tc>
      </w:tr>
      <w:tr>
        <w:trPr>
          <w:trHeight w:val="180"/>
        </w:trPr>
        <w:tc>
          <w:tcPr>
            <w:tcW w:w="52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rPr>
              <w:t>Corporate-owned stores</w:t>
            </w:r>
          </w:p>
        </w:tc>
        <w:tc>
          <w:tcPr>
            <w:tcW w:w="120" w:type="dxa"/>
            <w:vAlign w:val="bottom"/>
            <w:shd w:val="clear" w:color="auto" w:fill="CCEEFF"/>
          </w:tcPr>
          <w:p>
            <w:pPr>
              <w:spacing w:after="0"/>
              <w:rPr>
                <w:sz w:val="15"/>
                <w:szCs w:val="15"/>
                <w:color w:val="auto"/>
              </w:rPr>
            </w:pPr>
          </w:p>
        </w:tc>
        <w:tc>
          <w:tcPr>
            <w:tcW w:w="10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167,219</w:t>
            </w:r>
          </w:p>
        </w:tc>
        <w:tc>
          <w:tcPr>
            <w:tcW w:w="8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172,336</w:t>
            </w: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shd w:val="clear" w:color="auto" w:fill="CCEEFF"/>
          </w:tcPr>
          <w:p>
            <w:pPr>
              <w:spacing w:after="0"/>
              <w:rPr>
                <w:sz w:val="15"/>
                <w:szCs w:val="15"/>
                <w:color w:val="auto"/>
              </w:rPr>
            </w:pPr>
          </w:p>
        </w:tc>
        <w:tc>
          <w:tcPr>
            <w:tcW w:w="10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339,555</w:t>
            </w:r>
          </w:p>
        </w:tc>
        <w:tc>
          <w:tcPr>
            <w:tcW w:w="0" w:type="dxa"/>
            <w:vAlign w:val="bottom"/>
          </w:tcPr>
          <w:p>
            <w:pPr>
              <w:spacing w:after="0"/>
              <w:rPr>
                <w:sz w:val="1"/>
                <w:szCs w:val="1"/>
                <w:color w:val="auto"/>
              </w:rPr>
            </w:pPr>
          </w:p>
        </w:tc>
      </w:tr>
      <w:tr>
        <w:trPr>
          <w:trHeight w:val="180"/>
        </w:trPr>
        <w:tc>
          <w:tcPr>
            <w:tcW w:w="5200" w:type="dxa"/>
            <w:vAlign w:val="bottom"/>
          </w:tcPr>
          <w:p>
            <w:pPr>
              <w:ind w:left="180"/>
              <w:spacing w:after="0"/>
              <w:rPr>
                <w:sz w:val="20"/>
                <w:szCs w:val="20"/>
                <w:color w:val="auto"/>
              </w:rPr>
            </w:pPr>
            <w:r>
              <w:rPr>
                <w:rFonts w:ascii="Times New Roman" w:cs="Times New Roman" w:eastAsia="Times New Roman" w:hAnsi="Times New Roman"/>
                <w:sz w:val="14"/>
                <w:szCs w:val="14"/>
                <w:color w:val="auto"/>
              </w:rPr>
              <w:t>Equipment</w:t>
            </w:r>
          </w:p>
        </w:tc>
        <w:tc>
          <w:tcPr>
            <w:tcW w:w="120" w:type="dxa"/>
            <w:vAlign w:val="bottom"/>
          </w:tcPr>
          <w:p>
            <w:pPr>
              <w:spacing w:after="0"/>
              <w:rPr>
                <w:sz w:val="15"/>
                <w:szCs w:val="15"/>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129,094</w:t>
            </w: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gridSpan w:val="2"/>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tcPr>
          <w:p>
            <w:pPr>
              <w:spacing w:after="0"/>
              <w:rPr>
                <w:sz w:val="15"/>
                <w:szCs w:val="15"/>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(10,130)</w:t>
            </w:r>
          </w:p>
        </w:tc>
        <w:tc>
          <w:tcPr>
            <w:tcW w:w="100" w:type="dxa"/>
            <w:vAlign w:val="bottom"/>
          </w:tcPr>
          <w:p>
            <w:pPr>
              <w:spacing w:after="0"/>
              <w:rPr>
                <w:sz w:val="15"/>
                <w:szCs w:val="15"/>
                <w:color w:val="auto"/>
              </w:rPr>
            </w:pPr>
          </w:p>
        </w:tc>
        <w:tc>
          <w:tcPr>
            <w:tcW w:w="114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3(k)</w:t>
            </w:r>
          </w:p>
        </w:tc>
        <w:tc>
          <w:tcPr>
            <w:tcW w:w="340" w:type="dxa"/>
            <w:vAlign w:val="bottom"/>
          </w:tcPr>
          <w:p>
            <w:pPr>
              <w:spacing w:after="0"/>
              <w:rPr>
                <w:sz w:val="15"/>
                <w:szCs w:val="15"/>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118,964</w:t>
            </w:r>
          </w:p>
        </w:tc>
        <w:tc>
          <w:tcPr>
            <w:tcW w:w="0" w:type="dxa"/>
            <w:vAlign w:val="bottom"/>
          </w:tcPr>
          <w:p>
            <w:pPr>
              <w:spacing w:after="0"/>
              <w:rPr>
                <w:sz w:val="1"/>
                <w:szCs w:val="1"/>
                <w:color w:val="auto"/>
              </w:rPr>
            </w:pPr>
          </w:p>
        </w:tc>
      </w:tr>
      <w:tr>
        <w:trPr>
          <w:trHeight w:val="171"/>
        </w:trPr>
        <w:tc>
          <w:tcPr>
            <w:tcW w:w="5200" w:type="dxa"/>
            <w:vAlign w:val="bottom"/>
            <w:tcBorders>
              <w:top w:val="single" w:sz="8" w:color="CCEEFF"/>
            </w:tcBorders>
            <w:shd w:val="clear" w:color="auto" w:fill="CCEEFF"/>
          </w:tcPr>
          <w:p>
            <w:pPr>
              <w:ind w:left="360"/>
              <w:spacing w:after="0"/>
              <w:rPr>
                <w:sz w:val="20"/>
                <w:szCs w:val="20"/>
                <w:color w:val="auto"/>
              </w:rPr>
            </w:pPr>
            <w:r>
              <w:rPr>
                <w:rFonts w:ascii="Times New Roman" w:cs="Times New Roman" w:eastAsia="Times New Roman" w:hAnsi="Times New Roman"/>
                <w:sz w:val="14"/>
                <w:szCs w:val="14"/>
                <w:color w:val="auto"/>
              </w:rPr>
              <w:t>Total revenue</w:t>
            </w:r>
          </w:p>
        </w:tc>
        <w:tc>
          <w:tcPr>
            <w:tcW w:w="120" w:type="dxa"/>
            <w:vAlign w:val="bottom"/>
            <w:tcBorders>
              <w:top w:val="single" w:sz="8" w:color="auto"/>
              <w:bottom w:val="single" w:sz="8" w:color="auto"/>
            </w:tcBorders>
            <w:shd w:val="clear" w:color="auto" w:fill="CCEEFF"/>
          </w:tcPr>
          <w:p>
            <w:pPr>
              <w:spacing w:after="0"/>
              <w:rPr>
                <w:sz w:val="14"/>
                <w:szCs w:val="14"/>
                <w:color w:val="auto"/>
              </w:rPr>
            </w:pPr>
          </w:p>
        </w:tc>
        <w:tc>
          <w:tcPr>
            <w:tcW w:w="10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587,023</w:t>
            </w:r>
          </w:p>
        </w:tc>
        <w:tc>
          <w:tcPr>
            <w:tcW w:w="8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auto"/>
              <w:bottom w:val="single" w:sz="8" w:color="auto"/>
            </w:tcBorders>
            <w:shd w:val="clear" w:color="auto" w:fill="CCEEFF"/>
          </w:tcPr>
          <w:p>
            <w:pPr>
              <w:spacing w:after="0"/>
              <w:rPr>
                <w:sz w:val="14"/>
                <w:szCs w:val="14"/>
                <w:color w:val="auto"/>
              </w:rPr>
            </w:pP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172,336</w:t>
            </w:r>
          </w:p>
        </w:tc>
        <w:tc>
          <w:tcPr>
            <w:tcW w:w="10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auto"/>
              <w:bottom w:val="single" w:sz="8" w:color="auto"/>
            </w:tcBorders>
            <w:shd w:val="clear" w:color="auto" w:fill="CCEEFF"/>
          </w:tcPr>
          <w:p>
            <w:pPr>
              <w:spacing w:after="0"/>
              <w:rPr>
                <w:sz w:val="14"/>
                <w:szCs w:val="14"/>
                <w:color w:val="auto"/>
              </w:rPr>
            </w:pPr>
          </w:p>
        </w:tc>
        <w:tc>
          <w:tcPr>
            <w:tcW w:w="10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(27,753)</w:t>
            </w:r>
          </w:p>
        </w:tc>
        <w:tc>
          <w:tcPr>
            <w:tcW w:w="100" w:type="dxa"/>
            <w:vAlign w:val="bottom"/>
            <w:tcBorders>
              <w:top w:val="single" w:sz="8" w:color="CCEEFF"/>
            </w:tcBorders>
            <w:shd w:val="clear" w:color="auto" w:fill="CCEEFF"/>
          </w:tcPr>
          <w:p>
            <w:pPr>
              <w:spacing w:after="0"/>
              <w:rPr>
                <w:sz w:val="14"/>
                <w:szCs w:val="14"/>
                <w:color w:val="auto"/>
              </w:rPr>
            </w:pPr>
          </w:p>
        </w:tc>
        <w:tc>
          <w:tcPr>
            <w:tcW w:w="10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340" w:type="dxa"/>
            <w:vAlign w:val="bottom"/>
            <w:tcBorders>
              <w:top w:val="single" w:sz="8" w:color="auto"/>
              <w:bottom w:val="single" w:sz="8" w:color="auto"/>
            </w:tcBorders>
            <w:shd w:val="clear" w:color="auto" w:fill="CCEEFF"/>
          </w:tcPr>
          <w:p>
            <w:pPr>
              <w:spacing w:after="0"/>
              <w:rPr>
                <w:sz w:val="14"/>
                <w:szCs w:val="14"/>
                <w:color w:val="auto"/>
              </w:rPr>
            </w:pP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731,606</w:t>
            </w:r>
          </w:p>
        </w:tc>
        <w:tc>
          <w:tcPr>
            <w:tcW w:w="0" w:type="dxa"/>
            <w:vAlign w:val="bottom"/>
          </w:tcPr>
          <w:p>
            <w:pPr>
              <w:spacing w:after="0"/>
              <w:rPr>
                <w:sz w:val="1"/>
                <w:szCs w:val="1"/>
                <w:color w:val="auto"/>
              </w:rPr>
            </w:pPr>
          </w:p>
        </w:tc>
      </w:tr>
      <w:tr>
        <w:trPr>
          <w:trHeight w:val="160"/>
        </w:trPr>
        <w:tc>
          <w:tcPr>
            <w:tcW w:w="5200" w:type="dxa"/>
            <w:vAlign w:val="bottom"/>
          </w:tcPr>
          <w:p>
            <w:pPr>
              <w:ind w:left="20"/>
              <w:spacing w:after="0"/>
              <w:rPr>
                <w:sz w:val="20"/>
                <w:szCs w:val="20"/>
                <w:color w:val="auto"/>
              </w:rPr>
            </w:pPr>
            <w:r>
              <w:rPr>
                <w:rFonts w:ascii="Times New Roman" w:cs="Times New Roman" w:eastAsia="Times New Roman" w:hAnsi="Times New Roman"/>
                <w:sz w:val="14"/>
                <w:szCs w:val="14"/>
                <w:color w:val="auto"/>
              </w:rPr>
              <w:t>Operating costs and expenses:</w:t>
            </w:r>
          </w:p>
        </w:tc>
        <w:tc>
          <w:tcPr>
            <w:tcW w:w="12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80"/>
        </w:trPr>
        <w:tc>
          <w:tcPr>
            <w:tcW w:w="52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rPr>
              <w:t>Cost of revenue</w:t>
            </w:r>
          </w:p>
        </w:tc>
        <w:tc>
          <w:tcPr>
            <w:tcW w:w="120" w:type="dxa"/>
            <w:vAlign w:val="bottom"/>
            <w:shd w:val="clear" w:color="auto" w:fill="CCEEFF"/>
          </w:tcPr>
          <w:p>
            <w:pPr>
              <w:spacing w:after="0"/>
              <w:rPr>
                <w:sz w:val="15"/>
                <w:szCs w:val="15"/>
                <w:color w:val="auto"/>
              </w:rPr>
            </w:pPr>
          </w:p>
        </w:tc>
        <w:tc>
          <w:tcPr>
            <w:tcW w:w="10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100,993</w:t>
            </w:r>
          </w:p>
        </w:tc>
        <w:tc>
          <w:tcPr>
            <w:tcW w:w="8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06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shd w:val="clear" w:color="auto" w:fill="CCEEFF"/>
          </w:tcPr>
          <w:p>
            <w:pPr>
              <w:spacing w:after="0"/>
              <w:rPr>
                <w:sz w:val="15"/>
                <w:szCs w:val="15"/>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(6,356)</w:t>
            </w:r>
          </w:p>
        </w:tc>
        <w:tc>
          <w:tcPr>
            <w:tcW w:w="100" w:type="dxa"/>
            <w:vAlign w:val="bottom"/>
            <w:shd w:val="clear" w:color="auto" w:fill="CCEEFF"/>
          </w:tcPr>
          <w:p>
            <w:pPr>
              <w:spacing w:after="0"/>
              <w:rPr>
                <w:sz w:val="15"/>
                <w:szCs w:val="15"/>
                <w:color w:val="auto"/>
              </w:rPr>
            </w:pPr>
          </w:p>
        </w:tc>
        <w:tc>
          <w:tcPr>
            <w:tcW w:w="11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3(k), 3(m)</w:t>
            </w: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94,637</w:t>
            </w:r>
          </w:p>
        </w:tc>
        <w:tc>
          <w:tcPr>
            <w:tcW w:w="0" w:type="dxa"/>
            <w:vAlign w:val="bottom"/>
          </w:tcPr>
          <w:p>
            <w:pPr>
              <w:spacing w:after="0"/>
              <w:rPr>
                <w:sz w:val="1"/>
                <w:szCs w:val="1"/>
                <w:color w:val="auto"/>
              </w:rPr>
            </w:pPr>
          </w:p>
        </w:tc>
      </w:tr>
      <w:tr>
        <w:trPr>
          <w:trHeight w:val="180"/>
        </w:trPr>
        <w:tc>
          <w:tcPr>
            <w:tcW w:w="5200" w:type="dxa"/>
            <w:vAlign w:val="bottom"/>
          </w:tcPr>
          <w:p>
            <w:pPr>
              <w:ind w:left="180"/>
              <w:spacing w:after="0"/>
              <w:rPr>
                <w:sz w:val="20"/>
                <w:szCs w:val="20"/>
                <w:color w:val="auto"/>
              </w:rPr>
            </w:pPr>
            <w:r>
              <w:rPr>
                <w:rFonts w:ascii="Times New Roman" w:cs="Times New Roman" w:eastAsia="Times New Roman" w:hAnsi="Times New Roman"/>
                <w:sz w:val="14"/>
                <w:szCs w:val="14"/>
                <w:color w:val="auto"/>
              </w:rPr>
              <w:t>Store operations</w:t>
            </w:r>
          </w:p>
        </w:tc>
        <w:tc>
          <w:tcPr>
            <w:tcW w:w="120" w:type="dxa"/>
            <w:vAlign w:val="bottom"/>
          </w:tcPr>
          <w:p>
            <w:pPr>
              <w:spacing w:after="0"/>
              <w:rPr>
                <w:sz w:val="15"/>
                <w:szCs w:val="15"/>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110,716</w:t>
            </w: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97,429</w:t>
            </w:r>
          </w:p>
        </w:tc>
        <w:tc>
          <w:tcPr>
            <w:tcW w:w="1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(18,529)</w:t>
            </w:r>
          </w:p>
        </w:tc>
        <w:tc>
          <w:tcPr>
            <w:tcW w:w="100" w:type="dxa"/>
            <w:vAlign w:val="bottom"/>
          </w:tcPr>
          <w:p>
            <w:pPr>
              <w:spacing w:after="0"/>
              <w:rPr>
                <w:sz w:val="15"/>
                <w:szCs w:val="15"/>
                <w:color w:val="auto"/>
              </w:rPr>
            </w:pPr>
          </w:p>
        </w:tc>
        <w:tc>
          <w:tcPr>
            <w:tcW w:w="114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3(k), 3(m)</w:t>
            </w:r>
          </w:p>
        </w:tc>
        <w:tc>
          <w:tcPr>
            <w:tcW w:w="340" w:type="dxa"/>
            <w:vAlign w:val="bottom"/>
          </w:tcPr>
          <w:p>
            <w:pPr>
              <w:spacing w:after="0"/>
              <w:rPr>
                <w:sz w:val="15"/>
                <w:szCs w:val="15"/>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189,616</w:t>
            </w:r>
          </w:p>
        </w:tc>
        <w:tc>
          <w:tcPr>
            <w:tcW w:w="0" w:type="dxa"/>
            <w:vAlign w:val="bottom"/>
          </w:tcPr>
          <w:p>
            <w:pPr>
              <w:spacing w:after="0"/>
              <w:rPr>
                <w:sz w:val="1"/>
                <w:szCs w:val="1"/>
                <w:color w:val="auto"/>
              </w:rPr>
            </w:pPr>
          </w:p>
        </w:tc>
      </w:tr>
      <w:tr>
        <w:trPr>
          <w:trHeight w:val="180"/>
        </w:trPr>
        <w:tc>
          <w:tcPr>
            <w:tcW w:w="52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rPr>
              <w:t>Selling, general and administrative</w:t>
            </w:r>
          </w:p>
        </w:tc>
        <w:tc>
          <w:tcPr>
            <w:tcW w:w="120" w:type="dxa"/>
            <w:vAlign w:val="bottom"/>
            <w:shd w:val="clear" w:color="auto" w:fill="CCEEFF"/>
          </w:tcPr>
          <w:p>
            <w:pPr>
              <w:spacing w:after="0"/>
              <w:rPr>
                <w:sz w:val="15"/>
                <w:szCs w:val="15"/>
                <w:color w:val="auto"/>
              </w:rPr>
            </w:pPr>
          </w:p>
        </w:tc>
        <w:tc>
          <w:tcPr>
            <w:tcW w:w="10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94,540</w:t>
            </w:r>
          </w:p>
        </w:tc>
        <w:tc>
          <w:tcPr>
            <w:tcW w:w="8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12,150</w:t>
            </w: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shd w:val="clear" w:color="auto" w:fill="CCEEFF"/>
          </w:tcPr>
          <w:p>
            <w:pPr>
              <w:spacing w:after="0"/>
              <w:rPr>
                <w:sz w:val="15"/>
                <w:szCs w:val="15"/>
                <w:color w:val="auto"/>
              </w:rPr>
            </w:pPr>
          </w:p>
        </w:tc>
        <w:tc>
          <w:tcPr>
            <w:tcW w:w="10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106,690</w:t>
            </w:r>
          </w:p>
        </w:tc>
        <w:tc>
          <w:tcPr>
            <w:tcW w:w="0" w:type="dxa"/>
            <w:vAlign w:val="bottom"/>
          </w:tcPr>
          <w:p>
            <w:pPr>
              <w:spacing w:after="0"/>
              <w:rPr>
                <w:sz w:val="1"/>
                <w:szCs w:val="1"/>
                <w:color w:val="auto"/>
              </w:rPr>
            </w:pPr>
          </w:p>
        </w:tc>
      </w:tr>
      <w:tr>
        <w:trPr>
          <w:trHeight w:val="180"/>
        </w:trPr>
        <w:tc>
          <w:tcPr>
            <w:tcW w:w="5200" w:type="dxa"/>
            <w:vAlign w:val="bottom"/>
          </w:tcPr>
          <w:p>
            <w:pPr>
              <w:ind w:left="180"/>
              <w:spacing w:after="0"/>
              <w:rPr>
                <w:sz w:val="20"/>
                <w:szCs w:val="20"/>
                <w:color w:val="auto"/>
              </w:rPr>
            </w:pPr>
            <w:r>
              <w:rPr>
                <w:rFonts w:ascii="Times New Roman" w:cs="Times New Roman" w:eastAsia="Times New Roman" w:hAnsi="Times New Roman"/>
                <w:sz w:val="14"/>
                <w:szCs w:val="14"/>
                <w:color w:val="auto"/>
              </w:rPr>
              <w:t>National advertising fund expense</w:t>
            </w:r>
          </w:p>
        </w:tc>
        <w:tc>
          <w:tcPr>
            <w:tcW w:w="120" w:type="dxa"/>
            <w:vAlign w:val="bottom"/>
          </w:tcPr>
          <w:p>
            <w:pPr>
              <w:spacing w:after="0"/>
              <w:rPr>
                <w:sz w:val="15"/>
                <w:szCs w:val="15"/>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59,442</w:t>
            </w: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gridSpan w:val="2"/>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tcPr>
          <w:p>
            <w:pPr>
              <w:spacing w:after="0"/>
              <w:rPr>
                <w:sz w:val="15"/>
                <w:szCs w:val="15"/>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59,442</w:t>
            </w:r>
          </w:p>
        </w:tc>
        <w:tc>
          <w:tcPr>
            <w:tcW w:w="0" w:type="dxa"/>
            <w:vAlign w:val="bottom"/>
          </w:tcPr>
          <w:p>
            <w:pPr>
              <w:spacing w:after="0"/>
              <w:rPr>
                <w:sz w:val="1"/>
                <w:szCs w:val="1"/>
                <w:color w:val="auto"/>
              </w:rPr>
            </w:pPr>
          </w:p>
        </w:tc>
      </w:tr>
      <w:tr>
        <w:trPr>
          <w:trHeight w:val="180"/>
        </w:trPr>
        <w:tc>
          <w:tcPr>
            <w:tcW w:w="52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rPr>
              <w:t>Depreciation and amortization</w:t>
            </w:r>
          </w:p>
        </w:tc>
        <w:tc>
          <w:tcPr>
            <w:tcW w:w="120" w:type="dxa"/>
            <w:vAlign w:val="bottom"/>
            <w:shd w:val="clear" w:color="auto" w:fill="CCEEFF"/>
          </w:tcPr>
          <w:p>
            <w:pPr>
              <w:spacing w:after="0"/>
              <w:rPr>
                <w:sz w:val="15"/>
                <w:szCs w:val="15"/>
                <w:color w:val="auto"/>
              </w:rPr>
            </w:pPr>
          </w:p>
        </w:tc>
        <w:tc>
          <w:tcPr>
            <w:tcW w:w="10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62,800</w:t>
            </w:r>
          </w:p>
        </w:tc>
        <w:tc>
          <w:tcPr>
            <w:tcW w:w="8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39,629</w:t>
            </w: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20,315</w:t>
            </w:r>
          </w:p>
        </w:tc>
        <w:tc>
          <w:tcPr>
            <w:tcW w:w="100" w:type="dxa"/>
            <w:vAlign w:val="bottom"/>
            <w:shd w:val="clear" w:color="auto" w:fill="CCEEFF"/>
          </w:tcPr>
          <w:p>
            <w:pPr>
              <w:spacing w:after="0"/>
              <w:rPr>
                <w:sz w:val="15"/>
                <w:szCs w:val="15"/>
                <w:color w:val="auto"/>
              </w:rPr>
            </w:pPr>
          </w:p>
        </w:tc>
        <w:tc>
          <w:tcPr>
            <w:tcW w:w="11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3(l)</w:t>
            </w: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122,744</w:t>
            </w:r>
          </w:p>
        </w:tc>
        <w:tc>
          <w:tcPr>
            <w:tcW w:w="0" w:type="dxa"/>
            <w:vAlign w:val="bottom"/>
          </w:tcPr>
          <w:p>
            <w:pPr>
              <w:spacing w:after="0"/>
              <w:rPr>
                <w:sz w:val="1"/>
                <w:szCs w:val="1"/>
                <w:color w:val="auto"/>
              </w:rPr>
            </w:pPr>
          </w:p>
        </w:tc>
      </w:tr>
      <w:tr>
        <w:trPr>
          <w:trHeight w:val="180"/>
        </w:trPr>
        <w:tc>
          <w:tcPr>
            <w:tcW w:w="5200" w:type="dxa"/>
            <w:vAlign w:val="bottom"/>
          </w:tcPr>
          <w:p>
            <w:pPr>
              <w:ind w:left="180"/>
              <w:spacing w:after="0"/>
              <w:rPr>
                <w:sz w:val="20"/>
                <w:szCs w:val="20"/>
                <w:color w:val="auto"/>
              </w:rPr>
            </w:pPr>
            <w:r>
              <w:rPr>
                <w:rFonts w:ascii="Times New Roman" w:cs="Times New Roman" w:eastAsia="Times New Roman" w:hAnsi="Times New Roman"/>
                <w:sz w:val="14"/>
                <w:szCs w:val="14"/>
                <w:color w:val="auto"/>
              </w:rPr>
              <w:t>Other loss</w:t>
            </w:r>
          </w:p>
        </w:tc>
        <w:tc>
          <w:tcPr>
            <w:tcW w:w="120" w:type="dxa"/>
            <w:vAlign w:val="bottom"/>
          </w:tcPr>
          <w:p>
            <w:pPr>
              <w:spacing w:after="0"/>
              <w:rPr>
                <w:sz w:val="15"/>
                <w:szCs w:val="15"/>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15,137</w:t>
            </w: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gridSpan w:val="2"/>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tcPr>
          <w:p>
            <w:pPr>
              <w:spacing w:after="0"/>
              <w:rPr>
                <w:sz w:val="15"/>
                <w:szCs w:val="15"/>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(874)</w:t>
            </w:r>
          </w:p>
        </w:tc>
        <w:tc>
          <w:tcPr>
            <w:tcW w:w="100" w:type="dxa"/>
            <w:vAlign w:val="bottom"/>
          </w:tcPr>
          <w:p>
            <w:pPr>
              <w:spacing w:after="0"/>
              <w:rPr>
                <w:sz w:val="15"/>
                <w:szCs w:val="15"/>
                <w:color w:val="auto"/>
              </w:rPr>
            </w:pPr>
          </w:p>
        </w:tc>
        <w:tc>
          <w:tcPr>
            <w:tcW w:w="114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3(n)</w:t>
            </w:r>
          </w:p>
        </w:tc>
        <w:tc>
          <w:tcPr>
            <w:tcW w:w="340" w:type="dxa"/>
            <w:vAlign w:val="bottom"/>
          </w:tcPr>
          <w:p>
            <w:pPr>
              <w:spacing w:after="0"/>
              <w:rPr>
                <w:sz w:val="15"/>
                <w:szCs w:val="15"/>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14,263</w:t>
            </w:r>
          </w:p>
        </w:tc>
        <w:tc>
          <w:tcPr>
            <w:tcW w:w="0" w:type="dxa"/>
            <w:vAlign w:val="bottom"/>
          </w:tcPr>
          <w:p>
            <w:pPr>
              <w:spacing w:after="0"/>
              <w:rPr>
                <w:sz w:val="1"/>
                <w:szCs w:val="1"/>
                <w:color w:val="auto"/>
              </w:rPr>
            </w:pPr>
          </w:p>
        </w:tc>
      </w:tr>
      <w:tr>
        <w:trPr>
          <w:trHeight w:val="171"/>
        </w:trPr>
        <w:tc>
          <w:tcPr>
            <w:tcW w:w="5200" w:type="dxa"/>
            <w:vAlign w:val="bottom"/>
            <w:tcBorders>
              <w:top w:val="single" w:sz="8" w:color="CCEEFF"/>
            </w:tcBorders>
            <w:shd w:val="clear" w:color="auto" w:fill="CCEEFF"/>
          </w:tcPr>
          <w:p>
            <w:pPr>
              <w:ind w:left="360"/>
              <w:spacing w:after="0"/>
              <w:rPr>
                <w:sz w:val="20"/>
                <w:szCs w:val="20"/>
                <w:color w:val="auto"/>
              </w:rPr>
            </w:pPr>
            <w:r>
              <w:rPr>
                <w:rFonts w:ascii="Times New Roman" w:cs="Times New Roman" w:eastAsia="Times New Roman" w:hAnsi="Times New Roman"/>
                <w:sz w:val="14"/>
                <w:szCs w:val="14"/>
                <w:color w:val="auto"/>
              </w:rPr>
              <w:t>Total operating costs and expenses</w:t>
            </w:r>
          </w:p>
        </w:tc>
        <w:tc>
          <w:tcPr>
            <w:tcW w:w="120" w:type="dxa"/>
            <w:vAlign w:val="bottom"/>
            <w:tcBorders>
              <w:top w:val="single" w:sz="8" w:color="auto"/>
              <w:bottom w:val="single" w:sz="8" w:color="auto"/>
            </w:tcBorders>
            <w:shd w:val="clear" w:color="auto" w:fill="CCEEFF"/>
          </w:tcPr>
          <w:p>
            <w:pPr>
              <w:spacing w:after="0"/>
              <w:rPr>
                <w:sz w:val="14"/>
                <w:szCs w:val="14"/>
                <w:color w:val="auto"/>
              </w:rPr>
            </w:pPr>
          </w:p>
        </w:tc>
        <w:tc>
          <w:tcPr>
            <w:tcW w:w="10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443,628</w:t>
            </w:r>
          </w:p>
        </w:tc>
        <w:tc>
          <w:tcPr>
            <w:tcW w:w="8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auto"/>
              <w:bottom w:val="single" w:sz="8" w:color="auto"/>
            </w:tcBorders>
            <w:shd w:val="clear" w:color="auto" w:fill="CCEEFF"/>
          </w:tcPr>
          <w:p>
            <w:pPr>
              <w:spacing w:after="0"/>
              <w:rPr>
                <w:sz w:val="14"/>
                <w:szCs w:val="14"/>
                <w:color w:val="auto"/>
              </w:rPr>
            </w:pP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149,208</w:t>
            </w:r>
          </w:p>
        </w:tc>
        <w:tc>
          <w:tcPr>
            <w:tcW w:w="10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auto"/>
              <w:bottom w:val="single" w:sz="8" w:color="auto"/>
            </w:tcBorders>
            <w:shd w:val="clear" w:color="auto" w:fill="CCEEFF"/>
          </w:tcPr>
          <w:p>
            <w:pPr>
              <w:spacing w:after="0"/>
              <w:rPr>
                <w:sz w:val="14"/>
                <w:szCs w:val="14"/>
                <w:color w:val="auto"/>
              </w:rPr>
            </w:pPr>
          </w:p>
        </w:tc>
        <w:tc>
          <w:tcPr>
            <w:tcW w:w="10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(5,444)</w:t>
            </w:r>
          </w:p>
        </w:tc>
        <w:tc>
          <w:tcPr>
            <w:tcW w:w="100" w:type="dxa"/>
            <w:vAlign w:val="bottom"/>
            <w:tcBorders>
              <w:top w:val="single" w:sz="8" w:color="CCEEFF"/>
            </w:tcBorders>
            <w:shd w:val="clear" w:color="auto" w:fill="CCEEFF"/>
          </w:tcPr>
          <w:p>
            <w:pPr>
              <w:spacing w:after="0"/>
              <w:rPr>
                <w:sz w:val="14"/>
                <w:szCs w:val="14"/>
                <w:color w:val="auto"/>
              </w:rPr>
            </w:pPr>
          </w:p>
        </w:tc>
        <w:tc>
          <w:tcPr>
            <w:tcW w:w="10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340" w:type="dxa"/>
            <w:vAlign w:val="bottom"/>
            <w:tcBorders>
              <w:top w:val="single" w:sz="8" w:color="auto"/>
              <w:bottom w:val="single" w:sz="8" w:color="auto"/>
            </w:tcBorders>
            <w:shd w:val="clear" w:color="auto" w:fill="CCEEFF"/>
          </w:tcPr>
          <w:p>
            <w:pPr>
              <w:spacing w:after="0"/>
              <w:rPr>
                <w:sz w:val="14"/>
                <w:szCs w:val="14"/>
                <w:color w:val="auto"/>
              </w:rPr>
            </w:pP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587,392</w:t>
            </w:r>
          </w:p>
        </w:tc>
        <w:tc>
          <w:tcPr>
            <w:tcW w:w="0" w:type="dxa"/>
            <w:vAlign w:val="bottom"/>
          </w:tcPr>
          <w:p>
            <w:pPr>
              <w:spacing w:after="0"/>
              <w:rPr>
                <w:sz w:val="1"/>
                <w:szCs w:val="1"/>
                <w:color w:val="auto"/>
              </w:rPr>
            </w:pPr>
          </w:p>
        </w:tc>
      </w:tr>
      <w:tr>
        <w:trPr>
          <w:trHeight w:val="171"/>
        </w:trPr>
        <w:tc>
          <w:tcPr>
            <w:tcW w:w="5200" w:type="dxa"/>
            <w:vAlign w:val="bottom"/>
            <w:tcBorders>
              <w:bottom w:val="single" w:sz="8" w:color="CCEEFF"/>
            </w:tcBorders>
          </w:tcPr>
          <w:p>
            <w:pPr>
              <w:ind w:left="360"/>
              <w:spacing w:after="0"/>
              <w:rPr>
                <w:sz w:val="20"/>
                <w:szCs w:val="20"/>
                <w:color w:val="auto"/>
              </w:rPr>
            </w:pPr>
            <w:r>
              <w:rPr>
                <w:rFonts w:ascii="Times New Roman" w:cs="Times New Roman" w:eastAsia="Times New Roman" w:hAnsi="Times New Roman"/>
                <w:sz w:val="14"/>
                <w:szCs w:val="14"/>
                <w:color w:val="auto"/>
              </w:rPr>
              <w:t>Income from operations</w:t>
            </w:r>
          </w:p>
        </w:tc>
        <w:tc>
          <w:tcPr>
            <w:tcW w:w="120" w:type="dxa"/>
            <w:vAlign w:val="bottom"/>
            <w:tcBorders>
              <w:bottom w:val="single" w:sz="8" w:color="auto"/>
            </w:tcBorders>
          </w:tcPr>
          <w:p>
            <w:pPr>
              <w:spacing w:after="0"/>
              <w:rPr>
                <w:sz w:val="14"/>
                <w:szCs w:val="14"/>
                <w:color w:val="auto"/>
              </w:rPr>
            </w:pPr>
          </w:p>
        </w:tc>
        <w:tc>
          <w:tcPr>
            <w:tcW w:w="10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color w:val="auto"/>
              </w:rPr>
              <w:t>143,395</w:t>
            </w:r>
          </w:p>
        </w:tc>
        <w:tc>
          <w:tcPr>
            <w:tcW w:w="8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9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color w:val="auto"/>
              </w:rPr>
              <w:t>23,128</w:t>
            </w:r>
          </w:p>
        </w:tc>
        <w:tc>
          <w:tcPr>
            <w:tcW w:w="10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color w:val="auto"/>
              </w:rPr>
              <w:t>(22,309)</w:t>
            </w:r>
          </w:p>
        </w:tc>
        <w:tc>
          <w:tcPr>
            <w:tcW w:w="100" w:type="dxa"/>
            <w:vAlign w:val="bottom"/>
            <w:tcBorders>
              <w:bottom w:val="single" w:sz="8" w:color="CCEEFF"/>
            </w:tcBorders>
          </w:tcPr>
          <w:p>
            <w:pPr>
              <w:spacing w:after="0"/>
              <w:rPr>
                <w:sz w:val="14"/>
                <w:szCs w:val="14"/>
                <w:color w:val="auto"/>
              </w:rPr>
            </w:pPr>
          </w:p>
        </w:tc>
        <w:tc>
          <w:tcPr>
            <w:tcW w:w="106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color w:val="auto"/>
              </w:rPr>
              <w:t>144,214</w:t>
            </w:r>
          </w:p>
        </w:tc>
        <w:tc>
          <w:tcPr>
            <w:tcW w:w="0" w:type="dxa"/>
            <w:vAlign w:val="bottom"/>
          </w:tcPr>
          <w:p>
            <w:pPr>
              <w:spacing w:after="0"/>
              <w:rPr>
                <w:sz w:val="1"/>
                <w:szCs w:val="1"/>
                <w:color w:val="auto"/>
              </w:rPr>
            </w:pPr>
          </w:p>
        </w:tc>
      </w:tr>
      <w:tr>
        <w:trPr>
          <w:trHeight w:val="160"/>
        </w:trPr>
        <w:tc>
          <w:tcPr>
            <w:tcW w:w="52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Other income (expense), net:</w:t>
            </w:r>
          </w:p>
        </w:tc>
        <w:tc>
          <w:tcPr>
            <w:tcW w:w="120" w:type="dxa"/>
            <w:vAlign w:val="bottom"/>
            <w:shd w:val="clear" w:color="auto" w:fill="CCEEFF"/>
          </w:tcPr>
          <w:p>
            <w:pPr>
              <w:spacing w:after="0"/>
              <w:rPr>
                <w:sz w:val="13"/>
                <w:szCs w:val="13"/>
                <w:color w:val="auto"/>
              </w:rPr>
            </w:pPr>
          </w:p>
        </w:tc>
        <w:tc>
          <w:tcPr>
            <w:tcW w:w="10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9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0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80"/>
        </w:trPr>
        <w:tc>
          <w:tcPr>
            <w:tcW w:w="5200" w:type="dxa"/>
            <w:vAlign w:val="bottom"/>
          </w:tcPr>
          <w:p>
            <w:pPr>
              <w:ind w:left="180"/>
              <w:spacing w:after="0"/>
              <w:rPr>
                <w:sz w:val="20"/>
                <w:szCs w:val="20"/>
                <w:color w:val="auto"/>
              </w:rPr>
            </w:pPr>
            <w:r>
              <w:rPr>
                <w:rFonts w:ascii="Times New Roman" w:cs="Times New Roman" w:eastAsia="Times New Roman" w:hAnsi="Times New Roman"/>
                <w:sz w:val="14"/>
                <w:szCs w:val="14"/>
                <w:color w:val="auto"/>
              </w:rPr>
              <w:t>Interest income</w:t>
            </w:r>
          </w:p>
        </w:tc>
        <w:tc>
          <w:tcPr>
            <w:tcW w:w="120" w:type="dxa"/>
            <w:vAlign w:val="bottom"/>
          </w:tcPr>
          <w:p>
            <w:pPr>
              <w:spacing w:after="0"/>
              <w:rPr>
                <w:sz w:val="15"/>
                <w:szCs w:val="15"/>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878</w:t>
            </w: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79</w:t>
            </w:r>
          </w:p>
        </w:tc>
        <w:tc>
          <w:tcPr>
            <w:tcW w:w="1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957</w:t>
            </w:r>
          </w:p>
        </w:tc>
        <w:tc>
          <w:tcPr>
            <w:tcW w:w="0" w:type="dxa"/>
            <w:vAlign w:val="bottom"/>
          </w:tcPr>
          <w:p>
            <w:pPr>
              <w:spacing w:after="0"/>
              <w:rPr>
                <w:sz w:val="1"/>
                <w:szCs w:val="1"/>
                <w:color w:val="auto"/>
              </w:rPr>
            </w:pPr>
          </w:p>
        </w:tc>
      </w:tr>
      <w:tr>
        <w:trPr>
          <w:trHeight w:val="180"/>
        </w:trPr>
        <w:tc>
          <w:tcPr>
            <w:tcW w:w="52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rPr>
              <w:t>Interest expense</w:t>
            </w:r>
          </w:p>
        </w:tc>
        <w:tc>
          <w:tcPr>
            <w:tcW w:w="120" w:type="dxa"/>
            <w:vAlign w:val="bottom"/>
            <w:shd w:val="clear" w:color="auto" w:fill="CCEEFF"/>
          </w:tcPr>
          <w:p>
            <w:pPr>
              <w:spacing w:after="0"/>
              <w:rPr>
                <w:sz w:val="15"/>
                <w:szCs w:val="15"/>
                <w:color w:val="auto"/>
              </w:rPr>
            </w:pPr>
          </w:p>
        </w:tc>
        <w:tc>
          <w:tcPr>
            <w:tcW w:w="10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(81,211)</w:t>
            </w:r>
          </w:p>
        </w:tc>
        <w:tc>
          <w:tcPr>
            <w:tcW w:w="8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(13,874)</w:t>
            </w: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970</w:t>
            </w:r>
          </w:p>
        </w:tc>
        <w:tc>
          <w:tcPr>
            <w:tcW w:w="100" w:type="dxa"/>
            <w:vAlign w:val="bottom"/>
            <w:shd w:val="clear" w:color="auto" w:fill="CCEEFF"/>
          </w:tcPr>
          <w:p>
            <w:pPr>
              <w:spacing w:after="0"/>
              <w:rPr>
                <w:sz w:val="15"/>
                <w:szCs w:val="15"/>
                <w:color w:val="auto"/>
              </w:rPr>
            </w:pPr>
          </w:p>
        </w:tc>
        <w:tc>
          <w:tcPr>
            <w:tcW w:w="11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3(i)</w:t>
            </w: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(94,115)</w:t>
            </w:r>
          </w:p>
        </w:tc>
        <w:tc>
          <w:tcPr>
            <w:tcW w:w="0" w:type="dxa"/>
            <w:vAlign w:val="bottom"/>
          </w:tcPr>
          <w:p>
            <w:pPr>
              <w:spacing w:after="0"/>
              <w:rPr>
                <w:sz w:val="1"/>
                <w:szCs w:val="1"/>
                <w:color w:val="auto"/>
              </w:rPr>
            </w:pPr>
          </w:p>
        </w:tc>
      </w:tr>
      <w:tr>
        <w:trPr>
          <w:trHeight w:val="180"/>
        </w:trPr>
        <w:tc>
          <w:tcPr>
            <w:tcW w:w="5200" w:type="dxa"/>
            <w:vAlign w:val="bottom"/>
            <w:tcBorders>
              <w:bottom w:val="single" w:sz="8" w:color="CCEEFF"/>
            </w:tcBorders>
          </w:tcPr>
          <w:p>
            <w:pPr>
              <w:ind w:left="180"/>
              <w:spacing w:after="0"/>
              <w:rPr>
                <w:sz w:val="20"/>
                <w:szCs w:val="20"/>
                <w:color w:val="auto"/>
              </w:rPr>
            </w:pPr>
            <w:r>
              <w:rPr>
                <w:rFonts w:ascii="Times New Roman" w:cs="Times New Roman" w:eastAsia="Times New Roman" w:hAnsi="Times New Roman"/>
                <w:sz w:val="14"/>
                <w:szCs w:val="14"/>
                <w:color w:val="auto"/>
              </w:rPr>
              <w:t>Other income (expense), net</w:t>
            </w:r>
          </w:p>
        </w:tc>
        <w:tc>
          <w:tcPr>
            <w:tcW w:w="120" w:type="dxa"/>
            <w:vAlign w:val="bottom"/>
            <w:tcBorders>
              <w:bottom w:val="single" w:sz="8" w:color="auto"/>
            </w:tcBorders>
          </w:tcPr>
          <w:p>
            <w:pPr>
              <w:spacing w:after="0"/>
              <w:rPr>
                <w:sz w:val="15"/>
                <w:szCs w:val="15"/>
                <w:color w:val="auto"/>
              </w:rPr>
            </w:pPr>
          </w:p>
        </w:tc>
        <w:tc>
          <w:tcPr>
            <w:tcW w:w="10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color w:val="auto"/>
              </w:rPr>
              <w:t>(11,102)</w:t>
            </w:r>
          </w:p>
        </w:tc>
        <w:tc>
          <w:tcPr>
            <w:tcW w:w="8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9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color w:val="auto"/>
              </w:rPr>
              <w:t>1,087</w:t>
            </w:r>
          </w:p>
        </w:tc>
        <w:tc>
          <w:tcPr>
            <w:tcW w:w="10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10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tcBorders>
              <w:bottom w:val="single" w:sz="8" w:color="CCEEFF"/>
            </w:tcBorders>
          </w:tcPr>
          <w:p>
            <w:pPr>
              <w:spacing w:after="0"/>
              <w:rPr>
                <w:sz w:val="15"/>
                <w:szCs w:val="15"/>
                <w:color w:val="auto"/>
              </w:rPr>
            </w:pPr>
          </w:p>
        </w:tc>
        <w:tc>
          <w:tcPr>
            <w:tcW w:w="1060" w:type="dxa"/>
            <w:vAlign w:val="bottom"/>
            <w:tcBorders>
              <w:bottom w:val="single" w:sz="8" w:color="CCEEFF"/>
            </w:tcBorders>
          </w:tcPr>
          <w:p>
            <w:pPr>
              <w:spacing w:after="0"/>
              <w:rPr>
                <w:sz w:val="15"/>
                <w:szCs w:val="15"/>
                <w:color w:val="auto"/>
              </w:rPr>
            </w:pPr>
          </w:p>
        </w:tc>
        <w:tc>
          <w:tcPr>
            <w:tcW w:w="80" w:type="dxa"/>
            <w:vAlign w:val="bottom"/>
            <w:tcBorders>
              <w:bottom w:val="single" w:sz="8" w:color="CCEEFF"/>
            </w:tcBorders>
          </w:tcPr>
          <w:p>
            <w:pPr>
              <w:spacing w:after="0"/>
              <w:rPr>
                <w:sz w:val="15"/>
                <w:szCs w:val="15"/>
                <w:color w:val="auto"/>
              </w:rPr>
            </w:pPr>
          </w:p>
        </w:tc>
        <w:tc>
          <w:tcPr>
            <w:tcW w:w="340" w:type="dxa"/>
            <w:vAlign w:val="bottom"/>
            <w:tcBorders>
              <w:bottom w:val="single" w:sz="8" w:color="auto"/>
            </w:tcBorders>
          </w:tcPr>
          <w:p>
            <w:pPr>
              <w:spacing w:after="0"/>
              <w:rPr>
                <w:sz w:val="15"/>
                <w:szCs w:val="15"/>
                <w:color w:val="auto"/>
              </w:rPr>
            </w:pP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color w:val="auto"/>
              </w:rPr>
              <w:t>(10,015)</w:t>
            </w:r>
          </w:p>
        </w:tc>
        <w:tc>
          <w:tcPr>
            <w:tcW w:w="0" w:type="dxa"/>
            <w:vAlign w:val="bottom"/>
          </w:tcPr>
          <w:p>
            <w:pPr>
              <w:spacing w:after="0"/>
              <w:rPr>
                <w:sz w:val="1"/>
                <w:szCs w:val="1"/>
                <w:color w:val="auto"/>
              </w:rPr>
            </w:pPr>
          </w:p>
        </w:tc>
      </w:tr>
      <w:tr>
        <w:trPr>
          <w:trHeight w:val="171"/>
        </w:trPr>
        <w:tc>
          <w:tcPr>
            <w:tcW w:w="520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4"/>
                <w:szCs w:val="14"/>
                <w:color w:val="auto"/>
              </w:rPr>
              <w:t>Total other expense, net</w:t>
            </w:r>
          </w:p>
        </w:tc>
        <w:tc>
          <w:tcPr>
            <w:tcW w:w="120" w:type="dxa"/>
            <w:vAlign w:val="bottom"/>
            <w:tcBorders>
              <w:bottom w:val="single" w:sz="8" w:color="auto"/>
            </w:tcBorders>
            <w:shd w:val="clear" w:color="auto" w:fill="CCEEFF"/>
          </w:tcPr>
          <w:p>
            <w:pPr>
              <w:spacing w:after="0"/>
              <w:rPr>
                <w:sz w:val="14"/>
                <w:szCs w:val="14"/>
                <w:color w:val="auto"/>
              </w:rPr>
            </w:pPr>
          </w:p>
        </w:tc>
        <w:tc>
          <w:tcPr>
            <w:tcW w:w="10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(91,435)</w:t>
            </w:r>
          </w:p>
        </w:tc>
        <w:tc>
          <w:tcPr>
            <w:tcW w:w="80" w:type="dxa"/>
            <w:vAlign w:val="bottom"/>
            <w:shd w:val="clear" w:color="auto" w:fill="CCEEFF"/>
          </w:tcPr>
          <w:p>
            <w:pPr>
              <w:spacing w:after="0"/>
              <w:rPr>
                <w:sz w:val="14"/>
                <w:szCs w:val="14"/>
                <w:color w:val="auto"/>
              </w:rPr>
            </w:pPr>
          </w:p>
        </w:tc>
        <w:tc>
          <w:tcPr>
            <w:tcW w:w="180" w:type="dxa"/>
            <w:vAlign w:val="bottom"/>
            <w:tcBorders>
              <w:bottom w:val="single" w:sz="8" w:color="auto"/>
            </w:tcBorders>
            <w:shd w:val="clear" w:color="auto" w:fill="CCEEFF"/>
          </w:tcPr>
          <w:p>
            <w:pPr>
              <w:spacing w:after="0"/>
              <w:rPr>
                <w:sz w:val="14"/>
                <w:szCs w:val="14"/>
                <w:color w:val="auto"/>
              </w:rPr>
            </w:pPr>
          </w:p>
        </w:tc>
        <w:tc>
          <w:tcPr>
            <w:tcW w:w="9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(12,708)</w:t>
            </w:r>
          </w:p>
        </w:tc>
        <w:tc>
          <w:tcPr>
            <w:tcW w:w="100" w:type="dxa"/>
            <w:vAlign w:val="bottom"/>
            <w:shd w:val="clear" w:color="auto" w:fill="CCEEFF"/>
          </w:tcPr>
          <w:p>
            <w:pPr>
              <w:spacing w:after="0"/>
              <w:rPr>
                <w:sz w:val="14"/>
                <w:szCs w:val="14"/>
                <w:color w:val="auto"/>
              </w:rPr>
            </w:pPr>
          </w:p>
        </w:tc>
        <w:tc>
          <w:tcPr>
            <w:tcW w:w="180" w:type="dxa"/>
            <w:vAlign w:val="bottom"/>
            <w:tcBorders>
              <w:bottom w:val="single" w:sz="8" w:color="auto"/>
            </w:tcBorders>
            <w:shd w:val="clear" w:color="auto" w:fill="CCEEFF"/>
          </w:tcPr>
          <w:p>
            <w:pPr>
              <w:spacing w:after="0"/>
              <w:rPr>
                <w:sz w:val="14"/>
                <w:szCs w:val="14"/>
                <w:color w:val="auto"/>
              </w:rPr>
            </w:pPr>
          </w:p>
        </w:tc>
        <w:tc>
          <w:tcPr>
            <w:tcW w:w="10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970</w:t>
            </w:r>
          </w:p>
        </w:tc>
        <w:tc>
          <w:tcPr>
            <w:tcW w:w="100" w:type="dxa"/>
            <w:vAlign w:val="bottom"/>
            <w:shd w:val="clear" w:color="auto" w:fill="CCEEFF"/>
          </w:tcPr>
          <w:p>
            <w:pPr>
              <w:spacing w:after="0"/>
              <w:rPr>
                <w:sz w:val="14"/>
                <w:szCs w:val="14"/>
                <w:color w:val="auto"/>
              </w:rPr>
            </w:pPr>
          </w:p>
        </w:tc>
        <w:tc>
          <w:tcPr>
            <w:tcW w:w="10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40" w:type="dxa"/>
            <w:vAlign w:val="bottom"/>
            <w:tcBorders>
              <w:bottom w:val="single" w:sz="8" w:color="auto"/>
            </w:tcBorders>
            <w:shd w:val="clear" w:color="auto" w:fill="CCEEFF"/>
          </w:tcPr>
          <w:p>
            <w:pPr>
              <w:spacing w:after="0"/>
              <w:rPr>
                <w:sz w:val="14"/>
                <w:szCs w:val="14"/>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(103,173)</w:t>
            </w:r>
          </w:p>
        </w:tc>
        <w:tc>
          <w:tcPr>
            <w:tcW w:w="0" w:type="dxa"/>
            <w:vAlign w:val="bottom"/>
          </w:tcPr>
          <w:p>
            <w:pPr>
              <w:spacing w:after="0"/>
              <w:rPr>
                <w:sz w:val="1"/>
                <w:szCs w:val="1"/>
                <w:color w:val="auto"/>
              </w:rPr>
            </w:pPr>
          </w:p>
        </w:tc>
      </w:tr>
      <w:tr>
        <w:trPr>
          <w:trHeight w:val="171"/>
        </w:trPr>
        <w:tc>
          <w:tcPr>
            <w:tcW w:w="5200" w:type="dxa"/>
            <w:vAlign w:val="bottom"/>
          </w:tcPr>
          <w:p>
            <w:pPr>
              <w:ind w:left="360"/>
              <w:spacing w:after="0"/>
              <w:rPr>
                <w:sz w:val="20"/>
                <w:szCs w:val="20"/>
                <w:color w:val="auto"/>
              </w:rPr>
            </w:pPr>
            <w:r>
              <w:rPr>
                <w:rFonts w:ascii="Times New Roman" w:cs="Times New Roman" w:eastAsia="Times New Roman" w:hAnsi="Times New Roman"/>
                <w:sz w:val="14"/>
                <w:szCs w:val="14"/>
                <w:color w:val="auto"/>
              </w:rPr>
              <w:t>Income (expense) before income taxes</w:t>
            </w:r>
          </w:p>
        </w:tc>
        <w:tc>
          <w:tcPr>
            <w:tcW w:w="120" w:type="dxa"/>
            <w:vAlign w:val="bottom"/>
          </w:tcPr>
          <w:p>
            <w:pPr>
              <w:spacing w:after="0"/>
              <w:rPr>
                <w:sz w:val="14"/>
                <w:szCs w:val="14"/>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51,960</w:t>
            </w: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10,420</w:t>
            </w:r>
          </w:p>
        </w:tc>
        <w:tc>
          <w:tcPr>
            <w:tcW w:w="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(21,339)</w:t>
            </w:r>
          </w:p>
        </w:tc>
        <w:tc>
          <w:tcPr>
            <w:tcW w:w="10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41,041</w:t>
            </w:r>
          </w:p>
        </w:tc>
        <w:tc>
          <w:tcPr>
            <w:tcW w:w="0" w:type="dxa"/>
            <w:vAlign w:val="bottom"/>
          </w:tcPr>
          <w:p>
            <w:pPr>
              <w:spacing w:after="0"/>
              <w:rPr>
                <w:sz w:val="1"/>
                <w:szCs w:val="1"/>
                <w:color w:val="auto"/>
              </w:rPr>
            </w:pPr>
          </w:p>
        </w:tc>
      </w:tr>
      <w:tr>
        <w:trPr>
          <w:trHeight w:val="180"/>
        </w:trPr>
        <w:tc>
          <w:tcPr>
            <w:tcW w:w="52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Equity earnings (losses) of unconsolidated entities, net of tax</w:t>
            </w:r>
          </w:p>
        </w:tc>
        <w:tc>
          <w:tcPr>
            <w:tcW w:w="120" w:type="dxa"/>
            <w:vAlign w:val="bottom"/>
            <w:shd w:val="clear" w:color="auto" w:fill="CCEEFF"/>
          </w:tcPr>
          <w:p>
            <w:pPr>
              <w:spacing w:after="0"/>
              <w:rPr>
                <w:sz w:val="15"/>
                <w:szCs w:val="15"/>
                <w:color w:val="auto"/>
              </w:rPr>
            </w:pPr>
          </w:p>
        </w:tc>
        <w:tc>
          <w:tcPr>
            <w:tcW w:w="10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(179)</w:t>
            </w:r>
          </w:p>
        </w:tc>
        <w:tc>
          <w:tcPr>
            <w:tcW w:w="8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06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shd w:val="clear" w:color="auto" w:fill="CCEEFF"/>
          </w:tcPr>
          <w:p>
            <w:pPr>
              <w:spacing w:after="0"/>
              <w:rPr>
                <w:sz w:val="15"/>
                <w:szCs w:val="15"/>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shd w:val="clear" w:color="auto" w:fill="CCEEFF"/>
          </w:tcPr>
          <w:p>
            <w:pPr>
              <w:spacing w:after="0"/>
              <w:rPr>
                <w:sz w:val="15"/>
                <w:szCs w:val="15"/>
                <w:color w:val="auto"/>
              </w:rPr>
            </w:pPr>
          </w:p>
        </w:tc>
        <w:tc>
          <w:tcPr>
            <w:tcW w:w="10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(179)</w:t>
            </w:r>
          </w:p>
        </w:tc>
        <w:tc>
          <w:tcPr>
            <w:tcW w:w="0" w:type="dxa"/>
            <w:vAlign w:val="bottom"/>
          </w:tcPr>
          <w:p>
            <w:pPr>
              <w:spacing w:after="0"/>
              <w:rPr>
                <w:sz w:val="1"/>
                <w:szCs w:val="1"/>
                <w:color w:val="auto"/>
              </w:rPr>
            </w:pPr>
          </w:p>
        </w:tc>
      </w:tr>
      <w:tr>
        <w:trPr>
          <w:trHeight w:val="180"/>
        </w:trPr>
        <w:tc>
          <w:tcPr>
            <w:tcW w:w="5200" w:type="dxa"/>
            <w:vAlign w:val="bottom"/>
          </w:tcPr>
          <w:p>
            <w:pPr>
              <w:ind w:left="20"/>
              <w:spacing w:after="0"/>
              <w:rPr>
                <w:sz w:val="20"/>
                <w:szCs w:val="20"/>
                <w:color w:val="auto"/>
              </w:rPr>
            </w:pPr>
            <w:r>
              <w:rPr>
                <w:rFonts w:ascii="Times New Roman" w:cs="Times New Roman" w:eastAsia="Times New Roman" w:hAnsi="Times New Roman"/>
                <w:sz w:val="14"/>
                <w:szCs w:val="14"/>
                <w:color w:val="auto"/>
              </w:rPr>
              <w:t>Provision for income taxes</w:t>
            </w:r>
          </w:p>
        </w:tc>
        <w:tc>
          <w:tcPr>
            <w:tcW w:w="120" w:type="dxa"/>
            <w:vAlign w:val="bottom"/>
          </w:tcPr>
          <w:p>
            <w:pPr>
              <w:spacing w:after="0"/>
              <w:rPr>
                <w:sz w:val="15"/>
                <w:szCs w:val="15"/>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5,659</w:t>
            </w: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gridSpan w:val="2"/>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tcPr>
          <w:p>
            <w:pPr>
              <w:spacing w:after="0"/>
              <w:rPr>
                <w:sz w:val="15"/>
                <w:szCs w:val="15"/>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(2,708)</w:t>
            </w:r>
          </w:p>
        </w:tc>
        <w:tc>
          <w:tcPr>
            <w:tcW w:w="100" w:type="dxa"/>
            <w:vAlign w:val="bottom"/>
          </w:tcPr>
          <w:p>
            <w:pPr>
              <w:spacing w:after="0"/>
              <w:rPr>
                <w:sz w:val="15"/>
                <w:szCs w:val="15"/>
                <w:color w:val="auto"/>
              </w:rPr>
            </w:pPr>
          </w:p>
        </w:tc>
        <w:tc>
          <w:tcPr>
            <w:tcW w:w="114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3(o)</w:t>
            </w:r>
          </w:p>
        </w:tc>
        <w:tc>
          <w:tcPr>
            <w:tcW w:w="340" w:type="dxa"/>
            <w:vAlign w:val="bottom"/>
          </w:tcPr>
          <w:p>
            <w:pPr>
              <w:spacing w:after="0"/>
              <w:rPr>
                <w:sz w:val="15"/>
                <w:szCs w:val="15"/>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2,951</w:t>
            </w:r>
          </w:p>
        </w:tc>
        <w:tc>
          <w:tcPr>
            <w:tcW w:w="0" w:type="dxa"/>
            <w:vAlign w:val="bottom"/>
          </w:tcPr>
          <w:p>
            <w:pPr>
              <w:spacing w:after="0"/>
              <w:rPr>
                <w:sz w:val="1"/>
                <w:szCs w:val="1"/>
                <w:color w:val="auto"/>
              </w:rPr>
            </w:pPr>
          </w:p>
        </w:tc>
      </w:tr>
      <w:tr>
        <w:trPr>
          <w:trHeight w:val="171"/>
        </w:trPr>
        <w:tc>
          <w:tcPr>
            <w:tcW w:w="5200" w:type="dxa"/>
            <w:vAlign w:val="bottom"/>
            <w:tcBorders>
              <w:top w:val="single" w:sz="8" w:color="CCEEFF"/>
            </w:tcBorders>
            <w:shd w:val="clear" w:color="auto" w:fill="CCEEFF"/>
          </w:tcPr>
          <w:p>
            <w:pPr>
              <w:ind w:left="360"/>
              <w:spacing w:after="0"/>
              <w:rPr>
                <w:sz w:val="20"/>
                <w:szCs w:val="20"/>
                <w:color w:val="auto"/>
              </w:rPr>
            </w:pPr>
            <w:r>
              <w:rPr>
                <w:rFonts w:ascii="Times New Roman" w:cs="Times New Roman" w:eastAsia="Times New Roman" w:hAnsi="Times New Roman"/>
                <w:sz w:val="14"/>
                <w:szCs w:val="14"/>
                <w:color w:val="auto"/>
              </w:rPr>
              <w:t>Net income (loss)</w:t>
            </w:r>
          </w:p>
        </w:tc>
        <w:tc>
          <w:tcPr>
            <w:tcW w:w="120" w:type="dxa"/>
            <w:vAlign w:val="bottom"/>
            <w:tcBorders>
              <w:top w:val="single" w:sz="8" w:color="auto"/>
            </w:tcBorders>
            <w:shd w:val="clear" w:color="auto" w:fill="CCEEFF"/>
          </w:tcPr>
          <w:p>
            <w:pPr>
              <w:spacing w:after="0"/>
              <w:rPr>
                <w:sz w:val="14"/>
                <w:szCs w:val="14"/>
                <w:color w:val="auto"/>
              </w:rPr>
            </w:pPr>
          </w:p>
        </w:tc>
        <w:tc>
          <w:tcPr>
            <w:tcW w:w="10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46,122</w:t>
            </w:r>
          </w:p>
        </w:tc>
        <w:tc>
          <w:tcPr>
            <w:tcW w:w="8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auto"/>
            </w:tcBorders>
            <w:shd w:val="clear" w:color="auto" w:fill="CCEEFF"/>
          </w:tcPr>
          <w:p>
            <w:pPr>
              <w:spacing w:after="0"/>
              <w:rPr>
                <w:sz w:val="14"/>
                <w:szCs w:val="14"/>
                <w:color w:val="auto"/>
              </w:rPr>
            </w:pPr>
          </w:p>
        </w:tc>
        <w:tc>
          <w:tcPr>
            <w:tcW w:w="9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10,420</w:t>
            </w:r>
          </w:p>
        </w:tc>
        <w:tc>
          <w:tcPr>
            <w:tcW w:w="10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auto"/>
            </w:tcBorders>
            <w:shd w:val="clear" w:color="auto" w:fill="CCEEFF"/>
          </w:tcPr>
          <w:p>
            <w:pPr>
              <w:spacing w:after="0"/>
              <w:rPr>
                <w:sz w:val="14"/>
                <w:szCs w:val="14"/>
                <w:color w:val="auto"/>
              </w:rPr>
            </w:pPr>
          </w:p>
        </w:tc>
        <w:tc>
          <w:tcPr>
            <w:tcW w:w="10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(18,631)</w:t>
            </w:r>
          </w:p>
        </w:tc>
        <w:tc>
          <w:tcPr>
            <w:tcW w:w="100" w:type="dxa"/>
            <w:vAlign w:val="bottom"/>
            <w:tcBorders>
              <w:top w:val="single" w:sz="8" w:color="CCEEFF"/>
            </w:tcBorders>
            <w:shd w:val="clear" w:color="auto" w:fill="CCEEFF"/>
          </w:tcPr>
          <w:p>
            <w:pPr>
              <w:spacing w:after="0"/>
              <w:rPr>
                <w:sz w:val="14"/>
                <w:szCs w:val="14"/>
                <w:color w:val="auto"/>
              </w:rPr>
            </w:pPr>
          </w:p>
        </w:tc>
        <w:tc>
          <w:tcPr>
            <w:tcW w:w="10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340" w:type="dxa"/>
            <w:vAlign w:val="bottom"/>
            <w:tcBorders>
              <w:top w:val="single" w:sz="8" w:color="auto"/>
            </w:tcBorders>
            <w:shd w:val="clear" w:color="auto" w:fill="CCEEFF"/>
          </w:tcPr>
          <w:p>
            <w:pPr>
              <w:spacing w:after="0"/>
              <w:rPr>
                <w:sz w:val="14"/>
                <w:szCs w:val="14"/>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37,911</w:t>
            </w:r>
          </w:p>
        </w:tc>
        <w:tc>
          <w:tcPr>
            <w:tcW w:w="0" w:type="dxa"/>
            <w:vAlign w:val="bottom"/>
          </w:tcPr>
          <w:p>
            <w:pPr>
              <w:spacing w:after="0"/>
              <w:rPr>
                <w:sz w:val="1"/>
                <w:szCs w:val="1"/>
                <w:color w:val="auto"/>
              </w:rPr>
            </w:pPr>
          </w:p>
        </w:tc>
      </w:tr>
      <w:tr>
        <w:trPr>
          <w:trHeight w:val="180"/>
        </w:trPr>
        <w:tc>
          <w:tcPr>
            <w:tcW w:w="5200" w:type="dxa"/>
            <w:vAlign w:val="bottom"/>
          </w:tcPr>
          <w:p>
            <w:pPr>
              <w:ind w:left="20"/>
              <w:spacing w:after="0"/>
              <w:rPr>
                <w:sz w:val="20"/>
                <w:szCs w:val="20"/>
                <w:color w:val="auto"/>
              </w:rPr>
            </w:pPr>
            <w:r>
              <w:rPr>
                <w:rFonts w:ascii="Times New Roman" w:cs="Times New Roman" w:eastAsia="Times New Roman" w:hAnsi="Times New Roman"/>
                <w:sz w:val="14"/>
                <w:szCs w:val="14"/>
                <w:color w:val="auto"/>
              </w:rPr>
              <w:t>Less net income attributable to non-controlling interests</w:t>
            </w:r>
          </w:p>
        </w:tc>
        <w:tc>
          <w:tcPr>
            <w:tcW w:w="120" w:type="dxa"/>
            <w:vAlign w:val="bottom"/>
          </w:tcPr>
          <w:p>
            <w:pPr>
              <w:spacing w:after="0"/>
              <w:rPr>
                <w:sz w:val="15"/>
                <w:szCs w:val="15"/>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3,348</w:t>
            </w: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gridSpan w:val="2"/>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tcPr>
          <w:p>
            <w:pPr>
              <w:spacing w:after="0"/>
              <w:rPr>
                <w:sz w:val="15"/>
                <w:szCs w:val="15"/>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1,997</w:t>
            </w:r>
          </w:p>
        </w:tc>
        <w:tc>
          <w:tcPr>
            <w:tcW w:w="100" w:type="dxa"/>
            <w:vAlign w:val="bottom"/>
          </w:tcPr>
          <w:p>
            <w:pPr>
              <w:spacing w:after="0"/>
              <w:rPr>
                <w:sz w:val="15"/>
                <w:szCs w:val="15"/>
                <w:color w:val="auto"/>
              </w:rPr>
            </w:pPr>
          </w:p>
        </w:tc>
        <w:tc>
          <w:tcPr>
            <w:tcW w:w="114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3(p)</w:t>
            </w:r>
          </w:p>
        </w:tc>
        <w:tc>
          <w:tcPr>
            <w:tcW w:w="340" w:type="dxa"/>
            <w:vAlign w:val="bottom"/>
          </w:tcPr>
          <w:p>
            <w:pPr>
              <w:spacing w:after="0"/>
              <w:rPr>
                <w:sz w:val="15"/>
                <w:szCs w:val="15"/>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5,345</w:t>
            </w:r>
          </w:p>
        </w:tc>
        <w:tc>
          <w:tcPr>
            <w:tcW w:w="0" w:type="dxa"/>
            <w:vAlign w:val="bottom"/>
          </w:tcPr>
          <w:p>
            <w:pPr>
              <w:spacing w:after="0"/>
              <w:rPr>
                <w:sz w:val="1"/>
                <w:szCs w:val="1"/>
                <w:color w:val="auto"/>
              </w:rPr>
            </w:pPr>
          </w:p>
        </w:tc>
      </w:tr>
      <w:tr>
        <w:trPr>
          <w:trHeight w:val="196"/>
        </w:trPr>
        <w:tc>
          <w:tcPr>
            <w:tcW w:w="5200" w:type="dxa"/>
            <w:vAlign w:val="bottom"/>
            <w:tcBorders>
              <w:top w:val="single" w:sz="8" w:color="CCEEFF"/>
              <w:bottom w:val="single" w:sz="8" w:color="CCEEFF"/>
            </w:tcBorders>
            <w:shd w:val="clear" w:color="auto" w:fill="CCEEFF"/>
          </w:tcPr>
          <w:p>
            <w:pPr>
              <w:ind w:left="360"/>
              <w:spacing w:after="0"/>
              <w:rPr>
                <w:sz w:val="20"/>
                <w:szCs w:val="20"/>
                <w:color w:val="auto"/>
              </w:rPr>
            </w:pPr>
            <w:r>
              <w:rPr>
                <w:rFonts w:ascii="Times New Roman" w:cs="Times New Roman" w:eastAsia="Times New Roman" w:hAnsi="Times New Roman"/>
                <w:sz w:val="14"/>
                <w:szCs w:val="14"/>
                <w:color w:val="auto"/>
              </w:rPr>
              <w:t>Net income (loss) attributable to Planet Fitness, Inc.</w:t>
            </w: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10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42,774</w:t>
            </w:r>
          </w:p>
        </w:tc>
        <w:tc>
          <w:tcPr>
            <w:tcW w:w="80" w:type="dxa"/>
            <w:vAlign w:val="bottom"/>
            <w:tcBorders>
              <w:top w:val="single" w:sz="8" w:color="CCEEFF"/>
              <w:bottom w:val="single" w:sz="8" w:color="CCEEFF"/>
            </w:tcBorders>
            <w:shd w:val="clear" w:color="auto" w:fill="CCEEFF"/>
          </w:tcPr>
          <w:p>
            <w:pPr>
              <w:spacing w:after="0"/>
              <w:rPr>
                <w:sz w:val="16"/>
                <w:szCs w:val="16"/>
                <w:color w:val="auto"/>
              </w:rPr>
            </w:pPr>
          </w:p>
        </w:tc>
        <w:tc>
          <w:tcPr>
            <w:tcW w:w="180" w:type="dxa"/>
            <w:vAlign w:val="bottom"/>
            <w:tcBorders>
              <w:top w:val="single" w:sz="8" w:color="auto"/>
              <w:bottom w:val="single" w:sz="8" w:color="auto"/>
            </w:tcBorders>
            <w:shd w:val="clear" w:color="auto" w:fill="CCEEFF"/>
          </w:tcPr>
          <w:p>
            <w:pPr>
              <w:jc w:val="right"/>
              <w:ind w:right="9"/>
              <w:spacing w:after="0"/>
              <w:rPr>
                <w:sz w:val="20"/>
                <w:szCs w:val="20"/>
                <w:color w:val="auto"/>
              </w:rPr>
            </w:pPr>
            <w:r>
              <w:rPr>
                <w:rFonts w:ascii="Times New Roman" w:cs="Times New Roman" w:eastAsia="Times New Roman" w:hAnsi="Times New Roman"/>
                <w:sz w:val="14"/>
                <w:szCs w:val="14"/>
                <w:color w:val="auto"/>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10,420</w:t>
            </w:r>
          </w:p>
        </w:tc>
        <w:tc>
          <w:tcPr>
            <w:tcW w:w="100" w:type="dxa"/>
            <w:vAlign w:val="bottom"/>
            <w:tcBorders>
              <w:top w:val="single" w:sz="8" w:color="CCEEFF"/>
              <w:bottom w:val="single" w:sz="8" w:color="CCEEFF"/>
            </w:tcBorders>
            <w:shd w:val="clear" w:color="auto" w:fill="CCEEFF"/>
          </w:tcPr>
          <w:p>
            <w:pPr>
              <w:spacing w:after="0"/>
              <w:rPr>
                <w:sz w:val="16"/>
                <w:szCs w:val="16"/>
                <w:color w:val="auto"/>
              </w:rPr>
            </w:pPr>
          </w:p>
        </w:tc>
        <w:tc>
          <w:tcPr>
            <w:tcW w:w="180" w:type="dxa"/>
            <w:vAlign w:val="bottom"/>
            <w:tcBorders>
              <w:top w:val="single" w:sz="8" w:color="auto"/>
              <w:bottom w:val="single" w:sz="8" w:color="auto"/>
            </w:tcBorders>
            <w:shd w:val="clear" w:color="auto" w:fill="CCEEFF"/>
          </w:tcPr>
          <w:p>
            <w:pPr>
              <w:jc w:val="right"/>
              <w:ind w:right="29"/>
              <w:spacing w:after="0"/>
              <w:rPr>
                <w:sz w:val="20"/>
                <w:szCs w:val="20"/>
                <w:color w:val="auto"/>
              </w:rPr>
            </w:pPr>
            <w:r>
              <w:rPr>
                <w:rFonts w:ascii="Times New Roman" w:cs="Times New Roman" w:eastAsia="Times New Roman" w:hAnsi="Times New Roman"/>
                <w:sz w:val="14"/>
                <w:szCs w:val="14"/>
                <w:color w:val="auto"/>
                <w:w w:val="85"/>
              </w:rPr>
              <w:t>$</w:t>
            </w:r>
          </w:p>
        </w:tc>
        <w:tc>
          <w:tcPr>
            <w:tcW w:w="10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(20,628)</w:t>
            </w:r>
          </w:p>
        </w:tc>
        <w:tc>
          <w:tcPr>
            <w:tcW w:w="100" w:type="dxa"/>
            <w:vAlign w:val="bottom"/>
            <w:tcBorders>
              <w:top w:val="single" w:sz="8" w:color="CCEEFF"/>
              <w:bottom w:val="single" w:sz="8" w:color="CCEEFF"/>
            </w:tcBorders>
            <w:shd w:val="clear" w:color="auto" w:fill="CCEEFF"/>
          </w:tcPr>
          <w:p>
            <w:pPr>
              <w:spacing w:after="0"/>
              <w:rPr>
                <w:sz w:val="16"/>
                <w:szCs w:val="16"/>
                <w:color w:val="auto"/>
              </w:rPr>
            </w:pPr>
          </w:p>
        </w:tc>
        <w:tc>
          <w:tcPr>
            <w:tcW w:w="1060" w:type="dxa"/>
            <w:vAlign w:val="bottom"/>
            <w:tcBorders>
              <w:top w:val="single" w:sz="8" w:color="CCEEFF"/>
              <w:bottom w:val="single" w:sz="8" w:color="CCEEFF"/>
            </w:tcBorders>
            <w:shd w:val="clear" w:color="auto" w:fill="CCEEFF"/>
          </w:tcPr>
          <w:p>
            <w:pPr>
              <w:spacing w:after="0"/>
              <w:rPr>
                <w:sz w:val="16"/>
                <w:szCs w:val="16"/>
                <w:color w:val="auto"/>
              </w:rPr>
            </w:pPr>
          </w:p>
        </w:tc>
        <w:tc>
          <w:tcPr>
            <w:tcW w:w="80" w:type="dxa"/>
            <w:vAlign w:val="bottom"/>
            <w:tcBorders>
              <w:top w:val="single" w:sz="8" w:color="CCEEFF"/>
              <w:bottom w:val="single" w:sz="8" w:color="CCEEFF"/>
            </w:tcBorders>
            <w:shd w:val="clear" w:color="auto" w:fill="CCEEFF"/>
          </w:tcPr>
          <w:p>
            <w:pPr>
              <w:spacing w:after="0"/>
              <w:rPr>
                <w:sz w:val="16"/>
                <w:szCs w:val="16"/>
                <w:color w:val="auto"/>
              </w:rPr>
            </w:pPr>
          </w:p>
        </w:tc>
        <w:tc>
          <w:tcPr>
            <w:tcW w:w="340" w:type="dxa"/>
            <w:vAlign w:val="bottom"/>
            <w:tcBorders>
              <w:top w:val="single" w:sz="8" w:color="auto"/>
              <w:bottom w:val="single" w:sz="8" w:color="auto"/>
            </w:tcBorders>
            <w:shd w:val="clear" w:color="auto" w:fill="CCEEFF"/>
          </w:tcPr>
          <w:p>
            <w:pPr>
              <w:jc w:val="right"/>
              <w:ind w:right="172"/>
              <w:spacing w:after="0"/>
              <w:rPr>
                <w:sz w:val="20"/>
                <w:szCs w:val="20"/>
                <w:color w:val="auto"/>
              </w:rPr>
            </w:pPr>
            <w:r>
              <w:rPr>
                <w:rFonts w:ascii="Times New Roman" w:cs="Times New Roman" w:eastAsia="Times New Roman" w:hAnsi="Times New Roman"/>
                <w:sz w:val="14"/>
                <w:szCs w:val="14"/>
                <w:color w:val="auto"/>
              </w:rPr>
              <w:t>$</w:t>
            </w: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32,566</w:t>
            </w:r>
          </w:p>
        </w:tc>
        <w:tc>
          <w:tcPr>
            <w:tcW w:w="0" w:type="dxa"/>
            <w:vAlign w:val="bottom"/>
          </w:tcPr>
          <w:p>
            <w:pPr>
              <w:spacing w:after="0"/>
              <w:rPr>
                <w:sz w:val="1"/>
                <w:szCs w:val="1"/>
                <w:color w:val="auto"/>
              </w:rPr>
            </w:pPr>
          </w:p>
        </w:tc>
      </w:tr>
      <w:tr>
        <w:trPr>
          <w:trHeight w:val="20"/>
        </w:trPr>
        <w:tc>
          <w:tcPr>
            <w:tcW w:w="5200" w:type="dxa"/>
            <w:vAlign w:val="bottom"/>
            <w:tcBorders>
              <w:top w:val="single" w:sz="8" w:color="CCEEFF"/>
              <w:bottom w:val="single" w:sz="8" w:color="CCEEFF"/>
            </w:tcBorders>
            <w:vMerge w:val="restart"/>
          </w:tcPr>
          <w:p>
            <w:pPr>
              <w:ind w:left="20"/>
              <w:spacing w:after="0"/>
              <w:rPr>
                <w:sz w:val="20"/>
                <w:szCs w:val="20"/>
                <w:color w:val="auto"/>
              </w:rPr>
            </w:pPr>
            <w:r>
              <w:rPr>
                <w:rFonts w:ascii="Times New Roman" w:cs="Times New Roman" w:eastAsia="Times New Roman" w:hAnsi="Times New Roman"/>
                <w:sz w:val="14"/>
                <w:szCs w:val="14"/>
                <w:color w:val="auto"/>
              </w:rPr>
              <w:t>Net income per share of Class A common stock:</w:t>
            </w:r>
          </w:p>
        </w:tc>
        <w:tc>
          <w:tcPr>
            <w:tcW w:w="120" w:type="dxa"/>
            <w:vAlign w:val="bottom"/>
            <w:tcBorders>
              <w:top w:val="single" w:sz="8" w:color="CCEEFF"/>
              <w:bottom w:val="single" w:sz="8" w:color="auto"/>
            </w:tcBorders>
          </w:tcPr>
          <w:p>
            <w:pPr>
              <w:spacing w:after="0" w:line="20" w:lineRule="exact"/>
              <w:rPr>
                <w:sz w:val="1"/>
                <w:szCs w:val="1"/>
                <w:color w:val="auto"/>
              </w:rPr>
            </w:pPr>
          </w:p>
        </w:tc>
        <w:tc>
          <w:tcPr>
            <w:tcW w:w="1080" w:type="dxa"/>
            <w:vAlign w:val="bottom"/>
            <w:tcBorders>
              <w:top w:val="single" w:sz="8" w:color="CCEEFF"/>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bottom w:val="single" w:sz="8" w:color="auto"/>
            </w:tcBorders>
          </w:tcPr>
          <w:p>
            <w:pPr>
              <w:spacing w:after="0" w:line="20" w:lineRule="exact"/>
              <w:rPr>
                <w:sz w:val="1"/>
                <w:szCs w:val="1"/>
                <w:color w:val="auto"/>
              </w:rPr>
            </w:pPr>
          </w:p>
        </w:tc>
        <w:tc>
          <w:tcPr>
            <w:tcW w:w="96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bottom w:val="single" w:sz="8" w:color="auto"/>
            </w:tcBorders>
          </w:tcPr>
          <w:p>
            <w:pPr>
              <w:spacing w:after="0" w:line="20" w:lineRule="exact"/>
              <w:rPr>
                <w:sz w:val="1"/>
                <w:szCs w:val="1"/>
                <w:color w:val="auto"/>
              </w:rPr>
            </w:pPr>
          </w:p>
        </w:tc>
        <w:tc>
          <w:tcPr>
            <w:tcW w:w="100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800" w:type="dxa"/>
            <w:vAlign w:val="bottom"/>
            <w:tcBorders>
              <w:top w:val="single" w:sz="8" w:color="CCEEFF"/>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2"/>
        </w:trPr>
        <w:tc>
          <w:tcPr>
            <w:tcW w:w="5200" w:type="dxa"/>
            <w:vAlign w:val="bottom"/>
            <w:vMerge w:val="continue"/>
          </w:tcPr>
          <w:p>
            <w:pPr>
              <w:spacing w:after="0"/>
              <w:rPr>
                <w:sz w:val="10"/>
                <w:szCs w:val="10"/>
                <w:color w:val="auto"/>
              </w:rPr>
            </w:pPr>
          </w:p>
        </w:tc>
        <w:tc>
          <w:tcPr>
            <w:tcW w:w="12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9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0"/>
        </w:trPr>
        <w:tc>
          <w:tcPr>
            <w:tcW w:w="52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rPr>
              <w:t>Basic</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10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0.51</w:t>
            </w:r>
          </w:p>
        </w:tc>
        <w:tc>
          <w:tcPr>
            <w:tcW w:w="8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0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jc w:val="right"/>
              <w:ind w:right="172"/>
              <w:spacing w:after="0"/>
              <w:rPr>
                <w:sz w:val="20"/>
                <w:szCs w:val="20"/>
                <w:color w:val="auto"/>
              </w:rPr>
            </w:pPr>
            <w:r>
              <w:rPr>
                <w:rFonts w:ascii="Times New Roman" w:cs="Times New Roman" w:eastAsia="Times New Roman" w:hAnsi="Times New Roman"/>
                <w:sz w:val="14"/>
                <w:szCs w:val="14"/>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0.39</w:t>
            </w:r>
          </w:p>
        </w:tc>
        <w:tc>
          <w:tcPr>
            <w:tcW w:w="0" w:type="dxa"/>
            <w:vAlign w:val="bottom"/>
          </w:tcPr>
          <w:p>
            <w:pPr>
              <w:spacing w:after="0"/>
              <w:rPr>
                <w:sz w:val="1"/>
                <w:szCs w:val="1"/>
                <w:color w:val="auto"/>
              </w:rPr>
            </w:pPr>
          </w:p>
        </w:tc>
      </w:tr>
      <w:tr>
        <w:trPr>
          <w:trHeight w:val="180"/>
        </w:trPr>
        <w:tc>
          <w:tcPr>
            <w:tcW w:w="5200" w:type="dxa"/>
            <w:vAlign w:val="bottom"/>
          </w:tcPr>
          <w:p>
            <w:pPr>
              <w:ind w:left="180"/>
              <w:spacing w:after="0"/>
              <w:rPr>
                <w:sz w:val="20"/>
                <w:szCs w:val="20"/>
                <w:color w:val="auto"/>
              </w:rPr>
            </w:pPr>
            <w:r>
              <w:rPr>
                <w:rFonts w:ascii="Times New Roman" w:cs="Times New Roman" w:eastAsia="Times New Roman" w:hAnsi="Times New Roman"/>
                <w:sz w:val="14"/>
                <w:szCs w:val="14"/>
                <w:color w:val="auto"/>
              </w:rPr>
              <w:t>Diluted</w:t>
            </w:r>
          </w:p>
        </w:tc>
        <w:tc>
          <w:tcPr>
            <w:tcW w:w="12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0.51</w:t>
            </w: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jc w:val="right"/>
              <w:ind w:right="172"/>
              <w:spacing w:after="0"/>
              <w:rPr>
                <w:sz w:val="20"/>
                <w:szCs w:val="20"/>
                <w:color w:val="auto"/>
              </w:rPr>
            </w:pPr>
            <w:r>
              <w:rPr>
                <w:rFonts w:ascii="Times New Roman" w:cs="Times New Roman" w:eastAsia="Times New Roman" w:hAnsi="Times New Roman"/>
                <w:sz w:val="14"/>
                <w:szCs w:val="14"/>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0.39</w:t>
            </w:r>
          </w:p>
        </w:tc>
        <w:tc>
          <w:tcPr>
            <w:tcW w:w="0" w:type="dxa"/>
            <w:vAlign w:val="bottom"/>
          </w:tcPr>
          <w:p>
            <w:pPr>
              <w:spacing w:after="0"/>
              <w:rPr>
                <w:sz w:val="1"/>
                <w:szCs w:val="1"/>
                <w:color w:val="auto"/>
              </w:rPr>
            </w:pPr>
          </w:p>
        </w:tc>
      </w:tr>
      <w:tr>
        <w:trPr>
          <w:trHeight w:val="180"/>
        </w:trPr>
        <w:tc>
          <w:tcPr>
            <w:tcW w:w="52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Weighted-average shares of Class A common stock outstanding:</w:t>
            </w:r>
          </w:p>
        </w:tc>
        <w:tc>
          <w:tcPr>
            <w:tcW w:w="120" w:type="dxa"/>
            <w:vAlign w:val="bottom"/>
            <w:shd w:val="clear" w:color="auto" w:fill="CCEEFF"/>
          </w:tcPr>
          <w:p>
            <w:pPr>
              <w:spacing w:after="0"/>
              <w:rPr>
                <w:sz w:val="15"/>
                <w:szCs w:val="15"/>
                <w:color w:val="auto"/>
              </w:rPr>
            </w:pPr>
          </w:p>
        </w:tc>
        <w:tc>
          <w:tcPr>
            <w:tcW w:w="10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0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5200" w:type="dxa"/>
            <w:vAlign w:val="bottom"/>
          </w:tcPr>
          <w:p>
            <w:pPr>
              <w:ind w:left="180"/>
              <w:spacing w:after="0"/>
              <w:rPr>
                <w:sz w:val="20"/>
                <w:szCs w:val="20"/>
                <w:color w:val="auto"/>
              </w:rPr>
            </w:pPr>
            <w:r>
              <w:rPr>
                <w:rFonts w:ascii="Times New Roman" w:cs="Times New Roman" w:eastAsia="Times New Roman" w:hAnsi="Times New Roman"/>
                <w:sz w:val="14"/>
                <w:szCs w:val="14"/>
                <w:color w:val="auto"/>
              </w:rPr>
              <w:t>Basic</w:t>
            </w:r>
          </w:p>
        </w:tc>
        <w:tc>
          <w:tcPr>
            <w:tcW w:w="120" w:type="dxa"/>
            <w:vAlign w:val="bottom"/>
          </w:tcPr>
          <w:p>
            <w:pPr>
              <w:spacing w:after="0"/>
              <w:rPr>
                <w:sz w:val="15"/>
                <w:szCs w:val="15"/>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83,296</w:t>
            </w: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518</w:t>
            </w:r>
          </w:p>
        </w:tc>
        <w:tc>
          <w:tcPr>
            <w:tcW w:w="100" w:type="dxa"/>
            <w:vAlign w:val="bottom"/>
          </w:tcPr>
          <w:p>
            <w:pPr>
              <w:spacing w:after="0"/>
              <w:rPr>
                <w:sz w:val="15"/>
                <w:szCs w:val="15"/>
                <w:color w:val="auto"/>
              </w:rPr>
            </w:pPr>
          </w:p>
        </w:tc>
        <w:tc>
          <w:tcPr>
            <w:tcW w:w="114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3(q)</w:t>
            </w:r>
          </w:p>
        </w:tc>
        <w:tc>
          <w:tcPr>
            <w:tcW w:w="340" w:type="dxa"/>
            <w:vAlign w:val="bottom"/>
          </w:tcPr>
          <w:p>
            <w:pPr>
              <w:spacing w:after="0"/>
              <w:rPr>
                <w:sz w:val="15"/>
                <w:szCs w:val="15"/>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83,814</w:t>
            </w:r>
          </w:p>
        </w:tc>
        <w:tc>
          <w:tcPr>
            <w:tcW w:w="0" w:type="dxa"/>
            <w:vAlign w:val="bottom"/>
          </w:tcPr>
          <w:p>
            <w:pPr>
              <w:spacing w:after="0"/>
              <w:rPr>
                <w:sz w:val="1"/>
                <w:szCs w:val="1"/>
                <w:color w:val="auto"/>
              </w:rPr>
            </w:pPr>
          </w:p>
        </w:tc>
      </w:tr>
      <w:tr>
        <w:trPr>
          <w:trHeight w:val="180"/>
        </w:trPr>
        <w:tc>
          <w:tcPr>
            <w:tcW w:w="52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rPr>
              <w:t>Diluted</w:t>
            </w:r>
          </w:p>
        </w:tc>
        <w:tc>
          <w:tcPr>
            <w:tcW w:w="120" w:type="dxa"/>
            <w:vAlign w:val="bottom"/>
            <w:shd w:val="clear" w:color="auto" w:fill="CCEEFF"/>
          </w:tcPr>
          <w:p>
            <w:pPr>
              <w:spacing w:after="0"/>
              <w:rPr>
                <w:sz w:val="15"/>
                <w:szCs w:val="15"/>
                <w:color w:val="auto"/>
              </w:rPr>
            </w:pPr>
          </w:p>
        </w:tc>
        <w:tc>
          <w:tcPr>
            <w:tcW w:w="10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83,894</w:t>
            </w:r>
          </w:p>
        </w:tc>
        <w:tc>
          <w:tcPr>
            <w:tcW w:w="8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518</w:t>
            </w:r>
          </w:p>
        </w:tc>
        <w:tc>
          <w:tcPr>
            <w:tcW w:w="100" w:type="dxa"/>
            <w:vAlign w:val="bottom"/>
            <w:shd w:val="clear" w:color="auto" w:fill="CCEEFF"/>
          </w:tcPr>
          <w:p>
            <w:pPr>
              <w:spacing w:after="0"/>
              <w:rPr>
                <w:sz w:val="15"/>
                <w:szCs w:val="15"/>
                <w:color w:val="auto"/>
              </w:rPr>
            </w:pPr>
          </w:p>
        </w:tc>
        <w:tc>
          <w:tcPr>
            <w:tcW w:w="11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3(q)</w:t>
            </w: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84,412</w:t>
            </w:r>
          </w:p>
        </w:tc>
        <w:tc>
          <w:tcPr>
            <w:tcW w:w="0" w:type="dxa"/>
            <w:vAlign w:val="bottom"/>
          </w:tcPr>
          <w:p>
            <w:pPr>
              <w:spacing w:after="0"/>
              <w:rPr>
                <w:sz w:val="1"/>
                <w:szCs w:val="1"/>
                <w:color w:val="auto"/>
              </w:rPr>
            </w:pPr>
          </w:p>
        </w:tc>
      </w:tr>
    </w:tbl>
    <w:p>
      <w:pPr>
        <w:spacing w:after="0" w:line="14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4"/>
          <w:szCs w:val="14"/>
          <w:color w:val="auto"/>
        </w:rPr>
        <w:t>See accompanying notes to the Unaudited Pro Forma Condensed Combined Financial Information</w:t>
      </w:r>
    </w:p>
    <w:p>
      <w:pPr>
        <w:sectPr>
          <w:pgSz w:w="11900" w:h="16838" w:orient="portrait"/>
          <w:cols w:equalWidth="0" w:num="1">
            <w:col w:w="11280"/>
          </w:cols>
          <w:pgMar w:left="300" w:top="123" w:right="319" w:bottom="1440" w:gutter="0" w:footer="0" w:header="0"/>
        </w:sectPr>
      </w:pPr>
    </w:p>
    <w:bookmarkStart w:id="25" w:name="page26"/>
    <w:bookmarkEnd w:id="25"/>
    <w:p>
      <w:pPr>
        <w:jc w:val="center"/>
        <w:spacing w:after="0"/>
        <w:rPr>
          <w:sz w:val="20"/>
          <w:szCs w:val="20"/>
          <w:color w:val="auto"/>
        </w:rPr>
      </w:pPr>
      <w:r>
        <w:rPr>
          <w:rFonts w:ascii="Times New Roman" w:cs="Times New Roman" w:eastAsia="Times New Roman" w:hAnsi="Times New Roman"/>
          <w:sz w:val="14"/>
          <w:szCs w:val="14"/>
          <w:b w:val="1"/>
          <w:bCs w:val="1"/>
          <w:color w:val="auto"/>
        </w:rPr>
        <w:t>Notes to Unaudited Pro Forma Condensed Combined Financial Information</w:t>
      </w:r>
    </w:p>
    <w:p>
      <w:pPr>
        <w:spacing w:after="0" w:line="200" w:lineRule="exact"/>
        <w:rPr>
          <w:sz w:val="20"/>
          <w:szCs w:val="20"/>
          <w:color w:val="auto"/>
        </w:rPr>
      </w:pPr>
    </w:p>
    <w:p>
      <w:pPr>
        <w:spacing w:after="0" w:line="360" w:lineRule="exact"/>
        <w:rPr>
          <w:sz w:val="20"/>
          <w:szCs w:val="20"/>
          <w:color w:val="auto"/>
        </w:rPr>
      </w:pPr>
    </w:p>
    <w:p>
      <w:pPr>
        <w:spacing w:after="0"/>
        <w:rPr>
          <w:sz w:val="20"/>
          <w:szCs w:val="20"/>
          <w:color w:val="auto"/>
        </w:rPr>
      </w:pPr>
      <w:r>
        <w:rPr>
          <w:rFonts w:ascii="Times New Roman" w:cs="Times New Roman" w:eastAsia="Times New Roman" w:hAnsi="Times New Roman"/>
          <w:sz w:val="14"/>
          <w:szCs w:val="14"/>
          <w:b w:val="1"/>
          <w:bCs w:val="1"/>
          <w:color w:val="auto"/>
        </w:rPr>
        <w:t>Note 1. Basis of presentation</w:t>
      </w:r>
    </w:p>
    <w:p>
      <w:pPr>
        <w:spacing w:after="0" w:line="85" w:lineRule="exact"/>
        <w:rPr>
          <w:sz w:val="20"/>
          <w:szCs w:val="20"/>
          <w:color w:val="auto"/>
        </w:rPr>
      </w:pPr>
    </w:p>
    <w:p>
      <w:pPr>
        <w:jc w:val="both"/>
        <w:spacing w:after="0" w:line="248" w:lineRule="auto"/>
        <w:rPr>
          <w:sz w:val="20"/>
          <w:szCs w:val="20"/>
          <w:color w:val="auto"/>
        </w:rPr>
      </w:pPr>
      <w:r>
        <w:rPr>
          <w:rFonts w:ascii="Times New Roman" w:cs="Times New Roman" w:eastAsia="Times New Roman" w:hAnsi="Times New Roman"/>
          <w:sz w:val="14"/>
          <w:szCs w:val="14"/>
          <w:color w:val="auto"/>
        </w:rPr>
        <w:t>The Pro Forma Financial Statements are based on historical financial statements of the entities, as adjusted to give effect to the Transaction. The Pro Forma Statements of Operations gives effect to the Transaction as if it were consummated on January 1, 2021. The Pro Forma Balance Sheet gives effect to the Transaction as if it were consummated on December 31, 2021. In addition to the historical financial statements included as an exhibit to this Form 8-K/A, the Pro Forma Financial Statements should be read in conjunction with the Company’s annual report on Form 10-K for the year ended December 31, 2021 filed with the Securities and Exchange Commission (the “SEC”) on March 1, 2022.</w:t>
      </w:r>
    </w:p>
    <w:p>
      <w:pPr>
        <w:spacing w:after="0" w:line="67" w:lineRule="exact"/>
        <w:rPr>
          <w:sz w:val="20"/>
          <w:szCs w:val="20"/>
          <w:color w:val="auto"/>
        </w:rPr>
      </w:pPr>
    </w:p>
    <w:p>
      <w:pPr>
        <w:spacing w:after="0"/>
        <w:rPr>
          <w:sz w:val="20"/>
          <w:szCs w:val="20"/>
          <w:color w:val="auto"/>
        </w:rPr>
      </w:pPr>
      <w:r>
        <w:rPr>
          <w:rFonts w:ascii="Times New Roman" w:cs="Times New Roman" w:eastAsia="Times New Roman" w:hAnsi="Times New Roman"/>
          <w:sz w:val="14"/>
          <w:szCs w:val="14"/>
          <w:color w:val="auto"/>
        </w:rPr>
        <w:t>Sunshine Fitness’ historical results of operations are presented in the pro forma combined condensed statement of operations for the year ended December 31, 2021, their most recent fiscal year end.</w:t>
      </w:r>
    </w:p>
    <w:p>
      <w:pPr>
        <w:spacing w:after="0" w:line="94" w:lineRule="exact"/>
        <w:rPr>
          <w:sz w:val="20"/>
          <w:szCs w:val="20"/>
          <w:color w:val="auto"/>
        </w:rPr>
      </w:pPr>
    </w:p>
    <w:p>
      <w:pPr>
        <w:jc w:val="both"/>
        <w:spacing w:after="0" w:line="270" w:lineRule="auto"/>
        <w:rPr>
          <w:sz w:val="20"/>
          <w:szCs w:val="20"/>
          <w:color w:val="auto"/>
        </w:rPr>
      </w:pPr>
      <w:r>
        <w:rPr>
          <w:rFonts w:ascii="Times New Roman" w:cs="Times New Roman" w:eastAsia="Times New Roman" w:hAnsi="Times New Roman"/>
          <w:sz w:val="14"/>
          <w:szCs w:val="14"/>
          <w:color w:val="auto"/>
        </w:rPr>
        <w:t>The Pro Forma Financial Statements have been prepared using the acquisition method of accounting for business combinations under accounting principles generally accepted in the United States (“U.S. GAAP”). The acquisition method of accounting is dependent upon certain valuations that are pending. The final determination of fair value of assets acquired and liabilities assumed could result in material changes from the amounts presented in these Pro Forma Financial Statements.</w:t>
      </w:r>
    </w:p>
    <w:p>
      <w:pPr>
        <w:spacing w:after="0" w:line="51" w:lineRule="exact"/>
        <w:rPr>
          <w:sz w:val="20"/>
          <w:szCs w:val="20"/>
          <w:color w:val="auto"/>
        </w:rPr>
      </w:pPr>
    </w:p>
    <w:p>
      <w:pPr>
        <w:jc w:val="both"/>
        <w:spacing w:after="0" w:line="261" w:lineRule="auto"/>
        <w:rPr>
          <w:sz w:val="20"/>
          <w:szCs w:val="20"/>
          <w:color w:val="auto"/>
        </w:rPr>
      </w:pPr>
      <w:r>
        <w:rPr>
          <w:rFonts w:ascii="Times New Roman" w:cs="Times New Roman" w:eastAsia="Times New Roman" w:hAnsi="Times New Roman"/>
          <w:sz w:val="14"/>
          <w:szCs w:val="14"/>
          <w:color w:val="auto"/>
        </w:rPr>
        <w:t>In order to prepare the Pro Forma Financial Statements, the Company performed a preliminary review of Sunshine Fitness’ accounting policies to identify significant differences from the Company’s accounting policies used to prepare its historical financial statements and no significant differences were noted. The Company will conduct an additional review of Sunshine Fitness’ accounting policies to determine if differences in accounting policies require further adjustment or reclassification of their results of operations, assets or liabilities to conform to the Company’s accounting policies and classifications. As a result of that review, the Company may identify additional differences between the accounting policies of the two companies that, when conformed, could have a material impact on its future consolidated financial statements.</w:t>
      </w:r>
    </w:p>
    <w:p>
      <w:pPr>
        <w:spacing w:after="0" w:line="58" w:lineRule="exact"/>
        <w:rPr>
          <w:sz w:val="20"/>
          <w:szCs w:val="20"/>
          <w:color w:val="auto"/>
        </w:rPr>
      </w:pPr>
    </w:p>
    <w:p>
      <w:pPr>
        <w:jc w:val="both"/>
        <w:spacing w:after="0" w:line="261" w:lineRule="auto"/>
        <w:rPr>
          <w:sz w:val="20"/>
          <w:szCs w:val="20"/>
          <w:color w:val="auto"/>
        </w:rPr>
      </w:pPr>
      <w:r>
        <w:rPr>
          <w:rFonts w:ascii="Times New Roman" w:cs="Times New Roman" w:eastAsia="Times New Roman" w:hAnsi="Times New Roman"/>
          <w:sz w:val="14"/>
          <w:szCs w:val="14"/>
          <w:color w:val="auto"/>
        </w:rPr>
        <w:t>The Pro Forma Financial Statements are preliminary, provided for illustrative purposes only and do not purport to represent what the combined Company’s actual consolidated results of operations or consolidated financial position would have been had the Transaction occurred on the date assumed, nor are they indicative of the combined Company’s future consolidated results of operations or financial position. The actual results reported in periods following the Transaction may differ significantly from those reflected in these Pro Forma Financial Statements for a number of reasons, including, but not limited to, differences between the assumptions used to prepare these Pro Forma Financial Statements and actual amounts, cost savings or associated costs to achieve such savings from operating efficiencies, synergies, or other costs that may result from the Transaction.</w:t>
      </w:r>
    </w:p>
    <w:p>
      <w:pPr>
        <w:spacing w:after="0" w:line="141" w:lineRule="exact"/>
        <w:rPr>
          <w:sz w:val="20"/>
          <w:szCs w:val="20"/>
          <w:color w:val="auto"/>
        </w:rPr>
      </w:pPr>
    </w:p>
    <w:p>
      <w:pPr>
        <w:spacing w:after="0"/>
        <w:rPr>
          <w:sz w:val="20"/>
          <w:szCs w:val="20"/>
          <w:color w:val="auto"/>
        </w:rPr>
      </w:pPr>
      <w:r>
        <w:rPr>
          <w:rFonts w:ascii="Times New Roman" w:cs="Times New Roman" w:eastAsia="Times New Roman" w:hAnsi="Times New Roman"/>
          <w:sz w:val="14"/>
          <w:szCs w:val="14"/>
          <w:b w:val="1"/>
          <w:bCs w:val="1"/>
          <w:color w:val="auto"/>
        </w:rPr>
        <w:t>Note 2. Preliminary purchase price allocation</w:t>
      </w:r>
    </w:p>
    <w:p>
      <w:pPr>
        <w:spacing w:after="0" w:line="96" w:lineRule="exact"/>
        <w:rPr>
          <w:sz w:val="20"/>
          <w:szCs w:val="20"/>
          <w:color w:val="auto"/>
        </w:rPr>
      </w:pPr>
    </w:p>
    <w:p>
      <w:pPr>
        <w:jc w:val="both"/>
        <w:spacing w:after="0" w:line="261" w:lineRule="auto"/>
        <w:rPr>
          <w:sz w:val="20"/>
          <w:szCs w:val="20"/>
          <w:color w:val="auto"/>
        </w:rPr>
      </w:pPr>
      <w:r>
        <w:rPr>
          <w:rFonts w:ascii="Times New Roman" w:cs="Times New Roman" w:eastAsia="Times New Roman" w:hAnsi="Times New Roman"/>
          <w:sz w:val="14"/>
          <w:szCs w:val="14"/>
          <w:color w:val="auto"/>
        </w:rPr>
        <w:t>The Pro Forma Financial Statements include various assumptions, including those related to the preliminary purchase price allocations of the assets acquired and liabilities assumed of Sunshine Fitness based on preliminary estimates of fair value by management and third-party valuation experts. The final purchase price allocations may vary based on final appraisals, valuations and analyses of the fair value of the acquired assets and assumed liabilities as well as final post-closing adjustments, if any. Accordingly, the pro forma adjustments are preliminary and may be subject to change. The preliminary estimate of goodwill related to the Acquisition is based on the excess of the estimated purchase price paid over the estimated fair market value of the identifiable assets and liabilities acquired. These estimates are preliminary and will be refined once the valuation process is completed.</w:t>
      </w:r>
    </w:p>
    <w:p>
      <w:pPr>
        <w:spacing w:after="0" w:line="58" w:lineRule="exact"/>
        <w:rPr>
          <w:sz w:val="20"/>
          <w:szCs w:val="20"/>
          <w:color w:val="auto"/>
        </w:rPr>
      </w:pPr>
    </w:p>
    <w:p>
      <w:pPr>
        <w:jc w:val="both"/>
        <w:spacing w:after="0" w:line="270" w:lineRule="auto"/>
        <w:rPr>
          <w:sz w:val="20"/>
          <w:szCs w:val="20"/>
          <w:color w:val="auto"/>
        </w:rPr>
      </w:pPr>
      <w:r>
        <w:rPr>
          <w:rFonts w:ascii="Times New Roman" w:cs="Times New Roman" w:eastAsia="Times New Roman" w:hAnsi="Times New Roman"/>
          <w:sz w:val="14"/>
          <w:szCs w:val="14"/>
          <w:color w:val="auto"/>
        </w:rPr>
        <w:t>The total estimated preliminary purchase price allocation of the Acquisition was $824.5 million and as a result of the Acquisition, the Company incurred an estimated preliminary loss on unfavorable reacquired franchise rights of $1.2 million. The following table summarizes the preliminary allocation of the purchase price based on the estimated fair value of the acquired assets and assumed liabilities as of December 31, 2021 (in thousands except share and per share amounts):</w:t>
      </w:r>
    </w:p>
    <w:p>
      <w:pPr>
        <w:sectPr>
          <w:pgSz w:w="11900" w:h="16838" w:orient="portrait"/>
          <w:cols w:equalWidth="0" w:num="1">
            <w:col w:w="11280"/>
          </w:cols>
          <w:pgMar w:left="300" w:top="123" w:right="319" w:bottom="1440" w:gutter="0" w:footer="0" w:header="0"/>
        </w:sectPr>
      </w:pPr>
    </w:p>
    <w:bookmarkStart w:id="26" w:name="page27"/>
    <w:bookmarkEnd w:id="26"/>
    <w:tbl>
      <w:tblPr>
        <w:tblLayout w:type="fixed"/>
        <w:tblInd w:w="0" w:type="dxa"/>
        <w:tblCellMar>
          <w:top w:w="0" w:type="dxa"/>
          <w:left w:w="0" w:type="dxa"/>
          <w:bottom w:w="0" w:type="dxa"/>
          <w:right w:w="0" w:type="dxa"/>
        </w:tblCellMar>
      </w:tblPr>
      <w:tr>
        <w:trPr>
          <w:trHeight w:val="186"/>
        </w:trPr>
        <w:tc>
          <w:tcPr>
            <w:tcW w:w="2760" w:type="dxa"/>
            <w:vAlign w:val="bottom"/>
          </w:tcPr>
          <w:p>
            <w:pPr>
              <w:spacing w:after="0"/>
              <w:rPr>
                <w:sz w:val="16"/>
                <w:szCs w:val="16"/>
                <w:color w:val="auto"/>
              </w:rPr>
            </w:pPr>
          </w:p>
        </w:tc>
        <w:tc>
          <w:tcPr>
            <w:tcW w:w="7400" w:type="dxa"/>
            <w:vAlign w:val="bottom"/>
            <w:gridSpan w:val="2"/>
          </w:tcPr>
          <w:p>
            <w:pPr>
              <w:jc w:val="right"/>
              <w:ind w:right="2149"/>
              <w:spacing w:after="0"/>
              <w:rPr>
                <w:sz w:val="20"/>
                <w:szCs w:val="20"/>
                <w:color w:val="auto"/>
              </w:rPr>
            </w:pPr>
            <w:r>
              <w:rPr>
                <w:rFonts w:ascii="Times New Roman" w:cs="Times New Roman" w:eastAsia="Times New Roman" w:hAnsi="Times New Roman"/>
                <w:sz w:val="14"/>
                <w:szCs w:val="14"/>
                <w:b w:val="1"/>
                <w:bCs w:val="1"/>
                <w:color w:val="auto"/>
              </w:rPr>
              <w:t>Notes to Unaudited Pro Forma Condensed Combined Financial Information</w:t>
            </w:r>
          </w:p>
        </w:tc>
        <w:tc>
          <w:tcPr>
            <w:tcW w:w="1120" w:type="dxa"/>
            <w:vAlign w:val="bottom"/>
          </w:tcPr>
          <w:p>
            <w:pPr>
              <w:spacing w:after="0"/>
              <w:rPr>
                <w:sz w:val="16"/>
                <w:szCs w:val="16"/>
                <w:color w:val="auto"/>
              </w:rPr>
            </w:pPr>
          </w:p>
        </w:tc>
      </w:tr>
      <w:tr>
        <w:trPr>
          <w:trHeight w:val="723"/>
        </w:trPr>
        <w:tc>
          <w:tcPr>
            <w:tcW w:w="2760" w:type="dxa"/>
            <w:vAlign w:val="bottom"/>
            <w:tcBorders>
              <w:bottom w:val="single" w:sz="8" w:color="CCEEFF"/>
            </w:tcBorders>
          </w:tcPr>
          <w:p>
            <w:pPr>
              <w:ind w:left="20"/>
              <w:spacing w:after="0"/>
              <w:rPr>
                <w:sz w:val="20"/>
                <w:szCs w:val="20"/>
                <w:color w:val="auto"/>
              </w:rPr>
            </w:pPr>
            <w:r>
              <w:rPr>
                <w:rFonts w:ascii="Times New Roman" w:cs="Times New Roman" w:eastAsia="Times New Roman" w:hAnsi="Times New Roman"/>
                <w:sz w:val="11"/>
                <w:szCs w:val="11"/>
                <w:b w:val="1"/>
                <w:bCs w:val="1"/>
                <w:color w:val="auto"/>
              </w:rPr>
              <w:t>(in thousands)</w:t>
            </w:r>
          </w:p>
        </w:tc>
        <w:tc>
          <w:tcPr>
            <w:tcW w:w="7100" w:type="dxa"/>
            <w:vAlign w:val="bottom"/>
            <w:tcBorders>
              <w:bottom w:val="single" w:sz="8" w:color="CCEEFF"/>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ind w:right="450"/>
              <w:spacing w:after="0"/>
              <w:rPr>
                <w:sz w:val="20"/>
                <w:szCs w:val="20"/>
                <w:color w:val="auto"/>
              </w:rPr>
            </w:pPr>
            <w:r>
              <w:rPr>
                <w:rFonts w:ascii="Times New Roman" w:cs="Times New Roman" w:eastAsia="Times New Roman" w:hAnsi="Times New Roman"/>
                <w:sz w:val="11"/>
                <w:szCs w:val="11"/>
                <w:b w:val="1"/>
                <w:bCs w:val="1"/>
                <w:color w:val="auto"/>
              </w:rPr>
              <w:t>Amount</w:t>
            </w:r>
          </w:p>
        </w:tc>
      </w:tr>
      <w:tr>
        <w:trPr>
          <w:trHeight w:val="106"/>
        </w:trPr>
        <w:tc>
          <w:tcPr>
            <w:tcW w:w="2760" w:type="dxa"/>
            <w:vAlign w:val="bottom"/>
            <w:shd w:val="clear" w:color="auto" w:fill="CCEEFF"/>
          </w:tcPr>
          <w:p>
            <w:pPr>
              <w:spacing w:after="0"/>
              <w:rPr>
                <w:sz w:val="9"/>
                <w:szCs w:val="9"/>
                <w:color w:val="auto"/>
              </w:rPr>
            </w:pPr>
          </w:p>
        </w:tc>
        <w:tc>
          <w:tcPr>
            <w:tcW w:w="7100" w:type="dxa"/>
            <w:vAlign w:val="bottom"/>
            <w:shd w:val="clear" w:color="auto" w:fill="CCEEFF"/>
          </w:tcPr>
          <w:p>
            <w:pPr>
              <w:spacing w:after="0"/>
              <w:rPr>
                <w:sz w:val="9"/>
                <w:szCs w:val="9"/>
                <w:color w:val="auto"/>
              </w:rPr>
            </w:pPr>
          </w:p>
        </w:tc>
        <w:tc>
          <w:tcPr>
            <w:tcW w:w="300" w:type="dxa"/>
            <w:vAlign w:val="bottom"/>
            <w:shd w:val="clear" w:color="auto" w:fill="CCEEFF"/>
          </w:tcPr>
          <w:p>
            <w:pPr>
              <w:spacing w:after="0"/>
              <w:rPr>
                <w:sz w:val="9"/>
                <w:szCs w:val="9"/>
                <w:color w:val="auto"/>
              </w:rPr>
            </w:pPr>
          </w:p>
        </w:tc>
        <w:tc>
          <w:tcPr>
            <w:tcW w:w="1120" w:type="dxa"/>
            <w:vAlign w:val="bottom"/>
            <w:shd w:val="clear" w:color="auto" w:fill="CCEEFF"/>
          </w:tcPr>
          <w:p>
            <w:pPr>
              <w:spacing w:after="0"/>
              <w:rPr>
                <w:sz w:val="9"/>
                <w:szCs w:val="9"/>
                <w:color w:val="auto"/>
              </w:rPr>
            </w:pPr>
          </w:p>
        </w:tc>
      </w:tr>
      <w:tr>
        <w:trPr>
          <w:trHeight w:val="180"/>
        </w:trPr>
        <w:tc>
          <w:tcPr>
            <w:tcW w:w="2760" w:type="dxa"/>
            <w:vAlign w:val="bottom"/>
          </w:tcPr>
          <w:p>
            <w:pPr>
              <w:ind w:left="100"/>
              <w:spacing w:after="0"/>
              <w:rPr>
                <w:sz w:val="20"/>
                <w:szCs w:val="20"/>
                <w:color w:val="auto"/>
              </w:rPr>
            </w:pPr>
            <w:r>
              <w:rPr>
                <w:rFonts w:ascii="Times New Roman" w:cs="Times New Roman" w:eastAsia="Times New Roman" w:hAnsi="Times New Roman"/>
                <w:sz w:val="14"/>
                <w:szCs w:val="14"/>
                <w:color w:val="auto"/>
              </w:rPr>
              <w:t>Cash</w:t>
            </w:r>
          </w:p>
        </w:tc>
        <w:tc>
          <w:tcPr>
            <w:tcW w:w="7400" w:type="dxa"/>
            <w:vAlign w:val="bottom"/>
            <w:gridSpan w:val="2"/>
          </w:tcPr>
          <w:p>
            <w:pPr>
              <w:jc w:val="right"/>
              <w:ind w:right="149"/>
              <w:spacing w:after="0"/>
              <w:rPr>
                <w:sz w:val="20"/>
                <w:szCs w:val="20"/>
                <w:color w:val="auto"/>
              </w:rPr>
            </w:pPr>
            <w:r>
              <w:rPr>
                <w:rFonts w:ascii="Times New Roman" w:cs="Times New Roman" w:eastAsia="Times New Roman" w:hAnsi="Times New Roman"/>
                <w:sz w:val="14"/>
                <w:szCs w:val="14"/>
                <w:color w:val="auto"/>
              </w:rPr>
              <w:t>$</w:t>
            </w:r>
          </w:p>
        </w:tc>
        <w:tc>
          <w:tcPr>
            <w:tcW w:w="11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19,174</w:t>
            </w:r>
          </w:p>
        </w:tc>
      </w:tr>
      <w:tr>
        <w:trPr>
          <w:trHeight w:val="180"/>
        </w:trPr>
        <w:tc>
          <w:tcPr>
            <w:tcW w:w="2760" w:type="dxa"/>
            <w:vAlign w:val="bottom"/>
            <w:shd w:val="clear" w:color="auto" w:fill="CCEEFF"/>
          </w:tcPr>
          <w:p>
            <w:pPr>
              <w:ind w:left="100"/>
              <w:spacing w:after="0"/>
              <w:rPr>
                <w:sz w:val="20"/>
                <w:szCs w:val="20"/>
                <w:color w:val="auto"/>
              </w:rPr>
            </w:pPr>
            <w:r>
              <w:rPr>
                <w:rFonts w:ascii="Times New Roman" w:cs="Times New Roman" w:eastAsia="Times New Roman" w:hAnsi="Times New Roman"/>
                <w:sz w:val="14"/>
                <w:szCs w:val="14"/>
                <w:color w:val="auto"/>
              </w:rPr>
              <w:t>Prepaid expenses</w:t>
            </w:r>
          </w:p>
        </w:tc>
        <w:tc>
          <w:tcPr>
            <w:tcW w:w="7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2,973</w:t>
            </w:r>
          </w:p>
        </w:tc>
      </w:tr>
      <w:tr>
        <w:trPr>
          <w:trHeight w:val="180"/>
        </w:trPr>
        <w:tc>
          <w:tcPr>
            <w:tcW w:w="2760" w:type="dxa"/>
            <w:vAlign w:val="bottom"/>
          </w:tcPr>
          <w:p>
            <w:pPr>
              <w:ind w:left="100"/>
              <w:spacing w:after="0"/>
              <w:rPr>
                <w:sz w:val="20"/>
                <w:szCs w:val="20"/>
                <w:color w:val="auto"/>
              </w:rPr>
            </w:pPr>
            <w:r>
              <w:rPr>
                <w:rFonts w:ascii="Times New Roman" w:cs="Times New Roman" w:eastAsia="Times New Roman" w:hAnsi="Times New Roman"/>
                <w:sz w:val="14"/>
                <w:szCs w:val="14"/>
                <w:color w:val="auto"/>
              </w:rPr>
              <w:t>Other receivables</w:t>
            </w:r>
          </w:p>
        </w:tc>
        <w:tc>
          <w:tcPr>
            <w:tcW w:w="7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2,936</w:t>
            </w:r>
          </w:p>
        </w:tc>
      </w:tr>
      <w:tr>
        <w:trPr>
          <w:trHeight w:val="180"/>
        </w:trPr>
        <w:tc>
          <w:tcPr>
            <w:tcW w:w="2760" w:type="dxa"/>
            <w:vAlign w:val="bottom"/>
            <w:shd w:val="clear" w:color="auto" w:fill="CCEEFF"/>
          </w:tcPr>
          <w:p>
            <w:pPr>
              <w:ind w:left="100"/>
              <w:spacing w:after="0"/>
              <w:rPr>
                <w:sz w:val="20"/>
                <w:szCs w:val="20"/>
                <w:color w:val="auto"/>
              </w:rPr>
            </w:pPr>
            <w:r>
              <w:rPr>
                <w:rFonts w:ascii="Times New Roman" w:cs="Times New Roman" w:eastAsia="Times New Roman" w:hAnsi="Times New Roman"/>
                <w:sz w:val="14"/>
                <w:szCs w:val="14"/>
                <w:color w:val="auto"/>
              </w:rPr>
              <w:t>Property and equipment</w:t>
            </w:r>
          </w:p>
        </w:tc>
        <w:tc>
          <w:tcPr>
            <w:tcW w:w="7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152,548</w:t>
            </w:r>
          </w:p>
        </w:tc>
      </w:tr>
      <w:tr>
        <w:trPr>
          <w:trHeight w:val="180"/>
        </w:trPr>
        <w:tc>
          <w:tcPr>
            <w:tcW w:w="2760" w:type="dxa"/>
            <w:vAlign w:val="bottom"/>
          </w:tcPr>
          <w:p>
            <w:pPr>
              <w:ind w:left="100"/>
              <w:spacing w:after="0"/>
              <w:rPr>
                <w:sz w:val="20"/>
                <w:szCs w:val="20"/>
                <w:color w:val="auto"/>
              </w:rPr>
            </w:pPr>
            <w:r>
              <w:rPr>
                <w:rFonts w:ascii="Times New Roman" w:cs="Times New Roman" w:eastAsia="Times New Roman" w:hAnsi="Times New Roman"/>
                <w:sz w:val="14"/>
                <w:szCs w:val="14"/>
                <w:color w:val="auto"/>
              </w:rPr>
              <w:t>Right-of-use assets</w:t>
            </w:r>
          </w:p>
        </w:tc>
        <w:tc>
          <w:tcPr>
            <w:tcW w:w="7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165,847</w:t>
            </w:r>
          </w:p>
        </w:tc>
      </w:tr>
      <w:tr>
        <w:trPr>
          <w:trHeight w:val="180"/>
        </w:trPr>
        <w:tc>
          <w:tcPr>
            <w:tcW w:w="2760" w:type="dxa"/>
            <w:vAlign w:val="bottom"/>
            <w:shd w:val="clear" w:color="auto" w:fill="CCEEFF"/>
          </w:tcPr>
          <w:p>
            <w:pPr>
              <w:ind w:left="100"/>
              <w:spacing w:after="0"/>
              <w:rPr>
                <w:sz w:val="20"/>
                <w:szCs w:val="20"/>
                <w:color w:val="auto"/>
              </w:rPr>
            </w:pPr>
            <w:r>
              <w:rPr>
                <w:rFonts w:ascii="Times New Roman" w:cs="Times New Roman" w:eastAsia="Times New Roman" w:hAnsi="Times New Roman"/>
                <w:sz w:val="14"/>
                <w:szCs w:val="14"/>
                <w:color w:val="auto"/>
              </w:rPr>
              <w:t>Reacquired area development rights</w:t>
            </w:r>
          </w:p>
        </w:tc>
        <w:tc>
          <w:tcPr>
            <w:tcW w:w="7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1,440</w:t>
            </w:r>
          </w:p>
        </w:tc>
      </w:tr>
      <w:tr>
        <w:trPr>
          <w:trHeight w:val="180"/>
        </w:trPr>
        <w:tc>
          <w:tcPr>
            <w:tcW w:w="2760" w:type="dxa"/>
            <w:vAlign w:val="bottom"/>
          </w:tcPr>
          <w:p>
            <w:pPr>
              <w:ind w:left="100"/>
              <w:spacing w:after="0"/>
              <w:rPr>
                <w:sz w:val="20"/>
                <w:szCs w:val="20"/>
                <w:color w:val="auto"/>
              </w:rPr>
            </w:pPr>
            <w:r>
              <w:rPr>
                <w:rFonts w:ascii="Times New Roman" w:cs="Times New Roman" w:eastAsia="Times New Roman" w:hAnsi="Times New Roman"/>
                <w:sz w:val="14"/>
                <w:szCs w:val="14"/>
                <w:color w:val="auto"/>
              </w:rPr>
              <w:t>Reacquired franchise rights</w:t>
            </w:r>
          </w:p>
        </w:tc>
        <w:tc>
          <w:tcPr>
            <w:tcW w:w="7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256,800</w:t>
            </w:r>
          </w:p>
        </w:tc>
      </w:tr>
      <w:tr>
        <w:trPr>
          <w:trHeight w:val="180"/>
        </w:trPr>
        <w:tc>
          <w:tcPr>
            <w:tcW w:w="2760" w:type="dxa"/>
            <w:vAlign w:val="bottom"/>
            <w:shd w:val="clear" w:color="auto" w:fill="CCEEFF"/>
          </w:tcPr>
          <w:p>
            <w:pPr>
              <w:ind w:left="100"/>
              <w:spacing w:after="0"/>
              <w:rPr>
                <w:sz w:val="20"/>
                <w:szCs w:val="20"/>
                <w:color w:val="auto"/>
              </w:rPr>
            </w:pPr>
            <w:r>
              <w:rPr>
                <w:rFonts w:ascii="Times New Roman" w:cs="Times New Roman" w:eastAsia="Times New Roman" w:hAnsi="Times New Roman"/>
                <w:sz w:val="14"/>
                <w:szCs w:val="14"/>
                <w:color w:val="auto"/>
              </w:rPr>
              <w:t>Customer relationships</w:t>
            </w:r>
          </w:p>
        </w:tc>
        <w:tc>
          <w:tcPr>
            <w:tcW w:w="7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25,200</w:t>
            </w:r>
          </w:p>
        </w:tc>
      </w:tr>
      <w:tr>
        <w:trPr>
          <w:trHeight w:val="180"/>
        </w:trPr>
        <w:tc>
          <w:tcPr>
            <w:tcW w:w="2760" w:type="dxa"/>
            <w:vAlign w:val="bottom"/>
          </w:tcPr>
          <w:p>
            <w:pPr>
              <w:ind w:left="100"/>
              <w:spacing w:after="0"/>
              <w:rPr>
                <w:sz w:val="20"/>
                <w:szCs w:val="20"/>
                <w:color w:val="auto"/>
              </w:rPr>
            </w:pPr>
            <w:r>
              <w:rPr>
                <w:rFonts w:ascii="Times New Roman" w:cs="Times New Roman" w:eastAsia="Times New Roman" w:hAnsi="Times New Roman"/>
                <w:sz w:val="14"/>
                <w:szCs w:val="14"/>
                <w:color w:val="auto"/>
              </w:rPr>
              <w:t>Goodwill</w:t>
            </w:r>
          </w:p>
        </w:tc>
        <w:tc>
          <w:tcPr>
            <w:tcW w:w="7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450,441</w:t>
            </w:r>
          </w:p>
        </w:tc>
      </w:tr>
      <w:tr>
        <w:trPr>
          <w:trHeight w:val="180"/>
        </w:trPr>
        <w:tc>
          <w:tcPr>
            <w:tcW w:w="2760" w:type="dxa"/>
            <w:vAlign w:val="bottom"/>
            <w:shd w:val="clear" w:color="auto" w:fill="CCEEFF"/>
          </w:tcPr>
          <w:p>
            <w:pPr>
              <w:ind w:left="100"/>
              <w:spacing w:after="0"/>
              <w:rPr>
                <w:sz w:val="20"/>
                <w:szCs w:val="20"/>
                <w:color w:val="auto"/>
              </w:rPr>
            </w:pPr>
            <w:r>
              <w:rPr>
                <w:rFonts w:ascii="Times New Roman" w:cs="Times New Roman" w:eastAsia="Times New Roman" w:hAnsi="Times New Roman"/>
                <w:sz w:val="14"/>
                <w:szCs w:val="14"/>
                <w:color w:val="auto"/>
              </w:rPr>
              <w:t>Other assets</w:t>
            </w:r>
          </w:p>
        </w:tc>
        <w:tc>
          <w:tcPr>
            <w:tcW w:w="7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1,079</w:t>
            </w:r>
          </w:p>
        </w:tc>
      </w:tr>
      <w:tr>
        <w:trPr>
          <w:trHeight w:val="180"/>
        </w:trPr>
        <w:tc>
          <w:tcPr>
            <w:tcW w:w="2760" w:type="dxa"/>
            <w:vAlign w:val="bottom"/>
          </w:tcPr>
          <w:p>
            <w:pPr>
              <w:ind w:left="100"/>
              <w:spacing w:after="0"/>
              <w:rPr>
                <w:sz w:val="20"/>
                <w:szCs w:val="20"/>
                <w:color w:val="auto"/>
              </w:rPr>
            </w:pPr>
            <w:r>
              <w:rPr>
                <w:rFonts w:ascii="Times New Roman" w:cs="Times New Roman" w:eastAsia="Times New Roman" w:hAnsi="Times New Roman"/>
                <w:sz w:val="14"/>
                <w:szCs w:val="14"/>
                <w:color w:val="auto"/>
              </w:rPr>
              <w:t>Deferred income taxes</w:t>
            </w:r>
          </w:p>
        </w:tc>
        <w:tc>
          <w:tcPr>
            <w:tcW w:w="7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(53,752)</w:t>
            </w:r>
          </w:p>
        </w:tc>
      </w:tr>
      <w:tr>
        <w:trPr>
          <w:trHeight w:val="180"/>
        </w:trPr>
        <w:tc>
          <w:tcPr>
            <w:tcW w:w="2760" w:type="dxa"/>
            <w:vAlign w:val="bottom"/>
            <w:shd w:val="clear" w:color="auto" w:fill="CCEEFF"/>
          </w:tcPr>
          <w:p>
            <w:pPr>
              <w:ind w:left="100"/>
              <w:spacing w:after="0"/>
              <w:rPr>
                <w:sz w:val="20"/>
                <w:szCs w:val="20"/>
                <w:color w:val="auto"/>
              </w:rPr>
            </w:pPr>
            <w:r>
              <w:rPr>
                <w:rFonts w:ascii="Times New Roman" w:cs="Times New Roman" w:eastAsia="Times New Roman" w:hAnsi="Times New Roman"/>
                <w:sz w:val="14"/>
                <w:szCs w:val="14"/>
                <w:color w:val="auto"/>
              </w:rPr>
              <w:t>Accounts payable</w:t>
            </w:r>
          </w:p>
        </w:tc>
        <w:tc>
          <w:tcPr>
            <w:tcW w:w="7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(3,487)</w:t>
            </w:r>
          </w:p>
        </w:tc>
      </w:tr>
      <w:tr>
        <w:trPr>
          <w:trHeight w:val="180"/>
        </w:trPr>
        <w:tc>
          <w:tcPr>
            <w:tcW w:w="2760" w:type="dxa"/>
            <w:vAlign w:val="bottom"/>
          </w:tcPr>
          <w:p>
            <w:pPr>
              <w:ind w:left="100"/>
              <w:spacing w:after="0"/>
              <w:rPr>
                <w:sz w:val="20"/>
                <w:szCs w:val="20"/>
                <w:color w:val="auto"/>
              </w:rPr>
            </w:pPr>
            <w:r>
              <w:rPr>
                <w:rFonts w:ascii="Times New Roman" w:cs="Times New Roman" w:eastAsia="Times New Roman" w:hAnsi="Times New Roman"/>
                <w:sz w:val="14"/>
                <w:szCs w:val="14"/>
                <w:color w:val="auto"/>
              </w:rPr>
              <w:t>Accrued expenses</w:t>
            </w:r>
          </w:p>
        </w:tc>
        <w:tc>
          <w:tcPr>
            <w:tcW w:w="7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(6,858)</w:t>
            </w:r>
          </w:p>
        </w:tc>
      </w:tr>
      <w:tr>
        <w:trPr>
          <w:trHeight w:val="180"/>
        </w:trPr>
        <w:tc>
          <w:tcPr>
            <w:tcW w:w="2760" w:type="dxa"/>
            <w:vAlign w:val="bottom"/>
            <w:shd w:val="clear" w:color="auto" w:fill="CCEEFF"/>
          </w:tcPr>
          <w:p>
            <w:pPr>
              <w:ind w:left="100"/>
              <w:spacing w:after="0"/>
              <w:rPr>
                <w:sz w:val="20"/>
                <w:szCs w:val="20"/>
                <w:color w:val="auto"/>
              </w:rPr>
            </w:pPr>
            <w:r>
              <w:rPr>
                <w:rFonts w:ascii="Times New Roman" w:cs="Times New Roman" w:eastAsia="Times New Roman" w:hAnsi="Times New Roman"/>
                <w:sz w:val="14"/>
                <w:szCs w:val="14"/>
                <w:color w:val="auto"/>
              </w:rPr>
              <w:t>Lease liabilities</w:t>
            </w:r>
          </w:p>
        </w:tc>
        <w:tc>
          <w:tcPr>
            <w:tcW w:w="7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(168,783)</w:t>
            </w:r>
          </w:p>
        </w:tc>
      </w:tr>
      <w:tr>
        <w:trPr>
          <w:trHeight w:val="180"/>
        </w:trPr>
        <w:tc>
          <w:tcPr>
            <w:tcW w:w="2760" w:type="dxa"/>
            <w:vAlign w:val="bottom"/>
            <w:tcBorders>
              <w:bottom w:val="single" w:sz="8" w:color="CCEEFF"/>
            </w:tcBorders>
          </w:tcPr>
          <w:p>
            <w:pPr>
              <w:ind w:left="100"/>
              <w:spacing w:after="0"/>
              <w:rPr>
                <w:sz w:val="20"/>
                <w:szCs w:val="20"/>
                <w:color w:val="auto"/>
              </w:rPr>
            </w:pPr>
            <w:r>
              <w:rPr>
                <w:rFonts w:ascii="Times New Roman" w:cs="Times New Roman" w:eastAsia="Times New Roman" w:hAnsi="Times New Roman"/>
                <w:sz w:val="14"/>
                <w:szCs w:val="14"/>
                <w:color w:val="auto"/>
              </w:rPr>
              <w:t>Deferred revenue</w:t>
            </w:r>
          </w:p>
        </w:tc>
        <w:tc>
          <w:tcPr>
            <w:tcW w:w="7100" w:type="dxa"/>
            <w:vAlign w:val="bottom"/>
            <w:tcBorders>
              <w:bottom w:val="single" w:sz="8" w:color="CCEEFF"/>
            </w:tcBorders>
          </w:tcPr>
          <w:p>
            <w:pPr>
              <w:spacing w:after="0"/>
              <w:rPr>
                <w:sz w:val="15"/>
                <w:szCs w:val="15"/>
                <w:color w:val="auto"/>
              </w:rPr>
            </w:pPr>
          </w:p>
        </w:tc>
        <w:tc>
          <w:tcPr>
            <w:tcW w:w="300" w:type="dxa"/>
            <w:vAlign w:val="bottom"/>
            <w:tcBorders>
              <w:bottom w:val="single" w:sz="8" w:color="auto"/>
            </w:tcBorders>
          </w:tcPr>
          <w:p>
            <w:pPr>
              <w:spacing w:after="0"/>
              <w:rPr>
                <w:sz w:val="15"/>
                <w:szCs w:val="15"/>
                <w:color w:val="auto"/>
              </w:rPr>
            </w:pPr>
          </w:p>
        </w:tc>
        <w:tc>
          <w:tcPr>
            <w:tcW w:w="11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color w:val="auto"/>
              </w:rPr>
              <w:t>(21,048)</w:t>
            </w:r>
          </w:p>
        </w:tc>
      </w:tr>
      <w:tr>
        <w:trPr>
          <w:trHeight w:val="171"/>
        </w:trPr>
        <w:tc>
          <w:tcPr>
            <w:tcW w:w="276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rPr>
              <w:t>Total assets and liabilities acquired</w:t>
            </w:r>
          </w:p>
        </w:tc>
        <w:tc>
          <w:tcPr>
            <w:tcW w:w="7100" w:type="dxa"/>
            <w:vAlign w:val="bottom"/>
            <w:shd w:val="clear" w:color="auto" w:fill="CCEEFF"/>
          </w:tcPr>
          <w:p>
            <w:pPr>
              <w:spacing w:after="0"/>
              <w:rPr>
                <w:sz w:val="14"/>
                <w:szCs w:val="14"/>
                <w:color w:val="auto"/>
              </w:rPr>
            </w:pPr>
          </w:p>
        </w:tc>
        <w:tc>
          <w:tcPr>
            <w:tcW w:w="300" w:type="dxa"/>
            <w:vAlign w:val="bottom"/>
            <w:tcBorders>
              <w:bottom w:val="single" w:sz="8" w:color="auto"/>
            </w:tcBorders>
            <w:shd w:val="clear" w:color="auto" w:fill="CCEEFF"/>
          </w:tcPr>
          <w:p>
            <w:pPr>
              <w:spacing w:after="0"/>
              <w:rPr>
                <w:sz w:val="14"/>
                <w:szCs w:val="14"/>
                <w:color w:val="auto"/>
              </w:rPr>
            </w:pPr>
          </w:p>
        </w:tc>
        <w:tc>
          <w:tcPr>
            <w:tcW w:w="112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824,510</w:t>
            </w:r>
          </w:p>
        </w:tc>
      </w:tr>
      <w:tr>
        <w:trPr>
          <w:trHeight w:val="171"/>
        </w:trPr>
        <w:tc>
          <w:tcPr>
            <w:tcW w:w="2760" w:type="dxa"/>
            <w:vAlign w:val="bottom"/>
            <w:tcBorders>
              <w:bottom w:val="single" w:sz="8" w:color="CCEEFF"/>
            </w:tcBorders>
          </w:tcPr>
          <w:p>
            <w:pPr>
              <w:ind w:left="100"/>
              <w:spacing w:after="0"/>
              <w:rPr>
                <w:sz w:val="20"/>
                <w:szCs w:val="20"/>
                <w:color w:val="auto"/>
              </w:rPr>
            </w:pPr>
            <w:r>
              <w:rPr>
                <w:rFonts w:ascii="Times New Roman" w:cs="Times New Roman" w:eastAsia="Times New Roman" w:hAnsi="Times New Roman"/>
                <w:sz w:val="14"/>
                <w:szCs w:val="14"/>
                <w:color w:val="auto"/>
              </w:rPr>
              <w:t>Loss on reacquired franchise rights</w:t>
            </w:r>
          </w:p>
        </w:tc>
        <w:tc>
          <w:tcPr>
            <w:tcW w:w="7100" w:type="dxa"/>
            <w:vAlign w:val="bottom"/>
            <w:tcBorders>
              <w:bottom w:val="single" w:sz="8" w:color="CCEEFF"/>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1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color w:val="auto"/>
              </w:rPr>
              <w:t>1,160</w:t>
            </w:r>
          </w:p>
        </w:tc>
      </w:tr>
      <w:tr>
        <w:trPr>
          <w:trHeight w:val="196"/>
        </w:trPr>
        <w:tc>
          <w:tcPr>
            <w:tcW w:w="2760" w:type="dxa"/>
            <w:vAlign w:val="bottom"/>
            <w:tcBorders>
              <w:bottom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rPr>
              <w:t>Total consideration</w:t>
            </w:r>
          </w:p>
        </w:tc>
        <w:tc>
          <w:tcPr>
            <w:tcW w:w="7100" w:type="dxa"/>
            <w:vAlign w:val="bottom"/>
            <w:tcBorders>
              <w:bottom w:val="single" w:sz="8" w:color="CCEEFF"/>
            </w:tcBorders>
            <w:shd w:val="clear" w:color="auto" w:fill="CCEEFF"/>
          </w:tcPr>
          <w:p>
            <w:pPr>
              <w:spacing w:after="0"/>
              <w:rPr>
                <w:sz w:val="16"/>
                <w:szCs w:val="16"/>
                <w:color w:val="auto"/>
              </w:rPr>
            </w:pPr>
          </w:p>
        </w:tc>
        <w:tc>
          <w:tcPr>
            <w:tcW w:w="300" w:type="dxa"/>
            <w:vAlign w:val="bottom"/>
            <w:tcBorders>
              <w:bottom w:val="single" w:sz="8" w:color="auto"/>
            </w:tcBorders>
            <w:shd w:val="clear" w:color="auto" w:fill="CCEEFF"/>
          </w:tcPr>
          <w:p>
            <w:pPr>
              <w:jc w:val="right"/>
              <w:ind w:right="149"/>
              <w:spacing w:after="0"/>
              <w:rPr>
                <w:sz w:val="20"/>
                <w:szCs w:val="20"/>
                <w:color w:val="auto"/>
              </w:rPr>
            </w:pPr>
            <w:r>
              <w:rPr>
                <w:rFonts w:ascii="Times New Roman" w:cs="Times New Roman" w:eastAsia="Times New Roman" w:hAnsi="Times New Roman"/>
                <w:sz w:val="14"/>
                <w:szCs w:val="14"/>
                <w:color w:val="auto"/>
                <w:w w:val="85"/>
              </w:rPr>
              <w:t>$</w:t>
            </w:r>
          </w:p>
        </w:tc>
        <w:tc>
          <w:tcPr>
            <w:tcW w:w="112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825,670</w:t>
            </w:r>
          </w:p>
        </w:tc>
      </w:tr>
      <w:tr>
        <w:trPr>
          <w:trHeight w:val="20"/>
        </w:trPr>
        <w:tc>
          <w:tcPr>
            <w:tcW w:w="2760" w:type="dxa"/>
            <w:vAlign w:val="bottom"/>
            <w:tcBorders>
              <w:top w:val="single" w:sz="8" w:color="CCEEFF"/>
            </w:tcBorders>
          </w:tcPr>
          <w:p>
            <w:pPr>
              <w:spacing w:after="0" w:line="20" w:lineRule="exact"/>
              <w:rPr>
                <w:sz w:val="1"/>
                <w:szCs w:val="1"/>
                <w:color w:val="auto"/>
              </w:rPr>
            </w:pPr>
          </w:p>
        </w:tc>
        <w:tc>
          <w:tcPr>
            <w:tcW w:w="710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bottom w:val="single" w:sz="8" w:color="auto"/>
            </w:tcBorders>
          </w:tcPr>
          <w:p>
            <w:pPr>
              <w:spacing w:after="0" w:line="20" w:lineRule="exact"/>
              <w:rPr>
                <w:sz w:val="1"/>
                <w:szCs w:val="1"/>
                <w:color w:val="auto"/>
              </w:rPr>
            </w:pPr>
          </w:p>
        </w:tc>
        <w:tc>
          <w:tcPr>
            <w:tcW w:w="1120" w:type="dxa"/>
            <w:vAlign w:val="bottom"/>
            <w:tcBorders>
              <w:top w:val="single" w:sz="8" w:color="CCEEFF"/>
              <w:bottom w:val="single" w:sz="8" w:color="auto"/>
            </w:tcBorders>
          </w:tcPr>
          <w:p>
            <w:pPr>
              <w:spacing w:after="0" w:line="20" w:lineRule="exact"/>
              <w:rPr>
                <w:sz w:val="1"/>
                <w:szCs w:val="1"/>
                <w:color w:val="auto"/>
              </w:rPr>
            </w:pPr>
          </w:p>
        </w:tc>
      </w:tr>
    </w:tbl>
    <w:p>
      <w:pPr>
        <w:spacing w:after="0" w:line="227" w:lineRule="exact"/>
        <w:rPr>
          <w:sz w:val="20"/>
          <w:szCs w:val="20"/>
          <w:color w:val="auto"/>
        </w:rPr>
      </w:pPr>
    </w:p>
    <w:p>
      <w:pPr>
        <w:spacing w:after="0"/>
        <w:rPr>
          <w:sz w:val="20"/>
          <w:szCs w:val="20"/>
          <w:color w:val="auto"/>
        </w:rPr>
      </w:pPr>
      <w:r>
        <w:rPr>
          <w:rFonts w:ascii="Times New Roman" w:cs="Times New Roman" w:eastAsia="Times New Roman" w:hAnsi="Times New Roman"/>
          <w:sz w:val="14"/>
          <w:szCs w:val="14"/>
          <w:b w:val="1"/>
          <w:bCs w:val="1"/>
          <w:color w:val="auto"/>
        </w:rPr>
        <w:t>Note 3. Pro forma adjustments</w:t>
      </w:r>
    </w:p>
    <w:p>
      <w:pPr>
        <w:spacing w:after="0" w:line="96"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14"/>
          <w:szCs w:val="14"/>
          <w:color w:val="auto"/>
        </w:rPr>
        <w:t>The pro forma adjustments are based on preliminary estimates and assumptions that are subject to change. The following adjustments have been reflected in the unaudited pro forma condensed combined financial information:</w:t>
      </w:r>
    </w:p>
    <w:p>
      <w:pPr>
        <w:spacing w:after="0" w:line="39" w:lineRule="exact"/>
        <w:rPr>
          <w:sz w:val="20"/>
          <w:szCs w:val="20"/>
          <w:color w:val="auto"/>
        </w:rPr>
      </w:pPr>
    </w:p>
    <w:p>
      <w:pPr>
        <w:jc w:val="both"/>
        <w:ind w:left="520" w:hanging="260"/>
        <w:spacing w:after="0" w:line="261" w:lineRule="auto"/>
        <w:tabs>
          <w:tab w:leader="none" w:pos="512" w:val="left"/>
        </w:tabs>
        <w:numPr>
          <w:ilvl w:val="0"/>
          <w:numId w:val="4"/>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Reflects the repayment of Sunshine Fitness’ existing debt by the Sellers (as defined in the Equity Purchase Agreement entered into to effect the Acquisition) in conjunction with the Acquisition and the refinancing of a portion of the Company’s existing debt consisting of repayment of $556.3 million under the Company’s 2018-1 4.262% Fixed Rate Senior Secured Notes, Class A-2-I and issuance of $425.0 million Series 2022-1 3.251% Fixed Rate Senior Secured Notes, Class A-2-I and $475.0 million Series 2022-1 4.008% Fixed Rate Senior Secured Notes, Class A-2-II, net of deferred financing costs of $16.2 million. As a result of the increased principal balance, the Company’s restricted cash balance increased in order to service the debt. A portion of the Acquisition was funded by the net cash received from this refinancing.</w:t>
      </w:r>
    </w:p>
    <w:p>
      <w:pPr>
        <w:spacing w:after="0" w:line="58" w:lineRule="exact"/>
        <w:rPr>
          <w:rFonts w:ascii="Times New Roman" w:cs="Times New Roman" w:eastAsia="Times New Roman" w:hAnsi="Times New Roman"/>
          <w:sz w:val="14"/>
          <w:szCs w:val="14"/>
          <w:color w:val="auto"/>
        </w:rPr>
      </w:pPr>
    </w:p>
    <w:p>
      <w:pPr>
        <w:ind w:left="520" w:hanging="260"/>
        <w:spacing w:after="0" w:line="287" w:lineRule="auto"/>
        <w:tabs>
          <w:tab w:leader="none" w:pos="520" w:val="left"/>
        </w:tabs>
        <w:numPr>
          <w:ilvl w:val="0"/>
          <w:numId w:val="4"/>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Reflects the elimination of Sunshine Fitness’ historical goodwill and the preliminary estimate of goodwill recognized as a result of the Acquisition, which represents the amount by which the estimated consideration transferred exceeds the fair value of Sunshine Fitness’ assets acquired and liabilities assumed, based on the preliminary purchase price allocation.</w:t>
      </w:r>
    </w:p>
    <w:p>
      <w:pPr>
        <w:spacing w:after="0" w:line="39" w:lineRule="exact"/>
        <w:rPr>
          <w:rFonts w:ascii="Times New Roman" w:cs="Times New Roman" w:eastAsia="Times New Roman" w:hAnsi="Times New Roman"/>
          <w:sz w:val="14"/>
          <w:szCs w:val="14"/>
          <w:color w:val="auto"/>
        </w:rPr>
      </w:pPr>
    </w:p>
    <w:p>
      <w:pPr>
        <w:jc w:val="both"/>
        <w:ind w:left="520" w:hanging="260"/>
        <w:spacing w:after="0" w:line="261" w:lineRule="auto"/>
        <w:tabs>
          <w:tab w:leader="none" w:pos="512" w:val="left"/>
        </w:tabs>
        <w:numPr>
          <w:ilvl w:val="0"/>
          <w:numId w:val="4"/>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As a non-public company, Sunshine Fitness was not yet required to adopt ASU 2016-02, Leases (Topic 842), requiring a lessee to recognize on the balance sheet the assets and liabilities for the rights and obligations created by leases with a term of more than twelve months. As of the date of the Acquisition closing, the Company was required to account for Sunshine Fitness’ leases under ASC 842. Accordingly, the Pro Forma Financial Statements have been adjusted to remove Sunshine Fitness’ deferred rent balance, record an operating lease right of use asset and an operating lease liability, as well as a tenant improvement allowance receivable for those leases which contain tenant improvement allowances that have not been collected as of the date of the Acquisition.</w:t>
      </w:r>
    </w:p>
    <w:p>
      <w:pPr>
        <w:spacing w:after="0" w:line="58" w:lineRule="exact"/>
        <w:rPr>
          <w:rFonts w:ascii="Times New Roman" w:cs="Times New Roman" w:eastAsia="Times New Roman" w:hAnsi="Times New Roman"/>
          <w:sz w:val="14"/>
          <w:szCs w:val="14"/>
          <w:color w:val="auto"/>
        </w:rPr>
      </w:pPr>
    </w:p>
    <w:p>
      <w:pPr>
        <w:ind w:left="520" w:hanging="260"/>
        <w:spacing w:after="0"/>
        <w:tabs>
          <w:tab w:leader="none" w:pos="520" w:val="left"/>
        </w:tabs>
        <w:numPr>
          <w:ilvl w:val="0"/>
          <w:numId w:val="4"/>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The balance has been adjusted to eliminate certain intercompany assets and liabilities between the Company and Sunshine Fitness.</w:t>
      </w:r>
    </w:p>
    <w:p>
      <w:pPr>
        <w:spacing w:after="0" w:line="93" w:lineRule="exact"/>
        <w:rPr>
          <w:rFonts w:ascii="Times New Roman" w:cs="Times New Roman" w:eastAsia="Times New Roman" w:hAnsi="Times New Roman"/>
          <w:sz w:val="14"/>
          <w:szCs w:val="14"/>
          <w:color w:val="auto"/>
        </w:rPr>
      </w:pPr>
    </w:p>
    <w:p>
      <w:pPr>
        <w:ind w:left="520" w:hanging="260"/>
        <w:spacing w:after="0" w:line="287" w:lineRule="auto"/>
        <w:tabs>
          <w:tab w:leader="none" w:pos="512" w:val="left"/>
        </w:tabs>
        <w:numPr>
          <w:ilvl w:val="0"/>
          <w:numId w:val="4"/>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Reflects the elimination of Sunshine Fitness’ historical intangible assets and the addition of intangible assets acquired by the Company as a result of the Acquisition, which are based upon a preliminary valuation by management and third-party experts.</w:t>
      </w:r>
    </w:p>
    <w:p>
      <w:pPr>
        <w:spacing w:after="0" w:line="39" w:lineRule="exact"/>
        <w:rPr>
          <w:rFonts w:ascii="Times New Roman" w:cs="Times New Roman" w:eastAsia="Times New Roman" w:hAnsi="Times New Roman"/>
          <w:sz w:val="14"/>
          <w:szCs w:val="14"/>
          <w:color w:val="auto"/>
        </w:rPr>
      </w:pPr>
    </w:p>
    <w:p>
      <w:pPr>
        <w:ind w:left="520" w:hanging="260"/>
        <w:spacing w:after="0"/>
        <w:tabs>
          <w:tab w:leader="none" w:pos="520" w:val="left"/>
        </w:tabs>
        <w:numPr>
          <w:ilvl w:val="0"/>
          <w:numId w:val="4"/>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Reflects the adjustment to fair value of the acquired property and equipment of Sunshine Fitness, based upon a preliminary valuation by management and third-party experts.</w:t>
      </w:r>
    </w:p>
    <w:p>
      <w:pPr>
        <w:sectPr>
          <w:pgSz w:w="11900" w:h="16838" w:orient="portrait"/>
          <w:cols w:equalWidth="0" w:num="1">
            <w:col w:w="11280"/>
          </w:cols>
          <w:pgMar w:left="300" w:top="123" w:right="319" w:bottom="1440" w:gutter="0" w:footer="0" w:header="0"/>
        </w:sectPr>
      </w:pPr>
    </w:p>
    <w:bookmarkStart w:id="27" w:name="page28"/>
    <w:bookmarkEnd w:id="27"/>
    <w:p>
      <w:pPr>
        <w:jc w:val="center"/>
        <w:ind w:right="260"/>
        <w:spacing w:after="0"/>
        <w:rPr>
          <w:sz w:val="20"/>
          <w:szCs w:val="20"/>
          <w:color w:val="auto"/>
        </w:rPr>
      </w:pPr>
      <w:r>
        <w:rPr>
          <w:rFonts w:ascii="Times New Roman" w:cs="Times New Roman" w:eastAsia="Times New Roman" w:hAnsi="Times New Roman"/>
          <w:sz w:val="14"/>
          <w:szCs w:val="14"/>
          <w:b w:val="1"/>
          <w:bCs w:val="1"/>
          <w:color w:val="auto"/>
        </w:rPr>
        <w:t>Notes to Unaudited Pro Forma Condensed Combined Financial Information</w:t>
      </w:r>
    </w:p>
    <w:p>
      <w:pPr>
        <w:spacing w:after="0" w:line="200" w:lineRule="exact"/>
        <w:rPr>
          <w:sz w:val="20"/>
          <w:szCs w:val="20"/>
          <w:color w:val="auto"/>
        </w:rPr>
      </w:pPr>
    </w:p>
    <w:p>
      <w:pPr>
        <w:spacing w:after="0" w:line="362" w:lineRule="exact"/>
        <w:rPr>
          <w:sz w:val="20"/>
          <w:szCs w:val="20"/>
          <w:color w:val="auto"/>
        </w:rPr>
      </w:pPr>
    </w:p>
    <w:p>
      <w:pPr>
        <w:ind w:left="260" w:hanging="260"/>
        <w:spacing w:after="0"/>
        <w:tabs>
          <w:tab w:leader="none" w:pos="260" w:val="left"/>
        </w:tabs>
        <w:numPr>
          <w:ilvl w:val="0"/>
          <w:numId w:val="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Represents deferred tax assets and liabilities created as a result of the Acquisition.</w:t>
      </w:r>
    </w:p>
    <w:p>
      <w:pPr>
        <w:spacing w:after="0" w:line="93" w:lineRule="exact"/>
        <w:rPr>
          <w:rFonts w:ascii="Times New Roman" w:cs="Times New Roman" w:eastAsia="Times New Roman" w:hAnsi="Times New Roman"/>
          <w:sz w:val="14"/>
          <w:szCs w:val="14"/>
          <w:color w:val="auto"/>
        </w:rPr>
      </w:pPr>
    </w:p>
    <w:p>
      <w:pPr>
        <w:ind w:left="260" w:hanging="260"/>
        <w:spacing w:after="0"/>
        <w:tabs>
          <w:tab w:leader="none" w:pos="260" w:val="left"/>
        </w:tabs>
        <w:numPr>
          <w:ilvl w:val="0"/>
          <w:numId w:val="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Represents the elimination of the historical equity of Sunshine Fitness and the issuance of Class A and Class B common shares of the Company to finance the Acquisition.</w:t>
      </w:r>
    </w:p>
    <w:p>
      <w:pPr>
        <w:spacing w:after="0" w:line="93" w:lineRule="exact"/>
        <w:rPr>
          <w:rFonts w:ascii="Times New Roman" w:cs="Times New Roman" w:eastAsia="Times New Roman" w:hAnsi="Times New Roman"/>
          <w:sz w:val="14"/>
          <w:szCs w:val="14"/>
          <w:color w:val="auto"/>
        </w:rPr>
      </w:pPr>
    </w:p>
    <w:p>
      <w:pPr>
        <w:ind w:left="260" w:hanging="260"/>
        <w:spacing w:after="0" w:line="263" w:lineRule="auto"/>
        <w:tabs>
          <w:tab w:leader="none" w:pos="250" w:val="left"/>
        </w:tabs>
        <w:numPr>
          <w:ilvl w:val="0"/>
          <w:numId w:val="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Represents the net decrease in interest expense as a result of the extinguishment of the historical Sunshine Fitness debt, and addition of increased debt balance from the Company’s refinancing.</w:t>
      </w:r>
    </w:p>
    <w:p>
      <w:pPr>
        <w:spacing w:after="0" w:line="247" w:lineRule="exact"/>
        <w:rPr>
          <w:rFonts w:ascii="Times New Roman" w:cs="Times New Roman" w:eastAsia="Times New Roman" w:hAnsi="Times New Roman"/>
          <w:sz w:val="14"/>
          <w:szCs w:val="14"/>
          <w:color w:val="auto"/>
        </w:rPr>
      </w:pPr>
    </w:p>
    <w:p>
      <w:pPr>
        <w:ind w:left="260" w:hanging="260"/>
        <w:spacing w:after="0" w:line="287" w:lineRule="auto"/>
        <w:tabs>
          <w:tab w:leader="none" w:pos="250" w:val="left"/>
        </w:tabs>
        <w:numPr>
          <w:ilvl w:val="0"/>
          <w:numId w:val="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Represents an increase to non-controlling interest as a result of the issuance of both Class A and Class B common shares, which caused the non-controlling interest percentage to increase from approximately 3.5% to approximately 7.4%.</w:t>
      </w:r>
    </w:p>
    <w:p>
      <w:pPr>
        <w:spacing w:after="0" w:line="39" w:lineRule="exact"/>
        <w:rPr>
          <w:rFonts w:ascii="Times New Roman" w:cs="Times New Roman" w:eastAsia="Times New Roman" w:hAnsi="Times New Roman"/>
          <w:sz w:val="14"/>
          <w:szCs w:val="14"/>
          <w:color w:val="auto"/>
        </w:rPr>
      </w:pPr>
    </w:p>
    <w:p>
      <w:pPr>
        <w:ind w:left="260" w:hanging="260"/>
        <w:spacing w:after="0"/>
        <w:tabs>
          <w:tab w:leader="none" w:pos="260" w:val="left"/>
        </w:tabs>
        <w:numPr>
          <w:ilvl w:val="0"/>
          <w:numId w:val="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Includes the impact of the elimination of intercompany revenues and expenses between the Company and Sunshine Fitness.</w:t>
      </w:r>
    </w:p>
    <w:p>
      <w:pPr>
        <w:spacing w:after="0" w:line="93" w:lineRule="exact"/>
        <w:rPr>
          <w:rFonts w:ascii="Times New Roman" w:cs="Times New Roman" w:eastAsia="Times New Roman" w:hAnsi="Times New Roman"/>
          <w:sz w:val="14"/>
          <w:szCs w:val="14"/>
          <w:color w:val="auto"/>
        </w:rPr>
      </w:pPr>
    </w:p>
    <w:p>
      <w:pPr>
        <w:ind w:left="260" w:hanging="260"/>
        <w:spacing w:after="0" w:line="287" w:lineRule="auto"/>
        <w:tabs>
          <w:tab w:leader="none" w:pos="250" w:val="left"/>
        </w:tabs>
        <w:numPr>
          <w:ilvl w:val="0"/>
          <w:numId w:val="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Represents the elimination of historical depreciation and amortization expense of Sunshine Fitness, and addition of estimated depreciation and amortization based upon the preliminary third-party valuations of intangible assets and property and equipment resulting from the Acquisition.</w:t>
      </w:r>
    </w:p>
    <w:p>
      <w:pPr>
        <w:spacing w:after="0" w:line="39" w:lineRule="exact"/>
        <w:rPr>
          <w:rFonts w:ascii="Times New Roman" w:cs="Times New Roman" w:eastAsia="Times New Roman" w:hAnsi="Times New Roman"/>
          <w:sz w:val="14"/>
          <w:szCs w:val="14"/>
          <w:color w:val="auto"/>
        </w:rPr>
      </w:pPr>
    </w:p>
    <w:p>
      <w:pPr>
        <w:ind w:left="260" w:hanging="260"/>
        <w:spacing w:after="0"/>
        <w:tabs>
          <w:tab w:leader="none" w:pos="260" w:val="left"/>
        </w:tabs>
        <w:numPr>
          <w:ilvl w:val="0"/>
          <w:numId w:val="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Includes reclassification of an expense of $1.8 million from store operations to cost of revenue in order to conform Sunshine Fitness’ financial statement presentation to the Company’s.</w:t>
      </w:r>
    </w:p>
    <w:p>
      <w:pPr>
        <w:spacing w:after="0" w:line="93" w:lineRule="exact"/>
        <w:rPr>
          <w:rFonts w:ascii="Times New Roman" w:cs="Times New Roman" w:eastAsia="Times New Roman" w:hAnsi="Times New Roman"/>
          <w:sz w:val="14"/>
          <w:szCs w:val="14"/>
          <w:color w:val="auto"/>
        </w:rPr>
      </w:pPr>
    </w:p>
    <w:p>
      <w:pPr>
        <w:ind w:left="260" w:hanging="260"/>
        <w:spacing w:after="0" w:line="287" w:lineRule="auto"/>
        <w:tabs>
          <w:tab w:leader="none" w:pos="260" w:val="left"/>
        </w:tabs>
        <w:numPr>
          <w:ilvl w:val="0"/>
          <w:numId w:val="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Includes a $2.0 million gain on settlement of preexisting contractual rights partially offset by a $1.2 million loss on reacquired franchise rights as valued in the preliminary purchase price allocation.</w:t>
      </w:r>
    </w:p>
    <w:p>
      <w:pPr>
        <w:spacing w:after="0" w:line="39" w:lineRule="exact"/>
        <w:rPr>
          <w:rFonts w:ascii="Times New Roman" w:cs="Times New Roman" w:eastAsia="Times New Roman" w:hAnsi="Times New Roman"/>
          <w:sz w:val="14"/>
          <w:szCs w:val="14"/>
          <w:color w:val="auto"/>
        </w:rPr>
      </w:pPr>
    </w:p>
    <w:p>
      <w:pPr>
        <w:ind w:left="260" w:hanging="260"/>
        <w:spacing w:after="0" w:line="287" w:lineRule="auto"/>
        <w:tabs>
          <w:tab w:leader="none" w:pos="260" w:val="left"/>
        </w:tabs>
        <w:numPr>
          <w:ilvl w:val="0"/>
          <w:numId w:val="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Represents a net income tax benefit on the pro forma adjustments partially offset by income tax expense on income before taxes of the historical Sunshine Fitness business at the Company’s blended statutory tax rate of 24.8%.</w:t>
      </w:r>
    </w:p>
    <w:p>
      <w:pPr>
        <w:spacing w:after="0" w:line="39" w:lineRule="exact"/>
        <w:rPr>
          <w:rFonts w:ascii="Times New Roman" w:cs="Times New Roman" w:eastAsia="Times New Roman" w:hAnsi="Times New Roman"/>
          <w:sz w:val="14"/>
          <w:szCs w:val="14"/>
          <w:color w:val="auto"/>
        </w:rPr>
      </w:pPr>
    </w:p>
    <w:p>
      <w:pPr>
        <w:ind w:left="260" w:hanging="260"/>
        <w:spacing w:after="0" w:line="287" w:lineRule="auto"/>
        <w:tabs>
          <w:tab w:leader="none" w:pos="260" w:val="left"/>
        </w:tabs>
        <w:numPr>
          <w:ilvl w:val="0"/>
          <w:numId w:val="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Represents the non-controlling interest impact of the pro forma adjustments at the non-controlling interest rate of 7.4%, the applicable rate after the impact of the issuance of shares in connection with Acquisition.</w:t>
      </w:r>
    </w:p>
    <w:p>
      <w:pPr>
        <w:spacing w:after="0" w:line="39" w:lineRule="exact"/>
        <w:rPr>
          <w:rFonts w:ascii="Times New Roman" w:cs="Times New Roman" w:eastAsia="Times New Roman" w:hAnsi="Times New Roman"/>
          <w:sz w:val="14"/>
          <w:szCs w:val="14"/>
          <w:color w:val="auto"/>
        </w:rPr>
      </w:pPr>
    </w:p>
    <w:p>
      <w:pPr>
        <w:ind w:left="260" w:hanging="260"/>
        <w:spacing w:after="0"/>
        <w:tabs>
          <w:tab w:leader="none" w:pos="260" w:val="left"/>
        </w:tabs>
        <w:numPr>
          <w:ilvl w:val="0"/>
          <w:numId w:val="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Represents the shares issued to the Sellers in the Acquisition, as detailed above.</w:t>
      </w:r>
    </w:p>
    <w:sectPr>
      <w:pgSz w:w="11900" w:h="16838" w:orient="portrait"/>
      <w:cols w:equalWidth="0" w:num="1">
        <w:col w:w="11020"/>
      </w:cols>
      <w:pgMar w:left="560" w:top="123" w:right="31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19495CFF"/>
    <w:multiLevelType w:val="hybridMultilevel"/>
    <w:lvl w:ilvl="0">
      <w:lvlJc w:val="left"/>
      <w:lvlText w:val="☐"/>
      <w:numFmt w:val="bullet"/>
      <w:start w:val="1"/>
    </w:lvl>
  </w:abstractNum>
  <w:abstractNum w:abstractNumId="1">
    <w:nsid w:val="2AE8944A"/>
    <w:multiLevelType w:val="hybridMultilevel"/>
    <w:lvl w:ilvl="0">
      <w:lvlJc w:val="left"/>
      <w:lvlText w:val="(%1)"/>
      <w:numFmt w:val="lowerLetter"/>
      <w:start w:val="1"/>
    </w:lvl>
  </w:abstractNum>
  <w:abstractNum w:abstractNumId="2">
    <w:nsid w:val="625558EC"/>
    <w:multiLevelType w:val="hybridMultilevel"/>
    <w:lvl w:ilvl="0">
      <w:lvlJc w:val="left"/>
      <w:lvlText w:val="(%1)"/>
      <w:numFmt w:val="lowerLetter"/>
      <w:start w:val="4"/>
    </w:lvl>
  </w:abstractNum>
  <w:abstractNum w:abstractNumId="3">
    <w:nsid w:val="238E1F29"/>
    <w:multiLevelType w:val="hybridMultilevel"/>
    <w:lvl w:ilvl="0">
      <w:lvlJc w:val="left"/>
      <w:lvlText w:val="%1."/>
      <w:numFmt w:val="lowerLetter"/>
      <w:start w:val="1"/>
    </w:lvl>
  </w:abstractNum>
  <w:abstractNum w:abstractNumId="4">
    <w:nsid w:val="46E87CCD"/>
    <w:multiLevelType w:val="hybridMultilevel"/>
    <w:lvl w:ilvl="0">
      <w:lvlJc w:val="left"/>
      <w:lvlText w:val="%1."/>
      <w:numFmt w:val="lowerLetter"/>
      <w:start w:val="7"/>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2022-04-26T16:04:01Z</dcterms:created>
  <dcterms:modified xsi:type="dcterms:W3CDTF">2022-04-26T16:04:01Z</dcterms:modified>
</cp:coreProperties>
</file>