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w:t>
      </w:r>
    </w:p>
    <w:p>
      <w:pPr>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rPr>
          <w:sz w:val="20"/>
          <w:szCs w:val="20"/>
          <w:color w:val="auto"/>
        </w:rPr>
      </w:pPr>
      <w:r>
        <w:rPr>
          <w:rFonts w:ascii="Courier New" w:cs="Courier New" w:eastAsia="Courier New" w:hAnsi="Courier New"/>
          <w:sz w:val="18"/>
          <w:szCs w:val="18"/>
          <w:color w:val="auto"/>
        </w:rPr>
        <w:t>SCHEDULE 13G</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Planet Fitness, Inc.</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72703H101</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October 31, 2020</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Statement)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left="540" w:right="8019" w:hanging="532"/>
        <w:spacing w:after="0" w:line="279" w:lineRule="auto"/>
        <w:tabs>
          <w:tab w:leader="none" w:pos="54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 - 1(b) Rule 13d - 1(c) Rule 13d - 1(d)</w:t>
      </w:r>
    </w:p>
    <w:p>
      <w:pPr>
        <w:spacing w:after="0" w:line="172" w:lineRule="exact"/>
        <w:rPr>
          <w:sz w:val="24"/>
          <w:szCs w:val="24"/>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52-0556948</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19" w:hanging="312"/>
        <w:spacing w:after="0" w:line="235" w:lineRule="auto"/>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0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Voting Power*</w:t>
            </w:r>
          </w:p>
        </w:tc>
        <w:tc>
          <w:tcPr>
            <w:tcW w:w="1120" w:type="dxa"/>
            <w:vAlign w:val="bottom"/>
          </w:tcPr>
          <w:p>
            <w:pPr>
              <w:ind w:left="160"/>
              <w:spacing w:after="0"/>
              <w:rPr>
                <w:sz w:val="20"/>
                <w:szCs w:val="20"/>
                <w:color w:val="auto"/>
              </w:rPr>
            </w:pPr>
            <w:r>
              <w:rPr>
                <w:rFonts w:ascii="Courier New" w:cs="Courier New" w:eastAsia="Courier New" w:hAnsi="Courier New"/>
                <w:sz w:val="18"/>
                <w:szCs w:val="18"/>
                <w:color w:val="auto"/>
              </w:rPr>
              <w:t>678,762</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72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w:t>
            </w:r>
          </w:p>
        </w:tc>
        <w:tc>
          <w:tcPr>
            <w:tcW w:w="2000" w:type="dxa"/>
            <w:vAlign w:val="bottom"/>
          </w:tcPr>
          <w:p>
            <w:pPr>
              <w:ind w:left="60"/>
              <w:spacing w:after="0"/>
              <w:rPr>
                <w:sz w:val="20"/>
                <w:szCs w:val="20"/>
                <w:color w:val="auto"/>
              </w:rPr>
            </w:pPr>
            <w:r>
              <w:rPr>
                <w:rFonts w:ascii="Courier New" w:cs="Courier New" w:eastAsia="Courier New" w:hAnsi="Courier New"/>
                <w:sz w:val="18"/>
                <w:szCs w:val="18"/>
                <w:color w:val="auto"/>
              </w:rPr>
              <w:t>Voting Power*</w:t>
            </w:r>
          </w:p>
        </w:tc>
        <w:tc>
          <w:tcPr>
            <w:tcW w:w="1120" w:type="dxa"/>
            <w:vAlign w:val="bottom"/>
          </w:tcPr>
          <w:p>
            <w:pPr>
              <w:ind w:left="160"/>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0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Dispositive Power*</w:t>
            </w:r>
          </w:p>
        </w:tc>
        <w:tc>
          <w:tcPr>
            <w:tcW w:w="1120" w:type="dxa"/>
            <w:vAlign w:val="bottom"/>
          </w:tcPr>
          <w:p>
            <w:pPr>
              <w:ind w:left="160"/>
              <w:spacing w:after="0"/>
              <w:rPr>
                <w:sz w:val="20"/>
                <w:szCs w:val="20"/>
                <w:color w:val="auto"/>
              </w:rPr>
            </w:pPr>
            <w:r>
              <w:rPr>
                <w:rFonts w:ascii="Courier New" w:cs="Courier New" w:eastAsia="Courier New" w:hAnsi="Courier New"/>
                <w:sz w:val="18"/>
                <w:szCs w:val="18"/>
                <w:color w:val="auto"/>
                <w:w w:val="96"/>
              </w:rPr>
              <w:t>3,920,172</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72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w:t>
            </w:r>
          </w:p>
        </w:tc>
        <w:tc>
          <w:tcPr>
            <w:tcW w:w="2000" w:type="dxa"/>
            <w:vAlign w:val="bottom"/>
          </w:tcPr>
          <w:p>
            <w:pPr>
              <w:ind w:left="60"/>
              <w:spacing w:after="0"/>
              <w:rPr>
                <w:sz w:val="20"/>
                <w:szCs w:val="20"/>
                <w:color w:val="auto"/>
              </w:rPr>
            </w:pPr>
            <w:r>
              <w:rPr>
                <w:rFonts w:ascii="Courier New" w:cs="Courier New" w:eastAsia="Courier New" w:hAnsi="Courier New"/>
                <w:sz w:val="18"/>
                <w:szCs w:val="18"/>
                <w:color w:val="auto"/>
              </w:rPr>
              <w:t>Dispositive Power</w:t>
            </w:r>
          </w:p>
        </w:tc>
        <w:tc>
          <w:tcPr>
            <w:tcW w:w="1120" w:type="dxa"/>
            <w:vAlign w:val="bottom"/>
          </w:tcPr>
          <w:p>
            <w:pPr>
              <w:ind w:left="160"/>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ind w:left="320" w:right="3499" w:hanging="312"/>
        <w:spacing w:after="0" w:line="235" w:lineRule="auto"/>
        <w:tabs>
          <w:tab w:leader="none" w:pos="3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3,920,172</w:t>
      </w:r>
    </w:p>
    <w:p>
      <w:pPr>
        <w:spacing w:after="0" w:line="208"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16" w:lineRule="exact"/>
        <w:rPr>
          <w:rFonts w:ascii="Courier New" w:cs="Courier New" w:eastAsia="Courier New" w:hAnsi="Courier New"/>
          <w:sz w:val="16"/>
          <w:szCs w:val="16"/>
          <w:color w:val="auto"/>
        </w:rPr>
      </w:pP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6"/>
          <w:szCs w:val="16"/>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4.8%</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IA</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4"/>
          <w:szCs w:val="24"/>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NEW HORIZONS FUND,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52-0791372</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19" w:hanging="312"/>
        <w:spacing w:after="0" w:line="235" w:lineRule="auto"/>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Sole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w w:val="96"/>
              </w:rPr>
              <w:t>1,680,200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rPr>
              <w:t>0</w:t>
            </w:r>
          </w:p>
        </w:tc>
      </w:tr>
    </w:tbl>
    <w:p>
      <w:pPr>
        <w:sectPr>
          <w:pgSz w:w="11900" w:h="16838" w:orient="portrait"/>
          <w:cols w:equalWidth="0" w:num="1">
            <w:col w:w="10139"/>
          </w:cols>
          <w:pgMar w:left="320" w:top="244" w:right="1440"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2720" w:type="dxa"/>
            <w:vAlign w:val="bottom"/>
          </w:tcPr>
          <w:p>
            <w:pPr>
              <w:ind w:left="40"/>
              <w:spacing w:after="0"/>
              <w:rPr>
                <w:sz w:val="20"/>
                <w:szCs w:val="20"/>
                <w:color w:val="auto"/>
              </w:rPr>
            </w:pPr>
            <w:r>
              <w:rPr>
                <w:rFonts w:ascii="Courier New" w:cs="Courier New" w:eastAsia="Courier New" w:hAnsi="Courier New"/>
                <w:sz w:val="18"/>
                <w:szCs w:val="18"/>
                <w:color w:val="auto"/>
              </w:rPr>
              <w:t>Sole Dispositive Power*</w:t>
            </w:r>
          </w:p>
        </w:tc>
        <w:tc>
          <w:tcPr>
            <w:tcW w:w="28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20" w:type="dxa"/>
            <w:vAlign w:val="bottom"/>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28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0"/>
          <w:szCs w:val="20"/>
          <w:color w:val="auto"/>
        </w:rPr>
      </w:pPr>
    </w:p>
    <w:p>
      <w:pPr>
        <w:ind w:left="320" w:right="3499" w:hanging="312"/>
        <w:spacing w:after="0" w:line="235" w:lineRule="auto"/>
        <w:tabs>
          <w:tab w:leader="none" w:pos="3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1,680,200</w:t>
      </w:r>
    </w:p>
    <w:p>
      <w:pPr>
        <w:spacing w:after="0" w:line="202"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2.1%</w:t>
      </w:r>
    </w:p>
    <w:p>
      <w:pPr>
        <w:spacing w:after="0" w:line="201" w:lineRule="exact"/>
        <w:rPr>
          <w:sz w:val="20"/>
          <w:szCs w:val="20"/>
          <w:color w:val="auto"/>
        </w:rPr>
      </w:pPr>
    </w:p>
    <w:p>
      <w:pPr>
        <w:ind w:left="420" w:hanging="412"/>
        <w:spacing w:after="0"/>
        <w:tabs>
          <w:tab w:leader="none" w:pos="4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IV</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Planet Fitness,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4 LIBERTY LANE WEST, HAMPTON, NH 03842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2(a) Name of Person(s) Filing:</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 ("Price Associates")</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NEW HORIZONS FUND, INC.</w:t>
      </w:r>
    </w:p>
    <w:p>
      <w:pPr>
        <w:spacing w:after="0" w:line="207" w:lineRule="exact"/>
        <w:rPr>
          <w:sz w:val="20"/>
          <w:szCs w:val="20"/>
          <w:color w:val="auto"/>
        </w:rPr>
      </w:pPr>
    </w:p>
    <w:p>
      <w:pPr>
        <w:ind w:left="420" w:right="1919" w:hanging="412"/>
        <w:spacing w:after="0" w:line="236" w:lineRule="auto"/>
        <w:tabs>
          <w:tab w:leader="none" w:pos="42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Attached as Exhibit A is a copy of an agreement between the Persons Filing (as specified hereinabove) that this Schedule 13G is being filed on behalf of each of them.</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2(b) Address of Principal Business Office:</w:t>
      </w:r>
    </w:p>
    <w:p>
      <w:pPr>
        <w:spacing w:after="0" w:line="238" w:lineRule="auto"/>
        <w:rPr>
          <w:sz w:val="20"/>
          <w:szCs w:val="20"/>
          <w:color w:val="auto"/>
        </w:rPr>
      </w:pPr>
      <w:r>
        <w:rPr>
          <w:rFonts w:ascii="Courier New" w:cs="Courier New" w:eastAsia="Courier New" w:hAnsi="Courier New"/>
          <w:sz w:val="18"/>
          <w:szCs w:val="18"/>
          <w:color w:val="auto"/>
        </w:rPr>
        <w:t>100 E. Pratt Street, Baltimore, MD 21202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2(c) Citizenship or Place of Organization:</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 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2(e) Cusip Number: 72703H101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 The person filing this Schedule 13G is an:</w:t>
      </w:r>
    </w:p>
    <w:p>
      <w:pPr>
        <w:spacing w:after="0" w:line="4" w:lineRule="exact"/>
        <w:rPr>
          <w:sz w:val="20"/>
          <w:szCs w:val="20"/>
          <w:color w:val="auto"/>
        </w:rPr>
      </w:pPr>
    </w:p>
    <w:p>
      <w:pPr>
        <w:ind w:left="420" w:right="285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Adviser registered under Section 203 of the Investment Advisers Act of 1940</w:t>
      </w:r>
    </w:p>
    <w:p>
      <w:pPr>
        <w:spacing w:after="0" w:line="5" w:lineRule="exact"/>
        <w:rPr>
          <w:rFonts w:ascii="Courier New" w:cs="Courier New" w:eastAsia="Courier New" w:hAnsi="Courier New"/>
          <w:sz w:val="18"/>
          <w:szCs w:val="18"/>
          <w:color w:val="auto"/>
        </w:rPr>
      </w:pPr>
    </w:p>
    <w:p>
      <w:pPr>
        <w:ind w:left="420" w:right="307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Company registered under Section 8 of the Investment Company Act of 1940</w:t>
      </w:r>
    </w:p>
    <w:p>
      <w:pPr>
        <w:spacing w:after="0" w:line="208" w:lineRule="exact"/>
        <w:rPr>
          <w:sz w:val="20"/>
          <w:szCs w:val="20"/>
          <w:color w:val="auto"/>
        </w:rPr>
      </w:pPr>
    </w:p>
    <w:p>
      <w:pPr>
        <w:ind w:left="860" w:right="2759" w:hanging="841"/>
        <w:spacing w:after="0" w:line="235" w:lineRule="auto"/>
        <w:rPr>
          <w:sz w:val="20"/>
          <w:szCs w:val="20"/>
          <w:color w:val="auto"/>
        </w:rPr>
      </w:pPr>
      <w:r>
        <w:rPr>
          <w:rFonts w:ascii="Courier New" w:cs="Courier New" w:eastAsia="Courier New" w:hAnsi="Courier New"/>
          <w:sz w:val="18"/>
          <w:szCs w:val="18"/>
          <w:color w:val="auto"/>
        </w:rPr>
        <w:t>Item 4: Reference is made to Items 5-11 on the preceding pages of this Schedule 13G.</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4" w:lineRule="exact"/>
        <w:rPr>
          <w:sz w:val="20"/>
          <w:szCs w:val="20"/>
          <w:color w:val="auto"/>
        </w:rPr>
      </w:pPr>
    </w:p>
    <w:p>
      <w:pPr>
        <w:ind w:left="860" w:right="1919"/>
        <w:spacing w:after="0" w:line="279" w:lineRule="auto"/>
        <w:rPr>
          <w:sz w:val="20"/>
          <w:szCs w:val="20"/>
          <w:color w:val="auto"/>
        </w:rPr>
      </w:pPr>
      <w:r>
        <w:rPr>
          <w:rFonts w:ascii="Courier New" w:cs="Courier New" w:eastAsia="Courier New" w:hAnsi="Courier New"/>
          <w:sz w:val="16"/>
          <w:szCs w:val="16"/>
          <w:color w:val="auto"/>
        </w:rPr>
        <w:t>This statement is being filed to report the fact that, as of the date of this report, the reporting person(s) has (have) ceased to be the beneficial owner of more than five percent of the class of securities.</w:t>
      </w:r>
    </w:p>
    <w:p>
      <w:pPr>
        <w:spacing w:after="0" w:line="17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left="860" w:right="2019" w:hanging="852"/>
        <w:spacing w:after="0" w:line="275" w:lineRule="auto"/>
        <w:tabs>
          <w:tab w:leader="none" w:pos="86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181" w:lineRule="exact"/>
        <w:rPr>
          <w:rFonts w:ascii="Courier New" w:cs="Courier New" w:eastAsia="Courier New" w:hAnsi="Courier New"/>
          <w:sz w:val="16"/>
          <w:szCs w:val="16"/>
          <w:color w:val="auto"/>
        </w:rPr>
      </w:pPr>
    </w:p>
    <w:p>
      <w:pPr>
        <w:ind w:left="860" w:right="201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 may be revoked in whole or in part at any time.</w:t>
      </w:r>
    </w:p>
    <w:p>
      <w:pPr>
        <w:spacing w:after="0" w:line="209" w:lineRule="exact"/>
        <w:rPr>
          <w:rFonts w:ascii="Courier New" w:cs="Courier New" w:eastAsia="Courier New" w:hAnsi="Courier New"/>
          <w:sz w:val="16"/>
          <w:szCs w:val="16"/>
          <w:color w:val="auto"/>
        </w:rPr>
      </w:pPr>
    </w:p>
    <w:p>
      <w:pPr>
        <w:ind w:left="860" w:right="191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 subject to the investment advice of Price Associates.</w:t>
      </w:r>
    </w:p>
    <w:p>
      <w:pPr>
        <w:spacing w:after="0" w:line="208" w:lineRule="exact"/>
        <w:rPr>
          <w:rFonts w:ascii="Courier New" w:cs="Courier New" w:eastAsia="Courier New" w:hAnsi="Courier New"/>
          <w:sz w:val="16"/>
          <w:szCs w:val="16"/>
          <w:color w:val="auto"/>
        </w:rPr>
      </w:pPr>
    </w:p>
    <w:p>
      <w:pPr>
        <w:ind w:left="860" w:right="1919" w:hanging="852"/>
        <w:spacing w:after="0" w:line="279" w:lineRule="auto"/>
        <w:tabs>
          <w:tab w:leader="none" w:pos="86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securities owned by any one of the T. Rowe Price Funds, only the custodian for each of such Funds, has the right to receive dividends paid with respect to, and proceeds from the sale of,</w:t>
      </w:r>
    </w:p>
    <w:p>
      <w:pPr>
        <w:sectPr>
          <w:pgSz w:w="11900" w:h="16838" w:orient="portrait"/>
          <w:cols w:equalWidth="0" w:num="1">
            <w:col w:w="10139"/>
          </w:cols>
          <w:pgMar w:left="320" w:top="136" w:right="1440" w:bottom="0" w:gutter="0" w:footer="0" w:header="0"/>
        </w:sectPr>
      </w:pPr>
    </w:p>
    <w:bookmarkStart w:id="2" w:name="page3"/>
    <w:bookmarkEnd w:id="2"/>
    <w:p>
      <w:pPr>
        <w:ind w:left="860" w:right="2119"/>
        <w:spacing w:after="0" w:line="236" w:lineRule="auto"/>
        <w:rPr>
          <w:sz w:val="20"/>
          <w:szCs w:val="20"/>
          <w:color w:val="auto"/>
        </w:rPr>
      </w:pPr>
      <w:r>
        <w:rPr>
          <w:rFonts w:ascii="Courier New" w:cs="Courier New" w:eastAsia="Courier New" w:hAnsi="Courier New"/>
          <w:sz w:val="18"/>
          <w:szCs w:val="18"/>
          <w:color w:val="auto"/>
        </w:rPr>
        <w:t>such securities. No other person is known to have such right, except that the shareholders of each such Fund participate proportionately in any dividends and distributions so paid.</w:t>
      </w:r>
    </w:p>
    <w:p>
      <w:pPr>
        <w:spacing w:after="0" w:line="208" w:lineRule="exact"/>
        <w:rPr>
          <w:sz w:val="20"/>
          <w:szCs w:val="20"/>
          <w:color w:val="auto"/>
        </w:rPr>
      </w:pPr>
    </w:p>
    <w:p>
      <w:pPr>
        <w:ind w:left="860" w:right="1919" w:hanging="841"/>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860" w:right="3279" w:hanging="841"/>
        <w:spacing w:after="0" w:line="235" w:lineRule="auto"/>
        <w:rPr>
          <w:sz w:val="20"/>
          <w:szCs w:val="20"/>
          <w:color w:val="auto"/>
        </w:rPr>
      </w:pPr>
      <w:r>
        <w:rPr>
          <w:rFonts w:ascii="Courier New" w:cs="Courier New" w:eastAsia="Courier New" w:hAnsi="Courier New"/>
          <w:sz w:val="18"/>
          <w:szCs w:val="18"/>
          <w:color w:val="auto"/>
        </w:rPr>
        <w:t>Item 8: Identification and Classification of Members of the Group Not Applicable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ind w:left="860"/>
        <w:spacing w:after="0" w:line="238" w:lineRule="auto"/>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4" w:lineRule="exact"/>
        <w:rPr>
          <w:sz w:val="20"/>
          <w:szCs w:val="20"/>
          <w:color w:val="auto"/>
        </w:rPr>
      </w:pPr>
    </w:p>
    <w:p>
      <w:pPr>
        <w:ind w:left="960" w:right="201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T. Rowe Price Associates, Inc. hereby declares and affirms that the filing</w:t>
      </w:r>
    </w:p>
    <w:p>
      <w:pPr>
        <w:spacing w:after="0" w:line="9" w:lineRule="exact"/>
        <w:rPr>
          <w:sz w:val="20"/>
          <w:szCs w:val="20"/>
          <w:color w:val="auto"/>
        </w:rPr>
      </w:pPr>
    </w:p>
    <w:p>
      <w:pPr>
        <w:jc w:val="both"/>
        <w:ind w:left="960" w:right="2339"/>
        <w:spacing w:after="0" w:line="236" w:lineRule="auto"/>
        <w:rPr>
          <w:sz w:val="20"/>
          <w:szCs w:val="20"/>
          <w:color w:val="auto"/>
        </w:rPr>
      </w:pPr>
      <w:r>
        <w:rPr>
          <w:rFonts w:ascii="Courier New" w:cs="Courier New" w:eastAsia="Courier New" w:hAnsi="Courier New"/>
          <w:sz w:val="18"/>
          <w:szCs w:val="18"/>
          <w:color w:val="auto"/>
        </w:rPr>
        <w:t>of Schedule 13G shall not be construed as an admission that Price Associates is the beneficial owner of the securities referred to, which beneficial ownership is expressly denied.</w:t>
      </w:r>
    </w:p>
    <w:p>
      <w:pPr>
        <w:spacing w:after="0" w:line="203"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left="960" w:right="20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November 10, 2020</w:t>
      </w:r>
    </w:p>
    <w:p>
      <w:pPr>
        <w:spacing w:after="0" w:line="238" w:lineRule="auto"/>
        <w:rPr>
          <w:sz w:val="20"/>
          <w:szCs w:val="20"/>
          <w:color w:val="auto"/>
        </w:rPr>
      </w:pPr>
      <w:r>
        <w:rPr>
          <w:rFonts w:ascii="Courier New" w:cs="Courier New" w:eastAsia="Courier New" w:hAnsi="Courier New"/>
          <w:sz w:val="18"/>
          <w:szCs w:val="18"/>
          <w:color w:val="auto"/>
        </w:rPr>
        <w:t>Signature: /s/ David Oestreicher</w:t>
      </w:r>
    </w:p>
    <w:p>
      <w:pPr>
        <w:spacing w:after="0"/>
        <w:rPr>
          <w:sz w:val="20"/>
          <w:szCs w:val="20"/>
          <w:color w:val="auto"/>
        </w:rPr>
      </w:pPr>
      <w:r>
        <w:rPr>
          <w:rFonts w:ascii="Courier New" w:cs="Courier New" w:eastAsia="Courier New" w:hAnsi="Courier New"/>
          <w:sz w:val="18"/>
          <w:szCs w:val="18"/>
          <w:color w:val="auto"/>
        </w:rPr>
        <w:t>Name &amp; Title: David Oestreicher, Executive Vice President</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NEW HORIZONS FUND, INC.</w:t>
      </w:r>
    </w:p>
    <w:p>
      <w:pPr>
        <w:spacing w:after="0" w:line="238" w:lineRule="auto"/>
        <w:rPr>
          <w:sz w:val="20"/>
          <w:szCs w:val="20"/>
          <w:color w:val="auto"/>
        </w:rPr>
      </w:pPr>
      <w:r>
        <w:rPr>
          <w:rFonts w:ascii="Courier New" w:cs="Courier New" w:eastAsia="Courier New" w:hAnsi="Courier New"/>
          <w:sz w:val="18"/>
          <w:szCs w:val="18"/>
          <w:color w:val="auto"/>
        </w:rPr>
        <w:t>Date: November 10, 2020</w:t>
      </w:r>
    </w:p>
    <w:p>
      <w:pPr>
        <w:spacing w:after="0" w:line="238" w:lineRule="auto"/>
        <w:rPr>
          <w:sz w:val="20"/>
          <w:szCs w:val="20"/>
          <w:color w:val="auto"/>
        </w:rPr>
      </w:pPr>
      <w:r>
        <w:rPr>
          <w:rFonts w:ascii="Courier New" w:cs="Courier New" w:eastAsia="Courier New" w:hAnsi="Courier New"/>
          <w:sz w:val="18"/>
          <w:szCs w:val="18"/>
          <w:color w:val="auto"/>
        </w:rPr>
        <w:t>Signature: /s/ David Oestreicher</w:t>
      </w:r>
    </w:p>
    <w:p>
      <w:pPr>
        <w:spacing w:after="0"/>
        <w:rPr>
          <w:sz w:val="20"/>
          <w:szCs w:val="20"/>
          <w:color w:val="auto"/>
        </w:rPr>
      </w:pPr>
      <w:r>
        <w:rPr>
          <w:rFonts w:ascii="Courier New" w:cs="Courier New" w:eastAsia="Courier New" w:hAnsi="Courier New"/>
          <w:sz w:val="18"/>
          <w:szCs w:val="18"/>
          <w:color w:val="auto"/>
        </w:rPr>
        <w:t>Name &amp; Title: David Oestreicher, Executive Vice President</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10/31/2020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38" w:lineRule="auto"/>
        <w:rPr>
          <w:sz w:val="20"/>
          <w:szCs w:val="20"/>
          <w:color w:val="auto"/>
        </w:rPr>
      </w:pPr>
      <w:r>
        <w:rPr>
          <w:rFonts w:ascii="Courier New" w:cs="Courier New" w:eastAsia="Courier New" w:hAnsi="Courier New"/>
          <w:sz w:val="18"/>
          <w:szCs w:val="18"/>
          <w:color w:val="auto"/>
        </w:rPr>
        <w:t>AGREEMENT</w:t>
      </w:r>
    </w:p>
    <w:p>
      <w:pPr>
        <w:spacing w:after="0" w:line="238" w:lineRule="auto"/>
        <w:rPr>
          <w:sz w:val="20"/>
          <w:szCs w:val="20"/>
          <w:color w:val="auto"/>
        </w:rPr>
      </w:pPr>
      <w:r>
        <w:rPr>
          <w:rFonts w:ascii="Courier New" w:cs="Courier New" w:eastAsia="Courier New" w:hAnsi="Courier New"/>
          <w:sz w:val="18"/>
          <w:szCs w:val="18"/>
          <w:color w:val="auto"/>
        </w:rPr>
        <w:t>JOINT FILING OF SCHEDULE 13G</w:t>
      </w:r>
    </w:p>
    <w:p>
      <w:pPr>
        <w:spacing w:after="0" w:line="207" w:lineRule="exact"/>
        <w:rPr>
          <w:sz w:val="20"/>
          <w:szCs w:val="20"/>
          <w:color w:val="auto"/>
        </w:rPr>
      </w:pPr>
    </w:p>
    <w:p>
      <w:pPr>
        <w:ind w:right="2019"/>
        <w:spacing w:after="0" w:line="235" w:lineRule="auto"/>
        <w:rPr>
          <w:sz w:val="20"/>
          <w:szCs w:val="20"/>
          <w:color w:val="auto"/>
        </w:rPr>
      </w:pPr>
      <w:r>
        <w:rPr>
          <w:rFonts w:ascii="Courier New" w:cs="Courier New" w:eastAsia="Courier New" w:hAnsi="Courier New"/>
          <w:sz w:val="18"/>
          <w:szCs w:val="18"/>
          <w:color w:val="auto"/>
        </w:rPr>
        <w:t>Price Associates, Inc. (an investment adviser registered under the Investment Advisers Act of 1940), and</w:t>
      </w:r>
    </w:p>
    <w:p>
      <w:pPr>
        <w:spacing w:after="0"/>
        <w:rPr>
          <w:sz w:val="20"/>
          <w:szCs w:val="20"/>
          <w:color w:val="auto"/>
        </w:rPr>
      </w:pPr>
      <w:r>
        <w:rPr>
          <w:rFonts w:ascii="Courier New" w:cs="Courier New" w:eastAsia="Courier New" w:hAnsi="Courier New"/>
          <w:sz w:val="18"/>
          <w:szCs w:val="18"/>
          <w:color w:val="auto"/>
        </w:rPr>
        <w:t>T. ROWE PRICE NEW HORIZONS FUND, INC.,</w:t>
      </w:r>
    </w:p>
    <w:p>
      <w:pPr>
        <w:spacing w:after="0" w:line="4"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all of which are Maryland corporations, hereby agree to file jointly the statement on Schedule 13G to which this Agreement is attached, and any amendments thereto which may be deemed necessary, pursuant to Regulation 13D-G under the Securities Exchange Act of 1934.</w:t>
      </w:r>
    </w:p>
    <w:p>
      <w:pPr>
        <w:spacing w:after="0" w:line="207" w:lineRule="exact"/>
        <w:rPr>
          <w:sz w:val="20"/>
          <w:szCs w:val="20"/>
          <w:color w:val="auto"/>
        </w:rPr>
      </w:pPr>
    </w:p>
    <w:p>
      <w:pPr>
        <w:ind w:right="1819"/>
        <w:spacing w:after="0" w:line="237" w:lineRule="auto"/>
        <w:rPr>
          <w:sz w:val="20"/>
          <w:szCs w:val="20"/>
          <w:color w:val="auto"/>
        </w:rPr>
      </w:pPr>
      <w:r>
        <w:rPr>
          <w:rFonts w:ascii="Courier New" w:cs="Courier New" w:eastAsia="Courier New" w:hAnsi="Courier New"/>
          <w:sz w:val="18"/>
          <w:szCs w:val="18"/>
          <w:color w:val="auto"/>
        </w:rPr>
        <w:t>It is understood and agreed that each of the parties hereto is responsible for the timely filing of such statement and any amendments thereto, and for the completeness and accuracy of the information concerning such party contained therein, but such party is not responsible for the completeness or accuracy of information concerning the other party unless such party knows or has reason to believe that such information is inaccurate.</w:t>
      </w:r>
    </w:p>
    <w:p>
      <w:pPr>
        <w:spacing w:after="0" w:line="209" w:lineRule="exact"/>
        <w:rPr>
          <w:sz w:val="20"/>
          <w:szCs w:val="20"/>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It is understood and agreed that a copy of this Agreement shall be attached as an exhibit to the statement on Schedule 13G, and any amendments hereto, filed on behalf of each of the parties 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November 10, 2020</w:t>
      </w:r>
    </w:p>
    <w:p>
      <w:pPr>
        <w:spacing w:after="0" w:line="238" w:lineRule="auto"/>
        <w:rPr>
          <w:sz w:val="20"/>
          <w:szCs w:val="20"/>
          <w:color w:val="auto"/>
        </w:rPr>
      </w:pPr>
      <w:r>
        <w:rPr>
          <w:rFonts w:ascii="Courier New" w:cs="Courier New" w:eastAsia="Courier New" w:hAnsi="Courier New"/>
          <w:sz w:val="18"/>
          <w:szCs w:val="18"/>
          <w:color w:val="auto"/>
        </w:rPr>
        <w:t>Signature: /s/ David Oestreicher</w:t>
      </w:r>
    </w:p>
    <w:p>
      <w:pPr>
        <w:spacing w:after="0"/>
        <w:rPr>
          <w:sz w:val="20"/>
          <w:szCs w:val="20"/>
          <w:color w:val="auto"/>
        </w:rPr>
      </w:pPr>
      <w:r>
        <w:rPr>
          <w:rFonts w:ascii="Courier New" w:cs="Courier New" w:eastAsia="Courier New" w:hAnsi="Courier New"/>
          <w:sz w:val="18"/>
          <w:szCs w:val="18"/>
          <w:color w:val="auto"/>
        </w:rPr>
        <w:t>Name &amp; Title: David Oestreicher, Executive Vice President</w:t>
      </w:r>
    </w:p>
    <w:p>
      <w:pPr>
        <w:spacing w:after="0" w:line="20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NEW HORIZONS FUND, INC.</w:t>
      </w:r>
    </w:p>
    <w:p>
      <w:pPr>
        <w:spacing w:after="0" w:line="238" w:lineRule="auto"/>
        <w:rPr>
          <w:sz w:val="20"/>
          <w:szCs w:val="20"/>
          <w:color w:val="auto"/>
        </w:rPr>
      </w:pPr>
      <w:r>
        <w:rPr>
          <w:rFonts w:ascii="Courier New" w:cs="Courier New" w:eastAsia="Courier New" w:hAnsi="Courier New"/>
          <w:sz w:val="18"/>
          <w:szCs w:val="18"/>
          <w:color w:val="auto"/>
        </w:rPr>
        <w:t>Date: November 10, 2020</w:t>
      </w:r>
    </w:p>
    <w:p>
      <w:pPr>
        <w:spacing w:after="0" w:line="238" w:lineRule="auto"/>
        <w:rPr>
          <w:sz w:val="20"/>
          <w:szCs w:val="20"/>
          <w:color w:val="auto"/>
        </w:rPr>
      </w:pPr>
      <w:r>
        <w:rPr>
          <w:rFonts w:ascii="Courier New" w:cs="Courier New" w:eastAsia="Courier New" w:hAnsi="Courier New"/>
          <w:sz w:val="18"/>
          <w:szCs w:val="18"/>
          <w:color w:val="auto"/>
        </w:rPr>
        <w:t>Signature: /s/ David Oestreicher</w:t>
      </w:r>
    </w:p>
    <w:p>
      <w:pPr>
        <w:spacing w:after="0"/>
        <w:rPr>
          <w:sz w:val="20"/>
          <w:szCs w:val="20"/>
          <w:color w:val="auto"/>
        </w:rPr>
      </w:pPr>
      <w:r>
        <w:rPr>
          <w:rFonts w:ascii="Courier New" w:cs="Courier New" w:eastAsia="Courier New" w:hAnsi="Courier New"/>
          <w:sz w:val="18"/>
          <w:szCs w:val="18"/>
          <w:color w:val="auto"/>
        </w:rPr>
        <w:t>Name &amp; Title: David Oestreicher, Executive Vice President</w:t>
      </w:r>
    </w:p>
    <w:sectPr>
      <w:pgSz w:w="11900" w:h="16838" w:orient="portrait"/>
      <w:cols w:equalWidth="0" w:num="1">
        <w:col w:w="10139"/>
      </w:cols>
      <w:pgMar w:left="320" w:top="142" w:right="144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Roman"/>
      <w:start w:val="10"/>
    </w:lvl>
  </w:abstractNum>
  <w:abstractNum w:abstractNumId="1">
    <w:nsid w:val="41B71EFB"/>
    <w:multiLevelType w:val="hybridMultilevel"/>
    <w:lvl w:ilvl="0">
      <w:lvlJc w:val="left"/>
      <w:lvlText w:val="%1."/>
      <w:numFmt w:val="decimal"/>
      <w:start w:val="1"/>
    </w:lvl>
  </w:abstractNum>
  <w:abstractNum w:abstractNumId="2">
    <w:nsid w:val="79E2A9E3"/>
    <w:multiLevelType w:val="hybridMultilevel"/>
    <w:lvl w:ilvl="0">
      <w:lvlJc w:val="left"/>
      <w:lvlText w:val="%1."/>
      <w:numFmt w:val="decimal"/>
      <w:start w:val="9"/>
    </w:lvl>
  </w:abstractNum>
  <w:abstractNum w:abstractNumId="3">
    <w:nsid w:val="7545E146"/>
    <w:multiLevelType w:val="hybridMultilevel"/>
    <w:lvl w:ilvl="0">
      <w:lvlJc w:val="left"/>
      <w:lvlText w:val="%1."/>
      <w:numFmt w:val="decimal"/>
      <w:start w:val="12"/>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9"/>
    </w:lvl>
  </w:abstractNum>
  <w:abstractNum w:abstractNumId="6">
    <w:nsid w:val="12200854"/>
    <w:multiLevelType w:val="hybridMultilevel"/>
    <w:lvl w:ilvl="0">
      <w:lvlJc w:val="left"/>
      <w:lvlText w:val="%1."/>
      <w:numFmt w:val="decimal"/>
      <w:start w:val="12"/>
    </w:lvl>
  </w:abstractNum>
  <w:abstractNum w:abstractNumId="7">
    <w:nsid w:val="4DB127F8"/>
    <w:multiLevelType w:val="hybridMultilevel"/>
    <w:lvl w:ilvl="0">
      <w:lvlJc w:val="left"/>
      <w:lvlText w:val="(%1)"/>
      <w:numFmt w:val="decimal"/>
      <w:start w:val="1"/>
    </w:lvl>
  </w:abstractNum>
  <w:abstractNum w:abstractNumId="8">
    <w:nsid w:val="216231B"/>
    <w:multiLevelType w:val="hybridMultilevel"/>
    <w:lvl w:ilvl="0">
      <w:lvlJc w:val="left"/>
      <w:lvlText w:val="X"/>
      <w:numFmt w:val="bullet"/>
      <w:start w:val="1"/>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X"/>
      <w:numFmt w:val="bullet"/>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2020-11-10T14:11:39Z</dcterms:created>
  <dcterms:modified xsi:type="dcterms:W3CDTF">2020-11-10T14:11:39Z</dcterms:modified>
</cp:coreProperties>
</file>