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20"/>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WASHINGTON, D.C. 20549</w:t>
      </w:r>
    </w:p>
    <w:p>
      <w:pPr>
        <w:spacing w:after="0" w:line="236" w:lineRule="exact"/>
        <w:rPr>
          <w:sz w:val="24"/>
          <w:szCs w:val="24"/>
          <w:color w:val="auto"/>
        </w:rPr>
      </w:pPr>
    </w:p>
    <w:tbl>
      <w:tblPr>
        <w:tblLayout w:type="fixed"/>
        <w:tblInd w:w="0" w:type="dxa"/>
        <w:tblCellMar>
          <w:top w:w="0" w:type="dxa"/>
          <w:left w:w="0" w:type="dxa"/>
          <w:bottom w:w="0" w:type="dxa"/>
          <w:right w:w="0" w:type="dxa"/>
        </w:tblCellMar>
      </w:tblPr>
      <w:tr>
        <w:trPr>
          <w:trHeight w:val="421"/>
        </w:trPr>
        <w:tc>
          <w:tcPr>
            <w:tcW w:w="3520" w:type="dxa"/>
            <w:vAlign w:val="bottom"/>
          </w:tcPr>
          <w:p>
            <w:pPr>
              <w:spacing w:after="0"/>
              <w:rPr>
                <w:sz w:val="24"/>
                <w:szCs w:val="24"/>
                <w:color w:val="auto"/>
              </w:rPr>
            </w:pPr>
          </w:p>
        </w:tc>
        <w:tc>
          <w:tcPr>
            <w:tcW w:w="4340" w:type="dxa"/>
            <w:vAlign w:val="bottom"/>
          </w:tcPr>
          <w:p>
            <w:pPr>
              <w:jc w:val="center"/>
              <w:spacing w:after="0"/>
              <w:rPr>
                <w:sz w:val="20"/>
                <w:szCs w:val="20"/>
                <w:color w:val="auto"/>
              </w:rPr>
            </w:pPr>
            <w:r>
              <w:rPr>
                <w:rFonts w:ascii="Arial" w:cs="Arial" w:eastAsia="Arial" w:hAnsi="Arial"/>
                <w:sz w:val="32"/>
                <w:szCs w:val="32"/>
                <w:b w:val="1"/>
                <w:bCs w:val="1"/>
                <w:color w:val="auto"/>
              </w:rPr>
              <w:t>FORM 8-K</w:t>
            </w:r>
          </w:p>
        </w:tc>
        <w:tc>
          <w:tcPr>
            <w:tcW w:w="3380" w:type="dxa"/>
            <w:vAlign w:val="bottom"/>
          </w:tcPr>
          <w:p>
            <w:pPr>
              <w:spacing w:after="0"/>
              <w:rPr>
                <w:sz w:val="24"/>
                <w:szCs w:val="24"/>
                <w:color w:val="auto"/>
              </w:rPr>
            </w:pPr>
          </w:p>
        </w:tc>
      </w:tr>
      <w:tr>
        <w:trPr>
          <w:trHeight w:val="696"/>
        </w:trPr>
        <w:tc>
          <w:tcPr>
            <w:tcW w:w="3520" w:type="dxa"/>
            <w:vAlign w:val="bottom"/>
          </w:tcPr>
          <w:p>
            <w:pPr>
              <w:spacing w:after="0"/>
              <w:rPr>
                <w:sz w:val="24"/>
                <w:szCs w:val="24"/>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9"/>
              </w:rPr>
              <w:t>CURRENT REPORT</w:t>
            </w:r>
          </w:p>
        </w:tc>
        <w:tc>
          <w:tcPr>
            <w:tcW w:w="3380" w:type="dxa"/>
            <w:vAlign w:val="bottom"/>
          </w:tcPr>
          <w:p>
            <w:pPr>
              <w:spacing w:after="0"/>
              <w:rPr>
                <w:sz w:val="24"/>
                <w:szCs w:val="24"/>
                <w:color w:val="auto"/>
              </w:rPr>
            </w:pPr>
          </w:p>
        </w:tc>
      </w:tr>
      <w:tr>
        <w:trPr>
          <w:trHeight w:val="216"/>
        </w:trPr>
        <w:tc>
          <w:tcPr>
            <w:tcW w:w="3520" w:type="dxa"/>
            <w:vAlign w:val="bottom"/>
          </w:tcPr>
          <w:p>
            <w:pPr>
              <w:spacing w:after="0"/>
              <w:rPr>
                <w:sz w:val="18"/>
                <w:szCs w:val="18"/>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0"/>
              </w:rPr>
              <w:t>Pursuant to Section 13 or 15(d) of</w:t>
            </w:r>
          </w:p>
        </w:tc>
        <w:tc>
          <w:tcPr>
            <w:tcW w:w="3380" w:type="dxa"/>
            <w:vAlign w:val="bottom"/>
          </w:tcPr>
          <w:p>
            <w:pPr>
              <w:spacing w:after="0"/>
              <w:rPr>
                <w:sz w:val="18"/>
                <w:szCs w:val="18"/>
                <w:color w:val="auto"/>
              </w:rPr>
            </w:pPr>
          </w:p>
        </w:tc>
      </w:tr>
      <w:tr>
        <w:trPr>
          <w:trHeight w:val="234"/>
        </w:trPr>
        <w:tc>
          <w:tcPr>
            <w:tcW w:w="3520" w:type="dxa"/>
            <w:vAlign w:val="bottom"/>
          </w:tcPr>
          <w:p>
            <w:pPr>
              <w:spacing w:after="0"/>
              <w:rPr>
                <w:sz w:val="20"/>
                <w:szCs w:val="20"/>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89"/>
              </w:rPr>
              <w:t>The Securities Exchange Act of 1934</w:t>
            </w:r>
          </w:p>
        </w:tc>
        <w:tc>
          <w:tcPr>
            <w:tcW w:w="3380" w:type="dxa"/>
            <w:vAlign w:val="bottom"/>
          </w:tcPr>
          <w:p>
            <w:pPr>
              <w:spacing w:after="0"/>
              <w:rPr>
                <w:sz w:val="20"/>
                <w:szCs w:val="20"/>
                <w:color w:val="auto"/>
              </w:rPr>
            </w:pPr>
          </w:p>
        </w:tc>
      </w:tr>
      <w:tr>
        <w:trPr>
          <w:trHeight w:val="432"/>
        </w:trPr>
        <w:tc>
          <w:tcPr>
            <w:tcW w:w="3520" w:type="dxa"/>
            <w:vAlign w:val="bottom"/>
          </w:tcPr>
          <w:p>
            <w:pPr>
              <w:spacing w:after="0"/>
              <w:rPr>
                <w:sz w:val="24"/>
                <w:szCs w:val="24"/>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3"/>
              </w:rPr>
              <w:t>April 30, 2020</w:t>
            </w:r>
          </w:p>
        </w:tc>
        <w:tc>
          <w:tcPr>
            <w:tcW w:w="3380" w:type="dxa"/>
            <w:vAlign w:val="bottom"/>
          </w:tcPr>
          <w:p>
            <w:pPr>
              <w:spacing w:after="0"/>
              <w:rPr>
                <w:sz w:val="24"/>
                <w:szCs w:val="24"/>
                <w:color w:val="auto"/>
              </w:rPr>
            </w:pPr>
          </w:p>
        </w:tc>
      </w:tr>
      <w:tr>
        <w:trPr>
          <w:trHeight w:val="257"/>
        </w:trPr>
        <w:tc>
          <w:tcPr>
            <w:tcW w:w="3520" w:type="dxa"/>
            <w:vAlign w:val="bottom"/>
          </w:tcPr>
          <w:p>
            <w:pPr>
              <w:spacing w:after="0"/>
              <w:rPr>
                <w:sz w:val="22"/>
                <w:szCs w:val="22"/>
                <w:color w:val="auto"/>
              </w:rPr>
            </w:pPr>
          </w:p>
        </w:tc>
        <w:tc>
          <w:tcPr>
            <w:tcW w:w="4340" w:type="dxa"/>
            <w:vAlign w:val="bottom"/>
          </w:tcPr>
          <w:p>
            <w:pPr>
              <w:ind w:left="240"/>
              <w:spacing w:after="0"/>
              <w:rPr>
                <w:sz w:val="20"/>
                <w:szCs w:val="20"/>
                <w:color w:val="auto"/>
              </w:rPr>
            </w:pPr>
            <w:r>
              <w:rPr>
                <w:rFonts w:ascii="Arial" w:cs="Arial" w:eastAsia="Arial" w:hAnsi="Arial"/>
                <w:sz w:val="18"/>
                <w:szCs w:val="18"/>
                <w:b w:val="1"/>
                <w:bCs w:val="1"/>
                <w:color w:val="auto"/>
              </w:rPr>
              <w:t>Date of Report (Date of earliest event reported)</w:t>
            </w:r>
          </w:p>
        </w:tc>
        <w:tc>
          <w:tcPr>
            <w:tcW w:w="3380" w:type="dxa"/>
            <w:vAlign w:val="bottom"/>
          </w:tcPr>
          <w:p>
            <w:pPr>
              <w:spacing w:after="0"/>
              <w:rPr>
                <w:sz w:val="22"/>
                <w:szCs w:val="22"/>
                <w:color w:val="auto"/>
              </w:rPr>
            </w:pPr>
          </w:p>
        </w:tc>
      </w:tr>
      <w:tr>
        <w:trPr>
          <w:trHeight w:val="604"/>
        </w:trPr>
        <w:tc>
          <w:tcPr>
            <w:tcW w:w="3520" w:type="dxa"/>
            <w:vAlign w:val="bottom"/>
          </w:tcPr>
          <w:p>
            <w:pPr>
              <w:spacing w:after="0"/>
              <w:rPr>
                <w:sz w:val="24"/>
                <w:szCs w:val="24"/>
                <w:color w:val="auto"/>
              </w:rPr>
            </w:pPr>
          </w:p>
        </w:tc>
        <w:tc>
          <w:tcPr>
            <w:tcW w:w="4340" w:type="dxa"/>
            <w:vAlign w:val="bottom"/>
          </w:tcPr>
          <w:p>
            <w:pPr>
              <w:jc w:val="center"/>
              <w:spacing w:after="0"/>
              <w:rPr>
                <w:sz w:val="20"/>
                <w:szCs w:val="20"/>
                <w:color w:val="auto"/>
              </w:rPr>
            </w:pPr>
            <w:r>
              <w:rPr>
                <w:rFonts w:ascii="Arial" w:cs="Arial" w:eastAsia="Arial" w:hAnsi="Arial"/>
                <w:sz w:val="40"/>
                <w:szCs w:val="40"/>
                <w:b w:val="1"/>
                <w:bCs w:val="1"/>
                <w:color w:val="auto"/>
                <w:w w:val="88"/>
              </w:rPr>
              <w:t>Planet Fitness, Inc.</w:t>
            </w:r>
          </w:p>
        </w:tc>
        <w:tc>
          <w:tcPr>
            <w:tcW w:w="3380" w:type="dxa"/>
            <w:vAlign w:val="bottom"/>
          </w:tcPr>
          <w:p>
            <w:pPr>
              <w:spacing w:after="0"/>
              <w:rPr>
                <w:sz w:val="24"/>
                <w:szCs w:val="24"/>
                <w:color w:val="auto"/>
              </w:rPr>
            </w:pPr>
          </w:p>
        </w:tc>
      </w:tr>
      <w:tr>
        <w:trPr>
          <w:trHeight w:val="315"/>
        </w:trPr>
        <w:tc>
          <w:tcPr>
            <w:tcW w:w="3520" w:type="dxa"/>
            <w:vAlign w:val="bottom"/>
          </w:tcPr>
          <w:p>
            <w:pPr>
              <w:spacing w:after="0"/>
              <w:rPr>
                <w:sz w:val="24"/>
                <w:szCs w:val="24"/>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3380" w:type="dxa"/>
            <w:vAlign w:val="bottom"/>
          </w:tcPr>
          <w:p>
            <w:pPr>
              <w:spacing w:after="0"/>
              <w:rPr>
                <w:sz w:val="24"/>
                <w:szCs w:val="24"/>
                <w:color w:val="auto"/>
              </w:rPr>
            </w:pPr>
          </w:p>
        </w:tc>
      </w:tr>
      <w:tr>
        <w:trPr>
          <w:trHeight w:val="647"/>
        </w:trPr>
        <w:tc>
          <w:tcPr>
            <w:tcW w:w="3520" w:type="dxa"/>
            <w:vAlign w:val="bottom"/>
          </w:tcPr>
          <w:p>
            <w:pPr>
              <w:jc w:val="center"/>
              <w:ind w:left="239"/>
              <w:spacing w:after="0"/>
              <w:rPr>
                <w:sz w:val="20"/>
                <w:szCs w:val="20"/>
                <w:color w:val="auto"/>
              </w:rPr>
            </w:pPr>
            <w:r>
              <w:rPr>
                <w:rFonts w:ascii="Arial" w:cs="Arial" w:eastAsia="Arial" w:hAnsi="Arial"/>
                <w:sz w:val="18"/>
                <w:szCs w:val="18"/>
                <w:b w:val="1"/>
                <w:bCs w:val="1"/>
                <w:color w:val="auto"/>
                <w:w w:val="91"/>
              </w:rPr>
              <w:t>Delaware</w:t>
            </w:r>
          </w:p>
        </w:tc>
        <w:tc>
          <w:tcPr>
            <w:tcW w:w="4340" w:type="dxa"/>
            <w:vAlign w:val="bottom"/>
          </w:tcPr>
          <w:p>
            <w:pPr>
              <w:jc w:val="right"/>
              <w:ind w:right="1622"/>
              <w:spacing w:after="0"/>
              <w:rPr>
                <w:sz w:val="20"/>
                <w:szCs w:val="20"/>
                <w:color w:val="auto"/>
              </w:rPr>
            </w:pPr>
            <w:r>
              <w:rPr>
                <w:rFonts w:ascii="Arial" w:cs="Arial" w:eastAsia="Arial" w:hAnsi="Arial"/>
                <w:sz w:val="18"/>
                <w:szCs w:val="18"/>
                <w:b w:val="1"/>
                <w:bCs w:val="1"/>
                <w:color w:val="auto"/>
              </w:rPr>
              <w:t>001-37534</w:t>
            </w:r>
          </w:p>
        </w:tc>
        <w:tc>
          <w:tcPr>
            <w:tcW w:w="3380" w:type="dxa"/>
            <w:vAlign w:val="bottom"/>
          </w:tcPr>
          <w:p>
            <w:pPr>
              <w:jc w:val="right"/>
              <w:ind w:right="1279"/>
              <w:spacing w:after="0"/>
              <w:rPr>
                <w:sz w:val="20"/>
                <w:szCs w:val="20"/>
                <w:color w:val="auto"/>
              </w:rPr>
            </w:pPr>
            <w:r>
              <w:rPr>
                <w:rFonts w:ascii="Arial" w:cs="Arial" w:eastAsia="Arial" w:hAnsi="Arial"/>
                <w:sz w:val="18"/>
                <w:szCs w:val="18"/>
                <w:b w:val="1"/>
                <w:bCs w:val="1"/>
                <w:color w:val="auto"/>
              </w:rPr>
              <w:t>38-3942097</w:t>
            </w:r>
          </w:p>
        </w:tc>
      </w:tr>
      <w:tr>
        <w:trPr>
          <w:trHeight w:val="27"/>
        </w:trPr>
        <w:tc>
          <w:tcPr>
            <w:tcW w:w="3520" w:type="dxa"/>
            <w:vAlign w:val="bottom"/>
            <w:tcBorders>
              <w:bottom w:val="single" w:sz="8" w:color="auto"/>
            </w:tcBorders>
          </w:tcPr>
          <w:p>
            <w:pPr>
              <w:spacing w:after="0"/>
              <w:rPr>
                <w:sz w:val="2"/>
                <w:szCs w:val="2"/>
                <w:color w:val="auto"/>
              </w:rPr>
            </w:pPr>
          </w:p>
        </w:tc>
        <w:tc>
          <w:tcPr>
            <w:tcW w:w="4340" w:type="dxa"/>
            <w:vAlign w:val="bottom"/>
            <w:tcBorders>
              <w:bottom w:val="single" w:sz="8" w:color="auto"/>
            </w:tcBorders>
          </w:tcPr>
          <w:p>
            <w:pPr>
              <w:spacing w:after="0"/>
              <w:rPr>
                <w:sz w:val="2"/>
                <w:szCs w:val="2"/>
                <w:color w:val="auto"/>
              </w:rPr>
            </w:pPr>
          </w:p>
        </w:tc>
        <w:tc>
          <w:tcPr>
            <w:tcW w:w="3380" w:type="dxa"/>
            <w:vAlign w:val="bottom"/>
            <w:tcBorders>
              <w:bottom w:val="single" w:sz="8" w:color="auto"/>
            </w:tcBorders>
          </w:tcPr>
          <w:p>
            <w:pPr>
              <w:spacing w:after="0"/>
              <w:rPr>
                <w:sz w:val="2"/>
                <w:szCs w:val="2"/>
                <w:color w:val="auto"/>
              </w:rPr>
            </w:pPr>
          </w:p>
        </w:tc>
      </w:tr>
      <w:tr>
        <w:trPr>
          <w:trHeight w:val="184"/>
        </w:trPr>
        <w:tc>
          <w:tcPr>
            <w:tcW w:w="3520" w:type="dxa"/>
            <w:vAlign w:val="bottom"/>
          </w:tcPr>
          <w:p>
            <w:pPr>
              <w:jc w:val="center"/>
              <w:ind w:left="239"/>
              <w:spacing w:after="0"/>
              <w:rPr>
                <w:sz w:val="20"/>
                <w:szCs w:val="20"/>
                <w:color w:val="auto"/>
              </w:rPr>
            </w:pPr>
            <w:r>
              <w:rPr>
                <w:rFonts w:ascii="Arial" w:cs="Arial" w:eastAsia="Arial" w:hAnsi="Arial"/>
                <w:sz w:val="14"/>
                <w:szCs w:val="14"/>
                <w:b w:val="1"/>
                <w:bCs w:val="1"/>
                <w:color w:val="auto"/>
                <w:w w:val="93"/>
              </w:rPr>
              <w:t>(State or other jurisdiction of incorporation)</w:t>
            </w:r>
          </w:p>
        </w:tc>
        <w:tc>
          <w:tcPr>
            <w:tcW w:w="4340" w:type="dxa"/>
            <w:vAlign w:val="bottom"/>
          </w:tcPr>
          <w:p>
            <w:pPr>
              <w:jc w:val="center"/>
              <w:ind w:left="22"/>
              <w:spacing w:after="0"/>
              <w:rPr>
                <w:sz w:val="20"/>
                <w:szCs w:val="20"/>
                <w:color w:val="auto"/>
              </w:rPr>
            </w:pPr>
            <w:r>
              <w:rPr>
                <w:rFonts w:ascii="Arial" w:cs="Arial" w:eastAsia="Arial" w:hAnsi="Arial"/>
                <w:sz w:val="14"/>
                <w:szCs w:val="14"/>
                <w:b w:val="1"/>
                <w:bCs w:val="1"/>
                <w:color w:val="auto"/>
                <w:w w:val="93"/>
              </w:rPr>
              <w:t>(Commission File Number)</w:t>
            </w:r>
          </w:p>
        </w:tc>
        <w:tc>
          <w:tcPr>
            <w:tcW w:w="3380" w:type="dxa"/>
            <w:vAlign w:val="bottom"/>
          </w:tcPr>
          <w:p>
            <w:pPr>
              <w:jc w:val="center"/>
              <w:ind w:right="139"/>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426"/>
        </w:trPr>
        <w:tc>
          <w:tcPr>
            <w:tcW w:w="3520" w:type="dxa"/>
            <w:vAlign w:val="bottom"/>
          </w:tcPr>
          <w:p>
            <w:pPr>
              <w:spacing w:after="0"/>
              <w:rPr>
                <w:sz w:val="24"/>
                <w:szCs w:val="24"/>
                <w:color w:val="auto"/>
              </w:rPr>
            </w:pPr>
          </w:p>
        </w:tc>
        <w:tc>
          <w:tcPr>
            <w:tcW w:w="4340" w:type="dxa"/>
            <w:vAlign w:val="bottom"/>
          </w:tcPr>
          <w:p>
            <w:pPr>
              <w:jc w:val="center"/>
              <w:ind w:right="22"/>
              <w:spacing w:after="0"/>
              <w:rPr>
                <w:sz w:val="20"/>
                <w:szCs w:val="20"/>
                <w:color w:val="auto"/>
              </w:rPr>
            </w:pPr>
            <w:r>
              <w:rPr>
                <w:rFonts w:ascii="Arial" w:cs="Arial" w:eastAsia="Arial" w:hAnsi="Arial"/>
                <w:sz w:val="18"/>
                <w:szCs w:val="18"/>
                <w:b w:val="1"/>
                <w:bCs w:val="1"/>
                <w:color w:val="auto"/>
                <w:w w:val="92"/>
              </w:rPr>
              <w:t>4 Liberty Lane West</w:t>
            </w:r>
          </w:p>
        </w:tc>
        <w:tc>
          <w:tcPr>
            <w:tcW w:w="3380" w:type="dxa"/>
            <w:vAlign w:val="bottom"/>
          </w:tcPr>
          <w:p>
            <w:pPr>
              <w:spacing w:after="0"/>
              <w:rPr>
                <w:sz w:val="24"/>
                <w:szCs w:val="24"/>
                <w:color w:val="auto"/>
              </w:rPr>
            </w:pPr>
          </w:p>
        </w:tc>
      </w:tr>
      <w:tr>
        <w:trPr>
          <w:trHeight w:val="212"/>
        </w:trPr>
        <w:tc>
          <w:tcPr>
            <w:tcW w:w="3520" w:type="dxa"/>
            <w:vAlign w:val="bottom"/>
          </w:tcPr>
          <w:p>
            <w:pPr>
              <w:spacing w:after="0"/>
              <w:rPr>
                <w:sz w:val="18"/>
                <w:szCs w:val="18"/>
                <w:color w:val="auto"/>
              </w:rPr>
            </w:pPr>
          </w:p>
        </w:tc>
        <w:tc>
          <w:tcPr>
            <w:tcW w:w="4340" w:type="dxa"/>
            <w:vAlign w:val="bottom"/>
          </w:tcPr>
          <w:p>
            <w:pPr>
              <w:jc w:val="center"/>
              <w:ind w:right="22"/>
              <w:spacing w:after="0"/>
              <w:rPr>
                <w:sz w:val="20"/>
                <w:szCs w:val="20"/>
                <w:color w:val="auto"/>
              </w:rPr>
            </w:pPr>
            <w:r>
              <w:rPr>
                <w:rFonts w:ascii="Arial" w:cs="Arial" w:eastAsia="Arial" w:hAnsi="Arial"/>
                <w:sz w:val="18"/>
                <w:szCs w:val="18"/>
                <w:b w:val="1"/>
                <w:bCs w:val="1"/>
                <w:color w:val="auto"/>
                <w:w w:val="93"/>
              </w:rPr>
              <w:t xml:space="preserve">Hampton, NH </w:t>
            </w:r>
            <w:r>
              <w:rPr>
                <w:rFonts w:ascii="Arial" w:cs="Arial" w:eastAsia="Arial" w:hAnsi="Arial"/>
                <w:sz w:val="18"/>
                <w:szCs w:val="18"/>
                <w:color w:val="auto"/>
                <w:w w:val="93"/>
              </w:rPr>
              <w:t>03842</w:t>
            </w:r>
          </w:p>
        </w:tc>
        <w:tc>
          <w:tcPr>
            <w:tcW w:w="3380" w:type="dxa"/>
            <w:vAlign w:val="bottom"/>
          </w:tcPr>
          <w:p>
            <w:pPr>
              <w:spacing w:after="0"/>
              <w:rPr>
                <w:sz w:val="18"/>
                <w:szCs w:val="18"/>
                <w:color w:val="auto"/>
              </w:rPr>
            </w:pPr>
          </w:p>
        </w:tc>
      </w:tr>
      <w:tr>
        <w:trPr>
          <w:trHeight w:val="162"/>
        </w:trPr>
        <w:tc>
          <w:tcPr>
            <w:tcW w:w="3520" w:type="dxa"/>
            <w:vAlign w:val="bottom"/>
          </w:tcPr>
          <w:p>
            <w:pPr>
              <w:spacing w:after="0"/>
              <w:rPr>
                <w:sz w:val="14"/>
                <w:szCs w:val="14"/>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380" w:type="dxa"/>
            <w:vAlign w:val="bottom"/>
          </w:tcPr>
          <w:p>
            <w:pPr>
              <w:spacing w:after="0"/>
              <w:rPr>
                <w:sz w:val="14"/>
                <w:szCs w:val="14"/>
                <w:color w:val="auto"/>
              </w:rPr>
            </w:pPr>
          </w:p>
        </w:tc>
      </w:tr>
      <w:tr>
        <w:trPr>
          <w:trHeight w:val="186"/>
        </w:trPr>
        <w:tc>
          <w:tcPr>
            <w:tcW w:w="3520" w:type="dxa"/>
            <w:vAlign w:val="bottom"/>
          </w:tcPr>
          <w:p>
            <w:pPr>
              <w:spacing w:after="0"/>
              <w:rPr>
                <w:sz w:val="16"/>
                <w:szCs w:val="16"/>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5"/>
              </w:rPr>
              <w:t>(Zip Code)</w:t>
            </w:r>
          </w:p>
        </w:tc>
        <w:tc>
          <w:tcPr>
            <w:tcW w:w="3380" w:type="dxa"/>
            <w:vAlign w:val="bottom"/>
          </w:tcPr>
          <w:p>
            <w:pPr>
              <w:spacing w:after="0"/>
              <w:rPr>
                <w:sz w:val="16"/>
                <w:szCs w:val="16"/>
                <w:color w:val="auto"/>
              </w:rPr>
            </w:pPr>
          </w:p>
        </w:tc>
      </w:tr>
    </w:tbl>
    <w:p>
      <w:pPr>
        <w:spacing w:after="0" w:line="196"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29" w:lineRule="exact"/>
        <w:rPr>
          <w:sz w:val="24"/>
          <w:szCs w:val="24"/>
          <w:color w:val="auto"/>
        </w:rPr>
      </w:pPr>
    </w:p>
    <w:p>
      <w:pPr>
        <w:jc w:val="both"/>
        <w:ind w:right="70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4" w:lineRule="exact"/>
        <w:rPr>
          <w:sz w:val="24"/>
          <w:szCs w:val="24"/>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319" w:lineRule="exact"/>
        <w:rPr>
          <w:rFonts w:ascii="MS PGothic" w:cs="MS PGothic" w:eastAsia="MS PGothic" w:hAnsi="MS PGothic"/>
          <w:sz w:val="18"/>
          <w:szCs w:val="18"/>
          <w:color w:val="auto"/>
        </w:rPr>
      </w:pPr>
    </w:p>
    <w:p>
      <w:pPr>
        <w:ind w:right="2300" w:firstLine="35"/>
        <w:spacing w:after="0" w:line="527" w:lineRule="auto"/>
        <w:tabs>
          <w:tab w:leader="none" w:pos="48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 Securities registered pursuant to Section 12(b) of the Exchange Act:</w:t>
      </w:r>
    </w:p>
    <w:tbl>
      <w:tblPr>
        <w:tblLayout w:type="fixed"/>
        <w:tblInd w:w="10" w:type="dxa"/>
        <w:tblCellMar>
          <w:top w:w="0" w:type="dxa"/>
          <w:left w:w="0" w:type="dxa"/>
          <w:bottom w:w="0" w:type="dxa"/>
          <w:right w:w="0" w:type="dxa"/>
        </w:tblCellMar>
      </w:tblPr>
      <w:tr>
        <w:trPr>
          <w:trHeight w:val="237"/>
        </w:trPr>
        <w:tc>
          <w:tcPr>
            <w:tcW w:w="44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43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7"/>
        </w:trPr>
        <w:tc>
          <w:tcPr>
            <w:tcW w:w="44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4380" w:type="dxa"/>
            <w:vAlign w:val="bottom"/>
            <w:tcBorders>
              <w:bottom w:val="single" w:sz="8" w:color="auto"/>
              <w:right w:val="single" w:sz="8" w:color="auto"/>
            </w:tcBorders>
          </w:tcPr>
          <w:p>
            <w:pPr>
              <w:spacing w:after="0"/>
              <w:rPr>
                <w:sz w:val="2"/>
                <w:szCs w:val="2"/>
                <w:color w:val="auto"/>
              </w:rPr>
            </w:pPr>
          </w:p>
        </w:tc>
      </w:tr>
      <w:tr>
        <w:trPr>
          <w:trHeight w:val="237"/>
        </w:trPr>
        <w:tc>
          <w:tcPr>
            <w:tcW w:w="44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Class A common stock, $0.0001 Par Value</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PLNT</w:t>
            </w:r>
          </w:p>
        </w:tc>
        <w:tc>
          <w:tcPr>
            <w:tcW w:w="43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27"/>
        </w:trPr>
        <w:tc>
          <w:tcPr>
            <w:tcW w:w="44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438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4"/>
          <w:szCs w:val="24"/>
          <w:color w:val="auto"/>
        </w:rPr>
      </w:pPr>
    </w:p>
    <w:p>
      <w:pPr>
        <w:spacing w:after="0" w:line="218"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jc w:val="both"/>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260"/>
          </w:cols>
          <w:pgMar w:left="320" w:top="657" w:right="319" w:bottom="1440" w:gutter="0" w:footer="0" w:header="0"/>
        </w:sectPr>
      </w:pPr>
    </w:p>
    <w:bookmarkStart w:id="1" w:name="page2"/>
    <w:bookmarkEnd w:id="1"/>
    <w:tbl>
      <w:tblPr>
        <w:tblLayout w:type="fixed"/>
        <w:tblInd w:w="40" w:type="dxa"/>
        <w:tblCellMar>
          <w:top w:w="0" w:type="dxa"/>
          <w:left w:w="0" w:type="dxa"/>
          <w:bottom w:w="0" w:type="dxa"/>
          <w:right w:w="0" w:type="dxa"/>
        </w:tblCellMar>
      </w:tblPr>
      <w:tr>
        <w:trPr>
          <w:trHeight w:val="216"/>
        </w:trPr>
        <w:tc>
          <w:tcPr>
            <w:tcW w:w="920" w:type="dxa"/>
            <w:vAlign w:val="bottom"/>
            <w:vMerge w:val="restart"/>
          </w:tcPr>
          <w:p>
            <w:pPr>
              <w:spacing w:after="0"/>
              <w:rPr>
                <w:sz w:val="20"/>
                <w:szCs w:val="20"/>
                <w:color w:val="auto"/>
              </w:rPr>
            </w:pPr>
            <w:r>
              <w:rPr>
                <w:rFonts w:ascii="Arial" w:cs="Arial" w:eastAsia="Arial" w:hAnsi="Arial"/>
                <w:sz w:val="18"/>
                <w:szCs w:val="18"/>
                <w:b w:val="1"/>
                <w:bCs w:val="1"/>
                <w:color w:val="auto"/>
              </w:rPr>
              <w:t>Item 5.02</w:t>
            </w:r>
          </w:p>
        </w:tc>
        <w:tc>
          <w:tcPr>
            <w:tcW w:w="10180" w:type="dxa"/>
            <w:vAlign w:val="bottom"/>
          </w:tcPr>
          <w:p>
            <w:pPr>
              <w:ind w:left="200"/>
              <w:spacing w:after="0"/>
              <w:rPr>
                <w:sz w:val="20"/>
                <w:szCs w:val="20"/>
                <w:color w:val="auto"/>
              </w:rPr>
            </w:pPr>
            <w:r>
              <w:rPr>
                <w:rFonts w:ascii="Arial" w:cs="Arial" w:eastAsia="Arial" w:hAnsi="Arial"/>
                <w:sz w:val="18"/>
                <w:szCs w:val="18"/>
                <w:b w:val="1"/>
                <w:bCs w:val="1"/>
                <w:color w:val="auto"/>
                <w:w w:val="91"/>
              </w:rPr>
              <w:t>Departure of Directors or Certain Officers; Election of Directors; Appointment of Certain Officers; Compensatory Arrangements</w:t>
            </w:r>
          </w:p>
        </w:tc>
        <w:tc>
          <w:tcPr>
            <w:tcW w:w="0" w:type="dxa"/>
            <w:vAlign w:val="bottom"/>
          </w:tcPr>
          <w:p>
            <w:pPr>
              <w:spacing w:after="0"/>
              <w:rPr>
                <w:sz w:val="1"/>
                <w:szCs w:val="1"/>
                <w:color w:val="auto"/>
              </w:rPr>
            </w:pPr>
          </w:p>
        </w:tc>
      </w:tr>
      <w:tr>
        <w:trPr>
          <w:trHeight w:val="126"/>
        </w:trPr>
        <w:tc>
          <w:tcPr>
            <w:tcW w:w="920" w:type="dxa"/>
            <w:vAlign w:val="bottom"/>
            <w:vMerge w:val="continue"/>
          </w:tcPr>
          <w:p>
            <w:pPr>
              <w:spacing w:after="0"/>
              <w:rPr>
                <w:sz w:val="10"/>
                <w:szCs w:val="10"/>
                <w:color w:val="auto"/>
              </w:rPr>
            </w:pPr>
          </w:p>
        </w:tc>
        <w:tc>
          <w:tcPr>
            <w:tcW w:w="1018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of Certain Officers.</w:t>
            </w:r>
          </w:p>
        </w:tc>
        <w:tc>
          <w:tcPr>
            <w:tcW w:w="0" w:type="dxa"/>
            <w:vAlign w:val="bottom"/>
          </w:tcPr>
          <w:p>
            <w:pPr>
              <w:spacing w:after="0"/>
              <w:rPr>
                <w:sz w:val="1"/>
                <w:szCs w:val="1"/>
                <w:color w:val="auto"/>
              </w:rPr>
            </w:pPr>
          </w:p>
        </w:tc>
      </w:tr>
      <w:tr>
        <w:trPr>
          <w:trHeight w:val="108"/>
        </w:trPr>
        <w:tc>
          <w:tcPr>
            <w:tcW w:w="920" w:type="dxa"/>
            <w:vAlign w:val="bottom"/>
          </w:tcPr>
          <w:p>
            <w:pPr>
              <w:spacing w:after="0"/>
              <w:rPr>
                <w:sz w:val="9"/>
                <w:szCs w:val="9"/>
                <w:color w:val="auto"/>
              </w:rPr>
            </w:pPr>
          </w:p>
        </w:tc>
        <w:tc>
          <w:tcPr>
            <w:tcW w:w="101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As previously disclosed in the 2020 proxy statement of Planet Fitness, Inc. (the “Company”), David Berg did not stand for re-election to the board of directors of the Company (the "Board"). Mr. Berg resigned from the Board, effective as of the close of the 2020 Annual Meeting of Stockholders of the Company, held on April 30, 2020 (the “Annual Meeting”). Mr. Berg has served on the Board since September 2015, approximately one month after the Company’s initial public offering. During that time, he has also served as a member of the Board’s Audit, Compensation and Nominating and Corporate Governance Committees, including serving as the Chair of the Compensation Committee from May 2017 until his retirement. Mr. Berg’s retirement is not due to a disagreement with the Company, the Board or management on any matter relating to the Company’s operations, policies or practices. The Company is grateful for Mr. Berg’s leadership and service on the Board.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On May 1, 2020, in light of Mr. Berg’s retirement, the Board decreased its size from seven to six members to eliminate the vacancy.</w:t>
      </w:r>
    </w:p>
    <w:p>
      <w:pPr>
        <w:spacing w:after="0" w:line="200" w:lineRule="exact"/>
        <w:rPr>
          <w:sz w:val="20"/>
          <w:szCs w:val="20"/>
          <w:color w:val="auto"/>
        </w:rPr>
      </w:pPr>
    </w:p>
    <w:p>
      <w:pPr>
        <w:spacing w:after="0" w:line="291" w:lineRule="exact"/>
        <w:rPr>
          <w:sz w:val="20"/>
          <w:szCs w:val="20"/>
          <w:color w:val="auto"/>
        </w:rPr>
      </w:pPr>
    </w:p>
    <w:p>
      <w:pPr>
        <w:ind w:left="40"/>
        <w:spacing w:after="0"/>
        <w:tabs>
          <w:tab w:leader="none" w:pos="1140" w:val="left"/>
        </w:tabs>
        <w:rPr>
          <w:sz w:val="20"/>
          <w:szCs w:val="20"/>
          <w:color w:val="auto"/>
        </w:rPr>
      </w:pPr>
      <w:r>
        <w:rPr>
          <w:rFonts w:ascii="Arial" w:cs="Arial" w:eastAsia="Arial" w:hAnsi="Arial"/>
          <w:sz w:val="18"/>
          <w:szCs w:val="18"/>
          <w:b w:val="1"/>
          <w:bCs w:val="1"/>
          <w:color w:val="auto"/>
        </w:rPr>
        <w:t>Item 5.07</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14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Annual Meeting was held on April 30, 2020. A total of 73,081,830 shares were present or represented by proxy at the meeting, representing approximately 84.56% of all shares entitled to vote at the Annual Meeting. The stockholders voted on the matters presented at the Annual Meeting, and the shares present, in person or by proxy, were voted as follows:</w:t>
      </w:r>
    </w:p>
    <w:p>
      <w:pPr>
        <w:spacing w:after="0" w:line="382" w:lineRule="exact"/>
        <w:rPr>
          <w:sz w:val="20"/>
          <w:szCs w:val="20"/>
          <w:color w:val="auto"/>
        </w:rPr>
      </w:pPr>
    </w:p>
    <w:p>
      <w:pPr>
        <w:ind w:left="600" w:hanging="565"/>
        <w:spacing w:after="0"/>
        <w:tabs>
          <w:tab w:leader="none" w:pos="60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Election of Directors</w:t>
      </w:r>
    </w:p>
    <w:p>
      <w:pPr>
        <w:spacing w:after="0" w:line="148" w:lineRule="exact"/>
        <w:rPr>
          <w:sz w:val="20"/>
          <w:szCs w:val="20"/>
          <w:color w:val="auto"/>
        </w:rPr>
      </w:pPr>
    </w:p>
    <w:p>
      <w:pPr>
        <w:spacing w:after="0"/>
        <w:rPr>
          <w:sz w:val="20"/>
          <w:szCs w:val="20"/>
          <w:color w:val="auto"/>
        </w:rPr>
      </w:pPr>
      <w:r>
        <w:rPr>
          <w:rFonts w:ascii="Arial" w:cs="Arial" w:eastAsia="Arial" w:hAnsi="Arial"/>
          <w:sz w:val="16"/>
          <w:szCs w:val="16"/>
          <w:color w:val="auto"/>
        </w:rPr>
        <w:t>Proposal one was the election of two nominees to serve as directors of the Company, each for a term of three years. The results of the vote were as follows:</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6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6"/>
              </w:rPr>
              <w:t>Nominee</w:t>
            </w:r>
          </w:p>
        </w:tc>
        <w:tc>
          <w:tcPr>
            <w:tcW w:w="25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Votes For</w:t>
            </w:r>
          </w:p>
        </w:tc>
        <w:tc>
          <w:tcPr>
            <w:tcW w:w="3460" w:type="dxa"/>
            <w:vAlign w:val="bottom"/>
            <w:gridSpan w:val="2"/>
          </w:tcPr>
          <w:p>
            <w:pPr>
              <w:ind w:left="1080"/>
              <w:spacing w:after="0"/>
              <w:rPr>
                <w:sz w:val="20"/>
                <w:szCs w:val="20"/>
                <w:color w:val="auto"/>
              </w:rPr>
            </w:pPr>
            <w:r>
              <w:rPr>
                <w:rFonts w:ascii="Arial" w:cs="Arial" w:eastAsia="Arial" w:hAnsi="Arial"/>
                <w:sz w:val="18"/>
                <w:szCs w:val="18"/>
                <w:b w:val="1"/>
                <w:bCs w:val="1"/>
                <w:color w:val="auto"/>
              </w:rPr>
              <w:t>Votes Withheld</w:t>
            </w:r>
          </w:p>
        </w:tc>
        <w:tc>
          <w:tcPr>
            <w:tcW w:w="2580" w:type="dxa"/>
            <w:vAlign w:val="bottom"/>
          </w:tcPr>
          <w:p>
            <w:pPr>
              <w:jc w:val="center"/>
              <w:spacing w:after="0"/>
              <w:rPr>
                <w:sz w:val="20"/>
                <w:szCs w:val="20"/>
                <w:color w:val="auto"/>
              </w:rPr>
            </w:pPr>
            <w:r>
              <w:rPr>
                <w:rFonts w:ascii="Arial" w:cs="Arial" w:eastAsia="Arial" w:hAnsi="Arial"/>
                <w:sz w:val="18"/>
                <w:szCs w:val="18"/>
                <w:b w:val="1"/>
                <w:bCs w:val="1"/>
                <w:color w:val="auto"/>
                <w:w w:val="90"/>
              </w:rPr>
              <w:t>Broker Non-Votes</w:t>
            </w:r>
          </w:p>
        </w:tc>
      </w:tr>
      <w:tr>
        <w:trPr>
          <w:trHeight w:val="27"/>
        </w:trPr>
        <w:tc>
          <w:tcPr>
            <w:tcW w:w="25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237"/>
        </w:trPr>
        <w:tc>
          <w:tcPr>
            <w:tcW w:w="26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Stephen Spinelli, Jr.</w:t>
            </w:r>
          </w:p>
        </w:tc>
        <w:tc>
          <w:tcPr>
            <w:tcW w:w="2460" w:type="dxa"/>
            <w:vAlign w:val="bottom"/>
          </w:tcPr>
          <w:p>
            <w:pPr>
              <w:jc w:val="center"/>
              <w:spacing w:after="0"/>
              <w:rPr>
                <w:sz w:val="20"/>
                <w:szCs w:val="20"/>
                <w:color w:val="auto"/>
              </w:rPr>
            </w:pPr>
            <w:r>
              <w:rPr>
                <w:rFonts w:ascii="Arial" w:cs="Arial" w:eastAsia="Arial" w:hAnsi="Arial"/>
                <w:sz w:val="18"/>
                <w:szCs w:val="18"/>
                <w:color w:val="auto"/>
                <w:w w:val="90"/>
              </w:rPr>
              <w:t>42,688,564</w:t>
            </w:r>
          </w:p>
        </w:tc>
        <w:tc>
          <w:tcPr>
            <w:tcW w:w="120" w:type="dxa"/>
            <w:vAlign w:val="bottom"/>
          </w:tcPr>
          <w:p>
            <w:pPr>
              <w:spacing w:after="0"/>
              <w:rPr>
                <w:sz w:val="20"/>
                <w:szCs w:val="20"/>
                <w:color w:val="auto"/>
              </w:rPr>
            </w:pPr>
          </w:p>
        </w:tc>
        <w:tc>
          <w:tcPr>
            <w:tcW w:w="3360" w:type="dxa"/>
            <w:vAlign w:val="bottom"/>
          </w:tcPr>
          <w:p>
            <w:pPr>
              <w:jc w:val="right"/>
              <w:ind w:right="1190"/>
              <w:spacing w:after="0"/>
              <w:rPr>
                <w:sz w:val="20"/>
                <w:szCs w:val="20"/>
                <w:color w:val="auto"/>
              </w:rPr>
            </w:pPr>
            <w:r>
              <w:rPr>
                <w:rFonts w:ascii="Arial" w:cs="Arial" w:eastAsia="Arial" w:hAnsi="Arial"/>
                <w:sz w:val="18"/>
                <w:szCs w:val="18"/>
                <w:color w:val="auto"/>
              </w:rPr>
              <w:t>27,182,440</w:t>
            </w:r>
          </w:p>
        </w:tc>
        <w:tc>
          <w:tcPr>
            <w:tcW w:w="100" w:type="dxa"/>
            <w:vAlign w:val="bottom"/>
          </w:tcPr>
          <w:p>
            <w:pPr>
              <w:spacing w:after="0"/>
              <w:rPr>
                <w:sz w:val="20"/>
                <w:szCs w:val="20"/>
                <w:color w:val="auto"/>
              </w:rPr>
            </w:pPr>
          </w:p>
        </w:tc>
        <w:tc>
          <w:tcPr>
            <w:tcW w:w="2580" w:type="dxa"/>
            <w:vAlign w:val="bottom"/>
          </w:tcPr>
          <w:p>
            <w:pPr>
              <w:jc w:val="center"/>
              <w:spacing w:after="0"/>
              <w:rPr>
                <w:sz w:val="20"/>
                <w:szCs w:val="20"/>
                <w:color w:val="auto"/>
              </w:rPr>
            </w:pPr>
            <w:r>
              <w:rPr>
                <w:rFonts w:ascii="Arial" w:cs="Arial" w:eastAsia="Arial" w:hAnsi="Arial"/>
                <w:sz w:val="18"/>
                <w:szCs w:val="18"/>
                <w:color w:val="auto"/>
                <w:w w:val="89"/>
              </w:rPr>
              <w:t>3,210,826</w:t>
            </w:r>
          </w:p>
        </w:tc>
      </w:tr>
      <w:tr>
        <w:trPr>
          <w:trHeight w:val="270"/>
        </w:trPr>
        <w:tc>
          <w:tcPr>
            <w:tcW w:w="2620" w:type="dxa"/>
            <w:vAlign w:val="bottom"/>
            <w:gridSpan w:val="2"/>
          </w:tcPr>
          <w:p>
            <w:pPr>
              <w:jc w:val="center"/>
              <w:ind w:right="120"/>
              <w:spacing w:after="0"/>
              <w:rPr>
                <w:sz w:val="20"/>
                <w:szCs w:val="20"/>
                <w:color w:val="auto"/>
              </w:rPr>
            </w:pPr>
            <w:r>
              <w:rPr>
                <w:rFonts w:ascii="Arial" w:cs="Arial" w:eastAsia="Arial" w:hAnsi="Arial"/>
                <w:sz w:val="18"/>
                <w:szCs w:val="18"/>
                <w:color w:val="auto"/>
                <w:w w:val="91"/>
              </w:rPr>
              <w:t>Enshalla Anderson</w:t>
            </w:r>
          </w:p>
        </w:tc>
        <w:tc>
          <w:tcPr>
            <w:tcW w:w="2460" w:type="dxa"/>
            <w:vAlign w:val="bottom"/>
          </w:tcPr>
          <w:p>
            <w:pPr>
              <w:jc w:val="center"/>
              <w:spacing w:after="0"/>
              <w:rPr>
                <w:sz w:val="20"/>
                <w:szCs w:val="20"/>
                <w:color w:val="auto"/>
              </w:rPr>
            </w:pPr>
            <w:r>
              <w:rPr>
                <w:rFonts w:ascii="Arial" w:cs="Arial" w:eastAsia="Arial" w:hAnsi="Arial"/>
                <w:sz w:val="18"/>
                <w:szCs w:val="18"/>
                <w:color w:val="auto"/>
                <w:w w:val="90"/>
              </w:rPr>
              <w:t>68,627,136</w:t>
            </w:r>
          </w:p>
        </w:tc>
        <w:tc>
          <w:tcPr>
            <w:tcW w:w="120" w:type="dxa"/>
            <w:vAlign w:val="bottom"/>
          </w:tcPr>
          <w:p>
            <w:pPr>
              <w:spacing w:after="0"/>
              <w:rPr>
                <w:sz w:val="23"/>
                <w:szCs w:val="23"/>
                <w:color w:val="auto"/>
              </w:rPr>
            </w:pPr>
          </w:p>
        </w:tc>
        <w:tc>
          <w:tcPr>
            <w:tcW w:w="3360" w:type="dxa"/>
            <w:vAlign w:val="bottom"/>
          </w:tcPr>
          <w:p>
            <w:pPr>
              <w:jc w:val="right"/>
              <w:ind w:right="1230"/>
              <w:spacing w:after="0"/>
              <w:rPr>
                <w:sz w:val="20"/>
                <w:szCs w:val="20"/>
                <w:color w:val="auto"/>
              </w:rPr>
            </w:pPr>
            <w:r>
              <w:rPr>
                <w:rFonts w:ascii="Arial" w:cs="Arial" w:eastAsia="Arial" w:hAnsi="Arial"/>
                <w:sz w:val="18"/>
                <w:szCs w:val="18"/>
                <w:color w:val="auto"/>
              </w:rPr>
              <w:t>1,243,868</w:t>
            </w:r>
          </w:p>
        </w:tc>
        <w:tc>
          <w:tcPr>
            <w:tcW w:w="100" w:type="dxa"/>
            <w:vAlign w:val="bottom"/>
          </w:tcPr>
          <w:p>
            <w:pPr>
              <w:spacing w:after="0"/>
              <w:rPr>
                <w:sz w:val="23"/>
                <w:szCs w:val="23"/>
                <w:color w:val="auto"/>
              </w:rPr>
            </w:pPr>
          </w:p>
        </w:tc>
        <w:tc>
          <w:tcPr>
            <w:tcW w:w="2580" w:type="dxa"/>
            <w:vAlign w:val="bottom"/>
          </w:tcPr>
          <w:p>
            <w:pPr>
              <w:jc w:val="center"/>
              <w:spacing w:after="0"/>
              <w:rPr>
                <w:sz w:val="20"/>
                <w:szCs w:val="20"/>
                <w:color w:val="auto"/>
              </w:rPr>
            </w:pPr>
            <w:r>
              <w:rPr>
                <w:rFonts w:ascii="Arial" w:cs="Arial" w:eastAsia="Arial" w:hAnsi="Arial"/>
                <w:sz w:val="18"/>
                <w:szCs w:val="18"/>
                <w:color w:val="auto"/>
                <w:w w:val="89"/>
              </w:rPr>
              <w:t>3,210,826</w:t>
            </w: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Pursuant to the foregoing votes, the two nominees listed above were elected to serve on the Company’s Board of Directors. There were no additional director nominations brought before the meeting.</w:t>
      </w:r>
    </w:p>
    <w:p>
      <w:pPr>
        <w:spacing w:after="0" w:line="369" w:lineRule="exact"/>
        <w:rPr>
          <w:sz w:val="20"/>
          <w:szCs w:val="20"/>
          <w:color w:val="auto"/>
        </w:rPr>
      </w:pPr>
    </w:p>
    <w:p>
      <w:pPr>
        <w:ind w:left="600" w:hanging="565"/>
        <w:spacing w:after="0"/>
        <w:tabs>
          <w:tab w:leader="none" w:pos="60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Ratification of the Company’s Independent Registered Public Accounting Firm</w:t>
      </w:r>
    </w:p>
    <w:p>
      <w:pPr>
        <w:spacing w:after="0" w:line="148" w:lineRule="exact"/>
        <w:rPr>
          <w:sz w:val="20"/>
          <w:szCs w:val="20"/>
          <w:color w:val="auto"/>
        </w:rPr>
      </w:pPr>
    </w:p>
    <w:p>
      <w:pPr>
        <w:spacing w:after="0"/>
        <w:rPr>
          <w:sz w:val="20"/>
          <w:szCs w:val="20"/>
          <w:color w:val="auto"/>
        </w:rPr>
      </w:pPr>
      <w:r>
        <w:rPr>
          <w:rFonts w:ascii="Arial" w:cs="Arial" w:eastAsia="Arial" w:hAnsi="Arial"/>
          <w:sz w:val="16"/>
          <w:szCs w:val="16"/>
          <w:color w:val="auto"/>
        </w:rPr>
        <w:t>Proposal two was the ratification of the appointment of KPMG LLP as the Company’s independent registered public accounting firm for the year ending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2020. The results of the vote were as follows:</w:t>
      </w: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6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6"/>
              </w:rPr>
              <w:t>For</w:t>
            </w:r>
          </w:p>
        </w:tc>
        <w:tc>
          <w:tcPr>
            <w:tcW w:w="2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Against</w:t>
            </w:r>
          </w:p>
        </w:tc>
        <w:tc>
          <w:tcPr>
            <w:tcW w:w="34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Abstain</w:t>
            </w:r>
          </w:p>
        </w:tc>
        <w:tc>
          <w:tcPr>
            <w:tcW w:w="2480" w:type="dxa"/>
            <w:vAlign w:val="bottom"/>
          </w:tcPr>
          <w:p>
            <w:pPr>
              <w:jc w:val="center"/>
              <w:spacing w:after="0"/>
              <w:rPr>
                <w:sz w:val="20"/>
                <w:szCs w:val="20"/>
                <w:color w:val="auto"/>
              </w:rPr>
            </w:pPr>
            <w:r>
              <w:rPr>
                <w:rFonts w:ascii="Arial" w:cs="Arial" w:eastAsia="Arial" w:hAnsi="Arial"/>
                <w:sz w:val="18"/>
                <w:szCs w:val="18"/>
                <w:b w:val="1"/>
                <w:bCs w:val="1"/>
                <w:color w:val="auto"/>
                <w:w w:val="92"/>
              </w:rPr>
              <w:t>Broker Non-Vote</w:t>
            </w:r>
          </w:p>
        </w:tc>
      </w:tr>
      <w:tr>
        <w:trPr>
          <w:trHeight w:val="27"/>
        </w:trPr>
        <w:tc>
          <w:tcPr>
            <w:tcW w:w="25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80" w:type="dxa"/>
            <w:vAlign w:val="bottom"/>
            <w:tcBorders>
              <w:bottom w:val="single" w:sz="8" w:color="auto"/>
            </w:tcBorders>
          </w:tcPr>
          <w:p>
            <w:pPr>
              <w:spacing w:after="0"/>
              <w:rPr>
                <w:sz w:val="2"/>
                <w:szCs w:val="2"/>
                <w:color w:val="auto"/>
              </w:rPr>
            </w:pPr>
          </w:p>
        </w:tc>
      </w:tr>
      <w:tr>
        <w:trPr>
          <w:trHeight w:val="237"/>
        </w:trPr>
        <w:tc>
          <w:tcPr>
            <w:tcW w:w="2500" w:type="dxa"/>
            <w:vAlign w:val="bottom"/>
          </w:tcPr>
          <w:p>
            <w:pPr>
              <w:jc w:val="right"/>
              <w:ind w:right="750"/>
              <w:spacing w:after="0"/>
              <w:rPr>
                <w:sz w:val="20"/>
                <w:szCs w:val="20"/>
                <w:color w:val="auto"/>
              </w:rPr>
            </w:pPr>
            <w:r>
              <w:rPr>
                <w:rFonts w:ascii="Arial" w:cs="Arial" w:eastAsia="Arial" w:hAnsi="Arial"/>
                <w:sz w:val="18"/>
                <w:szCs w:val="18"/>
                <w:color w:val="auto"/>
              </w:rPr>
              <w:t>71,282,893</w:t>
            </w:r>
          </w:p>
        </w:tc>
        <w:tc>
          <w:tcPr>
            <w:tcW w:w="120" w:type="dxa"/>
            <w:vAlign w:val="bottom"/>
          </w:tcPr>
          <w:p>
            <w:pPr>
              <w:spacing w:after="0"/>
              <w:rPr>
                <w:sz w:val="20"/>
                <w:szCs w:val="20"/>
                <w:color w:val="auto"/>
              </w:rPr>
            </w:pPr>
          </w:p>
        </w:tc>
        <w:tc>
          <w:tcPr>
            <w:tcW w:w="2580" w:type="dxa"/>
            <w:vAlign w:val="bottom"/>
          </w:tcPr>
          <w:p>
            <w:pPr>
              <w:jc w:val="right"/>
              <w:ind w:right="850"/>
              <w:spacing w:after="0"/>
              <w:rPr>
                <w:sz w:val="20"/>
                <w:szCs w:val="20"/>
                <w:color w:val="auto"/>
              </w:rPr>
            </w:pPr>
            <w:r>
              <w:rPr>
                <w:rFonts w:ascii="Arial" w:cs="Arial" w:eastAsia="Arial" w:hAnsi="Arial"/>
                <w:sz w:val="18"/>
                <w:szCs w:val="18"/>
                <w:color w:val="auto"/>
              </w:rPr>
              <w:t>1,774,262</w:t>
            </w:r>
          </w:p>
        </w:tc>
        <w:tc>
          <w:tcPr>
            <w:tcW w:w="100" w:type="dxa"/>
            <w:vAlign w:val="bottom"/>
          </w:tcPr>
          <w:p>
            <w:pPr>
              <w:spacing w:after="0"/>
              <w:rPr>
                <w:sz w:val="20"/>
                <w:szCs w:val="20"/>
                <w:color w:val="auto"/>
              </w:rPr>
            </w:pPr>
          </w:p>
        </w:tc>
        <w:tc>
          <w:tcPr>
            <w:tcW w:w="3360" w:type="dxa"/>
            <w:vAlign w:val="bottom"/>
          </w:tcPr>
          <w:p>
            <w:pPr>
              <w:jc w:val="right"/>
              <w:ind w:right="1350"/>
              <w:spacing w:after="0"/>
              <w:rPr>
                <w:sz w:val="20"/>
                <w:szCs w:val="20"/>
                <w:color w:val="auto"/>
              </w:rPr>
            </w:pPr>
            <w:r>
              <w:rPr>
                <w:rFonts w:ascii="Arial" w:cs="Arial" w:eastAsia="Arial" w:hAnsi="Arial"/>
                <w:sz w:val="18"/>
                <w:szCs w:val="18"/>
                <w:color w:val="auto"/>
              </w:rPr>
              <w:t>24,675</w:t>
            </w:r>
          </w:p>
        </w:tc>
        <w:tc>
          <w:tcPr>
            <w:tcW w:w="100" w:type="dxa"/>
            <w:vAlign w:val="bottom"/>
          </w:tcPr>
          <w:p>
            <w:pPr>
              <w:spacing w:after="0"/>
              <w:rPr>
                <w:sz w:val="20"/>
                <w:szCs w:val="20"/>
                <w:color w:val="auto"/>
              </w:rPr>
            </w:pPr>
          </w:p>
        </w:tc>
        <w:tc>
          <w:tcPr>
            <w:tcW w:w="2480" w:type="dxa"/>
            <w:vAlign w:val="bottom"/>
          </w:tcPr>
          <w:p>
            <w:pPr>
              <w:jc w:val="right"/>
              <w:ind w:right="1110"/>
              <w:spacing w:after="0"/>
              <w:rPr>
                <w:sz w:val="20"/>
                <w:szCs w:val="20"/>
                <w:color w:val="auto"/>
              </w:rPr>
            </w:pPr>
            <w:r>
              <w:rPr>
                <w:rFonts w:ascii="Arial" w:cs="Arial" w:eastAsia="Arial" w:hAnsi="Arial"/>
                <w:sz w:val="18"/>
                <w:szCs w:val="18"/>
                <w:color w:val="auto"/>
              </w:rPr>
              <w:t>0</w:t>
            </w: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Pursuant to the foregoing vote, the ratification of KPMG LLP as the Company’s independent registered public accounting firm for the year ending December 31, 2020 was approved.</w:t>
      </w:r>
    </w:p>
    <w:p>
      <w:pPr>
        <w:spacing w:after="0" w:line="369" w:lineRule="exact"/>
        <w:rPr>
          <w:sz w:val="20"/>
          <w:szCs w:val="20"/>
          <w:color w:val="auto"/>
        </w:rPr>
      </w:pPr>
    </w:p>
    <w:p>
      <w:pPr>
        <w:ind w:left="600" w:hanging="565"/>
        <w:spacing w:after="0"/>
        <w:tabs>
          <w:tab w:leader="none" w:pos="60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Advisory Vote on Named Executive Officer Compensation</w:t>
      </w:r>
    </w:p>
    <w:p>
      <w:pPr>
        <w:spacing w:after="0" w:line="148" w:lineRule="exact"/>
        <w:rPr>
          <w:sz w:val="20"/>
          <w:szCs w:val="20"/>
          <w:color w:val="auto"/>
        </w:rPr>
      </w:pPr>
    </w:p>
    <w:p>
      <w:pPr>
        <w:spacing w:after="0"/>
        <w:rPr>
          <w:sz w:val="20"/>
          <w:szCs w:val="20"/>
          <w:color w:val="auto"/>
        </w:rPr>
      </w:pPr>
      <w:r>
        <w:rPr>
          <w:rFonts w:ascii="Arial" w:cs="Arial" w:eastAsia="Arial" w:hAnsi="Arial"/>
          <w:sz w:val="16"/>
          <w:szCs w:val="16"/>
          <w:color w:val="auto"/>
        </w:rPr>
        <w:t>Proposal three was the approval, on an advisory basis, of the Company’s named executive officer compensation. The results of the vote were as follows:</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7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6"/>
              </w:rPr>
              <w:t>For</w:t>
            </w:r>
          </w:p>
        </w:tc>
        <w:tc>
          <w:tcPr>
            <w:tcW w:w="27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Against</w:t>
            </w:r>
          </w:p>
        </w:tc>
        <w:tc>
          <w:tcPr>
            <w:tcW w:w="3480" w:type="dxa"/>
            <w:vAlign w:val="bottom"/>
            <w:gridSpan w:val="2"/>
          </w:tcPr>
          <w:p>
            <w:pPr>
              <w:ind w:left="1380"/>
              <w:spacing w:after="0"/>
              <w:rPr>
                <w:sz w:val="20"/>
                <w:szCs w:val="20"/>
                <w:color w:val="auto"/>
              </w:rPr>
            </w:pPr>
            <w:r>
              <w:rPr>
                <w:rFonts w:ascii="Arial" w:cs="Arial" w:eastAsia="Arial" w:hAnsi="Arial"/>
                <w:sz w:val="18"/>
                <w:szCs w:val="18"/>
                <w:b w:val="1"/>
                <w:bCs w:val="1"/>
                <w:color w:val="auto"/>
              </w:rPr>
              <w:t>Abstain</w:t>
            </w:r>
          </w:p>
        </w:tc>
        <w:tc>
          <w:tcPr>
            <w:tcW w:w="2340" w:type="dxa"/>
            <w:vAlign w:val="bottom"/>
          </w:tcPr>
          <w:p>
            <w:pPr>
              <w:jc w:val="center"/>
              <w:spacing w:after="0"/>
              <w:rPr>
                <w:sz w:val="20"/>
                <w:szCs w:val="20"/>
                <w:color w:val="auto"/>
              </w:rPr>
            </w:pPr>
            <w:r>
              <w:rPr>
                <w:rFonts w:ascii="Arial" w:cs="Arial" w:eastAsia="Arial" w:hAnsi="Arial"/>
                <w:sz w:val="18"/>
                <w:szCs w:val="18"/>
                <w:b w:val="1"/>
                <w:bCs w:val="1"/>
                <w:color w:val="auto"/>
                <w:w w:val="92"/>
              </w:rPr>
              <w:t>Broker Non-Vote</w:t>
            </w:r>
          </w:p>
        </w:tc>
      </w:tr>
      <w:tr>
        <w:trPr>
          <w:trHeight w:val="27"/>
        </w:trPr>
        <w:tc>
          <w:tcPr>
            <w:tcW w:w="2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r>
      <w:tr>
        <w:trPr>
          <w:trHeight w:val="236"/>
        </w:trPr>
        <w:tc>
          <w:tcPr>
            <w:tcW w:w="2600" w:type="dxa"/>
            <w:vAlign w:val="bottom"/>
          </w:tcPr>
          <w:p>
            <w:pPr>
              <w:jc w:val="right"/>
              <w:ind w:right="810"/>
              <w:spacing w:after="0"/>
              <w:rPr>
                <w:sz w:val="20"/>
                <w:szCs w:val="20"/>
                <w:color w:val="auto"/>
              </w:rPr>
            </w:pPr>
            <w:r>
              <w:rPr>
                <w:rFonts w:ascii="Arial" w:cs="Arial" w:eastAsia="Arial" w:hAnsi="Arial"/>
                <w:sz w:val="18"/>
                <w:szCs w:val="18"/>
                <w:color w:val="auto"/>
              </w:rPr>
              <w:t>67,980,765</w:t>
            </w:r>
          </w:p>
        </w:tc>
        <w:tc>
          <w:tcPr>
            <w:tcW w:w="120" w:type="dxa"/>
            <w:vAlign w:val="bottom"/>
          </w:tcPr>
          <w:p>
            <w:pPr>
              <w:spacing w:after="0"/>
              <w:rPr>
                <w:sz w:val="20"/>
                <w:szCs w:val="20"/>
                <w:color w:val="auto"/>
              </w:rPr>
            </w:pPr>
          </w:p>
        </w:tc>
        <w:tc>
          <w:tcPr>
            <w:tcW w:w="2600" w:type="dxa"/>
            <w:vAlign w:val="bottom"/>
          </w:tcPr>
          <w:p>
            <w:pPr>
              <w:jc w:val="right"/>
              <w:ind w:right="850"/>
              <w:spacing w:after="0"/>
              <w:rPr>
                <w:sz w:val="20"/>
                <w:szCs w:val="20"/>
                <w:color w:val="auto"/>
              </w:rPr>
            </w:pPr>
            <w:r>
              <w:rPr>
                <w:rFonts w:ascii="Arial" w:cs="Arial" w:eastAsia="Arial" w:hAnsi="Arial"/>
                <w:sz w:val="18"/>
                <w:szCs w:val="18"/>
                <w:color w:val="auto"/>
              </w:rPr>
              <w:t>1,724,211</w:t>
            </w:r>
          </w:p>
        </w:tc>
        <w:tc>
          <w:tcPr>
            <w:tcW w:w="100" w:type="dxa"/>
            <w:vAlign w:val="bottom"/>
          </w:tcPr>
          <w:p>
            <w:pPr>
              <w:spacing w:after="0"/>
              <w:rPr>
                <w:sz w:val="20"/>
                <w:szCs w:val="20"/>
                <w:color w:val="auto"/>
              </w:rPr>
            </w:pPr>
          </w:p>
        </w:tc>
        <w:tc>
          <w:tcPr>
            <w:tcW w:w="3360" w:type="dxa"/>
            <w:vAlign w:val="bottom"/>
          </w:tcPr>
          <w:p>
            <w:pPr>
              <w:ind w:left="1380"/>
              <w:spacing w:after="0"/>
              <w:rPr>
                <w:sz w:val="20"/>
                <w:szCs w:val="20"/>
                <w:color w:val="auto"/>
              </w:rPr>
            </w:pPr>
            <w:r>
              <w:rPr>
                <w:rFonts w:ascii="Arial" w:cs="Arial" w:eastAsia="Arial" w:hAnsi="Arial"/>
                <w:sz w:val="18"/>
                <w:szCs w:val="18"/>
                <w:color w:val="auto"/>
              </w:rPr>
              <w:t>166,028</w:t>
            </w:r>
          </w:p>
        </w:tc>
        <w:tc>
          <w:tcPr>
            <w:tcW w:w="120" w:type="dxa"/>
            <w:vAlign w:val="bottom"/>
          </w:tcPr>
          <w:p>
            <w:pPr>
              <w:spacing w:after="0"/>
              <w:rPr>
                <w:sz w:val="20"/>
                <w:szCs w:val="20"/>
                <w:color w:val="auto"/>
              </w:rPr>
            </w:pPr>
          </w:p>
        </w:tc>
        <w:tc>
          <w:tcPr>
            <w:tcW w:w="2340" w:type="dxa"/>
            <w:vAlign w:val="bottom"/>
          </w:tcPr>
          <w:p>
            <w:pPr>
              <w:jc w:val="right"/>
              <w:ind w:right="730"/>
              <w:spacing w:after="0"/>
              <w:rPr>
                <w:sz w:val="20"/>
                <w:szCs w:val="20"/>
                <w:color w:val="auto"/>
              </w:rPr>
            </w:pPr>
            <w:r>
              <w:rPr>
                <w:rFonts w:ascii="Arial" w:cs="Arial" w:eastAsia="Arial" w:hAnsi="Arial"/>
                <w:sz w:val="18"/>
                <w:szCs w:val="18"/>
                <w:color w:val="auto"/>
              </w:rPr>
              <w:t>3,210,826</w:t>
            </w:r>
          </w:p>
        </w:tc>
      </w:tr>
    </w:tbl>
    <w:p>
      <w:pPr>
        <w:sectPr>
          <w:pgSz w:w="11900" w:h="16838" w:orient="portrait"/>
          <w:cols w:equalWidth="0" w:num="1">
            <w:col w:w="11240"/>
          </w:cols>
          <w:pgMar w:left="320" w:top="715" w:right="339" w:bottom="1440" w:gutter="0" w:footer="0" w:header="0"/>
        </w:sectPr>
      </w:pPr>
    </w:p>
    <w:bookmarkStart w:id="2" w:name="page3"/>
    <w:bookmarkEnd w:id="2"/>
    <w:p>
      <w:pPr>
        <w:ind w:right="20"/>
        <w:spacing w:after="0" w:line="277" w:lineRule="auto"/>
        <w:rPr>
          <w:sz w:val="20"/>
          <w:szCs w:val="20"/>
          <w:color w:val="auto"/>
        </w:rPr>
      </w:pPr>
      <w:r>
        <w:rPr>
          <w:rFonts w:ascii="Arial" w:cs="Arial" w:eastAsia="Arial" w:hAnsi="Arial"/>
          <w:sz w:val="18"/>
          <w:szCs w:val="18"/>
          <w:color w:val="auto"/>
        </w:rPr>
        <w:t>Pursuant to the foregoing vote, the stockholders adopted a non-binding resolution indicating their approval of the Company’s named executive officer compensation.</w:t>
      </w:r>
    </w:p>
    <w:p>
      <w:pPr>
        <w:spacing w:after="0" w:line="200" w:lineRule="exact"/>
        <w:rPr>
          <w:sz w:val="20"/>
          <w:szCs w:val="20"/>
          <w:color w:val="auto"/>
        </w:rPr>
      </w:pPr>
    </w:p>
    <w:p>
      <w:pPr>
        <w:spacing w:after="0" w:line="344" w:lineRule="exact"/>
        <w:rPr>
          <w:sz w:val="20"/>
          <w:szCs w:val="20"/>
          <w:color w:val="auto"/>
        </w:rPr>
      </w:pPr>
    </w:p>
    <w:p>
      <w:pPr>
        <w:ind w:left="40"/>
        <w:spacing w:after="0"/>
        <w:tabs>
          <w:tab w:leader="none" w:pos="114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7"/>
          <w:szCs w:val="17"/>
          <w:b w:val="1"/>
          <w:bCs w:val="1"/>
          <w:color w:val="auto"/>
        </w:rPr>
        <w:t>Other Matters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On April 30, 2020, the Board approved the following updates to its committee assignments: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940" w:type="dxa"/>
            <w:vAlign w:val="bottom"/>
            <w:gridSpan w:val="2"/>
          </w:tcPr>
          <w:p>
            <w:pPr>
              <w:ind w:left="40"/>
              <w:spacing w:after="0"/>
              <w:rPr>
                <w:sz w:val="20"/>
                <w:szCs w:val="20"/>
                <w:color w:val="auto"/>
              </w:rPr>
            </w:pPr>
            <w:r>
              <w:rPr>
                <w:rFonts w:ascii="Arial" w:cs="Arial" w:eastAsia="Arial" w:hAnsi="Arial"/>
                <w:sz w:val="18"/>
                <w:szCs w:val="18"/>
                <w:b w:val="1"/>
                <w:bCs w:val="1"/>
                <w:color w:val="auto"/>
              </w:rPr>
              <w:t>Audit Committee</w:t>
            </w:r>
          </w:p>
        </w:tc>
        <w:tc>
          <w:tcPr>
            <w:tcW w:w="2920" w:type="dxa"/>
            <w:vAlign w:val="bottom"/>
            <w:gridSpan w:val="2"/>
          </w:tcPr>
          <w:p>
            <w:pPr>
              <w:ind w:left="20"/>
              <w:spacing w:after="0"/>
              <w:rPr>
                <w:sz w:val="20"/>
                <w:szCs w:val="20"/>
                <w:color w:val="auto"/>
              </w:rPr>
            </w:pPr>
            <w:r>
              <w:rPr>
                <w:rFonts w:ascii="Arial" w:cs="Arial" w:eastAsia="Arial" w:hAnsi="Arial"/>
                <w:sz w:val="18"/>
                <w:szCs w:val="18"/>
                <w:b w:val="1"/>
                <w:bCs w:val="1"/>
                <w:color w:val="auto"/>
              </w:rPr>
              <w:t>Compensation Committee</w:t>
            </w:r>
          </w:p>
        </w:tc>
        <w:tc>
          <w:tcPr>
            <w:tcW w:w="5380" w:type="dxa"/>
            <w:vAlign w:val="bottom"/>
          </w:tcPr>
          <w:p>
            <w:pPr>
              <w:ind w:left="20"/>
              <w:spacing w:after="0"/>
              <w:rPr>
                <w:sz w:val="20"/>
                <w:szCs w:val="20"/>
                <w:color w:val="auto"/>
              </w:rPr>
            </w:pPr>
            <w:r>
              <w:rPr>
                <w:rFonts w:ascii="Arial" w:cs="Arial" w:eastAsia="Arial" w:hAnsi="Arial"/>
                <w:sz w:val="18"/>
                <w:szCs w:val="18"/>
                <w:b w:val="1"/>
                <w:bCs w:val="1"/>
                <w:color w:val="auto"/>
              </w:rPr>
              <w:t>Nominating &amp; Corporate Governance Committee</w:t>
            </w:r>
          </w:p>
        </w:tc>
      </w:tr>
      <w:tr>
        <w:trPr>
          <w:trHeight w:val="27"/>
        </w:trPr>
        <w:tc>
          <w:tcPr>
            <w:tcW w:w="270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27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5380" w:type="dxa"/>
            <w:vAlign w:val="bottom"/>
            <w:tcBorders>
              <w:bottom w:val="single" w:sz="8" w:color="auto"/>
            </w:tcBorders>
          </w:tcPr>
          <w:p>
            <w:pPr>
              <w:spacing w:after="0"/>
              <w:rPr>
                <w:sz w:val="2"/>
                <w:szCs w:val="2"/>
                <w:color w:val="auto"/>
              </w:rPr>
            </w:pPr>
          </w:p>
        </w:tc>
      </w:tr>
      <w:tr>
        <w:trPr>
          <w:trHeight w:val="237"/>
        </w:trPr>
        <w:tc>
          <w:tcPr>
            <w:tcW w:w="2940" w:type="dxa"/>
            <w:vAlign w:val="bottom"/>
            <w:gridSpan w:val="2"/>
          </w:tcPr>
          <w:p>
            <w:pPr>
              <w:ind w:left="40"/>
              <w:spacing w:after="0"/>
              <w:rPr>
                <w:sz w:val="20"/>
                <w:szCs w:val="20"/>
                <w:color w:val="auto"/>
              </w:rPr>
            </w:pPr>
            <w:r>
              <w:rPr>
                <w:rFonts w:ascii="Arial" w:cs="Arial" w:eastAsia="Arial" w:hAnsi="Arial"/>
                <w:sz w:val="18"/>
                <w:szCs w:val="18"/>
                <w:color w:val="auto"/>
              </w:rPr>
              <w:t>Fran Rathke (Chair)</w:t>
            </w:r>
          </w:p>
        </w:tc>
        <w:tc>
          <w:tcPr>
            <w:tcW w:w="2920" w:type="dxa"/>
            <w:vAlign w:val="bottom"/>
            <w:gridSpan w:val="2"/>
          </w:tcPr>
          <w:p>
            <w:pPr>
              <w:ind w:left="20"/>
              <w:spacing w:after="0"/>
              <w:rPr>
                <w:sz w:val="20"/>
                <w:szCs w:val="20"/>
                <w:color w:val="auto"/>
              </w:rPr>
            </w:pPr>
            <w:r>
              <w:rPr>
                <w:rFonts w:ascii="Arial" w:cs="Arial" w:eastAsia="Arial" w:hAnsi="Arial"/>
                <w:sz w:val="18"/>
                <w:szCs w:val="18"/>
                <w:color w:val="auto"/>
              </w:rPr>
              <w:t>Stephen Spinelli, Jr. (Chair)</w:t>
            </w:r>
          </w:p>
        </w:tc>
        <w:tc>
          <w:tcPr>
            <w:tcW w:w="5380" w:type="dxa"/>
            <w:vAlign w:val="bottom"/>
          </w:tcPr>
          <w:p>
            <w:pPr>
              <w:ind w:left="20"/>
              <w:spacing w:after="0"/>
              <w:rPr>
                <w:sz w:val="20"/>
                <w:szCs w:val="20"/>
                <w:color w:val="auto"/>
              </w:rPr>
            </w:pPr>
            <w:r>
              <w:rPr>
                <w:rFonts w:ascii="Arial" w:cs="Arial" w:eastAsia="Arial" w:hAnsi="Arial"/>
                <w:sz w:val="18"/>
                <w:szCs w:val="18"/>
                <w:color w:val="auto"/>
              </w:rPr>
              <w:t>Cammie Dunaway (Chair)</w:t>
            </w:r>
          </w:p>
        </w:tc>
      </w:tr>
      <w:tr>
        <w:trPr>
          <w:trHeight w:val="270"/>
        </w:trPr>
        <w:tc>
          <w:tcPr>
            <w:tcW w:w="2940" w:type="dxa"/>
            <w:vAlign w:val="bottom"/>
            <w:gridSpan w:val="2"/>
          </w:tcPr>
          <w:p>
            <w:pPr>
              <w:ind w:left="40"/>
              <w:spacing w:after="0"/>
              <w:rPr>
                <w:sz w:val="20"/>
                <w:szCs w:val="20"/>
                <w:color w:val="auto"/>
              </w:rPr>
            </w:pPr>
            <w:r>
              <w:rPr>
                <w:rFonts w:ascii="Arial" w:cs="Arial" w:eastAsia="Arial" w:hAnsi="Arial"/>
                <w:sz w:val="18"/>
                <w:szCs w:val="18"/>
                <w:color w:val="auto"/>
              </w:rPr>
              <w:t>Stephen Spinelli, Jr.</w:t>
            </w:r>
          </w:p>
        </w:tc>
        <w:tc>
          <w:tcPr>
            <w:tcW w:w="2920" w:type="dxa"/>
            <w:vAlign w:val="bottom"/>
            <w:gridSpan w:val="2"/>
          </w:tcPr>
          <w:p>
            <w:pPr>
              <w:ind w:left="20"/>
              <w:spacing w:after="0"/>
              <w:rPr>
                <w:sz w:val="20"/>
                <w:szCs w:val="20"/>
                <w:color w:val="auto"/>
              </w:rPr>
            </w:pPr>
            <w:r>
              <w:rPr>
                <w:rFonts w:ascii="Arial" w:cs="Arial" w:eastAsia="Arial" w:hAnsi="Arial"/>
                <w:sz w:val="18"/>
                <w:szCs w:val="18"/>
                <w:color w:val="auto"/>
              </w:rPr>
              <w:t>Fran Rathke</w:t>
            </w:r>
          </w:p>
        </w:tc>
        <w:tc>
          <w:tcPr>
            <w:tcW w:w="5380" w:type="dxa"/>
            <w:vAlign w:val="bottom"/>
          </w:tcPr>
          <w:p>
            <w:pPr>
              <w:ind w:left="20"/>
              <w:spacing w:after="0"/>
              <w:rPr>
                <w:sz w:val="20"/>
                <w:szCs w:val="20"/>
                <w:color w:val="auto"/>
              </w:rPr>
            </w:pPr>
            <w:r>
              <w:rPr>
                <w:rFonts w:ascii="Arial" w:cs="Arial" w:eastAsia="Arial" w:hAnsi="Arial"/>
                <w:sz w:val="18"/>
                <w:szCs w:val="18"/>
                <w:color w:val="auto"/>
              </w:rPr>
              <w:t>Stephen Spinelli, Jr.</w:t>
            </w:r>
          </w:p>
        </w:tc>
      </w:tr>
      <w:tr>
        <w:trPr>
          <w:trHeight w:val="270"/>
        </w:trPr>
        <w:tc>
          <w:tcPr>
            <w:tcW w:w="2940" w:type="dxa"/>
            <w:vAlign w:val="bottom"/>
            <w:gridSpan w:val="2"/>
          </w:tcPr>
          <w:p>
            <w:pPr>
              <w:ind w:left="40"/>
              <w:spacing w:after="0"/>
              <w:rPr>
                <w:sz w:val="20"/>
                <w:szCs w:val="20"/>
                <w:color w:val="auto"/>
              </w:rPr>
            </w:pPr>
            <w:r>
              <w:rPr>
                <w:rFonts w:ascii="Arial" w:cs="Arial" w:eastAsia="Arial" w:hAnsi="Arial"/>
                <w:sz w:val="18"/>
                <w:szCs w:val="18"/>
                <w:color w:val="auto"/>
              </w:rPr>
              <w:t>Enshalla Anderson</w:t>
            </w:r>
          </w:p>
        </w:tc>
        <w:tc>
          <w:tcPr>
            <w:tcW w:w="2920" w:type="dxa"/>
            <w:vAlign w:val="bottom"/>
            <w:gridSpan w:val="2"/>
          </w:tcPr>
          <w:p>
            <w:pPr>
              <w:ind w:left="20"/>
              <w:spacing w:after="0"/>
              <w:rPr>
                <w:sz w:val="20"/>
                <w:szCs w:val="20"/>
                <w:color w:val="auto"/>
              </w:rPr>
            </w:pPr>
            <w:r>
              <w:rPr>
                <w:rFonts w:ascii="Arial" w:cs="Arial" w:eastAsia="Arial" w:hAnsi="Arial"/>
                <w:sz w:val="18"/>
                <w:szCs w:val="18"/>
                <w:color w:val="auto"/>
              </w:rPr>
              <w:t>Cammie Dunaway</w:t>
            </w:r>
          </w:p>
        </w:tc>
        <w:tc>
          <w:tcPr>
            <w:tcW w:w="5380" w:type="dxa"/>
            <w:vAlign w:val="bottom"/>
          </w:tcPr>
          <w:p>
            <w:pPr>
              <w:ind w:left="20"/>
              <w:spacing w:after="0"/>
              <w:rPr>
                <w:sz w:val="20"/>
                <w:szCs w:val="20"/>
                <w:color w:val="auto"/>
              </w:rPr>
            </w:pPr>
            <w:r>
              <w:rPr>
                <w:rFonts w:ascii="Arial" w:cs="Arial" w:eastAsia="Arial" w:hAnsi="Arial"/>
                <w:sz w:val="18"/>
                <w:szCs w:val="18"/>
                <w:color w:val="auto"/>
              </w:rPr>
              <w:t>Enshalla Anderson</w:t>
            </w:r>
          </w:p>
        </w:tc>
      </w:tr>
    </w:tbl>
    <w:p>
      <w:pPr>
        <w:sectPr>
          <w:pgSz w:w="11900" w:h="16838" w:orient="portrait"/>
          <w:cols w:equalWidth="0" w:num="1">
            <w:col w:w="11240"/>
          </w:cols>
          <w:pgMar w:left="320" w:top="773" w:right="339" w:bottom="1440" w:gutter="0" w:footer="0" w:header="0"/>
        </w:sectPr>
      </w:pPr>
    </w:p>
    <w:bookmarkStart w:id="3" w:name="page4"/>
    <w:bookmarkEnd w:id="3"/>
    <w:p>
      <w:pPr>
        <w:ind w:left="5100"/>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PLANET FITNESS, INC.</w:t>
      </w:r>
    </w:p>
    <w:p>
      <w:pPr>
        <w:spacing w:after="0" w:line="216" w:lineRule="exact"/>
        <w:rPr>
          <w:sz w:val="20"/>
          <w:szCs w:val="20"/>
          <w:color w:val="auto"/>
        </w:rPr>
      </w:pPr>
    </w:p>
    <w:tbl>
      <w:tblPr>
        <w:tblLayout w:type="fixed"/>
        <w:tblInd w:w="3120" w:type="dxa"/>
        <w:tblCellMar>
          <w:top w:w="0" w:type="dxa"/>
          <w:left w:w="0" w:type="dxa"/>
          <w:bottom w:w="0" w:type="dxa"/>
          <w:right w:w="0" w:type="dxa"/>
        </w:tblCellMar>
      </w:tblPr>
      <w:tr>
        <w:trPr>
          <w:trHeight w:val="230"/>
        </w:trPr>
        <w:tc>
          <w:tcPr>
            <w:tcW w:w="720" w:type="dxa"/>
            <w:vAlign w:val="bottom"/>
          </w:tcPr>
          <w:p>
            <w:pPr>
              <w:ind w:left="40"/>
              <w:spacing w:after="0"/>
              <w:rPr>
                <w:sz w:val="20"/>
                <w:szCs w:val="20"/>
                <w:color w:val="auto"/>
              </w:rPr>
            </w:pPr>
            <w:r>
              <w:rPr>
                <w:rFonts w:ascii="Arial" w:cs="Arial" w:eastAsia="Arial" w:hAnsi="Arial"/>
                <w:sz w:val="18"/>
                <w:szCs w:val="18"/>
                <w:color w:val="auto"/>
              </w:rPr>
              <w:t>By:</w:t>
            </w:r>
          </w:p>
        </w:tc>
        <w:tc>
          <w:tcPr>
            <w:tcW w:w="4280" w:type="dxa"/>
            <w:vAlign w:val="bottom"/>
          </w:tcPr>
          <w:p>
            <w:pPr>
              <w:ind w:left="220"/>
              <w:spacing w:after="0"/>
              <w:rPr>
                <w:sz w:val="20"/>
                <w:szCs w:val="20"/>
                <w:color w:val="auto"/>
              </w:rPr>
            </w:pPr>
            <w:r>
              <w:rPr>
                <w:rFonts w:ascii="Arial" w:cs="Arial" w:eastAsia="Arial" w:hAnsi="Arial"/>
                <w:sz w:val="18"/>
                <w:szCs w:val="18"/>
                <w:color w:val="auto"/>
              </w:rPr>
              <w:t>/s/ Thomas Fitzgerald</w:t>
            </w:r>
          </w:p>
        </w:tc>
      </w:tr>
      <w:tr>
        <w:trPr>
          <w:trHeight w:val="27"/>
        </w:trPr>
        <w:tc>
          <w:tcPr>
            <w:tcW w:w="72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tcPr>
          <w:p>
            <w:pPr>
              <w:spacing w:after="0"/>
              <w:rPr>
                <w:sz w:val="2"/>
                <w:szCs w:val="2"/>
                <w:color w:val="auto"/>
              </w:rPr>
            </w:pPr>
          </w:p>
        </w:tc>
      </w:tr>
      <w:tr>
        <w:trPr>
          <w:trHeight w:val="222"/>
        </w:trPr>
        <w:tc>
          <w:tcPr>
            <w:tcW w:w="720" w:type="dxa"/>
            <w:vAlign w:val="bottom"/>
          </w:tcPr>
          <w:p>
            <w:pPr>
              <w:ind w:left="40"/>
              <w:spacing w:after="0"/>
              <w:rPr>
                <w:sz w:val="20"/>
                <w:szCs w:val="20"/>
                <w:color w:val="auto"/>
              </w:rPr>
            </w:pPr>
            <w:r>
              <w:rPr>
                <w:rFonts w:ascii="Arial" w:cs="Arial" w:eastAsia="Arial" w:hAnsi="Arial"/>
                <w:sz w:val="18"/>
                <w:szCs w:val="18"/>
                <w:color w:val="auto"/>
              </w:rPr>
              <w:t>Name:</w:t>
            </w:r>
          </w:p>
        </w:tc>
        <w:tc>
          <w:tcPr>
            <w:tcW w:w="4280" w:type="dxa"/>
            <w:vAlign w:val="bottom"/>
          </w:tcPr>
          <w:p>
            <w:pPr>
              <w:ind w:left="220"/>
              <w:spacing w:after="0"/>
              <w:rPr>
                <w:sz w:val="20"/>
                <w:szCs w:val="20"/>
                <w:color w:val="auto"/>
              </w:rPr>
            </w:pPr>
            <w:r>
              <w:rPr>
                <w:rFonts w:ascii="Arial" w:cs="Arial" w:eastAsia="Arial" w:hAnsi="Arial"/>
                <w:sz w:val="18"/>
                <w:szCs w:val="18"/>
                <w:color w:val="auto"/>
              </w:rPr>
              <w:t>Thomas Fitzgerald</w:t>
            </w:r>
          </w:p>
        </w:tc>
      </w:tr>
      <w:tr>
        <w:trPr>
          <w:trHeight w:val="230"/>
        </w:trPr>
        <w:tc>
          <w:tcPr>
            <w:tcW w:w="720" w:type="dxa"/>
            <w:vAlign w:val="bottom"/>
          </w:tcPr>
          <w:p>
            <w:pPr>
              <w:ind w:left="40"/>
              <w:spacing w:after="0"/>
              <w:rPr>
                <w:sz w:val="20"/>
                <w:szCs w:val="20"/>
                <w:color w:val="auto"/>
              </w:rPr>
            </w:pPr>
            <w:r>
              <w:rPr>
                <w:rFonts w:ascii="Arial" w:cs="Arial" w:eastAsia="Arial" w:hAnsi="Arial"/>
                <w:sz w:val="18"/>
                <w:szCs w:val="18"/>
                <w:color w:val="auto"/>
              </w:rPr>
              <w:t>Title:</w:t>
            </w:r>
          </w:p>
        </w:tc>
        <w:tc>
          <w:tcPr>
            <w:tcW w:w="4280" w:type="dxa"/>
            <w:vAlign w:val="bottom"/>
          </w:tcPr>
          <w:p>
            <w:pPr>
              <w:ind w:left="220"/>
              <w:spacing w:after="0"/>
              <w:rPr>
                <w:sz w:val="20"/>
                <w:szCs w:val="20"/>
                <w:color w:val="auto"/>
              </w:rPr>
            </w:pPr>
            <w:r>
              <w:rPr>
                <w:rFonts w:ascii="Arial" w:cs="Arial" w:eastAsia="Arial" w:hAnsi="Arial"/>
                <w:sz w:val="18"/>
                <w:szCs w:val="18"/>
                <w:color w:val="auto"/>
              </w:rPr>
              <w:t>Chief Financial Officer</w:t>
            </w:r>
          </w:p>
        </w:tc>
      </w:tr>
    </w:tbl>
    <w:p>
      <w:pPr>
        <w:spacing w:after="0" w:line="13"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Dated: May 6, 2020</w:t>
      </w:r>
    </w:p>
    <w:sectPr>
      <w:pgSz w:w="11900" w:h="16838" w:orient="portrait"/>
      <w:cols w:equalWidth="0" w:num="1">
        <w:col w:w="10340"/>
      </w:cols>
      <w:pgMar w:left="320" w:top="1066" w:right="1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1."/>
      <w:numFmt w:val="decimal"/>
      <w:start w:val="2"/>
    </w:lvl>
  </w:abstractNum>
  <w:abstractNum w:abstractNumId="3">
    <w:nsid w:val="625558EC"/>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2020-05-06T15:29:26Z</dcterms:created>
  <dcterms:modified xsi:type="dcterms:W3CDTF">2020-05-06T15:29:26Z</dcterms:modified>
</cp:coreProperties>
</file>