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421"/>
        </w:trPr>
        <w:tc>
          <w:tcPr>
            <w:tcW w:w="358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Arial" w:cs="Arial" w:eastAsia="Arial" w:hAnsi="Arial"/>
                <w:sz w:val="32"/>
                <w:szCs w:val="32"/>
                <w:b w:val="1"/>
                <w:bCs w:val="1"/>
                <w:color w:val="auto"/>
              </w:rPr>
              <w:t>FORM 8-K</w:t>
            </w:r>
          </w:p>
        </w:tc>
        <w:tc>
          <w:tcPr>
            <w:tcW w:w="3440" w:type="dxa"/>
            <w:vAlign w:val="bottom"/>
          </w:tcPr>
          <w:p>
            <w:pPr>
              <w:spacing w:after="0"/>
              <w:rPr>
                <w:sz w:val="24"/>
                <w:szCs w:val="24"/>
                <w:color w:val="auto"/>
              </w:rPr>
            </w:pPr>
          </w:p>
        </w:tc>
      </w:tr>
      <w:tr>
        <w:trPr>
          <w:trHeight w:val="696"/>
        </w:trPr>
        <w:tc>
          <w:tcPr>
            <w:tcW w:w="3580" w:type="dxa"/>
            <w:vAlign w:val="bottom"/>
          </w:tcPr>
          <w:p>
            <w:pPr>
              <w:spacing w:after="0"/>
              <w:rPr>
                <w:sz w:val="24"/>
                <w:szCs w:val="24"/>
                <w:color w:val="auto"/>
              </w:rPr>
            </w:pPr>
          </w:p>
        </w:tc>
        <w:tc>
          <w:tcPr>
            <w:tcW w:w="4400" w:type="dxa"/>
            <w:vAlign w:val="bottom"/>
          </w:tcPr>
          <w:p>
            <w:pPr>
              <w:jc w:val="center"/>
              <w:ind w:right="22"/>
              <w:spacing w:after="0"/>
              <w:rPr>
                <w:sz w:val="20"/>
                <w:szCs w:val="20"/>
                <w:color w:val="auto"/>
              </w:rPr>
            </w:pPr>
            <w:r>
              <w:rPr>
                <w:rFonts w:ascii="Arial" w:cs="Arial" w:eastAsia="Arial" w:hAnsi="Arial"/>
                <w:sz w:val="18"/>
                <w:szCs w:val="18"/>
                <w:b w:val="1"/>
                <w:bCs w:val="1"/>
                <w:color w:val="auto"/>
                <w:w w:val="99"/>
              </w:rPr>
              <w:t>CURRENT REPORT</w:t>
            </w:r>
          </w:p>
        </w:tc>
        <w:tc>
          <w:tcPr>
            <w:tcW w:w="3440" w:type="dxa"/>
            <w:vAlign w:val="bottom"/>
          </w:tcPr>
          <w:p>
            <w:pPr>
              <w:spacing w:after="0"/>
              <w:rPr>
                <w:sz w:val="24"/>
                <w:szCs w:val="24"/>
                <w:color w:val="auto"/>
              </w:rPr>
            </w:pPr>
          </w:p>
        </w:tc>
      </w:tr>
      <w:tr>
        <w:trPr>
          <w:trHeight w:val="216"/>
        </w:trPr>
        <w:tc>
          <w:tcPr>
            <w:tcW w:w="3580" w:type="dxa"/>
            <w:vAlign w:val="bottom"/>
          </w:tcPr>
          <w:p>
            <w:pPr>
              <w:spacing w:after="0"/>
              <w:rPr>
                <w:sz w:val="18"/>
                <w:szCs w:val="18"/>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Pursuant to Section 13 or 15(d) of</w:t>
            </w:r>
          </w:p>
        </w:tc>
        <w:tc>
          <w:tcPr>
            <w:tcW w:w="3440" w:type="dxa"/>
            <w:vAlign w:val="bottom"/>
          </w:tcPr>
          <w:p>
            <w:pPr>
              <w:spacing w:after="0"/>
              <w:rPr>
                <w:sz w:val="18"/>
                <w:szCs w:val="18"/>
                <w:color w:val="auto"/>
              </w:rPr>
            </w:pPr>
          </w:p>
        </w:tc>
      </w:tr>
      <w:tr>
        <w:trPr>
          <w:trHeight w:val="234"/>
        </w:trPr>
        <w:tc>
          <w:tcPr>
            <w:tcW w:w="3580" w:type="dxa"/>
            <w:vAlign w:val="bottom"/>
          </w:tcPr>
          <w:p>
            <w:pPr>
              <w:spacing w:after="0"/>
              <w:rPr>
                <w:sz w:val="20"/>
                <w:szCs w:val="20"/>
                <w:color w:val="auto"/>
              </w:rPr>
            </w:pPr>
          </w:p>
        </w:tc>
        <w:tc>
          <w:tcPr>
            <w:tcW w:w="4400" w:type="dxa"/>
            <w:vAlign w:val="bottom"/>
          </w:tcPr>
          <w:p>
            <w:pPr>
              <w:jc w:val="center"/>
              <w:ind w:right="22"/>
              <w:spacing w:after="0"/>
              <w:rPr>
                <w:sz w:val="20"/>
                <w:szCs w:val="20"/>
                <w:color w:val="auto"/>
              </w:rPr>
            </w:pPr>
            <w:r>
              <w:rPr>
                <w:rFonts w:ascii="Arial" w:cs="Arial" w:eastAsia="Arial" w:hAnsi="Arial"/>
                <w:sz w:val="18"/>
                <w:szCs w:val="18"/>
                <w:b w:val="1"/>
                <w:bCs w:val="1"/>
                <w:color w:val="auto"/>
                <w:w w:val="89"/>
              </w:rPr>
              <w:t>The Securities Exchange Act of 1934</w:t>
            </w:r>
          </w:p>
        </w:tc>
        <w:tc>
          <w:tcPr>
            <w:tcW w:w="3440" w:type="dxa"/>
            <w:vAlign w:val="bottom"/>
          </w:tcPr>
          <w:p>
            <w:pPr>
              <w:spacing w:after="0"/>
              <w:rPr>
                <w:sz w:val="20"/>
                <w:szCs w:val="20"/>
                <w:color w:val="auto"/>
              </w:rPr>
            </w:pPr>
          </w:p>
        </w:tc>
      </w:tr>
      <w:tr>
        <w:trPr>
          <w:trHeight w:val="432"/>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0"/>
              </w:rPr>
              <w:t>November 7, 2019</w:t>
            </w:r>
          </w:p>
        </w:tc>
        <w:tc>
          <w:tcPr>
            <w:tcW w:w="3440" w:type="dxa"/>
            <w:vAlign w:val="bottom"/>
          </w:tcPr>
          <w:p>
            <w:pPr>
              <w:spacing w:after="0"/>
              <w:rPr>
                <w:sz w:val="24"/>
                <w:szCs w:val="24"/>
                <w:color w:val="auto"/>
              </w:rPr>
            </w:pPr>
          </w:p>
        </w:tc>
      </w:tr>
      <w:tr>
        <w:trPr>
          <w:trHeight w:val="257"/>
        </w:trPr>
        <w:tc>
          <w:tcPr>
            <w:tcW w:w="3580" w:type="dxa"/>
            <w:vAlign w:val="bottom"/>
          </w:tcPr>
          <w:p>
            <w:pPr>
              <w:spacing w:after="0"/>
              <w:rPr>
                <w:sz w:val="22"/>
                <w:szCs w:val="22"/>
                <w:color w:val="auto"/>
              </w:rPr>
            </w:pPr>
          </w:p>
        </w:tc>
        <w:tc>
          <w:tcPr>
            <w:tcW w:w="4400" w:type="dxa"/>
            <w:vAlign w:val="bottom"/>
          </w:tcPr>
          <w:p>
            <w:pPr>
              <w:ind w:left="260"/>
              <w:spacing w:after="0"/>
              <w:rPr>
                <w:sz w:val="20"/>
                <w:szCs w:val="20"/>
                <w:color w:val="auto"/>
              </w:rPr>
            </w:pPr>
            <w:r>
              <w:rPr>
                <w:rFonts w:ascii="Arial" w:cs="Arial" w:eastAsia="Arial" w:hAnsi="Arial"/>
                <w:sz w:val="18"/>
                <w:szCs w:val="18"/>
                <w:b w:val="1"/>
                <w:bCs w:val="1"/>
                <w:color w:val="auto"/>
              </w:rPr>
              <w:t>Date of Report (Date of earliest event reported)</w:t>
            </w:r>
          </w:p>
        </w:tc>
        <w:tc>
          <w:tcPr>
            <w:tcW w:w="3440" w:type="dxa"/>
            <w:vAlign w:val="bottom"/>
          </w:tcPr>
          <w:p>
            <w:pPr>
              <w:spacing w:after="0"/>
              <w:rPr>
                <w:sz w:val="22"/>
                <w:szCs w:val="22"/>
                <w:color w:val="auto"/>
              </w:rPr>
            </w:pPr>
          </w:p>
        </w:tc>
      </w:tr>
      <w:tr>
        <w:trPr>
          <w:trHeight w:val="604"/>
        </w:trPr>
        <w:tc>
          <w:tcPr>
            <w:tcW w:w="358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Arial" w:cs="Arial" w:eastAsia="Arial" w:hAnsi="Arial"/>
                <w:sz w:val="40"/>
                <w:szCs w:val="40"/>
                <w:b w:val="1"/>
                <w:bCs w:val="1"/>
                <w:color w:val="auto"/>
                <w:w w:val="88"/>
              </w:rPr>
              <w:t>Planet Fitness, Inc.</w:t>
            </w:r>
          </w:p>
        </w:tc>
        <w:tc>
          <w:tcPr>
            <w:tcW w:w="3440" w:type="dxa"/>
            <w:vAlign w:val="bottom"/>
          </w:tcPr>
          <w:p>
            <w:pPr>
              <w:spacing w:after="0"/>
              <w:rPr>
                <w:sz w:val="24"/>
                <w:szCs w:val="24"/>
                <w:color w:val="auto"/>
              </w:rPr>
            </w:pPr>
          </w:p>
        </w:tc>
      </w:tr>
      <w:tr>
        <w:trPr>
          <w:trHeight w:val="316"/>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440" w:type="dxa"/>
            <w:vAlign w:val="bottom"/>
          </w:tcPr>
          <w:p>
            <w:pPr>
              <w:spacing w:after="0"/>
              <w:rPr>
                <w:sz w:val="24"/>
                <w:szCs w:val="24"/>
                <w:color w:val="auto"/>
              </w:rPr>
            </w:pPr>
          </w:p>
        </w:tc>
      </w:tr>
      <w:tr>
        <w:trPr>
          <w:trHeight w:val="647"/>
        </w:trPr>
        <w:tc>
          <w:tcPr>
            <w:tcW w:w="3580" w:type="dxa"/>
            <w:vAlign w:val="bottom"/>
          </w:tcPr>
          <w:p>
            <w:pPr>
              <w:jc w:val="center"/>
              <w:ind w:left="239"/>
              <w:spacing w:after="0"/>
              <w:rPr>
                <w:sz w:val="20"/>
                <w:szCs w:val="20"/>
                <w:color w:val="auto"/>
              </w:rPr>
            </w:pPr>
            <w:r>
              <w:rPr>
                <w:rFonts w:ascii="Arial" w:cs="Arial" w:eastAsia="Arial" w:hAnsi="Arial"/>
                <w:sz w:val="18"/>
                <w:szCs w:val="18"/>
                <w:b w:val="1"/>
                <w:bCs w:val="1"/>
                <w:color w:val="auto"/>
                <w:w w:val="93"/>
              </w:rPr>
              <w:t>Delaware</w:t>
            </w:r>
          </w:p>
        </w:tc>
        <w:tc>
          <w:tcPr>
            <w:tcW w:w="4400" w:type="dxa"/>
            <w:vAlign w:val="bottom"/>
          </w:tcPr>
          <w:p>
            <w:pPr>
              <w:jc w:val="right"/>
              <w:ind w:right="1642"/>
              <w:spacing w:after="0"/>
              <w:rPr>
                <w:sz w:val="20"/>
                <w:szCs w:val="20"/>
                <w:color w:val="auto"/>
              </w:rPr>
            </w:pPr>
            <w:r>
              <w:rPr>
                <w:rFonts w:ascii="Arial" w:cs="Arial" w:eastAsia="Arial" w:hAnsi="Arial"/>
                <w:sz w:val="18"/>
                <w:szCs w:val="18"/>
                <w:b w:val="1"/>
                <w:bCs w:val="1"/>
                <w:color w:val="auto"/>
              </w:rPr>
              <w:t>001-37534</w:t>
            </w:r>
          </w:p>
        </w:tc>
        <w:tc>
          <w:tcPr>
            <w:tcW w:w="3440" w:type="dxa"/>
            <w:vAlign w:val="bottom"/>
          </w:tcPr>
          <w:p>
            <w:pPr>
              <w:jc w:val="right"/>
              <w:ind w:right="1299"/>
              <w:spacing w:after="0"/>
              <w:rPr>
                <w:sz w:val="20"/>
                <w:szCs w:val="20"/>
                <w:color w:val="auto"/>
              </w:rPr>
            </w:pPr>
            <w:r>
              <w:rPr>
                <w:rFonts w:ascii="Arial" w:cs="Arial" w:eastAsia="Arial" w:hAnsi="Arial"/>
                <w:sz w:val="18"/>
                <w:szCs w:val="18"/>
                <w:b w:val="1"/>
                <w:bCs w:val="1"/>
                <w:color w:val="auto"/>
              </w:rPr>
              <w:t>38-3942097</w:t>
            </w:r>
          </w:p>
        </w:tc>
      </w:tr>
      <w:tr>
        <w:trPr>
          <w:trHeight w:val="27"/>
        </w:trPr>
        <w:tc>
          <w:tcPr>
            <w:tcW w:w="3580" w:type="dxa"/>
            <w:vAlign w:val="bottom"/>
            <w:tcBorders>
              <w:bottom w:val="single" w:sz="8" w:color="auto"/>
            </w:tcBorders>
          </w:tcPr>
          <w:p>
            <w:pPr>
              <w:spacing w:after="0"/>
              <w:rPr>
                <w:sz w:val="2"/>
                <w:szCs w:val="2"/>
                <w:color w:val="auto"/>
              </w:rPr>
            </w:pPr>
          </w:p>
        </w:tc>
        <w:tc>
          <w:tcPr>
            <w:tcW w:w="4400" w:type="dxa"/>
            <w:vAlign w:val="bottom"/>
            <w:tcBorders>
              <w:bottom w:val="single" w:sz="8" w:color="auto"/>
            </w:tcBorders>
          </w:tcPr>
          <w:p>
            <w:pPr>
              <w:spacing w:after="0"/>
              <w:rPr>
                <w:sz w:val="2"/>
                <w:szCs w:val="2"/>
                <w:color w:val="auto"/>
              </w:rPr>
            </w:pPr>
          </w:p>
        </w:tc>
        <w:tc>
          <w:tcPr>
            <w:tcW w:w="3440" w:type="dxa"/>
            <w:vAlign w:val="bottom"/>
            <w:tcBorders>
              <w:bottom w:val="single" w:sz="8" w:color="auto"/>
            </w:tcBorders>
          </w:tcPr>
          <w:p>
            <w:pPr>
              <w:spacing w:after="0"/>
              <w:rPr>
                <w:sz w:val="2"/>
                <w:szCs w:val="2"/>
                <w:color w:val="auto"/>
              </w:rPr>
            </w:pPr>
          </w:p>
        </w:tc>
      </w:tr>
      <w:tr>
        <w:trPr>
          <w:trHeight w:val="184"/>
        </w:trPr>
        <w:tc>
          <w:tcPr>
            <w:tcW w:w="3580" w:type="dxa"/>
            <w:vAlign w:val="bottom"/>
          </w:tcPr>
          <w:p>
            <w:pPr>
              <w:jc w:val="center"/>
              <w:ind w:left="239"/>
              <w:spacing w:after="0"/>
              <w:rPr>
                <w:sz w:val="20"/>
                <w:szCs w:val="20"/>
                <w:color w:val="auto"/>
              </w:rPr>
            </w:pPr>
            <w:r>
              <w:rPr>
                <w:rFonts w:ascii="Arial" w:cs="Arial" w:eastAsia="Arial" w:hAnsi="Arial"/>
                <w:sz w:val="14"/>
                <w:szCs w:val="14"/>
                <w:b w:val="1"/>
                <w:bCs w:val="1"/>
                <w:color w:val="auto"/>
                <w:w w:val="94"/>
              </w:rPr>
              <w:t>(State or other jurisdiction of incorporation)</w:t>
            </w:r>
          </w:p>
        </w:tc>
        <w:tc>
          <w:tcPr>
            <w:tcW w:w="4400" w:type="dxa"/>
            <w:vAlign w:val="bottom"/>
          </w:tcPr>
          <w:p>
            <w:pPr>
              <w:jc w:val="center"/>
              <w:ind w:left="22"/>
              <w:spacing w:after="0"/>
              <w:rPr>
                <w:sz w:val="20"/>
                <w:szCs w:val="20"/>
                <w:color w:val="auto"/>
              </w:rPr>
            </w:pPr>
            <w:r>
              <w:rPr>
                <w:rFonts w:ascii="Arial" w:cs="Arial" w:eastAsia="Arial" w:hAnsi="Arial"/>
                <w:sz w:val="14"/>
                <w:szCs w:val="14"/>
                <w:b w:val="1"/>
                <w:bCs w:val="1"/>
                <w:color w:val="auto"/>
                <w:w w:val="94"/>
              </w:rPr>
              <w:t>(Commission File Number)</w:t>
            </w:r>
          </w:p>
        </w:tc>
        <w:tc>
          <w:tcPr>
            <w:tcW w:w="3440" w:type="dxa"/>
            <w:vAlign w:val="bottom"/>
          </w:tcPr>
          <w:p>
            <w:pPr>
              <w:jc w:val="center"/>
              <w:ind w:right="11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26"/>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2"/>
              </w:rPr>
              <w:t>4 Liberty Lane West</w:t>
            </w:r>
          </w:p>
        </w:tc>
        <w:tc>
          <w:tcPr>
            <w:tcW w:w="3440" w:type="dxa"/>
            <w:vAlign w:val="bottom"/>
          </w:tcPr>
          <w:p>
            <w:pPr>
              <w:spacing w:after="0"/>
              <w:rPr>
                <w:sz w:val="24"/>
                <w:szCs w:val="24"/>
                <w:color w:val="auto"/>
              </w:rPr>
            </w:pPr>
          </w:p>
        </w:tc>
      </w:tr>
      <w:tr>
        <w:trPr>
          <w:trHeight w:val="212"/>
        </w:trPr>
        <w:tc>
          <w:tcPr>
            <w:tcW w:w="3580" w:type="dxa"/>
            <w:vAlign w:val="bottom"/>
          </w:tcPr>
          <w:p>
            <w:pPr>
              <w:spacing w:after="0"/>
              <w:rPr>
                <w:sz w:val="18"/>
                <w:szCs w:val="18"/>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3"/>
              </w:rPr>
              <w:t xml:space="preserve">Hampton, NH </w:t>
            </w:r>
            <w:r>
              <w:rPr>
                <w:rFonts w:ascii="Arial" w:cs="Arial" w:eastAsia="Arial" w:hAnsi="Arial"/>
                <w:sz w:val="18"/>
                <w:szCs w:val="18"/>
                <w:color w:val="auto"/>
                <w:w w:val="93"/>
              </w:rPr>
              <w:t>03842</w:t>
            </w:r>
          </w:p>
        </w:tc>
        <w:tc>
          <w:tcPr>
            <w:tcW w:w="3440" w:type="dxa"/>
            <w:vAlign w:val="bottom"/>
          </w:tcPr>
          <w:p>
            <w:pPr>
              <w:spacing w:after="0"/>
              <w:rPr>
                <w:sz w:val="18"/>
                <w:szCs w:val="18"/>
                <w:color w:val="auto"/>
              </w:rPr>
            </w:pPr>
          </w:p>
        </w:tc>
      </w:tr>
      <w:tr>
        <w:trPr>
          <w:trHeight w:val="162"/>
        </w:trPr>
        <w:tc>
          <w:tcPr>
            <w:tcW w:w="3580" w:type="dxa"/>
            <w:vAlign w:val="bottom"/>
          </w:tcPr>
          <w:p>
            <w:pPr>
              <w:spacing w:after="0"/>
              <w:rPr>
                <w:sz w:val="14"/>
                <w:szCs w:val="14"/>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440" w:type="dxa"/>
            <w:vAlign w:val="bottom"/>
          </w:tcPr>
          <w:p>
            <w:pPr>
              <w:spacing w:after="0"/>
              <w:rPr>
                <w:sz w:val="14"/>
                <w:szCs w:val="14"/>
                <w:color w:val="auto"/>
              </w:rPr>
            </w:pPr>
          </w:p>
        </w:tc>
      </w:tr>
      <w:tr>
        <w:trPr>
          <w:trHeight w:val="186"/>
        </w:trPr>
        <w:tc>
          <w:tcPr>
            <w:tcW w:w="3580" w:type="dxa"/>
            <w:vAlign w:val="bottom"/>
          </w:tcPr>
          <w:p>
            <w:pPr>
              <w:spacing w:after="0"/>
              <w:rPr>
                <w:sz w:val="16"/>
                <w:szCs w:val="16"/>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5"/>
              </w:rPr>
              <w:t>(Zip Code)</w:t>
            </w:r>
          </w:p>
        </w:tc>
        <w:tc>
          <w:tcPr>
            <w:tcW w:w="3440" w:type="dxa"/>
            <w:vAlign w:val="bottom"/>
          </w:tcPr>
          <w:p>
            <w:pPr>
              <w:spacing w:after="0"/>
              <w:rPr>
                <w:sz w:val="16"/>
                <w:szCs w:val="16"/>
                <w:color w:val="auto"/>
              </w:rPr>
            </w:pPr>
          </w:p>
        </w:tc>
      </w:tr>
    </w:tbl>
    <w:p>
      <w:pPr>
        <w:spacing w:after="0" w:line="196"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4" w:lineRule="exact"/>
        <w:rPr>
          <w:sz w:val="24"/>
          <w:szCs w:val="24"/>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19" w:lineRule="exact"/>
        <w:rPr>
          <w:rFonts w:ascii="MS PGothic" w:cs="MS PGothic" w:eastAsia="MS PGothic" w:hAnsi="MS PGothic"/>
          <w:sz w:val="18"/>
          <w:szCs w:val="18"/>
          <w:color w:val="auto"/>
        </w:rPr>
      </w:pPr>
    </w:p>
    <w:p>
      <w:pPr>
        <w:ind w:right="2480" w:firstLine="35"/>
        <w:spacing w:after="0" w:line="527" w:lineRule="auto"/>
        <w:tabs>
          <w:tab w:leader="none" w:pos="48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 Securities registered pursuant to Section 12(b) of the Exchange act:</w:t>
      </w:r>
    </w:p>
    <w:tbl>
      <w:tblPr>
        <w:tblLayout w:type="fixed"/>
        <w:tblInd w:w="10" w:type="dxa"/>
        <w:tblCellMar>
          <w:top w:w="0" w:type="dxa"/>
          <w:left w:w="0" w:type="dxa"/>
          <w:bottom w:w="0" w:type="dxa"/>
          <w:right w:w="0" w:type="dxa"/>
        </w:tblCellMar>
      </w:tblPr>
      <w:tr>
        <w:trPr>
          <w:trHeight w:val="237"/>
        </w:trPr>
        <w:tc>
          <w:tcPr>
            <w:tcW w:w="448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5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44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4480" w:type="dxa"/>
            <w:vAlign w:val="bottom"/>
            <w:tcBorders>
              <w:left w:val="single" w:sz="8" w:color="auto"/>
              <w:bottom w:val="single" w:sz="8" w:color="auto"/>
              <w:right w:val="single" w:sz="8" w:color="auto"/>
            </w:tcBorders>
          </w:tcPr>
          <w:p>
            <w:pPr>
              <w:spacing w:after="0"/>
              <w:rPr>
                <w:sz w:val="2"/>
                <w:szCs w:val="2"/>
                <w:color w:val="auto"/>
              </w:rPr>
            </w:pPr>
          </w:p>
        </w:tc>
        <w:tc>
          <w:tcPr>
            <w:tcW w:w="2520" w:type="dxa"/>
            <w:vAlign w:val="bottom"/>
            <w:tcBorders>
              <w:bottom w:val="single" w:sz="8" w:color="auto"/>
              <w:right w:val="single" w:sz="8" w:color="auto"/>
            </w:tcBorders>
          </w:tcPr>
          <w:p>
            <w:pPr>
              <w:spacing w:after="0"/>
              <w:rPr>
                <w:sz w:val="2"/>
                <w:szCs w:val="2"/>
                <w:color w:val="auto"/>
              </w:rPr>
            </w:pPr>
          </w:p>
        </w:tc>
        <w:tc>
          <w:tcPr>
            <w:tcW w:w="4440" w:type="dxa"/>
            <w:vAlign w:val="bottom"/>
            <w:tcBorders>
              <w:bottom w:val="single" w:sz="8" w:color="auto"/>
              <w:right w:val="single" w:sz="8" w:color="auto"/>
            </w:tcBorders>
          </w:tcPr>
          <w:p>
            <w:pPr>
              <w:spacing w:after="0"/>
              <w:rPr>
                <w:sz w:val="2"/>
                <w:szCs w:val="2"/>
                <w:color w:val="auto"/>
              </w:rPr>
            </w:pPr>
          </w:p>
        </w:tc>
      </w:tr>
      <w:tr>
        <w:trPr>
          <w:trHeight w:val="237"/>
        </w:trPr>
        <w:tc>
          <w:tcPr>
            <w:tcW w:w="44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5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PLNT</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4480" w:type="dxa"/>
            <w:vAlign w:val="bottom"/>
            <w:tcBorders>
              <w:left w:val="single" w:sz="8" w:color="auto"/>
              <w:bottom w:val="single" w:sz="8" w:color="auto"/>
              <w:right w:val="single" w:sz="8" w:color="auto"/>
            </w:tcBorders>
          </w:tcPr>
          <w:p>
            <w:pPr>
              <w:spacing w:after="0"/>
              <w:rPr>
                <w:sz w:val="2"/>
                <w:szCs w:val="2"/>
                <w:color w:val="auto"/>
              </w:rPr>
            </w:pPr>
          </w:p>
        </w:tc>
        <w:tc>
          <w:tcPr>
            <w:tcW w:w="2520" w:type="dxa"/>
            <w:vAlign w:val="bottom"/>
            <w:tcBorders>
              <w:bottom w:val="single" w:sz="8" w:color="auto"/>
              <w:right w:val="single" w:sz="8" w:color="auto"/>
            </w:tcBorders>
          </w:tcPr>
          <w:p>
            <w:pPr>
              <w:spacing w:after="0"/>
              <w:rPr>
                <w:sz w:val="2"/>
                <w:szCs w:val="2"/>
                <w:color w:val="auto"/>
              </w:rPr>
            </w:pPr>
          </w:p>
        </w:tc>
        <w:tc>
          <w:tcPr>
            <w:tcW w:w="444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4"/>
          <w:szCs w:val="24"/>
          <w:color w:val="auto"/>
        </w:rPr>
      </w:pPr>
    </w:p>
    <w:p>
      <w:pPr>
        <w:spacing w:after="0" w:line="218"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jc w:val="both"/>
        <w:ind w:right="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684" w:right="219" w:bottom="1440" w:gutter="0" w:footer="0" w:header="0"/>
        </w:sectPr>
      </w:pPr>
    </w:p>
    <w:bookmarkStart w:id="1" w:name="page2"/>
    <w:bookmarkEnd w:id="1"/>
    <w:p>
      <w:pPr>
        <w:ind w:left="40"/>
        <w:spacing w:after="0"/>
        <w:tabs>
          <w:tab w:leader="none" w:pos="106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color w:val="auto"/>
        </w:rPr>
        <w:t>On November 7, 2019, Planet Fitness, Inc. (the “Company”) issued a press release announcing its financial results for the quarter ended September 30, 2019.</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 copy of this press release is being furnished as Exhibit 99.1 to this Current Report on Form 8-K and is incorporated by reference into this Item 2.02.</w:t>
      </w:r>
    </w:p>
    <w:p>
      <w:pPr>
        <w:spacing w:after="0" w:line="222"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In accordance with General Instruction B.2 of Form 8-K, the information in this Current Report on Form 8-K, including Exhibit 99.1, shall not be deemed “filed” for the purpose of Section 18 of the Securities Exchange Act of 1934 or otherwise subject to the liabilities of that section, nor shall it be deemed incorporated by reference in any filing under the Securities Act of 1933.</w:t>
      </w:r>
    </w:p>
    <w:p>
      <w:pPr>
        <w:spacing w:after="0" w:line="200" w:lineRule="exact"/>
        <w:rPr>
          <w:sz w:val="20"/>
          <w:szCs w:val="20"/>
          <w:color w:val="auto"/>
        </w:rPr>
      </w:pPr>
    </w:p>
    <w:p>
      <w:pPr>
        <w:spacing w:after="0" w:line="301" w:lineRule="exact"/>
        <w:rPr>
          <w:sz w:val="20"/>
          <w:szCs w:val="20"/>
          <w:color w:val="auto"/>
        </w:rPr>
      </w:pPr>
    </w:p>
    <w:p>
      <w:pPr>
        <w:ind w:left="40"/>
        <w:spacing w:after="0"/>
        <w:tabs>
          <w:tab w:leader="none" w:pos="10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324" w:lineRule="exact"/>
        <w:rPr>
          <w:sz w:val="20"/>
          <w:szCs w:val="20"/>
          <w:color w:val="auto"/>
        </w:rPr>
      </w:pPr>
    </w:p>
    <w:p>
      <w:pPr>
        <w:ind w:left="500" w:hanging="465"/>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7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Exhibit No.</w:t>
            </w:r>
          </w:p>
        </w:tc>
        <w:tc>
          <w:tcPr>
            <w:tcW w:w="96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Description</w:t>
            </w:r>
          </w:p>
        </w:tc>
      </w:tr>
      <w:tr>
        <w:trPr>
          <w:trHeight w:val="351"/>
        </w:trPr>
        <w:tc>
          <w:tcPr>
            <w:tcW w:w="1760" w:type="dxa"/>
            <w:vAlign w:val="bottom"/>
          </w:tcPr>
          <w:p>
            <w:pPr>
              <w:ind w:left="40"/>
              <w:spacing w:after="0"/>
              <w:rPr>
                <w:sz w:val="20"/>
                <w:szCs w:val="20"/>
                <w:color w:val="auto"/>
              </w:rPr>
            </w:pPr>
            <w:r>
              <w:rPr>
                <w:rFonts w:ascii="Arial" w:cs="Arial" w:eastAsia="Arial" w:hAnsi="Arial"/>
                <w:sz w:val="18"/>
                <w:szCs w:val="18"/>
                <w:color w:val="auto"/>
              </w:rPr>
              <w:t>99.1</w:t>
            </w:r>
          </w:p>
        </w:tc>
        <w:tc>
          <w:tcPr>
            <w:tcW w:w="2800" w:type="dxa"/>
            <w:vAlign w:val="bottom"/>
            <w:tcBorders>
              <w:bottom w:val="single" w:sz="8" w:color="0000FF"/>
            </w:tcBorders>
          </w:tcPr>
          <w:p>
            <w:pPr>
              <w:spacing w:after="0"/>
              <w:rPr>
                <w:sz w:val="20"/>
                <w:szCs w:val="20"/>
                <w:color w:val="auto"/>
              </w:rPr>
            </w:pPr>
            <w:r>
              <w:rPr>
                <w:rFonts w:ascii="Arial" w:cs="Arial" w:eastAsia="Arial" w:hAnsi="Arial"/>
                <w:sz w:val="18"/>
                <w:szCs w:val="18"/>
                <w:color w:val="0000FF"/>
                <w:w w:val="86"/>
              </w:rPr>
              <w:t>Press Release dated November 7, 2019</w:t>
            </w:r>
          </w:p>
        </w:tc>
        <w:tc>
          <w:tcPr>
            <w:tcW w:w="6860" w:type="dxa"/>
            <w:vAlign w:val="bottom"/>
          </w:tcPr>
          <w:p>
            <w:pPr>
              <w:spacing w:after="0"/>
              <w:rPr>
                <w:sz w:val="24"/>
                <w:szCs w:val="24"/>
                <w:color w:val="auto"/>
              </w:rPr>
            </w:pPr>
          </w:p>
        </w:tc>
      </w:tr>
      <w:tr>
        <w:trPr>
          <w:trHeight w:val="291"/>
        </w:trPr>
        <w:tc>
          <w:tcPr>
            <w:tcW w:w="1760" w:type="dxa"/>
            <w:vAlign w:val="bottom"/>
          </w:tcPr>
          <w:p>
            <w:pPr>
              <w:ind w:left="40"/>
              <w:spacing w:after="0"/>
              <w:rPr>
                <w:sz w:val="20"/>
                <w:szCs w:val="20"/>
                <w:color w:val="auto"/>
              </w:rPr>
            </w:pPr>
            <w:r>
              <w:rPr>
                <w:rFonts w:ascii="Arial" w:cs="Arial" w:eastAsia="Arial" w:hAnsi="Arial"/>
                <w:sz w:val="18"/>
                <w:szCs w:val="18"/>
                <w:color w:val="auto"/>
              </w:rPr>
              <w:t>104</w:t>
            </w:r>
          </w:p>
        </w:tc>
        <w:tc>
          <w:tcPr>
            <w:tcW w:w="9660" w:type="dxa"/>
            <w:vAlign w:val="bottom"/>
            <w:gridSpan w:val="2"/>
          </w:tcPr>
          <w:p>
            <w:pPr>
              <w:spacing w:after="0"/>
              <w:rPr>
                <w:sz w:val="20"/>
                <w:szCs w:val="20"/>
                <w:color w:val="auto"/>
              </w:rPr>
            </w:pPr>
            <w:r>
              <w:rPr>
                <w:rFonts w:ascii="Arial" w:cs="Arial" w:eastAsia="Arial" w:hAnsi="Arial"/>
                <w:sz w:val="18"/>
                <w:szCs w:val="18"/>
                <w:color w:val="auto"/>
              </w:rPr>
              <w:t>The cover page from this Current Report on Form 8-K, formatted in Inline XBRL (included as Exhibit 101)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200"/>
        <w:spacing w:after="0"/>
        <w:rPr>
          <w:sz w:val="20"/>
          <w:szCs w:val="20"/>
          <w:color w:val="auto"/>
        </w:rPr>
      </w:pPr>
      <w:r>
        <w:rPr>
          <w:rFonts w:ascii="Arial" w:cs="Arial" w:eastAsia="Arial" w:hAnsi="Arial"/>
          <w:sz w:val="18"/>
          <w:szCs w:val="18"/>
          <w:b w:val="1"/>
          <w:bCs w:val="1"/>
          <w:color w:val="auto"/>
        </w:rPr>
        <w:t>PLANET FITNESS, INC.</w:t>
      </w:r>
    </w:p>
    <w:p>
      <w:pPr>
        <w:spacing w:after="0" w:line="216" w:lineRule="exact"/>
        <w:rPr>
          <w:sz w:val="20"/>
          <w:szCs w:val="20"/>
          <w:color w:val="auto"/>
        </w:rPr>
      </w:pPr>
    </w:p>
    <w:tbl>
      <w:tblPr>
        <w:tblLayout w:type="fixed"/>
        <w:tblInd w:w="3180" w:type="dxa"/>
        <w:tblCellMar>
          <w:top w:w="0" w:type="dxa"/>
          <w:left w:w="0" w:type="dxa"/>
          <w:bottom w:w="0" w:type="dxa"/>
          <w:right w:w="0" w:type="dxa"/>
        </w:tblCellMar>
      </w:tblP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By:</w:t>
            </w:r>
          </w:p>
        </w:tc>
        <w:tc>
          <w:tcPr>
            <w:tcW w:w="4360" w:type="dxa"/>
            <w:vAlign w:val="bottom"/>
          </w:tcPr>
          <w:p>
            <w:pPr>
              <w:ind w:left="220"/>
              <w:spacing w:after="0"/>
              <w:rPr>
                <w:sz w:val="20"/>
                <w:szCs w:val="20"/>
                <w:color w:val="auto"/>
              </w:rPr>
            </w:pPr>
            <w:r>
              <w:rPr>
                <w:rFonts w:ascii="Arial" w:cs="Arial" w:eastAsia="Arial" w:hAnsi="Arial"/>
                <w:sz w:val="18"/>
                <w:szCs w:val="18"/>
                <w:color w:val="auto"/>
              </w:rPr>
              <w:t>/s/ Dorvin Lively</w:t>
            </w:r>
          </w:p>
        </w:tc>
      </w:tr>
      <w:tr>
        <w:trPr>
          <w:trHeight w:val="27"/>
        </w:trPr>
        <w:tc>
          <w:tcPr>
            <w:tcW w:w="72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r>
        <w:trPr>
          <w:trHeight w:val="222"/>
        </w:trPr>
        <w:tc>
          <w:tcPr>
            <w:tcW w:w="720" w:type="dxa"/>
            <w:vAlign w:val="bottom"/>
          </w:tcPr>
          <w:p>
            <w:pPr>
              <w:ind w:left="20"/>
              <w:spacing w:after="0"/>
              <w:rPr>
                <w:sz w:val="20"/>
                <w:szCs w:val="20"/>
                <w:color w:val="auto"/>
              </w:rPr>
            </w:pPr>
            <w:r>
              <w:rPr>
                <w:rFonts w:ascii="Arial" w:cs="Arial" w:eastAsia="Arial" w:hAnsi="Arial"/>
                <w:sz w:val="18"/>
                <w:szCs w:val="18"/>
                <w:color w:val="auto"/>
              </w:rPr>
              <w:t>Name:</w:t>
            </w:r>
          </w:p>
        </w:tc>
        <w:tc>
          <w:tcPr>
            <w:tcW w:w="4360" w:type="dxa"/>
            <w:vAlign w:val="bottom"/>
          </w:tcPr>
          <w:p>
            <w:pPr>
              <w:ind w:left="220"/>
              <w:spacing w:after="0"/>
              <w:rPr>
                <w:sz w:val="20"/>
                <w:szCs w:val="20"/>
                <w:color w:val="auto"/>
              </w:rPr>
            </w:pPr>
            <w:r>
              <w:rPr>
                <w:rFonts w:ascii="Arial" w:cs="Arial" w:eastAsia="Arial" w:hAnsi="Arial"/>
                <w:sz w:val="18"/>
                <w:szCs w:val="18"/>
                <w:color w:val="auto"/>
              </w:rPr>
              <w:t>Dorvin Lively</w:t>
            </w:r>
          </w:p>
        </w:tc>
      </w:t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Title:</w:t>
            </w:r>
          </w:p>
        </w:tc>
        <w:tc>
          <w:tcPr>
            <w:tcW w:w="4360" w:type="dxa"/>
            <w:vAlign w:val="bottom"/>
          </w:tcPr>
          <w:p>
            <w:pPr>
              <w:ind w:left="220"/>
              <w:spacing w:after="0"/>
              <w:rPr>
                <w:sz w:val="20"/>
                <w:szCs w:val="20"/>
                <w:color w:val="auto"/>
              </w:rPr>
            </w:pPr>
            <w:r>
              <w:rPr>
                <w:rFonts w:ascii="Arial" w:cs="Arial" w:eastAsia="Arial" w:hAnsi="Arial"/>
                <w:sz w:val="18"/>
                <w:szCs w:val="18"/>
                <w:color w:val="auto"/>
              </w:rPr>
              <w:t>President and Chief Financial Officer</w:t>
            </w:r>
          </w:p>
        </w:tc>
      </w:tr>
    </w:tbl>
    <w:p>
      <w:pPr>
        <w:spacing w:after="0" w:line="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November 7, 2019</w:t>
      </w:r>
    </w:p>
    <w:p>
      <w:pPr>
        <w:sectPr>
          <w:pgSz w:w="11900" w:h="16838" w:orient="portrait"/>
          <w:cols w:equalWidth="0" w:num="1">
            <w:col w:w="11420"/>
          </w:cols>
          <w:pgMar w:left="240" w:top="742"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99.1</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Planet Fitness, Inc. Announces Third Quarter 2019 Results</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System-Wide Same Store Sales Increased 7.9%</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41 New Planet Fitness Stores Opened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Raises Full Year Outlook</w:t>
      </w:r>
    </w:p>
    <w:p>
      <w:pPr>
        <w:spacing w:after="0" w:line="103" w:lineRule="exact"/>
        <w:rPr>
          <w:sz w:val="20"/>
          <w:szCs w:val="20"/>
          <w:color w:val="auto"/>
        </w:rPr>
      </w:pPr>
    </w:p>
    <w:p>
      <w:pPr>
        <w:spacing w:after="0"/>
        <w:rPr>
          <w:sz w:val="20"/>
          <w:szCs w:val="20"/>
          <w:color w:val="auto"/>
        </w:rPr>
      </w:pPr>
      <w:r>
        <w:rPr>
          <w:rFonts w:ascii="Arial" w:cs="Arial" w:eastAsia="Arial" w:hAnsi="Arial"/>
          <w:sz w:val="17"/>
          <w:szCs w:val="17"/>
          <w:color w:val="auto"/>
        </w:rPr>
        <w:t>Hampton, NH, November 7, 2019 - Today, Planet Fitness, Inc. (NYSE:PLNT) reported financial results for its third quarter ended September 30, 2019.</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Third Quarter Fiscal 2019 Highlights</w:t>
      </w:r>
    </w:p>
    <w:p>
      <w:pPr>
        <w:spacing w:after="0" w:line="229" w:lineRule="exact"/>
        <w:rPr>
          <w:sz w:val="20"/>
          <w:szCs w:val="20"/>
          <w:color w:val="auto"/>
        </w:rPr>
      </w:pPr>
    </w:p>
    <w:p>
      <w:pPr>
        <w:ind w:left="660" w:hanging="328"/>
        <w:spacing w:after="0"/>
        <w:tabs>
          <w:tab w:leader="none" w:pos="660" w:val="left"/>
        </w:tabs>
        <w:numPr>
          <w:ilvl w:val="1"/>
          <w:numId w:val="3"/>
        </w:numPr>
        <w:rPr>
          <w:rFonts w:ascii="Arial" w:cs="Arial" w:eastAsia="Arial" w:hAnsi="Arial"/>
          <w:sz w:val="18"/>
          <w:szCs w:val="18"/>
          <w:b w:val="1"/>
          <w:bCs w:val="1"/>
          <w:color w:val="auto"/>
        </w:rPr>
      </w:pPr>
      <w:r>
        <w:rPr>
          <w:rFonts w:ascii="Arial" w:cs="Arial" w:eastAsia="Arial" w:hAnsi="Arial"/>
          <w:sz w:val="18"/>
          <w:szCs w:val="18"/>
          <w:color w:val="auto"/>
        </w:rPr>
        <w:t>Total revenue increased from the prior year period by 22.1% to $166.8 million.</w:t>
      </w:r>
    </w:p>
    <w:p>
      <w:pPr>
        <w:spacing w:after="0" w:line="225" w:lineRule="exact"/>
        <w:rPr>
          <w:rFonts w:ascii="Arial" w:cs="Arial" w:eastAsia="Arial" w:hAnsi="Arial"/>
          <w:sz w:val="18"/>
          <w:szCs w:val="18"/>
          <w:b w:val="1"/>
          <w:bCs w:val="1"/>
          <w:color w:val="auto"/>
        </w:rPr>
      </w:pPr>
    </w:p>
    <w:p>
      <w:pPr>
        <w:ind w:left="660" w:hanging="328"/>
        <w:spacing w:after="0"/>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System-wide same store sales increased 7.9%.</w:t>
      </w:r>
    </w:p>
    <w:p>
      <w:pPr>
        <w:spacing w:after="0" w:line="225" w:lineRule="exact"/>
        <w:rPr>
          <w:rFonts w:ascii="Arial" w:cs="Arial" w:eastAsia="Arial" w:hAnsi="Arial"/>
          <w:sz w:val="18"/>
          <w:szCs w:val="18"/>
          <w:color w:val="auto"/>
        </w:rPr>
      </w:pPr>
    </w:p>
    <w:p>
      <w:pPr>
        <w:ind w:left="660" w:right="220" w:hanging="328"/>
        <w:spacing w:after="0" w:line="277" w:lineRule="auto"/>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Net income attributable to Planet Fitness, Inc. was $25.8 million, or $0.31 per diluted share, compared to net income attributable to Planet Fitness, Inc. of $17.5 million, or $0.20 per diluted share in the prior year period.</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Net income increased 45.0% to $29.7 million, compared to net income of $20.5 million in the prior year period.</w:t>
      </w:r>
    </w:p>
    <w:p>
      <w:pPr>
        <w:spacing w:after="0" w:line="117" w:lineRule="exact"/>
        <w:rPr>
          <w:rFonts w:ascii="Arial" w:cs="Arial" w:eastAsia="Arial" w:hAnsi="Arial"/>
          <w:sz w:val="18"/>
          <w:szCs w:val="18"/>
          <w:color w:val="auto"/>
        </w:rPr>
      </w:pPr>
    </w:p>
    <w:p>
      <w:pPr>
        <w:ind w:left="660" w:right="380" w:hanging="328"/>
        <w:spacing w:after="0" w:line="216" w:lineRule="auto"/>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Adjusted net income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19.5% to $33.1 million, or $0.36 per diluted share, compared to $27.7 million, or $0.28 per diluted share in the prior year period.</w:t>
      </w:r>
    </w:p>
    <w:p>
      <w:pPr>
        <w:spacing w:after="0" w:line="95" w:lineRule="exact"/>
        <w:rPr>
          <w:rFonts w:ascii="Arial" w:cs="Arial" w:eastAsia="Arial" w:hAnsi="Arial"/>
          <w:sz w:val="18"/>
          <w:szCs w:val="18"/>
          <w:color w:val="auto"/>
        </w:rPr>
      </w:pPr>
    </w:p>
    <w:p>
      <w:pPr>
        <w:ind w:left="660" w:hanging="328"/>
        <w:spacing w:after="0"/>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Adjusted EBITDA</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increased 22.2% to $65.7 million from $53.8 million in the prior year period.</w:t>
      </w:r>
    </w:p>
    <w:p>
      <w:pPr>
        <w:spacing w:after="0" w:line="41" w:lineRule="exact"/>
        <w:rPr>
          <w:rFonts w:ascii="Arial" w:cs="Arial" w:eastAsia="Arial" w:hAnsi="Arial"/>
          <w:sz w:val="18"/>
          <w:szCs w:val="18"/>
          <w:color w:val="auto"/>
        </w:rPr>
      </w:pPr>
    </w:p>
    <w:p>
      <w:pPr>
        <w:ind w:left="660" w:hanging="328"/>
        <w:spacing w:after="0"/>
        <w:tabs>
          <w:tab w:leader="none" w:pos="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41 new Planet Fitness stores were opened during the period, bringing system-wide total stores to 1,899 as of September 30, 2019.</w:t>
      </w:r>
    </w:p>
    <w:p>
      <w:pPr>
        <w:spacing w:after="0" w:line="112" w:lineRule="exact"/>
        <w:rPr>
          <w:rFonts w:ascii="Arial" w:cs="Arial" w:eastAsia="Arial" w:hAnsi="Arial"/>
          <w:sz w:val="18"/>
          <w:szCs w:val="18"/>
          <w:color w:val="auto"/>
        </w:rPr>
      </w:pPr>
    </w:p>
    <w:p>
      <w:pPr>
        <w:ind w:firstLine="8"/>
        <w:spacing w:after="0" w:line="232" w:lineRule="auto"/>
        <w:tabs>
          <w:tab w:leader="none" w:pos="202" w:val="left"/>
        </w:tabs>
        <w:numPr>
          <w:ilvl w:val="0"/>
          <w:numId w:val="3"/>
        </w:numPr>
        <w:rPr>
          <w:rFonts w:ascii="Arial" w:cs="Arial" w:eastAsia="Arial" w:hAnsi="Arial"/>
          <w:sz w:val="23"/>
          <w:szCs w:val="23"/>
          <w:color w:val="auto"/>
          <w:vertAlign w:val="superscript"/>
        </w:rPr>
      </w:pPr>
      <w:r>
        <w:rPr>
          <w:rFonts w:ascii="Arial" w:cs="Arial" w:eastAsia="Arial" w:hAnsi="Arial"/>
          <w:sz w:val="17"/>
          <w:szCs w:val="17"/>
          <w:color w:val="auto"/>
        </w:rPr>
        <w:t>Adjusted net income and Adjusted EBITDA are non-GAAP measures. For reconciliations of Adjusted EBITDA and Adjusted net income to U.S. GAAP (“GAAP”) net income see “Non-GAAP Financial Measures” accompanying this press release.</w:t>
      </w:r>
    </w:p>
    <w:p>
      <w:pPr>
        <w:spacing w:after="0" w:line="20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delivered another quarter of very solid results,” stated Chris Rondeau, Chief Executive Officer. “High-single digit system-wide same store sales</w:t>
      </w:r>
      <w:r>
        <w:rPr>
          <w:rFonts w:ascii="Arial" w:cs="Arial" w:eastAsia="Arial" w:hAnsi="Arial"/>
          <w:sz w:val="16"/>
          <w:szCs w:val="16"/>
          <w:color w:val="1F497D"/>
        </w:rPr>
        <w:t>,</w:t>
      </w:r>
      <w:r>
        <w:rPr>
          <w:rFonts w:ascii="Arial" w:cs="Arial" w:eastAsia="Arial" w:hAnsi="Arial"/>
          <w:sz w:val="16"/>
          <w:szCs w:val="16"/>
          <w:color w:val="auto"/>
        </w:rPr>
        <w:t xml:space="preserve"> combined with accelerated new store openings and our franchisees’ continued commitment to re-equip their existing clubs with new equipment, fueled a 22% increase in total revenue. The third quarter was also highlighted by our highest-attended franchisee conference to date with over 1,500 attendees from across the system coming together to share ideas on how to strengthen the Planet Fitness brand, enhance the member experience and drive new member sign ups. Based on several factors including our experienced franchisees and their ability to execute, the significant amount of projected store expansion still ahead, and our increasing marketing spend, I am confident that the business is well positioned to drive continued growth and increased profitability.”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Results for the Third Quarter Ended September 30, 2019</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third quarter 2019, total revenue increased $30.2 million or 22.1% to $166.8 million from $136.7 million in the prior year period which included system-wide same store sales growth of 7.9%. By segment:</w:t>
      </w:r>
    </w:p>
    <w:p>
      <w:pPr>
        <w:spacing w:after="0" w:line="170" w:lineRule="exact"/>
        <w:rPr>
          <w:sz w:val="20"/>
          <w:szCs w:val="20"/>
          <w:color w:val="auto"/>
        </w:rPr>
      </w:pPr>
    </w:p>
    <w:p>
      <w:pPr>
        <w:ind w:left="66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Franchise segment revenue increased $11.9 million or 21.7% to $66.7 million from $54.8 million in the prior year period, driven primarily by higher royalty revenue as a result of new stores opened since July 1, 2018, an 8.1% increase in same store sales, and a higher average royalty rate;</w:t>
      </w:r>
    </w:p>
    <w:p>
      <w:pPr>
        <w:spacing w:after="0" w:line="123" w:lineRule="exact"/>
        <w:rPr>
          <w:rFonts w:ascii="Arial" w:cs="Arial" w:eastAsia="Arial" w:hAnsi="Arial"/>
          <w:sz w:val="16"/>
          <w:szCs w:val="16"/>
          <w:color w:val="auto"/>
        </w:rPr>
      </w:pPr>
    </w:p>
    <w:p>
      <w:pPr>
        <w:jc w:val="both"/>
        <w:ind w:left="660" w:hanging="328"/>
        <w:spacing w:after="0" w:line="264"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Corporate-owned stores segment revenue increased $5.3 million or 15.1% to $40.7 million from $35.4 million in the prior year period, $2.7 million of which is from corporate-owned stores opened or acquired since July 1, 2018, and another $1.4 million of which is from corporate-owned same store sales growth of 4.9%, and higher annual fee revenue of $1.1 million; and</w:t>
      </w:r>
    </w:p>
    <w:p>
      <w:pPr>
        <w:spacing w:after="0" w:line="181"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Equipment segment revenue increased $12.9 million or 27.9% to $59.4 million from $46.4 million in the prior year period, driven by an increase in replacement equipment sales to existing franchisee-owned stores.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420"/>
          </w:cols>
          <w:pgMar w:left="240" w:top="121" w:right="239" w:bottom="1440" w:gutter="0" w:footer="0" w:header="0"/>
        </w:sectPr>
      </w:pPr>
    </w:p>
    <w:bookmarkStart w:id="3" w:name="page4"/>
    <w:bookmarkEnd w:id="3"/>
    <w:p>
      <w:pPr>
        <w:jc w:val="both"/>
        <w:spacing w:after="0" w:line="255" w:lineRule="auto"/>
        <w:rPr>
          <w:sz w:val="20"/>
          <w:szCs w:val="20"/>
          <w:color w:val="auto"/>
        </w:rPr>
      </w:pPr>
      <w:r>
        <w:rPr>
          <w:rFonts w:ascii="Arial" w:cs="Arial" w:eastAsia="Arial" w:hAnsi="Arial"/>
          <w:sz w:val="18"/>
          <w:szCs w:val="18"/>
          <w:color w:val="auto"/>
        </w:rPr>
        <w:t>For the third quarter of 2019, net income attributable to Planet Fitness, Inc. was $25.8 million, or $0.31 per diluted share, compared to net income attributable to Planet Fitness, Inc. of $17.5 million, or $0.20 per diluted share in the prior year period. Net income was $29.7 million in the third quarter of 2019 compared to $20.5 million in the prior year period. Adjusted net income increased 19.5% to $33.1 million, or $0.36 per diluted share, from $27.7 million, or $0.28 per diluted share in the prior year period. Adjusted net income has been adjusted to reflect a normalized federal income tax rate of 26.6% for the current year period and 26.3% for the comparable prior year period and excludes certain non-cash and other items that we do not consider in the evaluation of ongoing operational performance (see “Non-GAAP Financial Measures”).</w:t>
      </w:r>
    </w:p>
    <w:p>
      <w:pPr>
        <w:spacing w:after="0" w:line="8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Adjusted EBITDA, which is defined as net income before interest, taxes, depreciation and amortization, adjusted for the impact of certain non-cash and other items that we do not consider in the evaluation of ongoing operational performance (see “Non-GAAP Financial Measures”), increased 22.2% to $65.7 million from $53.8 million in the prior year period.</w:t>
      </w:r>
    </w:p>
    <w:p>
      <w:pPr>
        <w:spacing w:after="0" w:line="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Segment EBITDA represents our Total Segment EBITDA broken down by the Company’s reportable segments. Total Segment EBITDA is equal to EBITDA, which is defined as net income before interest, taxes, depreciation and amortization (see “Non-GAAP Financial Measures”).</w:t>
      </w:r>
    </w:p>
    <w:p>
      <w:pPr>
        <w:spacing w:after="0" w:line="170" w:lineRule="exact"/>
        <w:rPr>
          <w:sz w:val="20"/>
          <w:szCs w:val="20"/>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Franchise segment EBITDA increased $7.3 million or 19.6% to $44.3 million driven by royalties from franchised stores opened since July 1, 2018, a higher average royalty rate and higher same store sales of 8.1%;</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Corporate-owned stores segment EBITDA increased $1.5 million or 9.9% to $16.8 million driven primarily by an increase in corporate-owned same store sales of 4.9%, higher annual fee revenue and from additional clubs opened or acquired since July 1, 2018;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Equipment segment EBITDA increased by $4.1 million or 42.3% to $13.7 million driven by an increase in replacement equipment sales to existing franchisee-owned stores.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2019 Outlook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For the year ending December 31, 2019, the Company now expects:</w:t>
      </w:r>
    </w:p>
    <w:p>
      <w:pPr>
        <w:spacing w:after="0" w:line="225"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6"/>
          <w:szCs w:val="16"/>
          <w:color w:val="auto"/>
        </w:rPr>
      </w:pPr>
      <w:r>
        <w:rPr>
          <w:rFonts w:ascii="Arial" w:cs="Arial" w:eastAsia="Arial" w:hAnsi="Arial"/>
          <w:sz w:val="16"/>
          <w:szCs w:val="16"/>
          <w:color w:val="auto"/>
        </w:rPr>
        <w:t>Total revenue to increase approximately 19% as compared to the year ended December 31, 2018, up from prior guidance of approximately 18%;</w:t>
      </w:r>
    </w:p>
    <w:p>
      <w:pPr>
        <w:spacing w:after="0" w:line="248" w:lineRule="exact"/>
        <w:rPr>
          <w:rFonts w:ascii="Arial" w:cs="Arial" w:eastAsia="Arial" w:hAnsi="Arial"/>
          <w:sz w:val="16"/>
          <w:szCs w:val="16"/>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Total new store equipment sales in the high end of the range of 250 to 260;</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System-wide same store sales of approximately 8.6%, up from prior guidance of approximately 8%;</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Adjusted net income to increase approximately 21% as compared to the year ended December 31, 2018, up from prior guidance of approximately 20%;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Adjusted net income per diluted share to increase approximately 28% to $1.56 as compared to the year ended December 31, 2018, up from prior guidance of approximately 26%.</w:t>
      </w:r>
    </w:p>
    <w:p>
      <w:pPr>
        <w:sectPr>
          <w:pgSz w:w="11900" w:h="16838" w:orient="portrait"/>
          <w:cols w:equalWidth="0" w:num="1">
            <w:col w:w="11420"/>
          </w:cols>
          <w:pgMar w:left="240" w:top="476"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u w:val="single" w:color="auto"/>
          <w:color w:val="auto"/>
        </w:rPr>
        <w:t>Presentation of Financial Measures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Planet Fitness, Inc. (the “Company”) was formed in March 2015 for the purpose of facilitating the initial public offering (the “IPO”) and related recapitalization transactions that occurred in August 2015, and in order to carry on the business of Pla-Fit Holdings, LLC (“Pla-Fit Holdings”) and its subsidiaries.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Pla-Fit Holdings not owned by the Company.</w:t>
      </w:r>
    </w:p>
    <w:p>
      <w:pPr>
        <w:spacing w:after="0" w:line="8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financial information presented in this press release includes non-GAAP financial measures such as EBITDA, Segment EBITDA, Adjusted EBITDA, Adjusted net income and Adjusted net income per share, diluted, to provide measures that we believe are useful to investors in evaluating the Company’s performance. These non-GAAP financial measures are supplemental measures of the Company’s performance that are neither required by, nor presented in accordance with GAAP. These financial measures should not be considered in isolation or as substitutes for GAAP financial measures such as net income or any other performance measures derived in accordance with GAAP. In addition, in the future, the Company may incur expenses or charges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similar amounts or other unusual or nonrecurring items. See the tables at the end of this press release for a reconciliation of EBITDA, Adjusted EBITDA, Total Segment EBITDA, Adjusted net income, and Adjusted net income per share, diluted, to their most directly comparable GAAP financial measure.</w:t>
      </w:r>
    </w:p>
    <w:p>
      <w:pPr>
        <w:spacing w:after="0" w:line="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5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non-GAAP financial measures used in our full-year outlook will differ from net income and net income per share, diluted, determined in accordance with GAAP in ways similar to those described in the reconciliations at the end of this press release. We do not provide guidance for net income or net income per share, diluted, determined in accordance with GAAP or a reconciliation of guidance for Adjusted net income and Adjusted net income per share, diluted, to the most directly comparable GAAP measure because we are not able to predict with reasonable certainty the amount or nature of all items that will be included in our net income and net income per share, diluted, for the year ending December 31, 2019. These items are uncertain, depend on many factors and could have a material impact on our net income and net income per share, diluted, for the year ending December 31, 2019.</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Investor Conference Call</w:t>
      </w:r>
    </w:p>
    <w:p>
      <w:pPr>
        <w:spacing w:after="0" w:line="121"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 xml:space="preserve">The Company will hold a conference call at 4:30 pm (ET) on November 7, 2019 to discuss the news announced in this press release. A live webcast of the conference call will be accessible at </w:t>
      </w:r>
      <w:r>
        <w:rPr>
          <w:rFonts w:ascii="Arial" w:cs="Arial" w:eastAsia="Arial" w:hAnsi="Arial"/>
          <w:sz w:val="16"/>
          <w:szCs w:val="16"/>
          <w:u w:val="single" w:color="auto"/>
          <w:color w:val="auto"/>
        </w:rPr>
        <w:t>www.planetfitness.com</w:t>
      </w:r>
      <w:r>
        <w:rPr>
          <w:rFonts w:ascii="Arial" w:cs="Arial" w:eastAsia="Arial" w:hAnsi="Arial"/>
          <w:sz w:val="16"/>
          <w:szCs w:val="16"/>
          <w:color w:val="auto"/>
        </w:rPr>
        <w:t xml:space="preserve"> via the “Investor Relations” link. The webcast will be archived on the website for one year.</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Planet Fitness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Founded in 1992 in Dover, NH, Planet Fitness is one of the largest and fastest-growing franchisors and operators of fitness centers in the United States by number of members and locations. As of September 30, 2019, Planet Fitness had more than 14.1 million members and 1,899 stores in 50 states, the District of Columbia, Puerto Rico, Canada, the Dominican Republic, Panama and Mexico. The Company’s mission is to enhance people’s lives by providing a high-quality fitness experience in a welcoming, non-intimidating environment, which we call the Judgement Free Zone®. More than 95% of Planet Fitness stores are owned and operated by independent business men and women.</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Contact:</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Brendon Frey, ICR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brendon.frey@icrinc.com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203-682-8200</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McCall Gosselin, Planet Fitness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mccall.gosselin@pfhq.com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603-957-4650</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Julia Young, ICR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julia.young@icrinc.com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646-277-1280</w:t>
      </w:r>
    </w:p>
    <w:p>
      <w:pPr>
        <w:sectPr>
          <w:pgSz w:w="11900" w:h="16838" w:orient="portrait"/>
          <w:cols w:equalWidth="0" w:num="1">
            <w:col w:w="11420"/>
          </w:cols>
          <w:pgMar w:left="240" w:top="580"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auto"/>
        </w:rPr>
        <w:t>Forward-Looking Statements</w:t>
      </w:r>
    </w:p>
    <w:p>
      <w:pPr>
        <w:spacing w:after="0" w:line="27" w:lineRule="exact"/>
        <w:rPr>
          <w:sz w:val="20"/>
          <w:szCs w:val="20"/>
          <w:color w:val="auto"/>
        </w:rPr>
      </w:pPr>
    </w:p>
    <w:p>
      <w:pPr>
        <w:jc w:val="both"/>
        <w:spacing w:after="0" w:line="283" w:lineRule="auto"/>
        <w:rPr>
          <w:sz w:val="20"/>
          <w:szCs w:val="20"/>
          <w:color w:val="auto"/>
        </w:rPr>
      </w:pPr>
      <w:r>
        <w:rPr>
          <w:rFonts w:ascii="Arial" w:cs="Arial" w:eastAsia="Arial" w:hAnsi="Arial"/>
          <w:sz w:val="16"/>
          <w:szCs w:val="16"/>
          <w:color w:val="auto"/>
        </w:rPr>
        <w:t>This press release contains “forward-looking statements” within the meaning of the federal securities laws, which involve risks and uncertainties. Forward-looking statements include the Company’s statements with respect to expected future performance presented under the heading “2019 Outlook,” those attributed to the Company’s Chief Executive Officer in this press release and other statements, estimates and projections that do not relate solely to historical facts. Forward-looking statements can be identified by words such as “believe,” “expect,” “goal,” “plan,” “will,” “prospects,” “future,” “ahead,” “projected,” “strategy” and similar references to future periods, although not all forward-looking statements include these identifying words. Forward-looking statements are not assurances of future performance. Instead, they are based only on the Company’s current beliefs, expectations and assumptions regarding the future of the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the Company’s control. Actual results and financial condition may differ materially from those indicated in the forward-looking statements. Important factors that could cause our actual results to differ materially include risks and uncertainties associated with competition in the fitness industry, the Company’s and franchisees’ ability to attract and retain new members, the Company’s and franchisees’ ability to identify and secure suitable sites for new franchise stores, changes in consumer demand, changes in equipment costs, the Company’s ability to expand into new markets domestically and internationally, operating costs for the Company and franchisees generally, availability and cost of capital for franchisees, acquisition activity, developments and changes in laws and regulations, our substantial increased indebtedness as a result of our refinancing and securitization transactions and our ability to incur additional indebtedness or refinance that indebtedness in the future, our future financial performance and our ability to pay principal and interest on our indebtedness, our corporate structure and tax receivable agreements, failures, interruptions or security breaches of the Company’s information systems or technology, general economic conditions and the other factors described in the Company’s annual report on Form 10-K for the year ended December 31, 2018, and the Company’s other filings with the Securities and Exchange Commission. In light of the significant risks and uncertainties inherent in forward-looking statements, investors should not place undue reliance on forward-looking statements, which reflect the Company’s views only as of the date of this press release. Except as required by law, neither the Company nor any of its affiliates or representatives undertake any obligation to provide additional information or to correct or update any information set forth in this release, whether as a result of new information, future developments or otherwise.</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14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1"/>
              </w:rPr>
              <w:t>For the three months ended</w:t>
            </w:r>
          </w:p>
        </w:tc>
        <w:tc>
          <w:tcPr>
            <w:tcW w:w="200" w:type="dxa"/>
            <w:vAlign w:val="bottom"/>
          </w:tcPr>
          <w:p>
            <w:pPr>
              <w:spacing w:after="0"/>
              <w:rPr>
                <w:sz w:val="14"/>
                <w:szCs w:val="14"/>
                <w:color w:val="auto"/>
              </w:rPr>
            </w:pPr>
          </w:p>
        </w:tc>
        <w:tc>
          <w:tcPr>
            <w:tcW w:w="2000" w:type="dxa"/>
            <w:vAlign w:val="bottom"/>
            <w:gridSpan w:val="4"/>
          </w:tcPr>
          <w:p>
            <w:pPr>
              <w:jc w:val="right"/>
              <w:ind w:right="171"/>
              <w:spacing w:after="0"/>
              <w:rPr>
                <w:sz w:val="20"/>
                <w:szCs w:val="20"/>
                <w:color w:val="auto"/>
              </w:rPr>
            </w:pPr>
            <w:r>
              <w:rPr>
                <w:rFonts w:ascii="Arial" w:cs="Arial" w:eastAsia="Arial" w:hAnsi="Arial"/>
                <w:sz w:val="14"/>
                <w:szCs w:val="14"/>
                <w:b w:val="1"/>
                <w:bCs w:val="1"/>
                <w:color w:val="auto"/>
                <w:w w:val="95"/>
              </w:rPr>
              <w:t>For the nine months ended</w:t>
            </w:r>
          </w:p>
        </w:tc>
      </w:tr>
      <w:tr>
        <w:trPr>
          <w:trHeight w:val="192"/>
        </w:trPr>
        <w:tc>
          <w:tcPr>
            <w:tcW w:w="4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1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6"/>
                <w:szCs w:val="16"/>
                <w:color w:val="auto"/>
              </w:rPr>
            </w:pPr>
          </w:p>
        </w:tc>
        <w:tc>
          <w:tcPr>
            <w:tcW w:w="2000" w:type="dxa"/>
            <w:vAlign w:val="bottom"/>
            <w:gridSpan w:val="4"/>
          </w:tcPr>
          <w:p>
            <w:pPr>
              <w:jc w:val="right"/>
              <w:ind w:right="551"/>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46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2018</w:t>
            </w:r>
          </w:p>
        </w:tc>
      </w:tr>
      <w:tr>
        <w:trPr>
          <w:trHeight w:val="25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Franchise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53,443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41,997</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164,624</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129,575</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Commission income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1,448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2,673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5,012</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National advertising fund revenue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12,652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11,377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36,986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32,997</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Corporate-owned stores</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40,742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35,406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118,481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102,365</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Equipment</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59,364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46,428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174,528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128,589</w:t>
            </w: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revenue</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166,815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136,656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497,292</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398,538</w:t>
            </w:r>
          </w:p>
        </w:tc>
      </w:tr>
      <w:tr>
        <w:trPr>
          <w:trHeight w:val="237"/>
        </w:trPr>
        <w:tc>
          <w:tcPr>
            <w:tcW w:w="4600" w:type="dxa"/>
            <w:vAlign w:val="bottom"/>
          </w:tcPr>
          <w:p>
            <w:pPr>
              <w:ind w:left="20"/>
              <w:spacing w:after="0"/>
              <w:rPr>
                <w:sz w:val="20"/>
                <w:szCs w:val="20"/>
                <w:color w:val="auto"/>
              </w:rPr>
            </w:pPr>
            <w:r>
              <w:rPr>
                <w:rFonts w:ascii="Arial" w:cs="Arial" w:eastAsia="Arial" w:hAnsi="Arial"/>
                <w:sz w:val="18"/>
                <w:szCs w:val="18"/>
                <w:color w:val="auto"/>
              </w:rPr>
              <w:t>Operating costs and expenses: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Cost of revenue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46,194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36,871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135,071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100,114</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Store operations</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22,295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18,751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63,363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55,154</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Selling, general and administrative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20,928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17,233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57,944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52,066</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National advertising fund expense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12,652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11,377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36,986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32,997</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11,832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8,863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32,316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25,947</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Other (gain) loss</w:t>
            </w:r>
          </w:p>
        </w:tc>
        <w:tc>
          <w:tcPr>
            <w:tcW w:w="2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958</w:t>
            </w: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operating costs and expenses</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113,754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93,083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325,779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267,236</w:t>
            </w: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Income from operations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53,061</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43,573</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171,513</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131,302</w:t>
            </w: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1,808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2,025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5,585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2,480</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expense</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(14,807)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(17,909)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(44,192)</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(35,725)</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Other expense</w:t>
            </w:r>
          </w:p>
        </w:tc>
        <w:tc>
          <w:tcPr>
            <w:tcW w:w="20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(4,824)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(338)</w:t>
            </w:r>
          </w:p>
        </w:tc>
      </w:tr>
      <w:tr>
        <w:trPr>
          <w:trHeight w:val="27"/>
        </w:trPr>
        <w:tc>
          <w:tcPr>
            <w:tcW w:w="46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460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other expense, net</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(13,060)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(15,911)</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(43,431)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(33,583)</w:t>
            </w: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Income before income taxes</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40,001</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27,662</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128,082</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97,719</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10,309</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7,190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26,924</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23,335</w:t>
            </w:r>
          </w:p>
        </w:tc>
      </w:tr>
      <w:tr>
        <w:trPr>
          <w:trHeight w:val="237"/>
        </w:trPr>
        <w:tc>
          <w:tcPr>
            <w:tcW w:w="4600" w:type="dxa"/>
            <w:vAlign w:val="bottom"/>
          </w:tcPr>
          <w:p>
            <w:pPr>
              <w:ind w:left="480"/>
              <w:spacing w:after="0"/>
              <w:rPr>
                <w:sz w:val="20"/>
                <w:szCs w:val="20"/>
                <w:color w:val="auto"/>
              </w:rPr>
            </w:pPr>
            <w:r>
              <w:rPr>
                <w:rFonts w:ascii="Arial" w:cs="Arial" w:eastAsia="Arial" w:hAnsi="Arial"/>
                <w:sz w:val="18"/>
                <w:szCs w:val="18"/>
                <w:color w:val="auto"/>
              </w:rPr>
              <w:t>Net income</w:t>
            </w: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29,692</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20,472</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101,158</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74,384</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Less net income attributable to non-controlling interests</w:t>
            </w: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3,915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3,001</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13,128</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11,158</w:t>
            </w:r>
          </w:p>
        </w:tc>
      </w:tr>
      <w:tr>
        <w:trPr>
          <w:trHeight w:val="297"/>
        </w:trPr>
        <w:tc>
          <w:tcPr>
            <w:tcW w:w="460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rPr>
              <w:t>Net income attributable to Planet Fitness, Inc.</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25,777</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17,471</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88,030</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63,226</w:t>
            </w:r>
          </w:p>
        </w:tc>
      </w:tr>
      <w:tr>
        <w:trPr>
          <w:trHeight w:val="237"/>
        </w:trPr>
        <w:tc>
          <w:tcPr>
            <w:tcW w:w="4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per share of Class A common stock:</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Basic</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0.31</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0.20</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1.05</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0.72</w:t>
            </w: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0.31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0.20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0.72</w:t>
            </w:r>
          </w:p>
        </w:tc>
      </w:tr>
      <w:tr>
        <w:trPr>
          <w:trHeight w:val="229"/>
        </w:trPr>
        <w:tc>
          <w:tcPr>
            <w:tcW w:w="4600" w:type="dxa"/>
            <w:vAlign w:val="bottom"/>
          </w:tcPr>
          <w:p>
            <w:pPr>
              <w:ind w:left="20"/>
              <w:spacing w:after="0"/>
              <w:rPr>
                <w:sz w:val="20"/>
                <w:szCs w:val="20"/>
                <w:color w:val="auto"/>
              </w:rPr>
            </w:pPr>
            <w:r>
              <w:rPr>
                <w:rFonts w:ascii="Arial" w:cs="Arial" w:eastAsia="Arial" w:hAnsi="Arial"/>
                <w:sz w:val="18"/>
                <w:szCs w:val="18"/>
                <w:color w:val="auto"/>
              </w:rPr>
              <w:t>Weighted-average shares of Class A common stock</w:t>
            </w: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30"/>
        </w:trPr>
        <w:tc>
          <w:tcPr>
            <w:tcW w:w="4600" w:type="dxa"/>
            <w:vAlign w:val="bottom"/>
          </w:tcPr>
          <w:p>
            <w:pPr>
              <w:ind w:left="20"/>
              <w:spacing w:after="0"/>
              <w:rPr>
                <w:sz w:val="20"/>
                <w:szCs w:val="20"/>
                <w:color w:val="auto"/>
              </w:rPr>
            </w:pPr>
            <w:r>
              <w:rPr>
                <w:rFonts w:ascii="Arial" w:cs="Arial" w:eastAsia="Arial" w:hAnsi="Arial"/>
                <w:sz w:val="18"/>
                <w:szCs w:val="18"/>
                <w:color w:val="auto"/>
              </w:rPr>
              <w:t>outstanding:</w:t>
            </w: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7"/>
        </w:trPr>
        <w:tc>
          <w:tcPr>
            <w:tcW w:w="46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6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83,157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88,047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83,700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87,727</w:t>
            </w:r>
          </w:p>
        </w:tc>
      </w:tr>
      <w:tr>
        <w:trPr>
          <w:trHeight w:val="243"/>
        </w:trPr>
        <w:tc>
          <w:tcPr>
            <w:tcW w:w="4600" w:type="dxa"/>
            <w:vAlign w:val="bottom"/>
          </w:tcPr>
          <w:p>
            <w:pPr>
              <w:ind w:left="28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21"/>
                <w:szCs w:val="21"/>
                <w:color w:val="auto"/>
              </w:rPr>
            </w:pPr>
          </w:p>
        </w:tc>
        <w:tc>
          <w:tcPr>
            <w:tcW w:w="860" w:type="dxa"/>
            <w:vAlign w:val="bottom"/>
          </w:tcPr>
          <w:p>
            <w:pPr>
              <w:jc w:val="right"/>
              <w:ind w:right="12"/>
              <w:spacing w:after="0"/>
              <w:rPr>
                <w:sz w:val="20"/>
                <w:szCs w:val="20"/>
                <w:color w:val="auto"/>
              </w:rPr>
            </w:pPr>
            <w:r>
              <w:rPr>
                <w:rFonts w:ascii="Arial" w:cs="Arial" w:eastAsia="Arial" w:hAnsi="Arial"/>
                <w:sz w:val="18"/>
                <w:szCs w:val="18"/>
                <w:color w:val="auto"/>
              </w:rPr>
              <w:t>83,807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88,458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12"/>
              <w:spacing w:after="0"/>
              <w:rPr>
                <w:sz w:val="20"/>
                <w:szCs w:val="20"/>
                <w:color w:val="auto"/>
              </w:rPr>
            </w:pPr>
            <w:r>
              <w:rPr>
                <w:rFonts w:ascii="Arial" w:cs="Arial" w:eastAsia="Arial" w:hAnsi="Arial"/>
                <w:sz w:val="18"/>
                <w:szCs w:val="18"/>
                <w:color w:val="auto"/>
              </w:rPr>
              <w:t>84,354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88,064</w:t>
            </w:r>
          </w:p>
        </w:tc>
      </w:tr>
    </w:tbl>
    <w:p>
      <w:pPr>
        <w:sectPr>
          <w:pgSz w:w="11900" w:h="16838" w:orient="portrait"/>
          <w:cols w:equalWidth="0" w:num="1">
            <w:col w:w="9140"/>
          </w:cols>
          <w:pgMar w:left="1380" w:top="229" w:right="137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6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 2019</w:t>
            </w:r>
          </w:p>
        </w:tc>
        <w:tc>
          <w:tcPr>
            <w:tcW w:w="1340" w:type="dxa"/>
            <w:vAlign w:val="bottom"/>
            <w:gridSpan w:val="2"/>
          </w:tcPr>
          <w:p>
            <w:pPr>
              <w:jc w:val="right"/>
              <w:ind w:right="19"/>
              <w:spacing w:after="0"/>
              <w:rPr>
                <w:sz w:val="20"/>
                <w:szCs w:val="20"/>
                <w:color w:val="auto"/>
              </w:rPr>
            </w:pPr>
            <w:r>
              <w:rPr>
                <w:rFonts w:ascii="Arial" w:cs="Arial" w:eastAsia="Arial" w:hAnsi="Arial"/>
                <w:sz w:val="14"/>
                <w:szCs w:val="14"/>
                <w:b w:val="1"/>
                <w:bCs w:val="1"/>
                <w:color w:val="auto"/>
                <w:w w:val="96"/>
              </w:rPr>
              <w:t>December 31, 2018</w:t>
            </w:r>
          </w:p>
        </w:tc>
        <w:tc>
          <w:tcPr>
            <w:tcW w:w="0" w:type="dxa"/>
            <w:vAlign w:val="bottom"/>
          </w:tcPr>
          <w:p>
            <w:pPr>
              <w:spacing w:after="0"/>
              <w:rPr>
                <w:sz w:val="1"/>
                <w:szCs w:val="1"/>
                <w:color w:val="auto"/>
              </w:rPr>
            </w:pPr>
          </w:p>
        </w:tc>
      </w:tr>
      <w:tr>
        <w:trPr>
          <w:trHeight w:val="224"/>
        </w:trPr>
        <w:tc>
          <w:tcPr>
            <w:tcW w:w="6340" w:type="dxa"/>
            <w:vAlign w:val="bottom"/>
          </w:tcPr>
          <w:p>
            <w:pPr>
              <w:ind w:left="20"/>
              <w:spacing w:after="0"/>
              <w:rPr>
                <w:sz w:val="20"/>
                <w:szCs w:val="20"/>
                <w:color w:val="auto"/>
              </w:rPr>
            </w:pPr>
            <w:r>
              <w:rPr>
                <w:rFonts w:ascii="Arial" w:cs="Arial" w:eastAsia="Arial" w:hAnsi="Arial"/>
                <w:sz w:val="16"/>
                <w:szCs w:val="16"/>
                <w:color w:val="auto"/>
              </w:rPr>
              <w:t>Assets</w:t>
            </w:r>
          </w:p>
        </w:tc>
        <w:tc>
          <w:tcPr>
            <w:tcW w:w="10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assets: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Cash and cash equivalents</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219,752</w:t>
            </w:r>
          </w:p>
        </w:tc>
        <w:tc>
          <w:tcPr>
            <w:tcW w:w="100" w:type="dxa"/>
            <w:vAlign w:val="bottom"/>
          </w:tcPr>
          <w:p>
            <w:pPr>
              <w:spacing w:after="0"/>
              <w:rPr>
                <w:sz w:val="20"/>
                <w:szCs w:val="20"/>
                <w:color w:val="auto"/>
              </w:rPr>
            </w:pPr>
          </w:p>
        </w:tc>
        <w:tc>
          <w:tcPr>
            <w:tcW w:w="360" w:type="dxa"/>
            <w:vAlign w:val="bottom"/>
          </w:tcPr>
          <w:p>
            <w:pPr>
              <w:jc w:val="right"/>
              <w:ind w:right="181"/>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289,431</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Restricted cash</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30,499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30,708</w:t>
            </w:r>
          </w:p>
        </w:tc>
        <w:tc>
          <w:tcPr>
            <w:tcW w:w="0" w:type="dxa"/>
            <w:vAlign w:val="bottom"/>
          </w:tcPr>
          <w:p>
            <w:pPr>
              <w:spacing w:after="0"/>
              <w:rPr>
                <w:sz w:val="1"/>
                <w:szCs w:val="1"/>
                <w:color w:val="auto"/>
              </w:rPr>
            </w:pPr>
          </w:p>
        </w:tc>
      </w:tr>
      <w:tr>
        <w:trPr>
          <w:trHeight w:val="220"/>
        </w:trPr>
        <w:tc>
          <w:tcPr>
            <w:tcW w:w="6340" w:type="dxa"/>
            <w:vAlign w:val="bottom"/>
          </w:tcPr>
          <w:p>
            <w:pPr>
              <w:ind w:left="100"/>
              <w:spacing w:after="0"/>
              <w:rPr>
                <w:sz w:val="20"/>
                <w:szCs w:val="20"/>
                <w:color w:val="auto"/>
              </w:rPr>
            </w:pPr>
            <w:r>
              <w:rPr>
                <w:rFonts w:ascii="Arial" w:cs="Arial" w:eastAsia="Arial" w:hAnsi="Arial"/>
                <w:sz w:val="16"/>
                <w:szCs w:val="16"/>
                <w:color w:val="auto"/>
                <w:w w:val="96"/>
              </w:rPr>
              <w:t>Accounts receivable, net of allowance for bad debts of $37 and $84 at September 30, 2019</w:t>
            </w: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6340" w:type="dxa"/>
            <w:vAlign w:val="bottom"/>
          </w:tcPr>
          <w:p>
            <w:pPr>
              <w:ind w:left="100"/>
              <w:spacing w:after="0"/>
              <w:rPr>
                <w:sz w:val="20"/>
                <w:szCs w:val="20"/>
                <w:color w:val="auto"/>
              </w:rPr>
            </w:pPr>
            <w:r>
              <w:rPr>
                <w:rFonts w:ascii="Arial" w:cs="Arial" w:eastAsia="Arial" w:hAnsi="Arial"/>
                <w:sz w:val="16"/>
                <w:szCs w:val="16"/>
                <w:color w:val="auto"/>
              </w:rPr>
              <w:t>and</w:t>
            </w:r>
          </w:p>
        </w:tc>
        <w:tc>
          <w:tcPr>
            <w:tcW w:w="1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6340" w:type="dxa"/>
            <w:vAlign w:val="bottom"/>
          </w:tcPr>
          <w:p>
            <w:pPr>
              <w:ind w:left="100"/>
              <w:spacing w:after="0"/>
              <w:rPr>
                <w:sz w:val="20"/>
                <w:szCs w:val="20"/>
                <w:color w:val="auto"/>
              </w:rPr>
            </w:pPr>
            <w:r>
              <w:rPr>
                <w:rFonts w:ascii="Arial" w:cs="Arial" w:eastAsia="Arial" w:hAnsi="Arial"/>
                <w:sz w:val="16"/>
                <w:szCs w:val="16"/>
                <w:color w:val="auto"/>
              </w:rPr>
              <w:t>December 31, 2018, respectively</w:t>
            </w:r>
          </w:p>
        </w:tc>
        <w:tc>
          <w:tcPr>
            <w:tcW w:w="100" w:type="dxa"/>
            <w:vAlign w:val="bottom"/>
          </w:tcPr>
          <w:p>
            <w:pPr>
              <w:spacing w:after="0"/>
              <w:rPr>
                <w:sz w:val="17"/>
                <w:szCs w:val="17"/>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29,398</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38,960</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Inventory</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5,122</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Restricted assets – national advertising fund</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657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Prepaid expenses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8,649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4,947</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Other receivables</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9,232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12,548</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Other current assets</w:t>
            </w:r>
          </w:p>
        </w:tc>
        <w:tc>
          <w:tcPr>
            <w:tcW w:w="1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5,471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6,824</w:t>
            </w:r>
          </w:p>
        </w:tc>
        <w:tc>
          <w:tcPr>
            <w:tcW w:w="0" w:type="dxa"/>
            <w:vAlign w:val="bottom"/>
          </w:tcPr>
          <w:p>
            <w:pPr>
              <w:spacing w:after="0"/>
              <w:rPr>
                <w:sz w:val="1"/>
                <w:szCs w:val="1"/>
                <w:color w:val="auto"/>
              </w:rPr>
            </w:pPr>
          </w:p>
        </w:tc>
      </w:tr>
      <w:tr>
        <w:trPr>
          <w:trHeight w:val="217"/>
        </w:trPr>
        <w:tc>
          <w:tcPr>
            <w:tcW w:w="6340" w:type="dxa"/>
            <w:vAlign w:val="bottom"/>
          </w:tcPr>
          <w:p>
            <w:pPr>
              <w:ind w:left="260"/>
              <w:spacing w:after="0"/>
              <w:rPr>
                <w:sz w:val="20"/>
                <w:szCs w:val="20"/>
                <w:color w:val="auto"/>
              </w:rPr>
            </w:pPr>
            <w:r>
              <w:rPr>
                <w:rFonts w:ascii="Arial" w:cs="Arial" w:eastAsia="Arial" w:hAnsi="Arial"/>
                <w:sz w:val="16"/>
                <w:szCs w:val="16"/>
                <w:color w:val="auto"/>
              </w:rPr>
              <w:t>Total current assets</w:t>
            </w: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306,270</w:t>
            </w: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388,540</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6340" w:type="dxa"/>
            <w:vAlign w:val="bottom"/>
            <w:shd w:val="clear" w:color="auto" w:fill="CCEEFF"/>
          </w:tcPr>
          <w:p>
            <w:pPr>
              <w:ind w:left="20"/>
              <w:spacing w:after="0"/>
              <w:rPr>
                <w:sz w:val="20"/>
                <w:szCs w:val="20"/>
                <w:color w:val="auto"/>
              </w:rPr>
            </w:pPr>
            <w:r>
              <w:rPr>
                <w:rFonts w:ascii="Arial" w:cs="Arial" w:eastAsia="Arial" w:hAnsi="Arial"/>
                <w:sz w:val="16"/>
                <w:szCs w:val="16"/>
                <w:color w:val="auto"/>
                <w:w w:val="93"/>
              </w:rPr>
              <w:t>Property and equipment, net of accumulated depreciation of $70,083 as of September 30, 2019</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and $53,086 as of December 31, 2018</w:t>
            </w:r>
          </w:p>
        </w:tc>
        <w:tc>
          <w:tcPr>
            <w:tcW w:w="10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131,454</w:t>
            </w: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114,367</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Right of use assets, net</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127,746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Intangible assets, net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227,575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234,330</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Goodwill</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206,752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199,513</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income taxes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418,745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414,841</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Other assets, net</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1,690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1,825</w:t>
            </w:r>
          </w:p>
        </w:tc>
        <w:tc>
          <w:tcPr>
            <w:tcW w:w="0" w:type="dxa"/>
            <w:vAlign w:val="bottom"/>
          </w:tcPr>
          <w:p>
            <w:pPr>
              <w:spacing w:after="0"/>
              <w:rPr>
                <w:sz w:val="1"/>
                <w:szCs w:val="1"/>
                <w:color w:val="auto"/>
              </w:rPr>
            </w:pPr>
          </w:p>
        </w:tc>
      </w:tr>
      <w:tr>
        <w:trPr>
          <w:trHeight w:val="33"/>
        </w:trPr>
        <w:tc>
          <w:tcPr>
            <w:tcW w:w="63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3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Total assets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1,420,232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81"/>
              <w:spacing w:after="0"/>
              <w:rPr>
                <w:sz w:val="20"/>
                <w:szCs w:val="20"/>
                <w:color w:val="auto"/>
              </w:rPr>
            </w:pPr>
            <w:r>
              <w:rPr>
                <w:rFonts w:ascii="Arial" w:cs="Arial" w:eastAsia="Arial" w:hAnsi="Arial"/>
                <w:sz w:val="16"/>
                <w:szCs w:val="16"/>
                <w:color w:val="auto"/>
                <w:w w:val="8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1,353,416</w:t>
            </w:r>
          </w:p>
        </w:tc>
        <w:tc>
          <w:tcPr>
            <w:tcW w:w="0" w:type="dxa"/>
            <w:vAlign w:val="bottom"/>
          </w:tcPr>
          <w:p>
            <w:pPr>
              <w:spacing w:after="0"/>
              <w:rPr>
                <w:sz w:val="1"/>
                <w:szCs w:val="1"/>
                <w:color w:val="auto"/>
              </w:rPr>
            </w:pPr>
          </w:p>
        </w:tc>
      </w:tr>
      <w:tr>
        <w:trPr>
          <w:trHeight w:val="20"/>
        </w:trPr>
        <w:tc>
          <w:tcPr>
            <w:tcW w:w="634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Liabilities and stockholders' deficit</w:t>
            </w: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3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Current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Current maturities of long-term debt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12,000</w:t>
            </w:r>
          </w:p>
        </w:tc>
        <w:tc>
          <w:tcPr>
            <w:tcW w:w="100" w:type="dxa"/>
            <w:vAlign w:val="bottom"/>
          </w:tcPr>
          <w:p>
            <w:pPr>
              <w:spacing w:after="0"/>
              <w:rPr>
                <w:sz w:val="20"/>
                <w:szCs w:val="20"/>
                <w:color w:val="auto"/>
              </w:rPr>
            </w:pPr>
          </w:p>
        </w:tc>
        <w:tc>
          <w:tcPr>
            <w:tcW w:w="360" w:type="dxa"/>
            <w:vAlign w:val="bottom"/>
          </w:tcPr>
          <w:p>
            <w:pPr>
              <w:jc w:val="right"/>
              <w:ind w:right="181"/>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12,000</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Accounts payable</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23,037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30,428</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Accrued expenses</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25,737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32,384</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Equipment deposits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8,566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7,908</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Restricted liabilities – national advertising fund</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657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Deferred revenue, current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24,638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23,488</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Payable pursuant to tax benefit arrangements, current</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25,506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24,765</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Other current liabilities</w:t>
            </w:r>
          </w:p>
        </w:tc>
        <w:tc>
          <w:tcPr>
            <w:tcW w:w="1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15,780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430</w:t>
            </w:r>
          </w:p>
        </w:tc>
        <w:tc>
          <w:tcPr>
            <w:tcW w:w="0" w:type="dxa"/>
            <w:vAlign w:val="bottom"/>
          </w:tcPr>
          <w:p>
            <w:pPr>
              <w:spacing w:after="0"/>
              <w:rPr>
                <w:sz w:val="1"/>
                <w:szCs w:val="1"/>
                <w:color w:val="auto"/>
              </w:rPr>
            </w:pPr>
          </w:p>
        </w:tc>
      </w:tr>
      <w:tr>
        <w:trPr>
          <w:trHeight w:val="217"/>
        </w:trPr>
        <w:tc>
          <w:tcPr>
            <w:tcW w:w="6340" w:type="dxa"/>
            <w:vAlign w:val="bottom"/>
          </w:tcPr>
          <w:p>
            <w:pPr>
              <w:ind w:left="260"/>
              <w:spacing w:after="0"/>
              <w:rPr>
                <w:sz w:val="20"/>
                <w:szCs w:val="20"/>
                <w:color w:val="auto"/>
              </w:rPr>
            </w:pPr>
            <w:r>
              <w:rPr>
                <w:rFonts w:ascii="Arial" w:cs="Arial" w:eastAsia="Arial" w:hAnsi="Arial"/>
                <w:sz w:val="16"/>
                <w:szCs w:val="16"/>
                <w:color w:val="auto"/>
              </w:rPr>
              <w:t>Total current liabilities</w:t>
            </w: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135,921</w:t>
            </w: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131,403</w:t>
            </w:r>
          </w:p>
        </w:tc>
        <w:tc>
          <w:tcPr>
            <w:tcW w:w="0" w:type="dxa"/>
            <w:vAlign w:val="bottom"/>
          </w:tcPr>
          <w:p>
            <w:pPr>
              <w:spacing w:after="0"/>
              <w:rPr>
                <w:sz w:val="1"/>
                <w:szCs w:val="1"/>
                <w:color w:val="auto"/>
              </w:rPr>
            </w:pPr>
          </w:p>
        </w:tc>
      </w:tr>
      <w:tr>
        <w:trPr>
          <w:trHeight w:val="33"/>
        </w:trPr>
        <w:tc>
          <w:tcPr>
            <w:tcW w:w="63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Long-term debt, net of current maturities</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1,155,049</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1,160,127</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Deferred rent, net of current portion</w:t>
            </w:r>
          </w:p>
        </w:tc>
        <w:tc>
          <w:tcPr>
            <w:tcW w:w="100" w:type="dxa"/>
            <w:vAlign w:val="bottom"/>
          </w:tcPr>
          <w:p>
            <w:pPr>
              <w:spacing w:after="0"/>
              <w:rPr>
                <w:sz w:val="20"/>
                <w:szCs w:val="20"/>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10,083</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Lease liabilities, net of current portion</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127,646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31,532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26,374</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tax liabilities</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2,067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2,303</w:t>
            </w:r>
          </w:p>
        </w:tc>
        <w:tc>
          <w:tcPr>
            <w:tcW w:w="0" w:type="dxa"/>
            <w:vAlign w:val="bottom"/>
          </w:tcPr>
          <w:p>
            <w:pPr>
              <w:spacing w:after="0"/>
              <w:rPr>
                <w:sz w:val="1"/>
                <w:szCs w:val="1"/>
                <w:color w:val="auto"/>
              </w:rPr>
            </w:pPr>
          </w:p>
        </w:tc>
      </w:tr>
      <w:tr>
        <w:trPr>
          <w:trHeight w:val="237"/>
        </w:trPr>
        <w:tc>
          <w:tcPr>
            <w:tcW w:w="6340" w:type="dxa"/>
            <w:vAlign w:val="bottom"/>
          </w:tcPr>
          <w:p>
            <w:pPr>
              <w:ind w:left="20"/>
              <w:spacing w:after="0"/>
              <w:rPr>
                <w:sz w:val="20"/>
                <w:szCs w:val="20"/>
                <w:color w:val="auto"/>
              </w:rPr>
            </w:pPr>
            <w:r>
              <w:rPr>
                <w:rFonts w:ascii="Arial" w:cs="Arial" w:eastAsia="Arial" w:hAnsi="Arial"/>
                <w:sz w:val="16"/>
                <w:szCs w:val="16"/>
                <w:color w:val="auto"/>
              </w:rPr>
              <w:t>Payable pursuant to tax benefit arrangements, net of current portion</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407,884</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404,468</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liabilities</w:t>
            </w:r>
          </w:p>
        </w:tc>
        <w:tc>
          <w:tcPr>
            <w:tcW w:w="10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2,250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1,447</w:t>
            </w:r>
          </w:p>
        </w:tc>
        <w:tc>
          <w:tcPr>
            <w:tcW w:w="0" w:type="dxa"/>
            <w:vAlign w:val="bottom"/>
          </w:tcPr>
          <w:p>
            <w:pPr>
              <w:spacing w:after="0"/>
              <w:rPr>
                <w:sz w:val="1"/>
                <w:szCs w:val="1"/>
                <w:color w:val="auto"/>
              </w:rPr>
            </w:pPr>
          </w:p>
        </w:tc>
      </w:tr>
      <w:tr>
        <w:trPr>
          <w:trHeight w:val="217"/>
        </w:trPr>
        <w:tc>
          <w:tcPr>
            <w:tcW w:w="6340" w:type="dxa"/>
            <w:vAlign w:val="bottom"/>
          </w:tcPr>
          <w:p>
            <w:pPr>
              <w:ind w:left="260"/>
              <w:spacing w:after="0"/>
              <w:rPr>
                <w:sz w:val="20"/>
                <w:szCs w:val="20"/>
                <w:color w:val="auto"/>
              </w:rPr>
            </w:pPr>
            <w:r>
              <w:rPr>
                <w:rFonts w:ascii="Arial" w:cs="Arial" w:eastAsia="Arial" w:hAnsi="Arial"/>
                <w:sz w:val="16"/>
                <w:szCs w:val="16"/>
                <w:color w:val="auto"/>
              </w:rPr>
              <w:t>Total noncurrent liabilities</w:t>
            </w:r>
          </w:p>
        </w:tc>
        <w:tc>
          <w:tcPr>
            <w:tcW w:w="1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1,726,428</w:t>
            </w:r>
          </w:p>
        </w:tc>
        <w:tc>
          <w:tcPr>
            <w:tcW w:w="1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1,604,802</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Stockholders' equity (deficit):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340" w:type="dxa"/>
            <w:vAlign w:val="bottom"/>
          </w:tcPr>
          <w:p>
            <w:pPr>
              <w:ind w:left="100"/>
              <w:spacing w:after="0"/>
              <w:rPr>
                <w:sz w:val="20"/>
                <w:szCs w:val="20"/>
                <w:color w:val="auto"/>
              </w:rPr>
            </w:pPr>
            <w:r>
              <w:rPr>
                <w:rFonts w:ascii="Arial" w:cs="Arial" w:eastAsia="Arial" w:hAnsi="Arial"/>
                <w:sz w:val="16"/>
                <w:szCs w:val="16"/>
                <w:color w:val="auto"/>
                <w:w w:val="97"/>
              </w:rPr>
              <w:t>Class A common stock, $.0001 par value - 300,000 authorized, 81,773 and 83,584 shares</w:t>
            </w: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6340" w:type="dxa"/>
            <w:vAlign w:val="bottom"/>
          </w:tcPr>
          <w:p>
            <w:pPr>
              <w:ind w:left="100"/>
              <w:spacing w:after="0"/>
              <w:rPr>
                <w:sz w:val="20"/>
                <w:szCs w:val="20"/>
                <w:color w:val="auto"/>
              </w:rPr>
            </w:pPr>
            <w:r>
              <w:rPr>
                <w:rFonts w:ascii="Arial" w:cs="Arial" w:eastAsia="Arial" w:hAnsi="Arial"/>
                <w:sz w:val="16"/>
                <w:szCs w:val="16"/>
                <w:color w:val="auto"/>
                <w:w w:val="99"/>
              </w:rPr>
              <w:t>issued and outstanding as of September 30, 2019 and December 31, 2018, respectively</w:t>
            </w:r>
          </w:p>
        </w:tc>
        <w:tc>
          <w:tcPr>
            <w:tcW w:w="100" w:type="dxa"/>
            <w:vAlign w:val="bottom"/>
          </w:tcPr>
          <w:p>
            <w:pPr>
              <w:spacing w:after="0"/>
              <w:rPr>
                <w:sz w:val="17"/>
                <w:szCs w:val="17"/>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8</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9</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6340" w:type="dxa"/>
            <w:vAlign w:val="bottom"/>
            <w:shd w:val="clear" w:color="auto" w:fill="CCEEFF"/>
          </w:tcPr>
          <w:p>
            <w:pPr>
              <w:ind w:left="100"/>
              <w:spacing w:after="0"/>
              <w:rPr>
                <w:sz w:val="20"/>
                <w:szCs w:val="20"/>
                <w:color w:val="auto"/>
              </w:rPr>
            </w:pPr>
            <w:r>
              <w:rPr>
                <w:rFonts w:ascii="Arial" w:cs="Arial" w:eastAsia="Arial" w:hAnsi="Arial"/>
                <w:sz w:val="16"/>
                <w:szCs w:val="16"/>
                <w:color w:val="auto"/>
                <w:w w:val="92"/>
              </w:rPr>
              <w:t>Class B common stock, $.0001 par value - 100,000 authorized, 8,562 and 9,448 shares issued</w:t>
            </w: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and outstanding as of September 30, 2019 and December 31, 2018, respectively</w:t>
            </w:r>
          </w:p>
        </w:tc>
        <w:tc>
          <w:tcPr>
            <w:tcW w:w="10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w:t>
            </w: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Accumulated other comprehensive income</w:t>
            </w:r>
          </w:p>
        </w:tc>
        <w:tc>
          <w:tcPr>
            <w:tcW w:w="100" w:type="dxa"/>
            <w:vAlign w:val="bottom"/>
          </w:tcPr>
          <w:p>
            <w:pPr>
              <w:spacing w:after="0"/>
              <w:rPr>
                <w:sz w:val="20"/>
                <w:szCs w:val="20"/>
                <w:color w:val="auto"/>
              </w:rPr>
            </w:pPr>
          </w:p>
        </w:tc>
        <w:tc>
          <w:tcPr>
            <w:tcW w:w="1360" w:type="dxa"/>
            <w:vAlign w:val="bottom"/>
          </w:tcPr>
          <w:p>
            <w:pPr>
              <w:jc w:val="right"/>
              <w:ind w:right="19"/>
              <w:spacing w:after="0"/>
              <w:rPr>
                <w:sz w:val="20"/>
                <w:szCs w:val="20"/>
                <w:color w:val="auto"/>
              </w:rPr>
            </w:pPr>
            <w:r>
              <w:rPr>
                <w:rFonts w:ascii="Arial" w:cs="Arial" w:eastAsia="Arial" w:hAnsi="Arial"/>
                <w:sz w:val="16"/>
                <w:szCs w:val="16"/>
                <w:color w:val="auto"/>
              </w:rPr>
              <w:t>189</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94</w:t>
            </w:r>
          </w:p>
        </w:tc>
        <w:tc>
          <w:tcPr>
            <w:tcW w:w="0" w:type="dxa"/>
            <w:vAlign w:val="bottom"/>
          </w:tcPr>
          <w:p>
            <w:pPr>
              <w:spacing w:after="0"/>
              <w:rPr>
                <w:sz w:val="1"/>
                <w:szCs w:val="1"/>
                <w:color w:val="auto"/>
              </w:rPr>
            </w:pPr>
          </w:p>
        </w:tc>
      </w:tr>
      <w:tr>
        <w:trPr>
          <w:trHeight w:val="33"/>
        </w:trPr>
        <w:tc>
          <w:tcPr>
            <w:tcW w:w="6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Additional paid in capital</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27,240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19,732</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Accumulated deficit</w:t>
            </w:r>
          </w:p>
        </w:tc>
        <w:tc>
          <w:tcPr>
            <w:tcW w:w="1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(466,032)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(394,410)</w:t>
            </w:r>
          </w:p>
        </w:tc>
        <w:tc>
          <w:tcPr>
            <w:tcW w:w="0" w:type="dxa"/>
            <w:vAlign w:val="bottom"/>
          </w:tcPr>
          <w:p>
            <w:pPr>
              <w:spacing w:after="0"/>
              <w:rPr>
                <w:sz w:val="1"/>
                <w:szCs w:val="1"/>
                <w:color w:val="auto"/>
              </w:rPr>
            </w:pPr>
          </w:p>
        </w:tc>
      </w:tr>
      <w:tr>
        <w:trPr>
          <w:trHeight w:val="33"/>
        </w:trPr>
        <w:tc>
          <w:tcPr>
            <w:tcW w:w="63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3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Total stockholders' deficit attributable to Planet Fitness, Inc.</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(438,594)</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(374,574)</w:t>
            </w:r>
          </w:p>
        </w:tc>
        <w:tc>
          <w:tcPr>
            <w:tcW w:w="0" w:type="dxa"/>
            <w:vAlign w:val="bottom"/>
          </w:tcPr>
          <w:p>
            <w:pPr>
              <w:spacing w:after="0"/>
              <w:rPr>
                <w:sz w:val="1"/>
                <w:szCs w:val="1"/>
                <w:color w:val="auto"/>
              </w:rPr>
            </w:pPr>
          </w:p>
        </w:tc>
      </w:tr>
      <w:tr>
        <w:trPr>
          <w:trHeight w:val="237"/>
        </w:trPr>
        <w:tc>
          <w:tcPr>
            <w:tcW w:w="6340" w:type="dxa"/>
            <w:vAlign w:val="bottom"/>
          </w:tcPr>
          <w:p>
            <w:pPr>
              <w:ind w:left="100"/>
              <w:spacing w:after="0"/>
              <w:rPr>
                <w:sz w:val="20"/>
                <w:szCs w:val="20"/>
                <w:color w:val="auto"/>
              </w:rPr>
            </w:pPr>
            <w:r>
              <w:rPr>
                <w:rFonts w:ascii="Arial" w:cs="Arial" w:eastAsia="Arial" w:hAnsi="Arial"/>
                <w:sz w:val="16"/>
                <w:szCs w:val="16"/>
                <w:color w:val="auto"/>
              </w:rPr>
              <w:t>Non-controlling interests</w:t>
            </w:r>
          </w:p>
        </w:tc>
        <w:tc>
          <w:tcPr>
            <w:tcW w:w="1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(3,523)</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(8,215)</w:t>
            </w:r>
          </w:p>
        </w:tc>
        <w:tc>
          <w:tcPr>
            <w:tcW w:w="0" w:type="dxa"/>
            <w:vAlign w:val="bottom"/>
          </w:tcPr>
          <w:p>
            <w:pPr>
              <w:spacing w:after="0"/>
              <w:rPr>
                <w:sz w:val="1"/>
                <w:szCs w:val="1"/>
                <w:color w:val="auto"/>
              </w:rPr>
            </w:pPr>
          </w:p>
        </w:tc>
      </w:tr>
      <w:tr>
        <w:trPr>
          <w:trHeight w:val="33"/>
        </w:trPr>
        <w:tc>
          <w:tcPr>
            <w:tcW w:w="634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34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6"/>
                <w:szCs w:val="16"/>
                <w:color w:val="auto"/>
              </w:rPr>
              <w:t>Total stockholders' deficit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(442,117)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(382,789)</w:t>
            </w:r>
          </w:p>
        </w:tc>
        <w:tc>
          <w:tcPr>
            <w:tcW w:w="0" w:type="dxa"/>
            <w:vAlign w:val="bottom"/>
          </w:tcPr>
          <w:p>
            <w:pPr>
              <w:spacing w:after="0"/>
              <w:rPr>
                <w:sz w:val="1"/>
                <w:szCs w:val="1"/>
                <w:color w:val="auto"/>
              </w:rPr>
            </w:pPr>
          </w:p>
        </w:tc>
      </w:tr>
      <w:tr>
        <w:trPr>
          <w:trHeight w:val="244"/>
        </w:trPr>
        <w:tc>
          <w:tcPr>
            <w:tcW w:w="6340" w:type="dxa"/>
            <w:vAlign w:val="bottom"/>
          </w:tcPr>
          <w:p>
            <w:pPr>
              <w:ind w:left="260"/>
              <w:spacing w:after="0"/>
              <w:rPr>
                <w:sz w:val="20"/>
                <w:szCs w:val="20"/>
                <w:color w:val="auto"/>
              </w:rPr>
            </w:pPr>
            <w:r>
              <w:rPr>
                <w:rFonts w:ascii="Arial" w:cs="Arial" w:eastAsia="Arial" w:hAnsi="Arial"/>
                <w:sz w:val="16"/>
                <w:szCs w:val="16"/>
                <w:color w:val="auto"/>
              </w:rPr>
              <w:t>Total liabilities and stockholders' deficit</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1,420,232</w:t>
            </w:r>
          </w:p>
        </w:tc>
        <w:tc>
          <w:tcPr>
            <w:tcW w:w="10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81"/>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1,353,416</w:t>
            </w:r>
          </w:p>
        </w:tc>
        <w:tc>
          <w:tcPr>
            <w:tcW w:w="0" w:type="dxa"/>
            <w:vAlign w:val="bottom"/>
          </w:tcPr>
          <w:p>
            <w:pPr>
              <w:spacing w:after="0"/>
              <w:rPr>
                <w:sz w:val="1"/>
                <w:szCs w:val="1"/>
                <w:color w:val="auto"/>
              </w:rPr>
            </w:pPr>
          </w:p>
        </w:tc>
      </w:tr>
      <w:tr>
        <w:trPr>
          <w:trHeight w:val="20"/>
        </w:trPr>
        <w:tc>
          <w:tcPr>
            <w:tcW w:w="6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9240"/>
          </w:cols>
          <w:pgMar w:left="1340" w:top="121" w:right="1319" w:bottom="887"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3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59"/>
              <w:spacing w:after="0"/>
              <w:rPr>
                <w:sz w:val="20"/>
                <w:szCs w:val="20"/>
                <w:color w:val="auto"/>
              </w:rPr>
            </w:pPr>
            <w:r>
              <w:rPr>
                <w:rFonts w:ascii="Arial" w:cs="Arial" w:eastAsia="Arial" w:hAnsi="Arial"/>
                <w:sz w:val="14"/>
                <w:szCs w:val="14"/>
                <w:b w:val="1"/>
                <w:bCs w:val="1"/>
                <w:color w:val="auto"/>
                <w:w w:val="91"/>
              </w:rPr>
              <w:t>For the nine months ended September 30,</w:t>
            </w:r>
          </w:p>
        </w:tc>
      </w:tr>
      <w:tr>
        <w:trPr>
          <w:trHeight w:val="264"/>
        </w:trPr>
        <w:tc>
          <w:tcPr>
            <w:tcW w:w="63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tcPr>
          <w:p>
            <w:pPr>
              <w:jc w:val="right"/>
              <w:ind w:right="479"/>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2018</w:t>
            </w:r>
          </w:p>
        </w:tc>
      </w:tr>
      <w:tr>
        <w:trPr>
          <w:trHeight w:val="236"/>
        </w:trPr>
        <w:tc>
          <w:tcPr>
            <w:tcW w:w="6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operating activities:</w:t>
            </w:r>
          </w:p>
        </w:tc>
        <w:tc>
          <w:tcPr>
            <w:tcW w:w="14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Net income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101,158</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74,384</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Depreciation and amortization</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32,316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25,947</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Amortization of deferred financing costs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4,014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2,041</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Amortization of favorable leases</w:t>
            </w:r>
          </w:p>
        </w:tc>
        <w:tc>
          <w:tcPr>
            <w:tcW w:w="140" w:type="dxa"/>
            <w:vAlign w:val="bottom"/>
          </w:tcPr>
          <w:p>
            <w:pPr>
              <w:spacing w:after="0"/>
              <w:rPr>
                <w:sz w:val="20"/>
                <w:szCs w:val="20"/>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280</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Amortization of asset retirement obligations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Amortization of interest rate caps</w:t>
            </w:r>
          </w:p>
        </w:tc>
        <w:tc>
          <w:tcPr>
            <w:tcW w:w="140" w:type="dxa"/>
            <w:vAlign w:val="bottom"/>
          </w:tcPr>
          <w:p>
            <w:pPr>
              <w:spacing w:after="0"/>
              <w:rPr>
                <w:sz w:val="20"/>
                <w:szCs w:val="20"/>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1,170</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Deferred tax expense</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15,666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19,654</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Loss on extinguishment of debt</w:t>
            </w:r>
          </w:p>
        </w:tc>
        <w:tc>
          <w:tcPr>
            <w:tcW w:w="140" w:type="dxa"/>
            <w:vAlign w:val="bottom"/>
          </w:tcPr>
          <w:p>
            <w:pPr>
              <w:spacing w:after="0"/>
              <w:rPr>
                <w:sz w:val="20"/>
                <w:szCs w:val="20"/>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4,570</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Loss (gain) on re-measurement of tax benefit arrangement</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4,638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(354)</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Provision for bad debts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Loss on reacquired franchise rights</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360</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(Gain) loss on disposal of property and equipment</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(84)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542</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Equity-based compensation</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3,565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4,137</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Changes in operating assets and liabilities, excluding effects of acquisitions:</w:t>
            </w:r>
          </w:p>
        </w:tc>
        <w:tc>
          <w:tcPr>
            <w:tcW w:w="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Accounts receivable</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12,779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10,922</w:t>
            </w:r>
          </w:p>
        </w:tc>
      </w:tr>
      <w:tr>
        <w:trPr>
          <w:trHeight w:val="237"/>
        </w:trPr>
        <w:tc>
          <w:tcPr>
            <w:tcW w:w="6320" w:type="dxa"/>
            <w:vAlign w:val="bottom"/>
          </w:tcPr>
          <w:p>
            <w:pPr>
              <w:ind w:left="600"/>
              <w:spacing w:after="0"/>
              <w:rPr>
                <w:sz w:val="20"/>
                <w:szCs w:val="20"/>
                <w:color w:val="auto"/>
              </w:rPr>
            </w:pPr>
            <w:r>
              <w:rPr>
                <w:rFonts w:ascii="Arial" w:cs="Arial" w:eastAsia="Arial" w:hAnsi="Arial"/>
                <w:sz w:val="16"/>
                <w:szCs w:val="16"/>
                <w:color w:val="auto"/>
              </w:rPr>
              <w:t>Due to and due from related parties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(344)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3,174</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Inventory</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2,509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(3,450)</w:t>
            </w:r>
          </w:p>
        </w:tc>
      </w:tr>
      <w:tr>
        <w:trPr>
          <w:trHeight w:val="237"/>
        </w:trPr>
        <w:tc>
          <w:tcPr>
            <w:tcW w:w="6320" w:type="dxa"/>
            <w:vAlign w:val="bottom"/>
          </w:tcPr>
          <w:p>
            <w:pPr>
              <w:ind w:left="600"/>
              <w:spacing w:after="0"/>
              <w:rPr>
                <w:sz w:val="20"/>
                <w:szCs w:val="20"/>
                <w:color w:val="auto"/>
              </w:rPr>
            </w:pPr>
            <w:r>
              <w:rPr>
                <w:rFonts w:ascii="Arial" w:cs="Arial" w:eastAsia="Arial" w:hAnsi="Arial"/>
                <w:sz w:val="16"/>
                <w:szCs w:val="16"/>
                <w:color w:val="auto"/>
              </w:rPr>
              <w:t>Other assets and other current assets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(4,628)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4,972</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Accounts payable and accrued expenses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(12,939)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2,426</w:t>
            </w:r>
          </w:p>
        </w:tc>
      </w:tr>
      <w:tr>
        <w:trPr>
          <w:trHeight w:val="237"/>
        </w:trPr>
        <w:tc>
          <w:tcPr>
            <w:tcW w:w="6320" w:type="dxa"/>
            <w:vAlign w:val="bottom"/>
          </w:tcPr>
          <w:p>
            <w:pPr>
              <w:ind w:left="600"/>
              <w:spacing w:after="0"/>
              <w:rPr>
                <w:sz w:val="20"/>
                <w:szCs w:val="20"/>
                <w:color w:val="auto"/>
              </w:rPr>
            </w:pPr>
            <w:r>
              <w:rPr>
                <w:rFonts w:ascii="Arial" w:cs="Arial" w:eastAsia="Arial" w:hAnsi="Arial"/>
                <w:sz w:val="16"/>
                <w:szCs w:val="16"/>
                <w:color w:val="auto"/>
              </w:rPr>
              <w:t>Other liabilities and other current liabilities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1,510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(2,869)</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Income taxes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3,047</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1,028</w:t>
            </w:r>
          </w:p>
        </w:tc>
      </w:tr>
      <w:tr>
        <w:trPr>
          <w:trHeight w:val="237"/>
        </w:trPr>
        <w:tc>
          <w:tcPr>
            <w:tcW w:w="6320" w:type="dxa"/>
            <w:vAlign w:val="bottom"/>
          </w:tcPr>
          <w:p>
            <w:pPr>
              <w:ind w:left="600"/>
              <w:spacing w:after="0"/>
              <w:rPr>
                <w:sz w:val="20"/>
                <w:szCs w:val="20"/>
                <w:color w:val="auto"/>
              </w:rPr>
            </w:pPr>
            <w:r>
              <w:rPr>
                <w:rFonts w:ascii="Arial" w:cs="Arial" w:eastAsia="Arial" w:hAnsi="Arial"/>
                <w:sz w:val="16"/>
                <w:szCs w:val="16"/>
                <w:color w:val="auto"/>
              </w:rPr>
              <w:t>Payable pursuant to tax benefit arrangements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(17,476)</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(21,706)</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Equipment deposits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4,950</w:t>
            </w:r>
          </w:p>
        </w:tc>
      </w:tr>
      <w:tr>
        <w:trPr>
          <w:trHeight w:val="237"/>
        </w:trPr>
        <w:tc>
          <w:tcPr>
            <w:tcW w:w="6320" w:type="dxa"/>
            <w:vAlign w:val="bottom"/>
          </w:tcPr>
          <w:p>
            <w:pPr>
              <w:ind w:left="600"/>
              <w:spacing w:after="0"/>
              <w:rPr>
                <w:sz w:val="20"/>
                <w:szCs w:val="20"/>
                <w:color w:val="auto"/>
              </w:rPr>
            </w:pPr>
            <w:r>
              <w:rPr>
                <w:rFonts w:ascii="Arial" w:cs="Arial" w:eastAsia="Arial" w:hAnsi="Arial"/>
                <w:sz w:val="16"/>
                <w:szCs w:val="16"/>
                <w:color w:val="auto"/>
              </w:rPr>
              <w:t>Deferred revenue</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6,103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7,544</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6"/>
                <w:szCs w:val="16"/>
                <w:color w:val="auto"/>
              </w:rPr>
              <w:t>Leases and deferred rent</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4,156</w:t>
            </w:r>
          </w:p>
        </w:tc>
      </w:tr>
      <w:tr>
        <w:trPr>
          <w:trHeight w:val="217"/>
        </w:trPr>
        <w:tc>
          <w:tcPr>
            <w:tcW w:w="6320" w:type="dxa"/>
            <w:vAlign w:val="bottom"/>
          </w:tcPr>
          <w:p>
            <w:pPr>
              <w:ind w:left="720"/>
              <w:spacing w:after="0"/>
              <w:rPr>
                <w:sz w:val="20"/>
                <w:szCs w:val="20"/>
                <w:color w:val="auto"/>
              </w:rPr>
            </w:pPr>
            <w:r>
              <w:rPr>
                <w:rFonts w:ascii="Arial" w:cs="Arial" w:eastAsia="Arial" w:hAnsi="Arial"/>
                <w:sz w:val="16"/>
                <w:szCs w:val="16"/>
                <w:color w:val="auto"/>
              </w:rPr>
              <w:t>Net cash provided by operating activities</w:t>
            </w: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152,737</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143,886</w:t>
            </w:r>
          </w:p>
        </w:tc>
      </w:tr>
      <w:tr>
        <w:trPr>
          <w:trHeight w:val="33"/>
        </w:trPr>
        <w:tc>
          <w:tcPr>
            <w:tcW w:w="63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6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investing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Additions to property and equipment</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(37,138)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(18,601)</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Acquisition of franchises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(14,801)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(45,752)</w:t>
            </w:r>
          </w:p>
        </w:tc>
      </w:tr>
      <w:tr>
        <w:trPr>
          <w:trHeight w:val="237"/>
        </w:trPr>
        <w:tc>
          <w:tcPr>
            <w:tcW w:w="6320" w:type="dxa"/>
            <w:vAlign w:val="bottom"/>
          </w:tcPr>
          <w:p>
            <w:pPr>
              <w:ind w:left="500"/>
              <w:spacing w:after="0"/>
              <w:rPr>
                <w:sz w:val="20"/>
                <w:szCs w:val="20"/>
                <w:color w:val="auto"/>
              </w:rPr>
            </w:pPr>
            <w:r>
              <w:rPr>
                <w:rFonts w:ascii="Arial" w:cs="Arial" w:eastAsia="Arial" w:hAnsi="Arial"/>
                <w:sz w:val="16"/>
                <w:szCs w:val="16"/>
                <w:color w:val="auto"/>
              </w:rPr>
              <w:t>Proceeds from sale of property and equipment</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84</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196</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Purchase of intellectual property</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(300)</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7"/>
        </w:trPr>
        <w:tc>
          <w:tcPr>
            <w:tcW w:w="6320" w:type="dxa"/>
            <w:vAlign w:val="bottom"/>
          </w:tcPr>
          <w:p>
            <w:pPr>
              <w:ind w:left="720"/>
              <w:spacing w:after="0"/>
              <w:rPr>
                <w:sz w:val="20"/>
                <w:szCs w:val="20"/>
                <w:color w:val="auto"/>
              </w:rPr>
            </w:pPr>
            <w:r>
              <w:rPr>
                <w:rFonts w:ascii="Arial" w:cs="Arial" w:eastAsia="Arial" w:hAnsi="Arial"/>
                <w:sz w:val="16"/>
                <w:szCs w:val="16"/>
                <w:color w:val="auto"/>
              </w:rPr>
              <w:t>Net cash used in investing activities</w:t>
            </w: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(52,155)</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(64,157)</w:t>
            </w:r>
          </w:p>
        </w:tc>
      </w:tr>
      <w:tr>
        <w:trPr>
          <w:trHeight w:val="33"/>
        </w:trPr>
        <w:tc>
          <w:tcPr>
            <w:tcW w:w="63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44"/>
        </w:trPr>
        <w:tc>
          <w:tcPr>
            <w:tcW w:w="6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flows from financing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Principal payments on capital lease obligations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(35)</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Proceeds from issuance of long-term debt</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1,200,000</w:t>
            </w: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Repayment of long-term debt</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(9,000)</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(709,469)</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Payment of deferred financing and other debt-related costs</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(27,191)</w:t>
            </w: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Exercise of stock options and ESPP proceeds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1,892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1,106</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Repurchase and retirement of Class A common stock</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(157,945)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(42,090)</w:t>
            </w: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Dividend equivalent payments</w:t>
            </w:r>
          </w:p>
        </w:tc>
        <w:tc>
          <w:tcPr>
            <w:tcW w:w="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(229)</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(881)</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Distributions to Continuing LLC Members</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(5,499)</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(5,369)</w:t>
            </w:r>
          </w:p>
        </w:tc>
      </w:tr>
      <w:tr>
        <w:trPr>
          <w:trHeight w:val="217"/>
        </w:trPr>
        <w:tc>
          <w:tcPr>
            <w:tcW w:w="6320" w:type="dxa"/>
            <w:vAlign w:val="bottom"/>
          </w:tcPr>
          <w:p>
            <w:pPr>
              <w:ind w:left="720"/>
              <w:spacing w:after="0"/>
              <w:rPr>
                <w:sz w:val="20"/>
                <w:szCs w:val="20"/>
                <w:color w:val="auto"/>
              </w:rPr>
            </w:pPr>
            <w:r>
              <w:rPr>
                <w:rFonts w:ascii="Arial" w:cs="Arial" w:eastAsia="Arial" w:hAnsi="Arial"/>
                <w:sz w:val="16"/>
                <w:szCs w:val="16"/>
                <w:color w:val="auto"/>
              </w:rPr>
              <w:t>Net cash (used in) provided by financing activities</w:t>
            </w: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(170,840)</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416,071</w:t>
            </w:r>
          </w:p>
        </w:tc>
      </w:tr>
      <w:tr>
        <w:trPr>
          <w:trHeight w:val="33"/>
        </w:trPr>
        <w:tc>
          <w:tcPr>
            <w:tcW w:w="63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Effects of exchange rate changes on cash and cash equivalents</w:t>
            </w:r>
          </w:p>
        </w:tc>
        <w:tc>
          <w:tcPr>
            <w:tcW w:w="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(234)</w:t>
            </w:r>
          </w:p>
        </w:tc>
      </w:tr>
      <w:tr>
        <w:trPr>
          <w:trHeight w:val="217"/>
        </w:trPr>
        <w:tc>
          <w:tcPr>
            <w:tcW w:w="6320" w:type="dxa"/>
            <w:vAlign w:val="bottom"/>
          </w:tcPr>
          <w:p>
            <w:pPr>
              <w:ind w:left="720"/>
              <w:spacing w:after="0"/>
              <w:rPr>
                <w:sz w:val="20"/>
                <w:szCs w:val="20"/>
                <w:color w:val="auto"/>
              </w:rPr>
            </w:pPr>
            <w:r>
              <w:rPr>
                <w:rFonts w:ascii="Arial" w:cs="Arial" w:eastAsia="Arial" w:hAnsi="Arial"/>
                <w:sz w:val="16"/>
                <w:szCs w:val="16"/>
                <w:color w:val="auto"/>
              </w:rPr>
              <w:t>Net (decrease) increase in cash, cash equivalents and restricted cash</w:t>
            </w: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(69,888)</w:t>
            </w: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495,566</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6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Cash, cash equivalents and restricted cash, beginning of period</w:t>
            </w: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320,139</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113,080</w:t>
            </w:r>
          </w:p>
        </w:tc>
      </w:tr>
      <w:tr>
        <w:trPr>
          <w:trHeight w:val="284"/>
        </w:trPr>
        <w:tc>
          <w:tcPr>
            <w:tcW w:w="6320" w:type="dxa"/>
            <w:vAlign w:val="bottom"/>
            <w:tcBorders>
              <w:bottom w:val="single" w:sz="8" w:color="CCEEFF"/>
            </w:tcBorders>
          </w:tcPr>
          <w:p>
            <w:pPr>
              <w:ind w:left="280"/>
              <w:spacing w:after="0"/>
              <w:rPr>
                <w:sz w:val="20"/>
                <w:szCs w:val="20"/>
                <w:color w:val="auto"/>
              </w:rPr>
            </w:pPr>
            <w:r>
              <w:rPr>
                <w:rFonts w:ascii="Arial" w:cs="Arial" w:eastAsia="Arial" w:hAnsi="Arial"/>
                <w:sz w:val="16"/>
                <w:szCs w:val="16"/>
                <w:color w:val="auto"/>
              </w:rPr>
              <w:t>Cash, cash equivalents and restricted cash,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250,251</w:t>
            </w:r>
          </w:p>
        </w:tc>
        <w:tc>
          <w:tcPr>
            <w:tcW w:w="100" w:type="dxa"/>
            <w:vAlign w:val="bottom"/>
            <w:tcBorders>
              <w:bottom w:val="single" w:sz="8" w:color="CCEEFF"/>
            </w:tcBorders>
          </w:tcPr>
          <w:p>
            <w:pPr>
              <w:spacing w:after="0"/>
              <w:rPr>
                <w:sz w:val="24"/>
                <w:szCs w:val="24"/>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608,646</w:t>
            </w:r>
          </w:p>
        </w:tc>
      </w:tr>
      <w:tr>
        <w:trPr>
          <w:trHeight w:val="237"/>
        </w:trPr>
        <w:tc>
          <w:tcPr>
            <w:tcW w:w="6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Supplemental cash flow information:</w:t>
            </w:r>
          </w:p>
        </w:tc>
        <w:tc>
          <w:tcPr>
            <w:tcW w:w="14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r>
      <w:tr>
        <w:trPr>
          <w:trHeight w:val="237"/>
        </w:trPr>
        <w:tc>
          <w:tcPr>
            <w:tcW w:w="6320" w:type="dxa"/>
            <w:vAlign w:val="bottom"/>
          </w:tcPr>
          <w:p>
            <w:pPr>
              <w:ind w:left="280"/>
              <w:spacing w:after="0"/>
              <w:rPr>
                <w:sz w:val="20"/>
                <w:szCs w:val="20"/>
                <w:color w:val="auto"/>
              </w:rPr>
            </w:pPr>
            <w:r>
              <w:rPr>
                <w:rFonts w:ascii="Arial" w:cs="Arial" w:eastAsia="Arial" w:hAnsi="Arial"/>
                <w:sz w:val="16"/>
                <w:szCs w:val="16"/>
                <w:color w:val="auto"/>
              </w:rPr>
              <w:t>Net cash paid for income taxes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9,061</w:t>
            </w:r>
          </w:p>
        </w:tc>
        <w:tc>
          <w:tcPr>
            <w:tcW w:w="100" w:type="dxa"/>
            <w:vAlign w:val="bottom"/>
          </w:tcPr>
          <w:p>
            <w:pPr>
              <w:spacing w:after="0"/>
              <w:rPr>
                <w:sz w:val="20"/>
                <w:szCs w:val="20"/>
                <w:color w:val="auto"/>
              </w:rPr>
            </w:pP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3,777</w:t>
            </w: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63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Cash paid for interest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40,335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20,015</w:t>
            </w:r>
          </w:p>
        </w:tc>
      </w:tr>
      <w:tr>
        <w:trPr>
          <w:trHeight w:val="237"/>
        </w:trPr>
        <w:tc>
          <w:tcPr>
            <w:tcW w:w="6320" w:type="dxa"/>
            <w:vAlign w:val="bottom"/>
          </w:tcPr>
          <w:p>
            <w:pPr>
              <w:ind w:left="40"/>
              <w:spacing w:after="0"/>
              <w:rPr>
                <w:sz w:val="20"/>
                <w:szCs w:val="20"/>
                <w:color w:val="auto"/>
              </w:rPr>
            </w:pPr>
            <w:r>
              <w:rPr>
                <w:rFonts w:ascii="Arial" w:cs="Arial" w:eastAsia="Arial" w:hAnsi="Arial"/>
                <w:sz w:val="16"/>
                <w:szCs w:val="16"/>
                <w:color w:val="auto"/>
              </w:rPr>
              <w:t>Non-cash investing activities:</w:t>
            </w:r>
          </w:p>
        </w:tc>
        <w:tc>
          <w:tcPr>
            <w:tcW w:w="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33"/>
        </w:trPr>
        <w:tc>
          <w:tcPr>
            <w:tcW w:w="6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37"/>
        </w:trPr>
        <w:tc>
          <w:tcPr>
            <w:tcW w:w="6320" w:type="dxa"/>
            <w:vAlign w:val="bottom"/>
            <w:shd w:val="clear" w:color="auto" w:fill="CCEEFF"/>
          </w:tcPr>
          <w:p>
            <w:pPr>
              <w:ind w:left="280"/>
              <w:spacing w:after="0"/>
              <w:rPr>
                <w:sz w:val="20"/>
                <w:szCs w:val="20"/>
                <w:color w:val="auto"/>
              </w:rPr>
            </w:pPr>
            <w:r>
              <w:rPr>
                <w:rFonts w:ascii="Arial" w:cs="Arial" w:eastAsia="Arial" w:hAnsi="Arial"/>
                <w:sz w:val="16"/>
                <w:szCs w:val="16"/>
                <w:color w:val="auto"/>
              </w:rPr>
              <w:t>Non-cash additions to property and equipment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4,837</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2,217</w:t>
            </w:r>
          </w:p>
        </w:tc>
      </w:tr>
      <w:tr>
        <w:trPr>
          <w:trHeight w:val="33"/>
        </w:trPr>
        <w:tc>
          <w:tcPr>
            <w:tcW w:w="63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r>
    </w:tbl>
    <w:p>
      <w:pPr>
        <w:sectPr>
          <w:pgSz w:w="11900" w:h="16838" w:orient="portrait"/>
          <w:cols w:equalWidth="0" w:num="1">
            <w:col w:w="9180"/>
          </w:cols>
          <w:pgMar w:left="1360" w:top="121" w:right="1359" w:bottom="0" w:gutter="0" w:footer="0" w:header="0"/>
        </w:sectPr>
      </w:pPr>
    </w:p>
    <w:bookmarkStart w:id="9" w:name="page10"/>
    <w:bookmarkEnd w:id="9"/>
    <w:p>
      <w:pPr>
        <w:spacing w:after="0"/>
        <w:rPr>
          <w:sz w:val="20"/>
          <w:szCs w:val="20"/>
          <w:color w:val="auto"/>
        </w:rPr>
      </w:pPr>
    </w:p>
    <w:p>
      <w:pPr>
        <w:sectPr>
          <w:pgSz w:w="11900" w:h="16838" w:orient="portrait"/>
          <w:cols w:equalWidth="1" w:num="1" w:space="0"/>
          <w:pgMar w:left="1440" w:top="1440" w:right="1440" w:bottom="875"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To supplement its consolidated financial statements, which are prepared and presented in accordance with GAAP, the Company uses the following non-GAAP financial measures: EBITDA, Total Segment EBITDA, Adjusted EBITDA, Adjusted net income and Adjusted net income per share, diluted (collectively, the “non-GAAP financial measures”). The Company believes that these non-GAAP financial measures, when used in conjunction with GAAP financial measures, are useful to investors in evaluating our operating performance. These non-GAAP financial measures presented in this release are supplemental measures of the Company’s performance that are neither required by, nor presented in accordance with GAAP. These financial measures should not be considered in isolation or as substitutes for GAAP financial measures such as net income or any other performance measures derived in accordance with GAAP. In addition, in the future, the Company may incur expenses or charges such as those added back to calculate Adjusted EBITDA, Adjusted net income and Adjusted net income per share, diluted. The Company’s presentation of Adjusted EBITDA, Adjusted net income, and Adjusted net income per share, diluted, should not be construed as an inference that the Company’s future results will be unaffected by unusual or nonrecurring items.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EBITDA, Segment EBITDA and Adjusted EBITDA</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We refer to EBITDA and Adjusted EBITDA as we use these measures to evaluate our operating performance and we believe these measures provide useful information to investors in evaluating our performance. We have also disclosed Segment EBITDA as an important financial metric utilized by the Company to evaluate performance and allocate resources to segments in accordance with ASC 280, </w:t>
      </w:r>
      <w:r>
        <w:rPr>
          <w:rFonts w:ascii="Arial" w:cs="Arial" w:eastAsia="Arial" w:hAnsi="Arial"/>
          <w:sz w:val="17"/>
          <w:szCs w:val="17"/>
          <w:i w:val="1"/>
          <w:iCs w:val="1"/>
          <w:color w:val="auto"/>
        </w:rPr>
        <w:t>Segment Reporting</w:t>
      </w:r>
      <w:r>
        <w:rPr>
          <w:rFonts w:ascii="Arial" w:cs="Arial" w:eastAsia="Arial" w:hAnsi="Arial"/>
          <w:sz w:val="17"/>
          <w:szCs w:val="17"/>
          <w:color w:val="auto"/>
        </w:rPr>
        <w:t>. We define EBITDA as net income before interest, taxes, depreciation and amortization. Segment EBITDA sums to Total Segment EBITDA which is equal to the Non-GAAP financial metric EBITDA.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 we do not consider in our evaluation of ongoing performance of the Company’s core operations. These items include certain purchase accounting adjustments, stock offering-related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ectPr>
          <w:pgSz w:w="11900" w:h="16838" w:orient="portrait"/>
          <w:cols w:equalWidth="0" w:num="1">
            <w:col w:w="11420"/>
          </w:cols>
          <w:pgMar w:left="240" w:top="121"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Adjusted EBITDA to net income, the most directly comparable GAAP measure, is set forth below.</w:t>
      </w:r>
    </w:p>
    <w:p>
      <w:pPr>
        <w:spacing w:after="0" w:line="230" w:lineRule="exact"/>
        <w:rPr>
          <w:sz w:val="20"/>
          <w:szCs w:val="20"/>
          <w:color w:val="auto"/>
        </w:rPr>
      </w:pPr>
    </w:p>
    <w:tbl>
      <w:tblPr>
        <w:tblLayout w:type="fixed"/>
        <w:tblInd w:w="1140" w:type="dxa"/>
        <w:tblCellMar>
          <w:top w:w="0" w:type="dxa"/>
          <w:left w:w="0" w:type="dxa"/>
          <w:bottom w:w="0" w:type="dxa"/>
          <w:right w:w="0" w:type="dxa"/>
        </w:tblCellMar>
      </w:tblPr>
      <w:tr>
        <w:trPr>
          <w:trHeight w:val="192"/>
        </w:trPr>
        <w:tc>
          <w:tcPr>
            <w:tcW w:w="4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0" w:type="dxa"/>
            <w:vAlign w:val="bottom"/>
            <w:gridSpan w:val="5"/>
          </w:tcPr>
          <w:p>
            <w:pPr>
              <w:ind w:left="20"/>
              <w:spacing w:after="0"/>
              <w:rPr>
                <w:sz w:val="20"/>
                <w:szCs w:val="20"/>
                <w:color w:val="auto"/>
              </w:rPr>
            </w:pPr>
            <w:r>
              <w:rPr>
                <w:rFonts w:ascii="Arial" w:cs="Arial" w:eastAsia="Arial" w:hAnsi="Arial"/>
                <w:sz w:val="14"/>
                <w:szCs w:val="14"/>
                <w:b w:val="1"/>
                <w:bCs w:val="1"/>
                <w:color w:val="auto"/>
                <w:w w:val="99"/>
              </w:rPr>
              <w:t>Three months ended September 30,</w:t>
            </w:r>
          </w:p>
        </w:tc>
        <w:tc>
          <w:tcPr>
            <w:tcW w:w="140" w:type="dxa"/>
            <w:vAlign w:val="bottom"/>
          </w:tcPr>
          <w:p>
            <w:pPr>
              <w:spacing w:after="0"/>
              <w:rPr>
                <w:sz w:val="16"/>
                <w:szCs w:val="16"/>
                <w:color w:val="auto"/>
              </w:rPr>
            </w:pPr>
          </w:p>
        </w:tc>
        <w:tc>
          <w:tcPr>
            <w:tcW w:w="2280" w:type="dxa"/>
            <w:vAlign w:val="bottom"/>
            <w:gridSpan w:val="4"/>
          </w:tcPr>
          <w:p>
            <w:pPr>
              <w:jc w:val="right"/>
              <w:ind w:right="51"/>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3"/>
        </w:trPr>
        <w:tc>
          <w:tcPr>
            <w:tcW w:w="420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2018</w:t>
            </w:r>
          </w:p>
        </w:tc>
      </w:tr>
      <w:tr>
        <w:trPr>
          <w:trHeight w:val="251"/>
        </w:trPr>
        <w:tc>
          <w:tcPr>
            <w:tcW w:w="420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spacing w:after="0"/>
              <w:rPr>
                <w:sz w:val="21"/>
                <w:szCs w:val="21"/>
                <w:color w:val="auto"/>
              </w:rPr>
            </w:pPr>
          </w:p>
        </w:tc>
      </w:tr>
      <w:tr>
        <w:trPr>
          <w:trHeight w:val="256"/>
        </w:trPr>
        <w:tc>
          <w:tcPr>
            <w:tcW w:w="42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Net income</w:t>
            </w: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29,692</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20,472</w:t>
            </w:r>
          </w:p>
        </w:tc>
        <w:tc>
          <w:tcPr>
            <w:tcW w:w="120" w:type="dxa"/>
            <w:vAlign w:val="bottom"/>
            <w:tcBorders>
              <w:bottom w:val="single" w:sz="8" w:color="CFF0FC"/>
            </w:tcBorders>
            <w:shd w:val="clear" w:color="auto" w:fill="CFF0FC"/>
          </w:tcPr>
          <w:p>
            <w:pPr>
              <w:spacing w:after="0"/>
              <w:rPr>
                <w:sz w:val="22"/>
                <w:szCs w:val="22"/>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101,158</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74,384</w:t>
            </w:r>
          </w:p>
        </w:tc>
      </w:tr>
      <w:tr>
        <w:trPr>
          <w:trHeight w:val="243"/>
        </w:trPr>
        <w:tc>
          <w:tcPr>
            <w:tcW w:w="420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1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(1,808)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(2,025)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(5,585)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(2,480)</w:t>
            </w:r>
          </w:p>
        </w:tc>
      </w:tr>
      <w:tr>
        <w:trPr>
          <w:trHeight w:val="27"/>
        </w:trPr>
        <w:tc>
          <w:tcPr>
            <w:tcW w:w="4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42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Interest expense</w:t>
            </w:r>
          </w:p>
        </w:tc>
        <w:tc>
          <w:tcPr>
            <w:tcW w:w="12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14,807</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17,909</w:t>
            </w:r>
          </w:p>
        </w:tc>
        <w:tc>
          <w:tcPr>
            <w:tcW w:w="1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44,192</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35,725</w:t>
            </w:r>
          </w:p>
        </w:tc>
      </w:tr>
      <w:tr>
        <w:trPr>
          <w:trHeight w:val="243"/>
        </w:trPr>
        <w:tc>
          <w:tcPr>
            <w:tcW w:w="4200" w:type="dxa"/>
            <w:vAlign w:val="bottom"/>
          </w:tcPr>
          <w:p>
            <w:pPr>
              <w:ind w:left="280"/>
              <w:spacing w:after="0"/>
              <w:rPr>
                <w:sz w:val="20"/>
                <w:szCs w:val="20"/>
                <w:color w:val="auto"/>
              </w:rPr>
            </w:pPr>
            <w:r>
              <w:rPr>
                <w:rFonts w:ascii="Arial" w:cs="Arial" w:eastAsia="Arial" w:hAnsi="Arial"/>
                <w:sz w:val="18"/>
                <w:szCs w:val="18"/>
                <w:color w:val="auto"/>
              </w:rPr>
              <w:t>Provision for income taxes</w:t>
            </w:r>
          </w:p>
        </w:tc>
        <w:tc>
          <w:tcPr>
            <w:tcW w:w="12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10,309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7,190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26,924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23,335</w:t>
            </w:r>
          </w:p>
        </w:tc>
      </w:tr>
      <w:tr>
        <w:trPr>
          <w:trHeight w:val="27"/>
        </w:trPr>
        <w:tc>
          <w:tcPr>
            <w:tcW w:w="4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2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Depreciation and amortization</w:t>
            </w:r>
          </w:p>
        </w:tc>
        <w:tc>
          <w:tcPr>
            <w:tcW w:w="120" w:type="dxa"/>
            <w:vAlign w:val="bottom"/>
            <w:tcBorders>
              <w:bottom w:val="single" w:sz="8" w:color="CFF0FC"/>
            </w:tcBorders>
            <w:shd w:val="clear" w:color="auto" w:fill="CFF0FC"/>
          </w:tcPr>
          <w:p>
            <w:pPr>
              <w:spacing w:after="0"/>
              <w:rPr>
                <w:sz w:val="23"/>
                <w:szCs w:val="23"/>
                <w:color w:val="auto"/>
              </w:rPr>
            </w:pP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11,832</w:t>
            </w:r>
          </w:p>
        </w:tc>
        <w:tc>
          <w:tcPr>
            <w:tcW w:w="100" w:type="dxa"/>
            <w:vAlign w:val="bottom"/>
            <w:tcBorders>
              <w:bottom w:val="single" w:sz="8" w:color="CFF0FC"/>
            </w:tcBorders>
            <w:shd w:val="clear" w:color="auto" w:fill="CFF0FC"/>
          </w:tcPr>
          <w:p>
            <w:pPr>
              <w:spacing w:after="0"/>
              <w:rPr>
                <w:sz w:val="23"/>
                <w:szCs w:val="23"/>
                <w:color w:val="auto"/>
              </w:rPr>
            </w:pPr>
          </w:p>
        </w:tc>
        <w:tc>
          <w:tcPr>
            <w:tcW w:w="280" w:type="dxa"/>
            <w:vAlign w:val="bottom"/>
            <w:tcBorders>
              <w:bottom w:val="single" w:sz="8" w:color="CFF0FC"/>
            </w:tcBorders>
            <w:shd w:val="clear" w:color="auto" w:fill="CFF0FC"/>
          </w:tcPr>
          <w:p>
            <w:pPr>
              <w:spacing w:after="0"/>
              <w:rPr>
                <w:sz w:val="23"/>
                <w:szCs w:val="23"/>
                <w:color w:val="auto"/>
              </w:rPr>
            </w:pP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8,863</w:t>
            </w:r>
          </w:p>
        </w:tc>
        <w:tc>
          <w:tcPr>
            <w:tcW w:w="120" w:type="dxa"/>
            <w:vAlign w:val="bottom"/>
            <w:tcBorders>
              <w:bottom w:val="single" w:sz="8" w:color="CFF0FC"/>
            </w:tcBorders>
            <w:shd w:val="clear" w:color="auto" w:fill="CFF0FC"/>
          </w:tcPr>
          <w:p>
            <w:pPr>
              <w:spacing w:after="0"/>
              <w:rPr>
                <w:sz w:val="23"/>
                <w:szCs w:val="23"/>
                <w:color w:val="auto"/>
              </w:rPr>
            </w:pPr>
          </w:p>
        </w:tc>
        <w:tc>
          <w:tcPr>
            <w:tcW w:w="140" w:type="dxa"/>
            <w:vAlign w:val="bottom"/>
            <w:tcBorders>
              <w:bottom w:val="single" w:sz="8" w:color="CFF0FC"/>
            </w:tcBorders>
            <w:shd w:val="clear" w:color="auto" w:fill="CFF0FC"/>
          </w:tcPr>
          <w:p>
            <w:pPr>
              <w:spacing w:after="0"/>
              <w:rPr>
                <w:sz w:val="23"/>
                <w:szCs w:val="23"/>
                <w:color w:val="auto"/>
              </w:rPr>
            </w:pPr>
          </w:p>
        </w:tc>
        <w:tc>
          <w:tcPr>
            <w:tcW w:w="102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32,316</w:t>
            </w:r>
          </w:p>
        </w:tc>
        <w:tc>
          <w:tcPr>
            <w:tcW w:w="100" w:type="dxa"/>
            <w:vAlign w:val="bottom"/>
            <w:tcBorders>
              <w:bottom w:val="single" w:sz="8" w:color="CFF0FC"/>
            </w:tcBorders>
            <w:shd w:val="clear" w:color="auto" w:fill="CFF0FC"/>
          </w:tcPr>
          <w:p>
            <w:pPr>
              <w:spacing w:after="0"/>
              <w:rPr>
                <w:sz w:val="23"/>
                <w:szCs w:val="23"/>
                <w:color w:val="auto"/>
              </w:rPr>
            </w:pPr>
          </w:p>
        </w:tc>
        <w:tc>
          <w:tcPr>
            <w:tcW w:w="280" w:type="dxa"/>
            <w:vAlign w:val="bottom"/>
            <w:tcBorders>
              <w:bottom w:val="single" w:sz="8" w:color="CFF0FC"/>
            </w:tcBorders>
            <w:shd w:val="clear" w:color="auto" w:fill="CFF0FC"/>
          </w:tcPr>
          <w:p>
            <w:pPr>
              <w:spacing w:after="0"/>
              <w:rPr>
                <w:sz w:val="23"/>
                <w:szCs w:val="23"/>
                <w:color w:val="auto"/>
              </w:rPr>
            </w:pP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25,947</w:t>
            </w:r>
          </w:p>
        </w:tc>
      </w:tr>
      <w:tr>
        <w:trPr>
          <w:trHeight w:val="237"/>
        </w:trPr>
        <w:tc>
          <w:tcPr>
            <w:tcW w:w="4200" w:type="dxa"/>
            <w:vAlign w:val="bottom"/>
          </w:tcPr>
          <w:p>
            <w:pPr>
              <w:ind w:left="20"/>
              <w:spacing w:after="0"/>
              <w:rPr>
                <w:sz w:val="20"/>
                <w:szCs w:val="20"/>
                <w:color w:val="auto"/>
              </w:rPr>
            </w:pPr>
            <w:r>
              <w:rPr>
                <w:rFonts w:ascii="Arial" w:cs="Arial" w:eastAsia="Arial" w:hAnsi="Arial"/>
                <w:sz w:val="18"/>
                <w:szCs w:val="18"/>
                <w:color w:val="auto"/>
              </w:rPr>
              <w:t>EBITDA</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64,832</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52,409</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199,005</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156,911</w:t>
            </w:r>
          </w:p>
        </w:tc>
      </w:tr>
      <w:tr>
        <w:trPr>
          <w:trHeight w:val="27"/>
        </w:trPr>
        <w:tc>
          <w:tcPr>
            <w:tcW w:w="4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70"/>
        </w:trPr>
        <w:tc>
          <w:tcPr>
            <w:tcW w:w="42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12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275</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527</w:t>
            </w:r>
          </w:p>
        </w:tc>
        <w:tc>
          <w:tcPr>
            <w:tcW w:w="12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524</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941</w:t>
            </w:r>
          </w:p>
        </w:tc>
      </w:tr>
      <w:tr>
        <w:trPr>
          <w:trHeight w:val="270"/>
        </w:trPr>
        <w:tc>
          <w:tcPr>
            <w:tcW w:w="420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120" w:type="dxa"/>
            <w:vAlign w:val="bottom"/>
          </w:tcPr>
          <w:p>
            <w:pPr>
              <w:spacing w:after="0"/>
              <w:rPr>
                <w:sz w:val="23"/>
                <w:szCs w:val="23"/>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198</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548</w:t>
            </w:r>
          </w:p>
        </w:tc>
      </w:tr>
      <w:tr>
        <w:trPr>
          <w:trHeight w:val="270"/>
        </w:trPr>
        <w:tc>
          <w:tcPr>
            <w:tcW w:w="4200" w:type="dxa"/>
            <w:vAlign w:val="bottom"/>
            <w:shd w:val="clear" w:color="auto" w:fill="CFF0FC"/>
          </w:tcPr>
          <w:p>
            <w:pPr>
              <w:ind w:left="280"/>
              <w:spacing w:after="0" w:line="270" w:lineRule="exact"/>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5"/>
                <w:szCs w:val="25"/>
                <w:color w:val="auto"/>
                <w:vertAlign w:val="superscript"/>
              </w:rPr>
              <w:t>(3)</w:t>
            </w:r>
          </w:p>
        </w:tc>
        <w:tc>
          <w:tcPr>
            <w:tcW w:w="1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12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12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360</w:t>
            </w:r>
          </w:p>
        </w:tc>
      </w:tr>
      <w:tr>
        <w:trPr>
          <w:trHeight w:val="270"/>
        </w:trPr>
        <w:tc>
          <w:tcPr>
            <w:tcW w:w="4200" w:type="dxa"/>
            <w:vAlign w:val="bottom"/>
          </w:tcPr>
          <w:p>
            <w:pPr>
              <w:ind w:left="280"/>
              <w:spacing w:after="0" w:line="270" w:lineRule="exact"/>
              <w:rPr>
                <w:sz w:val="20"/>
                <w:szCs w:val="20"/>
                <w:color w:val="auto"/>
              </w:rPr>
            </w:pPr>
            <w:r>
              <w:rPr>
                <w:rFonts w:ascii="Arial" w:cs="Arial" w:eastAsia="Arial" w:hAnsi="Arial"/>
                <w:sz w:val="18"/>
                <w:szCs w:val="18"/>
                <w:color w:val="auto"/>
              </w:rPr>
              <w:t>Transaction fees</w:t>
            </w:r>
            <w:r>
              <w:rPr>
                <w:rFonts w:ascii="Arial" w:cs="Arial" w:eastAsia="Arial" w:hAnsi="Arial"/>
                <w:sz w:val="25"/>
                <w:szCs w:val="25"/>
                <w:color w:val="auto"/>
                <w:vertAlign w:val="superscript"/>
              </w:rPr>
              <w:t>(4)</w:t>
            </w:r>
          </w:p>
        </w:tc>
        <w:tc>
          <w:tcPr>
            <w:tcW w:w="120" w:type="dxa"/>
            <w:vAlign w:val="bottom"/>
          </w:tcPr>
          <w:p>
            <w:pPr>
              <w:spacing w:after="0"/>
              <w:rPr>
                <w:sz w:val="23"/>
                <w:szCs w:val="23"/>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254</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290</w:t>
            </w:r>
          </w:p>
        </w:tc>
      </w:tr>
      <w:tr>
        <w:trPr>
          <w:trHeight w:val="270"/>
        </w:trPr>
        <w:tc>
          <w:tcPr>
            <w:tcW w:w="42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(5)</w:t>
            </w:r>
          </w:p>
        </w:tc>
        <w:tc>
          <w:tcPr>
            <w:tcW w:w="12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3"/>
                <w:szCs w:val="23"/>
                <w:color w:val="auto"/>
              </w:rPr>
            </w:pPr>
          </w:p>
        </w:tc>
        <w:tc>
          <w:tcPr>
            <w:tcW w:w="112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352</w:t>
            </w:r>
          </w:p>
        </w:tc>
      </w:tr>
      <w:tr>
        <w:trPr>
          <w:trHeight w:val="270"/>
        </w:trPr>
        <w:tc>
          <w:tcPr>
            <w:tcW w:w="4200" w:type="dxa"/>
            <w:vAlign w:val="bottom"/>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(6)</w:t>
            </w:r>
          </w:p>
        </w:tc>
        <w:tc>
          <w:tcPr>
            <w:tcW w:w="120" w:type="dxa"/>
            <w:vAlign w:val="bottom"/>
          </w:tcPr>
          <w:p>
            <w:pPr>
              <w:spacing w:after="0"/>
              <w:rPr>
                <w:sz w:val="23"/>
                <w:szCs w:val="23"/>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826</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370</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1,021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853</w:t>
            </w:r>
          </w:p>
        </w:tc>
      </w:tr>
      <w:tr>
        <w:trPr>
          <w:trHeight w:val="270"/>
        </w:trPr>
        <w:tc>
          <w:tcPr>
            <w:tcW w:w="42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(7)</w:t>
            </w:r>
          </w:p>
        </w:tc>
        <w:tc>
          <w:tcPr>
            <w:tcW w:w="120" w:type="dxa"/>
            <w:vAlign w:val="bottom"/>
            <w:shd w:val="clear" w:color="auto" w:fill="CFF0FC"/>
          </w:tcPr>
          <w:p>
            <w:pPr>
              <w:spacing w:after="0"/>
              <w:rPr>
                <w:sz w:val="23"/>
                <w:szCs w:val="23"/>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(214)</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23"/>
                <w:szCs w:val="23"/>
                <w:color w:val="auto"/>
              </w:rPr>
            </w:pPr>
          </w:p>
        </w:tc>
        <w:tc>
          <w:tcPr>
            <w:tcW w:w="102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4,638</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(354)</w:t>
            </w:r>
          </w:p>
        </w:tc>
      </w:tr>
      <w:tr>
        <w:trPr>
          <w:trHeight w:val="270"/>
        </w:trPr>
        <w:tc>
          <w:tcPr>
            <w:tcW w:w="420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Other</w:t>
            </w:r>
            <w:r>
              <w:rPr>
                <w:rFonts w:ascii="Arial" w:cs="Arial" w:eastAsia="Arial" w:hAnsi="Arial"/>
                <w:sz w:val="21"/>
                <w:szCs w:val="21"/>
                <w:color w:val="auto"/>
                <w:vertAlign w:val="superscript"/>
              </w:rPr>
              <w:t>(8)</w:t>
            </w:r>
          </w:p>
        </w:tc>
        <w:tc>
          <w:tcPr>
            <w:tcW w:w="12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120" w:type="dxa"/>
            <w:vAlign w:val="bottom"/>
            <w:tcBorders>
              <w:bottom w:val="single" w:sz="8" w:color="CFF0FC"/>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55</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1,039</w:t>
            </w:r>
          </w:p>
        </w:tc>
      </w:tr>
      <w:tr>
        <w:trPr>
          <w:trHeight w:val="257"/>
        </w:trPr>
        <w:tc>
          <w:tcPr>
            <w:tcW w:w="42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Adjusted EBITDA</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65,723</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53,787</w:t>
            </w:r>
          </w:p>
        </w:tc>
        <w:tc>
          <w:tcPr>
            <w:tcW w:w="120" w:type="dxa"/>
            <w:vAlign w:val="bottom"/>
            <w:tcBorders>
              <w:bottom w:val="single" w:sz="8" w:color="CFF0FC"/>
            </w:tcBorders>
            <w:shd w:val="clear" w:color="auto" w:fill="CFF0FC"/>
          </w:tcPr>
          <w:p>
            <w:pPr>
              <w:spacing w:after="0"/>
              <w:rPr>
                <w:sz w:val="22"/>
                <w:szCs w:val="22"/>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205,591</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160,940</w:t>
            </w:r>
          </w:p>
        </w:tc>
      </w:tr>
      <w:tr>
        <w:trPr>
          <w:trHeight w:val="20"/>
        </w:trPr>
        <w:tc>
          <w:tcPr>
            <w:tcW w:w="4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580" w:hanging="315"/>
        <w:spacing w:after="0" w:line="252" w:lineRule="auto"/>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the impact of revenue-related purchase accounting adjustments associated with the acquisition of Pla-Fit Holdings on November 8, 2012 by TSG (the “2012 Acquisition”). At the time of the 2012 Acquisition, the Company maintained a deferred revenue account, which consisted of deferred ADA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4" w:lineRule="exact"/>
        <w:rPr>
          <w:rFonts w:ascii="Arial" w:cs="Arial" w:eastAsia="Arial" w:hAnsi="Arial"/>
          <w:sz w:val="18"/>
          <w:szCs w:val="18"/>
          <w:color w:val="auto"/>
        </w:rPr>
      </w:pPr>
    </w:p>
    <w:p>
      <w:pPr>
        <w:jc w:val="both"/>
        <w:ind w:left="580" w:hanging="315"/>
        <w:spacing w:after="0" w:line="281" w:lineRule="auto"/>
        <w:tabs>
          <w:tab w:leader="none" w:pos="580" w:val="left"/>
        </w:tabs>
        <w:numPr>
          <w:ilvl w:val="0"/>
          <w:numId w:val="7"/>
        </w:numPr>
        <w:rPr>
          <w:rFonts w:ascii="Arial" w:cs="Arial" w:eastAsia="Arial" w:hAnsi="Arial"/>
          <w:sz w:val="16"/>
          <w:szCs w:val="16"/>
          <w:color w:val="auto"/>
        </w:rPr>
      </w:pPr>
      <w:r>
        <w:rPr>
          <w:rFonts w:ascii="Arial" w:cs="Arial" w:eastAsia="Arial" w:hAnsi="Arial"/>
          <w:sz w:val="16"/>
          <w:szCs w:val="16"/>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$44, $105, $173 and $272 in the three and nine months ended September 30, 2019 and 2018, respectively, reflect the difference between the higher rent expense recorded in accordance with U.S. GAAP since the acquisition and the rent expense that would have been recorded had the 2012 Acquisition not occurred. Adjustments of $64, $93, $216 and $276 in the three and nine months ended September 30, 2019 and 2018,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6" w:lineRule="exact"/>
        <w:rPr>
          <w:rFonts w:ascii="Arial" w:cs="Arial" w:eastAsia="Arial" w:hAnsi="Arial"/>
          <w:sz w:val="16"/>
          <w:szCs w:val="16"/>
          <w:color w:val="auto"/>
        </w:rPr>
      </w:pPr>
    </w:p>
    <w:p>
      <w:pPr>
        <w:jc w:val="both"/>
        <w:ind w:left="580" w:hanging="315"/>
        <w:spacing w:after="0" w:line="281" w:lineRule="auto"/>
        <w:tabs>
          <w:tab w:leader="none" w:pos="580" w:val="left"/>
        </w:tabs>
        <w:numPr>
          <w:ilvl w:val="0"/>
          <w:numId w:val="7"/>
        </w:numPr>
        <w:rPr>
          <w:rFonts w:ascii="Arial" w:cs="Arial" w:eastAsia="Arial" w:hAnsi="Arial"/>
          <w:sz w:val="16"/>
          <w:szCs w:val="16"/>
          <w:color w:val="auto"/>
        </w:rPr>
      </w:pPr>
      <w:r>
        <w:rPr>
          <w:rFonts w:ascii="Arial" w:cs="Arial" w:eastAsia="Arial" w:hAnsi="Arial"/>
          <w:sz w:val="16"/>
          <w:szCs w:val="16"/>
          <w:color w:val="auto"/>
        </w:rPr>
        <w:t>Represents the impact of a non-cash loss recorded in accordance with ASC 805 - Business Combinations related to our acquisition of six franchisee-owned stores on January 1,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2" w:lineRule="exact"/>
        <w:rPr>
          <w:rFonts w:ascii="Arial" w:cs="Arial" w:eastAsia="Arial" w:hAnsi="Arial"/>
          <w:sz w:val="16"/>
          <w:szCs w:val="16"/>
          <w:color w:val="auto"/>
        </w:rPr>
      </w:pPr>
    </w:p>
    <w:p>
      <w:pPr>
        <w:ind w:left="580" w:hanging="315"/>
        <w:spacing w:after="0" w:line="250" w:lineRule="auto"/>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our Series 2018-1 Senior Notes in the three and nine months ended September 30, 2018.</w:t>
      </w:r>
    </w:p>
    <w:p>
      <w:pPr>
        <w:ind w:left="580" w:hanging="315"/>
        <w:spacing w:after="0"/>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580" w:right="20" w:hanging="315"/>
        <w:spacing w:after="0" w:line="250" w:lineRule="auto"/>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580" w:hanging="315"/>
        <w:spacing w:after="0"/>
        <w:tabs>
          <w:tab w:leader="none" w:pos="5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gains and losses related to the adjustment of our tax benefit arrangements primarily due to changes in our effective tax rate.</w:t>
      </w:r>
    </w:p>
    <w:p>
      <w:pPr>
        <w:sectPr>
          <w:pgSz w:w="11900" w:h="16838" w:orient="portrait"/>
          <w:cols w:equalWidth="0" w:num="1">
            <w:col w:w="11420"/>
          </w:cols>
          <w:pgMar w:left="240" w:top="121" w:right="239" w:bottom="1440" w:gutter="0" w:footer="0" w:header="0"/>
        </w:sectPr>
      </w:pPr>
    </w:p>
    <w:bookmarkStart w:id="12" w:name="page13"/>
    <w:bookmarkEnd w:id="12"/>
    <w:p>
      <w:pPr>
        <w:jc w:val="center"/>
        <w:ind w:right="-19"/>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54" w:lineRule="exact"/>
        <w:rPr>
          <w:sz w:val="20"/>
          <w:szCs w:val="20"/>
          <w:color w:val="auto"/>
        </w:rPr>
      </w:pPr>
    </w:p>
    <w:p>
      <w:pPr>
        <w:ind w:left="580" w:hanging="315"/>
        <w:spacing w:after="0" w:line="342" w:lineRule="auto"/>
        <w:tabs>
          <w:tab w:leader="none" w:pos="580" w:val="left"/>
        </w:tabs>
        <w:numPr>
          <w:ilvl w:val="0"/>
          <w:numId w:val="8"/>
        </w:numPr>
        <w:rPr>
          <w:rFonts w:ascii="Arial" w:cs="Arial" w:eastAsia="Arial" w:hAnsi="Arial"/>
          <w:sz w:val="16"/>
          <w:szCs w:val="16"/>
          <w:color w:val="auto"/>
        </w:rPr>
      </w:pPr>
      <w:r>
        <w:rPr>
          <w:rFonts w:ascii="Arial" w:cs="Arial" w:eastAsia="Arial" w:hAnsi="Arial"/>
          <w:sz w:val="16"/>
          <w:szCs w:val="16"/>
          <w:color w:val="auto"/>
        </w:rPr>
        <w:t>Represents certain other charges and gains that we do not believe reflect our underlying business performance. In the nine months ended September 30, 2018, this amount includes expense of $590 related to the write off of certain assets that were being tested for potential use across the system.</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Segment EBITDA to Total Segment EBITDA is set forth below.</w:t>
      </w:r>
    </w:p>
    <w:p>
      <w:pPr>
        <w:spacing w:after="0" w:line="366"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4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8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 September</w:t>
            </w:r>
          </w:p>
        </w:tc>
        <w:tc>
          <w:tcPr>
            <w:tcW w:w="2180" w:type="dxa"/>
            <w:vAlign w:val="bottom"/>
            <w:gridSpan w:val="5"/>
            <w:vMerge w:val="restart"/>
          </w:tcPr>
          <w:p>
            <w:pPr>
              <w:jc w:val="right"/>
              <w:spacing w:after="0"/>
              <w:rPr>
                <w:sz w:val="20"/>
                <w:szCs w:val="20"/>
                <w:color w:val="auto"/>
              </w:rPr>
            </w:pPr>
            <w:r>
              <w:rPr>
                <w:rFonts w:ascii="Arial" w:cs="Arial" w:eastAsia="Arial" w:hAnsi="Arial"/>
                <w:sz w:val="14"/>
                <w:szCs w:val="14"/>
                <w:b w:val="1"/>
                <w:bCs w:val="1"/>
                <w:color w:val="auto"/>
                <w:w w:val="92"/>
              </w:rPr>
              <w:t>Nine months ended September 30,</w:t>
            </w:r>
          </w:p>
        </w:tc>
        <w:tc>
          <w:tcPr>
            <w:tcW w:w="0" w:type="dxa"/>
            <w:vAlign w:val="bottom"/>
          </w:tcPr>
          <w:p>
            <w:pPr>
              <w:spacing w:after="0"/>
              <w:rPr>
                <w:sz w:val="1"/>
                <w:szCs w:val="1"/>
                <w:color w:val="auto"/>
              </w:rPr>
            </w:pPr>
          </w:p>
        </w:tc>
      </w:tr>
      <w:tr>
        <w:trPr>
          <w:trHeight w:val="192"/>
        </w:trPr>
        <w:tc>
          <w:tcPr>
            <w:tcW w:w="47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w w:val="92"/>
              </w:rPr>
              <w:t>30,</w:t>
            </w:r>
          </w:p>
        </w:tc>
        <w:tc>
          <w:tcPr>
            <w:tcW w:w="8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180" w:type="dxa"/>
            <w:vAlign w:val="bottom"/>
            <w:tcBorders>
              <w:bottom w:val="single" w:sz="8" w:color="auto"/>
            </w:tcBorders>
            <w:gridSpan w:val="5"/>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4700" w:type="dxa"/>
            <w:vAlign w:val="bottom"/>
          </w:tcPr>
          <w:p>
            <w:pPr>
              <w:ind w:left="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2019</w:t>
            </w:r>
          </w:p>
        </w:tc>
        <w:tc>
          <w:tcPr>
            <w:tcW w:w="4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Segment EBITDA</w:t>
            </w:r>
          </w:p>
        </w:tc>
        <w:tc>
          <w:tcPr>
            <w:tcW w:w="1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Franchise</w:t>
            </w: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44,328</w:t>
            </w:r>
          </w:p>
        </w:tc>
        <w:tc>
          <w:tcPr>
            <w:tcW w:w="380" w:type="dxa"/>
            <w:vAlign w:val="bottom"/>
            <w:tcBorders>
              <w:bottom w:val="single" w:sz="8" w:color="CFF0FC"/>
            </w:tcBorders>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37,075</w:t>
            </w:r>
          </w:p>
        </w:tc>
        <w:tc>
          <w:tcPr>
            <w:tcW w:w="12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jc w:val="right"/>
              <w:ind w:right="36"/>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141,548</w:t>
            </w:r>
          </w:p>
        </w:tc>
        <w:tc>
          <w:tcPr>
            <w:tcW w:w="1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113,793</w:t>
            </w:r>
          </w:p>
        </w:tc>
        <w:tc>
          <w:tcPr>
            <w:tcW w:w="0" w:type="dxa"/>
            <w:vAlign w:val="bottom"/>
          </w:tcPr>
          <w:p>
            <w:pPr>
              <w:spacing w:after="0"/>
              <w:rPr>
                <w:sz w:val="1"/>
                <w:szCs w:val="1"/>
                <w:color w:val="auto"/>
              </w:rPr>
            </w:pP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Corporate-owned stores</w:t>
            </w:r>
          </w:p>
        </w:tc>
        <w:tc>
          <w:tcPr>
            <w:tcW w:w="1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16,799</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15,279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ind w:right="13"/>
              <w:spacing w:after="0"/>
              <w:rPr>
                <w:sz w:val="20"/>
                <w:szCs w:val="20"/>
                <w:color w:val="auto"/>
              </w:rPr>
            </w:pPr>
            <w:r>
              <w:rPr>
                <w:rFonts w:ascii="Arial" w:cs="Arial" w:eastAsia="Arial" w:hAnsi="Arial"/>
                <w:sz w:val="18"/>
                <w:szCs w:val="18"/>
                <w:color w:val="auto"/>
              </w:rPr>
              <w:t>50,505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ind w:right="13"/>
              <w:spacing w:after="0"/>
              <w:rPr>
                <w:sz w:val="20"/>
                <w:szCs w:val="20"/>
                <w:color w:val="auto"/>
              </w:rPr>
            </w:pPr>
            <w:r>
              <w:rPr>
                <w:rFonts w:ascii="Arial" w:cs="Arial" w:eastAsia="Arial" w:hAnsi="Arial"/>
                <w:sz w:val="18"/>
                <w:szCs w:val="18"/>
                <w:color w:val="auto"/>
              </w:rPr>
              <w:t>42,115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Equipment</w:t>
            </w:r>
          </w:p>
        </w:tc>
        <w:tc>
          <w:tcPr>
            <w:tcW w:w="120" w:type="dxa"/>
            <w:vAlign w:val="bottom"/>
            <w:tcBorders>
              <w:bottom w:val="single" w:sz="8" w:color="CFF0FC"/>
            </w:tcBorders>
            <w:shd w:val="clear" w:color="auto" w:fill="CFF0FC"/>
          </w:tcPr>
          <w:p>
            <w:pPr>
              <w:spacing w:after="0"/>
              <w:rPr>
                <w:sz w:val="21"/>
                <w:szCs w:val="21"/>
                <w:color w:val="auto"/>
              </w:rPr>
            </w:pP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13,741</w:t>
            </w:r>
          </w:p>
        </w:tc>
        <w:tc>
          <w:tcPr>
            <w:tcW w:w="40" w:type="dxa"/>
            <w:vAlign w:val="bottom"/>
            <w:tcBorders>
              <w:bottom w:val="single" w:sz="8" w:color="CFF0FC"/>
            </w:tcBorders>
            <w:shd w:val="clear" w:color="auto" w:fill="CFF0FC"/>
          </w:tcPr>
          <w:p>
            <w:pPr>
              <w:spacing w:after="0"/>
              <w:rPr>
                <w:sz w:val="21"/>
                <w:szCs w:val="21"/>
                <w:color w:val="auto"/>
              </w:rPr>
            </w:pPr>
          </w:p>
        </w:tc>
        <w:tc>
          <w:tcPr>
            <w:tcW w:w="1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80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9,654</w:t>
            </w:r>
          </w:p>
        </w:tc>
        <w:tc>
          <w:tcPr>
            <w:tcW w:w="12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spacing w:after="0"/>
              <w:rPr>
                <w:sz w:val="21"/>
                <w:szCs w:val="21"/>
                <w:color w:val="auto"/>
              </w:rPr>
            </w:pPr>
          </w:p>
        </w:tc>
        <w:tc>
          <w:tcPr>
            <w:tcW w:w="82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40,920</w:t>
            </w:r>
          </w:p>
        </w:tc>
        <w:tc>
          <w:tcPr>
            <w:tcW w:w="10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CFF0FC"/>
            </w:tcBorders>
            <w:shd w:val="clear" w:color="auto" w:fill="CFF0FC"/>
          </w:tcPr>
          <w:p>
            <w:pPr>
              <w:spacing w:after="0"/>
              <w:rPr>
                <w:sz w:val="21"/>
                <w:szCs w:val="21"/>
                <w:color w:val="auto"/>
              </w:rPr>
            </w:pPr>
          </w:p>
        </w:tc>
        <w:tc>
          <w:tcPr>
            <w:tcW w:w="800" w:type="dxa"/>
            <w:vAlign w:val="bottom"/>
            <w:tcBorders>
              <w:bottom w:val="single" w:sz="8" w:color="CFF0FC"/>
            </w:tcBorders>
            <w:shd w:val="clear" w:color="auto" w:fill="CFF0FC"/>
          </w:tcPr>
          <w:p>
            <w:pPr>
              <w:jc w:val="right"/>
              <w:ind w:right="13"/>
              <w:spacing w:after="0"/>
              <w:rPr>
                <w:sz w:val="20"/>
                <w:szCs w:val="20"/>
                <w:color w:val="auto"/>
              </w:rPr>
            </w:pPr>
            <w:r>
              <w:rPr>
                <w:rFonts w:ascii="Arial" w:cs="Arial" w:eastAsia="Arial" w:hAnsi="Arial"/>
                <w:sz w:val="18"/>
                <w:szCs w:val="18"/>
                <w:color w:val="auto"/>
              </w:rPr>
              <w:t>28,579</w:t>
            </w:r>
          </w:p>
        </w:tc>
        <w:tc>
          <w:tcPr>
            <w:tcW w:w="0" w:type="dxa"/>
            <w:vAlign w:val="bottom"/>
          </w:tcPr>
          <w:p>
            <w:pPr>
              <w:spacing w:after="0"/>
              <w:rPr>
                <w:sz w:val="1"/>
                <w:szCs w:val="1"/>
                <w:color w:val="auto"/>
              </w:rPr>
            </w:pPr>
          </w:p>
        </w:tc>
      </w:tr>
      <w:tr>
        <w:trPr>
          <w:trHeight w:val="243"/>
        </w:trPr>
        <w:tc>
          <w:tcPr>
            <w:tcW w:w="4700" w:type="dxa"/>
            <w:vAlign w:val="bottom"/>
          </w:tcPr>
          <w:p>
            <w:pPr>
              <w:ind w:left="280"/>
              <w:spacing w:after="0"/>
              <w:rPr>
                <w:sz w:val="20"/>
                <w:szCs w:val="20"/>
                <w:color w:val="auto"/>
              </w:rPr>
            </w:pPr>
            <w:r>
              <w:rPr>
                <w:rFonts w:ascii="Arial" w:cs="Arial" w:eastAsia="Arial" w:hAnsi="Arial"/>
                <w:sz w:val="18"/>
                <w:szCs w:val="18"/>
                <w:color w:val="auto"/>
              </w:rPr>
              <w:t>Corporate and other</w:t>
            </w:r>
          </w:p>
        </w:tc>
        <w:tc>
          <w:tcPr>
            <w:tcW w:w="12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(10,036)</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(9,599)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(33,968)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(27,576)</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FF0FC"/>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700" w:type="dxa"/>
            <w:vAlign w:val="bottom"/>
            <w:shd w:val="clear" w:color="auto" w:fill="CFF0FC"/>
          </w:tcPr>
          <w:p>
            <w:pPr>
              <w:ind w:left="520"/>
              <w:spacing w:after="0"/>
              <w:rPr>
                <w:sz w:val="20"/>
                <w:szCs w:val="20"/>
                <w:color w:val="auto"/>
              </w:rPr>
            </w:pPr>
            <w:r>
              <w:rPr>
                <w:rFonts w:ascii="Arial" w:cs="Arial" w:eastAsia="Arial" w:hAnsi="Arial"/>
                <w:sz w:val="18"/>
                <w:szCs w:val="18"/>
                <w:color w:val="auto"/>
              </w:rPr>
              <w:t>Total Segment EBITDA</w:t>
            </w:r>
            <w:r>
              <w:rPr>
                <w:rFonts w:ascii="Arial" w:cs="Arial" w:eastAsia="Arial" w:hAnsi="Arial"/>
                <w:sz w:val="21"/>
                <w:szCs w:val="21"/>
                <w:color w:val="auto"/>
                <w:vertAlign w:val="superscript"/>
              </w:rPr>
              <w:t>(1)</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64,832</w:t>
            </w:r>
          </w:p>
        </w:tc>
        <w:tc>
          <w:tcPr>
            <w:tcW w:w="380" w:type="dxa"/>
            <w:vAlign w:val="bottom"/>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ind w:right="13"/>
              <w:spacing w:after="0"/>
              <w:rPr>
                <w:sz w:val="20"/>
                <w:szCs w:val="20"/>
                <w:color w:val="auto"/>
              </w:rPr>
            </w:pPr>
            <w:r>
              <w:rPr>
                <w:rFonts w:ascii="Arial" w:cs="Arial" w:eastAsia="Arial" w:hAnsi="Arial"/>
                <w:sz w:val="18"/>
                <w:szCs w:val="18"/>
                <w:color w:val="auto"/>
              </w:rPr>
              <w:t>52,409</w:t>
            </w:r>
          </w:p>
        </w:tc>
        <w:tc>
          <w:tcPr>
            <w:tcW w:w="12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36"/>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ind w:right="13"/>
              <w:spacing w:after="0"/>
              <w:rPr>
                <w:sz w:val="20"/>
                <w:szCs w:val="20"/>
                <w:color w:val="auto"/>
              </w:rPr>
            </w:pPr>
            <w:r>
              <w:rPr>
                <w:rFonts w:ascii="Arial" w:cs="Arial" w:eastAsia="Arial" w:hAnsi="Arial"/>
                <w:sz w:val="18"/>
                <w:szCs w:val="18"/>
                <w:color w:val="auto"/>
              </w:rPr>
              <w:t>199,005</w:t>
            </w:r>
          </w:p>
        </w:tc>
        <w:tc>
          <w:tcPr>
            <w:tcW w:w="10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FF0FC"/>
          </w:tcPr>
          <w:p>
            <w:pPr>
              <w:jc w:val="right"/>
              <w:ind w:right="13"/>
              <w:spacing w:after="0"/>
              <w:rPr>
                <w:sz w:val="20"/>
                <w:szCs w:val="20"/>
                <w:color w:val="auto"/>
              </w:rPr>
            </w:pPr>
            <w:r>
              <w:rPr>
                <w:rFonts w:ascii="Arial" w:cs="Arial" w:eastAsia="Arial" w:hAnsi="Arial"/>
                <w:sz w:val="18"/>
                <w:szCs w:val="18"/>
                <w:color w:val="auto"/>
              </w:rPr>
              <w:t>156,911</w:t>
            </w:r>
          </w:p>
        </w:tc>
        <w:tc>
          <w:tcPr>
            <w:tcW w:w="0" w:type="dxa"/>
            <w:vAlign w:val="bottom"/>
          </w:tcPr>
          <w:p>
            <w:pPr>
              <w:spacing w:after="0"/>
              <w:rPr>
                <w:sz w:val="1"/>
                <w:szCs w:val="1"/>
                <w:color w:val="auto"/>
              </w:rPr>
            </w:pPr>
          </w:p>
        </w:tc>
      </w:tr>
      <w:tr>
        <w:trPr>
          <w:trHeight w:val="20"/>
        </w:trPr>
        <w:tc>
          <w:tcPr>
            <w:tcW w:w="47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8" w:lineRule="exact"/>
        <w:rPr>
          <w:sz w:val="20"/>
          <w:szCs w:val="20"/>
          <w:color w:val="auto"/>
        </w:rPr>
      </w:pPr>
    </w:p>
    <w:p>
      <w:pPr>
        <w:ind w:left="20"/>
        <w:spacing w:after="0"/>
        <w:rPr>
          <w:sz w:val="20"/>
          <w:szCs w:val="20"/>
          <w:color w:val="auto"/>
        </w:rPr>
      </w:pPr>
      <w:r>
        <w:rPr>
          <w:rFonts w:ascii="Arial" w:cs="Arial" w:eastAsia="Arial" w:hAnsi="Arial"/>
          <w:sz w:val="16"/>
          <w:szCs w:val="16"/>
          <w:color w:val="auto"/>
        </w:rPr>
        <w:t>(1) Total Segment EBITDA is equal to EBITDA.</w:t>
      </w:r>
    </w:p>
    <w:p>
      <w:pPr>
        <w:sectPr>
          <w:pgSz w:w="11900" w:h="16838" w:orient="portrait"/>
          <w:cols w:equalWidth="0" w:num="1">
            <w:col w:w="11400"/>
          </w:cols>
          <w:pgMar w:left="240" w:top="121" w:right="25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Net Income and Adjusted Net Income per Diluted Share</w:t>
      </w:r>
    </w:p>
    <w:p>
      <w:pPr>
        <w:spacing w:after="0" w:line="12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Our presentation of adjusted net income assumes that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GAAP and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GAAP. We believe Adjusted net income and Adjusted net income per share, diluted, supplement GAAP measures and enable us to more effectively evaluate our performance period-over-period. A reconciliation of Adjusted net income to net income, the most directly comparable GAAP measure, and the computation of Adjusted net income per share, diluted, are set forth below.</w:t>
      </w:r>
    </w:p>
    <w:p>
      <w:pPr>
        <w:spacing w:after="0" w:line="280" w:lineRule="exact"/>
        <w:rPr>
          <w:sz w:val="20"/>
          <w:szCs w:val="20"/>
          <w:color w:val="auto"/>
        </w:rPr>
      </w:pPr>
    </w:p>
    <w:tbl>
      <w:tblPr>
        <w:tblLayout w:type="fixed"/>
        <w:tblInd w:w="112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380" w:type="dxa"/>
            <w:vAlign w:val="bottom"/>
            <w:gridSpan w:val="5"/>
          </w:tcPr>
          <w:p>
            <w:pPr>
              <w:spacing w:after="0"/>
              <w:rPr>
                <w:sz w:val="20"/>
                <w:szCs w:val="20"/>
                <w:color w:val="auto"/>
              </w:rPr>
            </w:pPr>
            <w:r>
              <w:rPr>
                <w:rFonts w:ascii="Arial" w:cs="Arial" w:eastAsia="Arial" w:hAnsi="Arial"/>
                <w:sz w:val="14"/>
                <w:szCs w:val="14"/>
                <w:b w:val="1"/>
                <w:bCs w:val="1"/>
                <w:color w:val="auto"/>
                <w:w w:val="99"/>
              </w:rPr>
              <w:t>Three months ended September 30,</w:t>
            </w:r>
          </w:p>
        </w:tc>
        <w:tc>
          <w:tcPr>
            <w:tcW w:w="140" w:type="dxa"/>
            <w:vAlign w:val="bottom"/>
          </w:tcPr>
          <w:p>
            <w:pPr>
              <w:spacing w:after="0"/>
              <w:rPr>
                <w:sz w:val="16"/>
                <w:szCs w:val="16"/>
                <w:color w:val="auto"/>
              </w:rPr>
            </w:pPr>
          </w:p>
        </w:tc>
        <w:tc>
          <w:tcPr>
            <w:tcW w:w="2280" w:type="dxa"/>
            <w:vAlign w:val="bottom"/>
            <w:gridSpan w:val="4"/>
          </w:tcPr>
          <w:p>
            <w:pPr>
              <w:jc w:val="right"/>
              <w:ind w:right="51"/>
              <w:spacing w:after="0"/>
              <w:rPr>
                <w:sz w:val="20"/>
                <w:szCs w:val="20"/>
                <w:color w:val="auto"/>
              </w:rPr>
            </w:pPr>
            <w:r>
              <w:rPr>
                <w:rFonts w:ascii="Arial" w:cs="Arial" w:eastAsia="Arial" w:hAnsi="Arial"/>
                <w:sz w:val="14"/>
                <w:szCs w:val="14"/>
                <w:b w:val="1"/>
                <w:bCs w:val="1"/>
                <w:color w:val="auto"/>
                <w:w w:val="92"/>
              </w:rPr>
              <w:t>Nine months ended September 30,</w:t>
            </w:r>
          </w:p>
        </w:tc>
      </w:tr>
      <w:tr>
        <w:trPr>
          <w:trHeight w:val="264"/>
        </w:trPr>
        <w:tc>
          <w:tcPr>
            <w:tcW w:w="4240" w:type="dxa"/>
            <w:vAlign w:val="bottom"/>
            <w:tcBorders>
              <w:bottom w:val="single" w:sz="8" w:color="CFF0FC"/>
            </w:tcBorders>
          </w:tcPr>
          <w:p>
            <w:pPr>
              <w:ind w:left="40"/>
              <w:spacing w:after="0"/>
              <w:rPr>
                <w:sz w:val="20"/>
                <w:szCs w:val="20"/>
                <w:color w:val="auto"/>
              </w:rPr>
            </w:pPr>
            <w:r>
              <w:rPr>
                <w:rFonts w:ascii="Arial" w:cs="Arial" w:eastAsia="Arial" w:hAnsi="Arial"/>
                <w:sz w:val="14"/>
                <w:szCs w:val="14"/>
                <w:b w:val="1"/>
                <w:bCs w:val="1"/>
                <w:color w:val="auto"/>
              </w:rPr>
              <w:t>(in thousands, except per share amounts)</w:t>
            </w:r>
          </w:p>
        </w:tc>
        <w:tc>
          <w:tcPr>
            <w:tcW w:w="1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FF0FC"/>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33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FF0FC"/>
            </w:tcBorders>
          </w:tcPr>
          <w:p>
            <w:pPr>
              <w:spacing w:after="0"/>
              <w:rPr>
                <w:sz w:val="22"/>
                <w:szCs w:val="22"/>
                <w:color w:val="auto"/>
              </w:rPr>
            </w:pPr>
          </w:p>
        </w:tc>
        <w:tc>
          <w:tcPr>
            <w:tcW w:w="140" w:type="dxa"/>
            <w:vAlign w:val="bottom"/>
            <w:tcBorders>
              <w:top w:val="single" w:sz="8" w:color="auto"/>
              <w:bottom w:val="single" w:sz="8" w:color="auto"/>
            </w:tcBorders>
          </w:tcPr>
          <w:p>
            <w:pPr>
              <w:spacing w:after="0"/>
              <w:rPr>
                <w:sz w:val="22"/>
                <w:szCs w:val="22"/>
                <w:color w:val="auto"/>
              </w:rPr>
            </w:pPr>
          </w:p>
        </w:tc>
        <w:tc>
          <w:tcPr>
            <w:tcW w:w="1000" w:type="dxa"/>
            <w:vAlign w:val="bottom"/>
            <w:tcBorders>
              <w:top w:val="single" w:sz="8" w:color="auto"/>
              <w:bottom w:val="single" w:sz="8" w:color="auto"/>
            </w:tcBorders>
          </w:tcPr>
          <w:p>
            <w:pPr>
              <w:jc w:val="right"/>
              <w:ind w:right="332"/>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top w:val="single" w:sz="8" w:color="auto"/>
              <w:bottom w:val="single" w:sz="8" w:color="CFF0FC"/>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2018</w:t>
            </w:r>
          </w:p>
        </w:tc>
      </w:tr>
      <w:tr>
        <w:trPr>
          <w:trHeight w:val="250"/>
        </w:trPr>
        <w:tc>
          <w:tcPr>
            <w:tcW w:w="42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Net income</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29,692</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20,472</w:t>
            </w:r>
          </w:p>
        </w:tc>
        <w:tc>
          <w:tcPr>
            <w:tcW w:w="10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101,158</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74,384</w:t>
            </w:r>
          </w:p>
        </w:tc>
      </w:tr>
      <w:tr>
        <w:trPr>
          <w:trHeight w:val="243"/>
        </w:trPr>
        <w:tc>
          <w:tcPr>
            <w:tcW w:w="4240" w:type="dxa"/>
            <w:vAlign w:val="bottom"/>
          </w:tcPr>
          <w:p>
            <w:pPr>
              <w:ind w:left="280"/>
              <w:spacing w:after="0"/>
              <w:rPr>
                <w:sz w:val="20"/>
                <w:szCs w:val="20"/>
                <w:color w:val="auto"/>
              </w:rPr>
            </w:pPr>
            <w:r>
              <w:rPr>
                <w:rFonts w:ascii="Arial" w:cs="Arial" w:eastAsia="Arial" w:hAnsi="Arial"/>
                <w:sz w:val="18"/>
                <w:szCs w:val="18"/>
                <w:color w:val="auto"/>
              </w:rPr>
              <w:t>Provision for income taxes, as reported</w:t>
            </w:r>
          </w:p>
        </w:tc>
        <w:tc>
          <w:tcPr>
            <w:tcW w:w="1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10,309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7,190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26,924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23,335</w:t>
            </w:r>
          </w:p>
        </w:tc>
      </w:tr>
      <w:tr>
        <w:trPr>
          <w:trHeight w:val="27"/>
        </w:trPr>
        <w:tc>
          <w:tcPr>
            <w:tcW w:w="42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42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Purchase accounting adjustments-revenue</w:t>
            </w:r>
            <w:r>
              <w:rPr>
                <w:rFonts w:ascii="Arial" w:cs="Arial" w:eastAsia="Arial" w:hAnsi="Arial"/>
                <w:sz w:val="21"/>
                <w:szCs w:val="21"/>
                <w:color w:val="auto"/>
                <w:vertAlign w:val="superscript"/>
              </w:rPr>
              <w:t>(1)</w:t>
            </w:r>
          </w:p>
        </w:tc>
        <w:tc>
          <w:tcPr>
            <w:tcW w:w="14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275</w:t>
            </w:r>
          </w:p>
        </w:tc>
        <w:tc>
          <w:tcPr>
            <w:tcW w:w="10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527</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524</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941</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Purchase accounting adjustments-rent</w:t>
            </w:r>
            <w:r>
              <w:rPr>
                <w:rFonts w:ascii="Arial" w:cs="Arial" w:eastAsia="Arial" w:hAnsi="Arial"/>
                <w:sz w:val="21"/>
                <w:szCs w:val="21"/>
                <w:color w:val="auto"/>
                <w:vertAlign w:val="superscript"/>
              </w:rPr>
              <w:t>(2)</w:t>
            </w:r>
          </w:p>
        </w:tc>
        <w:tc>
          <w:tcPr>
            <w:tcW w:w="140" w:type="dxa"/>
            <w:vAlign w:val="bottom"/>
          </w:tcPr>
          <w:p>
            <w:pPr>
              <w:spacing w:after="0"/>
              <w:rPr>
                <w:sz w:val="23"/>
                <w:szCs w:val="23"/>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198</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548</w:t>
            </w:r>
          </w:p>
        </w:tc>
      </w:tr>
      <w:tr>
        <w:trPr>
          <w:trHeight w:val="270"/>
        </w:trPr>
        <w:tc>
          <w:tcPr>
            <w:tcW w:w="42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Loss on reacquired franchise rights</w:t>
            </w:r>
            <w:r>
              <w:rPr>
                <w:rFonts w:ascii="Arial" w:cs="Arial" w:eastAsia="Arial" w:hAnsi="Arial"/>
                <w:sz w:val="21"/>
                <w:szCs w:val="21"/>
                <w:color w:val="auto"/>
                <w:vertAlign w:val="superscript"/>
              </w:rPr>
              <w:t>(3)</w:t>
            </w:r>
          </w:p>
        </w:tc>
        <w:tc>
          <w:tcPr>
            <w:tcW w:w="14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1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360</w:t>
            </w:r>
          </w:p>
        </w:tc>
      </w:tr>
      <w:tr>
        <w:trPr>
          <w:trHeight w:val="270"/>
        </w:trPr>
        <w:tc>
          <w:tcPr>
            <w:tcW w:w="4240" w:type="dxa"/>
            <w:vAlign w:val="bottom"/>
          </w:tcPr>
          <w:p>
            <w:pPr>
              <w:ind w:left="280"/>
              <w:spacing w:after="0" w:line="270" w:lineRule="exact"/>
              <w:rPr>
                <w:sz w:val="20"/>
                <w:szCs w:val="20"/>
                <w:color w:val="auto"/>
              </w:rPr>
            </w:pPr>
            <w:r>
              <w:rPr>
                <w:rFonts w:ascii="Arial" w:cs="Arial" w:eastAsia="Arial" w:hAnsi="Arial"/>
                <w:sz w:val="18"/>
                <w:szCs w:val="18"/>
                <w:color w:val="auto"/>
              </w:rPr>
              <w:t>Transaction fees</w:t>
            </w:r>
            <w:r>
              <w:rPr>
                <w:rFonts w:ascii="Arial" w:cs="Arial" w:eastAsia="Arial" w:hAnsi="Arial"/>
                <w:sz w:val="25"/>
                <w:szCs w:val="25"/>
                <w:color w:val="auto"/>
                <w:vertAlign w:val="superscript"/>
              </w:rPr>
              <w:t>(4)</w:t>
            </w:r>
          </w:p>
        </w:tc>
        <w:tc>
          <w:tcPr>
            <w:tcW w:w="140" w:type="dxa"/>
            <w:vAlign w:val="bottom"/>
          </w:tcPr>
          <w:p>
            <w:pPr>
              <w:spacing w:after="0"/>
              <w:rPr>
                <w:sz w:val="23"/>
                <w:szCs w:val="23"/>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254</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290</w:t>
            </w:r>
          </w:p>
        </w:tc>
      </w:tr>
      <w:tr>
        <w:trPr>
          <w:trHeight w:val="270"/>
        </w:trPr>
        <w:tc>
          <w:tcPr>
            <w:tcW w:w="4240" w:type="dxa"/>
            <w:vAlign w:val="bottom"/>
            <w:shd w:val="clear" w:color="auto" w:fill="CFF0FC"/>
          </w:tcPr>
          <w:p>
            <w:pPr>
              <w:ind w:left="280"/>
              <w:spacing w:after="0" w:line="270" w:lineRule="exact"/>
              <w:rPr>
                <w:sz w:val="20"/>
                <w:szCs w:val="20"/>
                <w:color w:val="auto"/>
              </w:rPr>
            </w:pPr>
            <w:r>
              <w:rPr>
                <w:rFonts w:ascii="Arial" w:cs="Arial" w:eastAsia="Arial" w:hAnsi="Arial"/>
                <w:sz w:val="18"/>
                <w:szCs w:val="18"/>
                <w:color w:val="auto"/>
              </w:rPr>
              <w:t>Loss on extinguishment of debt</w:t>
            </w:r>
            <w:r>
              <w:rPr>
                <w:rFonts w:ascii="Arial" w:cs="Arial" w:eastAsia="Arial" w:hAnsi="Arial"/>
                <w:sz w:val="25"/>
                <w:szCs w:val="25"/>
                <w:color w:val="auto"/>
                <w:vertAlign w:val="superscript"/>
              </w:rPr>
              <w:t>(5)</w:t>
            </w:r>
          </w:p>
        </w:tc>
        <w:tc>
          <w:tcPr>
            <w:tcW w:w="140" w:type="dxa"/>
            <w:vAlign w:val="bottom"/>
            <w:shd w:val="clear" w:color="auto" w:fill="CFF0FC"/>
          </w:tcPr>
          <w:p>
            <w:pPr>
              <w:spacing w:after="0"/>
              <w:rPr>
                <w:sz w:val="23"/>
                <w:szCs w:val="23"/>
                <w:color w:val="auto"/>
              </w:rPr>
            </w:pPr>
          </w:p>
        </w:tc>
        <w:tc>
          <w:tcPr>
            <w:tcW w:w="11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4,570</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1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4,570</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Severance costs</w:t>
            </w:r>
            <w:r>
              <w:rPr>
                <w:rFonts w:ascii="Arial" w:cs="Arial" w:eastAsia="Arial" w:hAnsi="Arial"/>
                <w:sz w:val="21"/>
                <w:szCs w:val="21"/>
                <w:color w:val="auto"/>
                <w:vertAlign w:val="superscript"/>
              </w:rPr>
              <w:t>(6)</w:t>
            </w:r>
          </w:p>
        </w:tc>
        <w:tc>
          <w:tcPr>
            <w:tcW w:w="140" w:type="dxa"/>
            <w:vAlign w:val="bottom"/>
          </w:tcPr>
          <w:p>
            <w:pPr>
              <w:spacing w:after="0"/>
              <w:rPr>
                <w:sz w:val="23"/>
                <w:szCs w:val="23"/>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3"/>
                <w:szCs w:val="23"/>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900" w:type="dxa"/>
            <w:vAlign w:val="bottom"/>
          </w:tcPr>
          <w:p>
            <w:pPr>
              <w:jc w:val="right"/>
              <w:ind w:right="11"/>
              <w:spacing w:after="0"/>
              <w:rPr>
                <w:sz w:val="20"/>
                <w:szCs w:val="20"/>
                <w:color w:val="auto"/>
              </w:rPr>
            </w:pPr>
            <w:r>
              <w:rPr>
                <w:rFonts w:ascii="Arial" w:cs="Arial" w:eastAsia="Arial" w:hAnsi="Arial"/>
                <w:sz w:val="18"/>
                <w:szCs w:val="18"/>
                <w:color w:val="auto"/>
              </w:rPr>
              <w:t>352</w:t>
            </w:r>
          </w:p>
        </w:tc>
      </w:tr>
      <w:tr>
        <w:trPr>
          <w:trHeight w:val="270"/>
        </w:trPr>
        <w:tc>
          <w:tcPr>
            <w:tcW w:w="42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Pre-opening costs</w:t>
            </w:r>
            <w:r>
              <w:rPr>
                <w:rFonts w:ascii="Arial" w:cs="Arial" w:eastAsia="Arial" w:hAnsi="Arial"/>
                <w:sz w:val="21"/>
                <w:szCs w:val="21"/>
                <w:color w:val="auto"/>
                <w:vertAlign w:val="superscript"/>
              </w:rPr>
              <w:t>(7)</w:t>
            </w:r>
          </w:p>
        </w:tc>
        <w:tc>
          <w:tcPr>
            <w:tcW w:w="14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826</w:t>
            </w:r>
          </w:p>
        </w:tc>
        <w:tc>
          <w:tcPr>
            <w:tcW w:w="10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370</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1,021</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853</w:t>
            </w:r>
          </w:p>
        </w:tc>
      </w:tr>
      <w:tr>
        <w:trPr>
          <w:trHeight w:val="270"/>
        </w:trPr>
        <w:tc>
          <w:tcPr>
            <w:tcW w:w="4240" w:type="dxa"/>
            <w:vAlign w:val="bottom"/>
          </w:tcPr>
          <w:p>
            <w:pPr>
              <w:ind w:left="280"/>
              <w:spacing w:after="0"/>
              <w:rPr>
                <w:sz w:val="20"/>
                <w:szCs w:val="20"/>
                <w:color w:val="auto"/>
              </w:rPr>
            </w:pPr>
            <w:r>
              <w:rPr>
                <w:rFonts w:ascii="Arial" w:cs="Arial" w:eastAsia="Arial" w:hAnsi="Arial"/>
                <w:sz w:val="18"/>
                <w:szCs w:val="18"/>
                <w:color w:val="auto"/>
              </w:rPr>
              <w:t>Tax benefit arrangement remeasurement</w:t>
            </w:r>
            <w:r>
              <w:rPr>
                <w:rFonts w:ascii="Arial" w:cs="Arial" w:eastAsia="Arial" w:hAnsi="Arial"/>
                <w:sz w:val="21"/>
                <w:szCs w:val="21"/>
                <w:color w:val="auto"/>
                <w:vertAlign w:val="superscript"/>
              </w:rPr>
              <w:t>(8)</w:t>
            </w:r>
          </w:p>
        </w:tc>
        <w:tc>
          <w:tcPr>
            <w:tcW w:w="14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4,638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(354)</w:t>
            </w:r>
          </w:p>
        </w:tc>
      </w:tr>
      <w:tr>
        <w:trPr>
          <w:trHeight w:val="270"/>
        </w:trPr>
        <w:tc>
          <w:tcPr>
            <w:tcW w:w="4240" w:type="dxa"/>
            <w:vAlign w:val="bottom"/>
            <w:shd w:val="clear" w:color="auto" w:fill="CFF0FC"/>
          </w:tcPr>
          <w:p>
            <w:pPr>
              <w:ind w:left="280"/>
              <w:spacing w:after="0" w:line="270" w:lineRule="exact"/>
              <w:rPr>
                <w:sz w:val="20"/>
                <w:szCs w:val="20"/>
                <w:color w:val="auto"/>
              </w:rPr>
            </w:pPr>
            <w:r>
              <w:rPr>
                <w:rFonts w:ascii="Arial" w:cs="Arial" w:eastAsia="Arial" w:hAnsi="Arial"/>
                <w:sz w:val="18"/>
                <w:szCs w:val="18"/>
                <w:color w:val="auto"/>
              </w:rPr>
              <w:t>Other</w:t>
            </w:r>
            <w:r>
              <w:rPr>
                <w:rFonts w:ascii="Arial" w:cs="Arial" w:eastAsia="Arial" w:hAnsi="Arial"/>
                <w:sz w:val="25"/>
                <w:szCs w:val="25"/>
                <w:color w:val="auto"/>
                <w:vertAlign w:val="superscript"/>
              </w:rPr>
              <w:t>(9)</w:t>
            </w:r>
          </w:p>
        </w:tc>
        <w:tc>
          <w:tcPr>
            <w:tcW w:w="140" w:type="dxa"/>
            <w:vAlign w:val="bottom"/>
            <w:shd w:val="clear" w:color="auto" w:fill="CFF0FC"/>
          </w:tcPr>
          <w:p>
            <w:pPr>
              <w:spacing w:after="0"/>
              <w:rPr>
                <w:sz w:val="23"/>
                <w:szCs w:val="23"/>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w:t>
            </w:r>
          </w:p>
        </w:tc>
        <w:tc>
          <w:tcPr>
            <w:tcW w:w="10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1,039</w:t>
            </w:r>
          </w:p>
        </w:tc>
      </w:tr>
      <w:tr>
        <w:trPr>
          <w:trHeight w:val="270"/>
        </w:trPr>
        <w:tc>
          <w:tcPr>
            <w:tcW w:w="424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Purchase accounting amortization</w:t>
            </w:r>
            <w:r>
              <w:rPr>
                <w:rFonts w:ascii="Arial" w:cs="Arial" w:eastAsia="Arial" w:hAnsi="Arial"/>
                <w:sz w:val="21"/>
                <w:szCs w:val="21"/>
                <w:color w:val="auto"/>
                <w:vertAlign w:val="superscript"/>
              </w:rPr>
              <w:t>(10)</w:t>
            </w:r>
          </w:p>
        </w:tc>
        <w:tc>
          <w:tcPr>
            <w:tcW w:w="14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4,146</w:t>
            </w:r>
          </w:p>
        </w:tc>
        <w:tc>
          <w:tcPr>
            <w:tcW w:w="100" w:type="dxa"/>
            <w:vAlign w:val="bottom"/>
            <w:tcBorders>
              <w:bottom w:val="single" w:sz="8" w:color="CFF0FC"/>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3,934</w:t>
            </w:r>
          </w:p>
        </w:tc>
        <w:tc>
          <w:tcPr>
            <w:tcW w:w="100" w:type="dxa"/>
            <w:vAlign w:val="bottom"/>
            <w:tcBorders>
              <w:bottom w:val="single" w:sz="8" w:color="CFF0FC"/>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12,429</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11,776</w:t>
            </w:r>
          </w:p>
        </w:tc>
      </w:tr>
      <w:tr>
        <w:trPr>
          <w:trHeight w:val="244"/>
        </w:trPr>
        <w:tc>
          <w:tcPr>
            <w:tcW w:w="42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income before income taxes</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45,038</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37,544</w:t>
            </w:r>
          </w:p>
        </w:tc>
        <w:tc>
          <w:tcPr>
            <w:tcW w:w="10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147,097</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118,094</w:t>
            </w:r>
          </w:p>
        </w:tc>
      </w:tr>
      <w:tr>
        <w:trPr>
          <w:trHeight w:val="270"/>
        </w:trPr>
        <w:tc>
          <w:tcPr>
            <w:tcW w:w="4240" w:type="dxa"/>
            <w:vAlign w:val="bottom"/>
            <w:tcBorders>
              <w:bottom w:val="single" w:sz="8" w:color="CFF0FC"/>
            </w:tcBorders>
          </w:tcPr>
          <w:p>
            <w:pPr>
              <w:ind w:left="280"/>
              <w:spacing w:after="0"/>
              <w:rPr>
                <w:sz w:val="20"/>
                <w:szCs w:val="20"/>
                <w:color w:val="auto"/>
              </w:rPr>
            </w:pPr>
            <w:r>
              <w:rPr>
                <w:rFonts w:ascii="Arial" w:cs="Arial" w:eastAsia="Arial" w:hAnsi="Arial"/>
                <w:sz w:val="18"/>
                <w:szCs w:val="18"/>
                <w:color w:val="auto"/>
              </w:rPr>
              <w:t>Adjusted income taxes</w:t>
            </w:r>
            <w:r>
              <w:rPr>
                <w:rFonts w:ascii="Arial" w:cs="Arial" w:eastAsia="Arial" w:hAnsi="Arial"/>
                <w:sz w:val="21"/>
                <w:szCs w:val="21"/>
                <w:color w:val="auto"/>
                <w:vertAlign w:val="superscript"/>
              </w:rPr>
              <w:t>(11)</w:t>
            </w:r>
          </w:p>
        </w:tc>
        <w:tc>
          <w:tcPr>
            <w:tcW w:w="14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11,980</w:t>
            </w:r>
          </w:p>
        </w:tc>
        <w:tc>
          <w:tcPr>
            <w:tcW w:w="100" w:type="dxa"/>
            <w:vAlign w:val="bottom"/>
            <w:tcBorders>
              <w:bottom w:val="single" w:sz="8" w:color="CFF0FC"/>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9,874</w:t>
            </w:r>
          </w:p>
        </w:tc>
        <w:tc>
          <w:tcPr>
            <w:tcW w:w="100" w:type="dxa"/>
            <w:vAlign w:val="bottom"/>
            <w:tcBorders>
              <w:bottom w:val="single" w:sz="8" w:color="CFF0FC"/>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39,128</w:t>
            </w:r>
          </w:p>
        </w:tc>
        <w:tc>
          <w:tcPr>
            <w:tcW w:w="100" w:type="dxa"/>
            <w:vAlign w:val="bottom"/>
            <w:tcBorders>
              <w:bottom w:val="single" w:sz="8" w:color="CFF0FC"/>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31,059</w:t>
            </w:r>
          </w:p>
        </w:tc>
      </w:tr>
      <w:tr>
        <w:trPr>
          <w:trHeight w:val="269"/>
        </w:trPr>
        <w:tc>
          <w:tcPr>
            <w:tcW w:w="42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net income</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33,058</w:t>
            </w:r>
          </w:p>
        </w:tc>
        <w:tc>
          <w:tcPr>
            <w:tcW w:w="10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27,670</w:t>
            </w:r>
          </w:p>
        </w:tc>
        <w:tc>
          <w:tcPr>
            <w:tcW w:w="100" w:type="dxa"/>
            <w:vAlign w:val="bottom"/>
            <w:tcBorders>
              <w:bottom w:val="single" w:sz="8" w:color="CFF0FC"/>
            </w:tcBorders>
            <w:shd w:val="clear" w:color="auto" w:fill="CFF0FC"/>
          </w:tcPr>
          <w:p>
            <w:pPr>
              <w:spacing w:after="0"/>
              <w:rPr>
                <w:sz w:val="22"/>
                <w:szCs w:val="22"/>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107,969</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87,035</w:t>
            </w:r>
          </w:p>
        </w:tc>
      </w:tr>
      <w:tr>
        <w:trPr>
          <w:trHeight w:val="20"/>
        </w:trPr>
        <w:tc>
          <w:tcPr>
            <w:tcW w:w="42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170"/>
        </w:trPr>
        <w:tc>
          <w:tcPr>
            <w:tcW w:w="4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250"/>
        </w:trPr>
        <w:tc>
          <w:tcPr>
            <w:tcW w:w="424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18"/>
                <w:szCs w:val="18"/>
                <w:color w:val="auto"/>
              </w:rPr>
              <w:t>Adjusted net income per share, diluted</w:t>
            </w: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FF0FC"/>
            </w:tcBorders>
            <w:shd w:val="clear" w:color="auto" w:fill="CFF0FC"/>
          </w:tcPr>
          <w:p>
            <w:pPr>
              <w:jc w:val="right"/>
              <w:ind w:right="12"/>
              <w:spacing w:after="0"/>
              <w:rPr>
                <w:sz w:val="20"/>
                <w:szCs w:val="20"/>
                <w:color w:val="auto"/>
              </w:rPr>
            </w:pPr>
            <w:r>
              <w:rPr>
                <w:rFonts w:ascii="Arial" w:cs="Arial" w:eastAsia="Arial" w:hAnsi="Arial"/>
                <w:sz w:val="18"/>
                <w:szCs w:val="18"/>
                <w:color w:val="auto"/>
              </w:rPr>
              <w:t>0.36</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CFF0FC"/>
            </w:tcBorders>
            <w:shd w:val="clear" w:color="auto" w:fill="CFF0FC"/>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0.28</w:t>
            </w:r>
          </w:p>
        </w:tc>
        <w:tc>
          <w:tcPr>
            <w:tcW w:w="10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1.16</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CFF0FC"/>
            </w:tcBorders>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FF0FC"/>
            </w:tcBorders>
            <w:shd w:val="clear" w:color="auto" w:fill="CFF0FC"/>
          </w:tcPr>
          <w:p>
            <w:pPr>
              <w:jc w:val="right"/>
              <w:ind w:right="11"/>
              <w:spacing w:after="0"/>
              <w:rPr>
                <w:sz w:val="20"/>
                <w:szCs w:val="20"/>
                <w:color w:val="auto"/>
              </w:rPr>
            </w:pPr>
            <w:r>
              <w:rPr>
                <w:rFonts w:ascii="Arial" w:cs="Arial" w:eastAsia="Arial" w:hAnsi="Arial"/>
                <w:sz w:val="18"/>
                <w:szCs w:val="18"/>
                <w:color w:val="auto"/>
              </w:rPr>
              <w:t>0.88</w:t>
            </w:r>
          </w:p>
        </w:tc>
      </w:tr>
      <w:tr>
        <w:trPr>
          <w:trHeight w:val="162"/>
        </w:trPr>
        <w:tc>
          <w:tcPr>
            <w:tcW w:w="4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270"/>
        </w:trPr>
        <w:tc>
          <w:tcPr>
            <w:tcW w:w="4240" w:type="dxa"/>
            <w:vAlign w:val="bottom"/>
            <w:shd w:val="clear" w:color="auto" w:fill="CFF0FC"/>
          </w:tcPr>
          <w:p>
            <w:pPr>
              <w:ind w:left="40"/>
              <w:spacing w:after="0"/>
              <w:rPr>
                <w:sz w:val="20"/>
                <w:szCs w:val="20"/>
                <w:color w:val="auto"/>
              </w:rPr>
            </w:pPr>
            <w:r>
              <w:rPr>
                <w:rFonts w:ascii="Arial" w:cs="Arial" w:eastAsia="Arial" w:hAnsi="Arial"/>
                <w:sz w:val="18"/>
                <w:szCs w:val="18"/>
                <w:color w:val="auto"/>
              </w:rPr>
              <w:t>Adjusted weighted-average shares outstanding</w:t>
            </w:r>
            <w:r>
              <w:rPr>
                <w:rFonts w:ascii="Arial" w:cs="Arial" w:eastAsia="Arial" w:hAnsi="Arial"/>
                <w:sz w:val="21"/>
                <w:szCs w:val="21"/>
                <w:color w:val="auto"/>
                <w:vertAlign w:val="superscript"/>
              </w:rPr>
              <w:t>(12)</w:t>
            </w:r>
          </w:p>
        </w:tc>
        <w:tc>
          <w:tcPr>
            <w:tcW w:w="140" w:type="dxa"/>
            <w:vAlign w:val="bottom"/>
            <w:shd w:val="clear" w:color="auto" w:fill="CFF0FC"/>
          </w:tcPr>
          <w:p>
            <w:pPr>
              <w:spacing w:after="0"/>
              <w:rPr>
                <w:sz w:val="23"/>
                <w:szCs w:val="23"/>
                <w:color w:val="auto"/>
              </w:rPr>
            </w:pPr>
          </w:p>
        </w:tc>
        <w:tc>
          <w:tcPr>
            <w:tcW w:w="1040" w:type="dxa"/>
            <w:vAlign w:val="bottom"/>
            <w:shd w:val="clear" w:color="auto" w:fill="CFF0FC"/>
          </w:tcPr>
          <w:p>
            <w:pPr>
              <w:jc w:val="right"/>
              <w:ind w:right="12"/>
              <w:spacing w:after="0"/>
              <w:rPr>
                <w:sz w:val="20"/>
                <w:szCs w:val="20"/>
                <w:color w:val="auto"/>
              </w:rPr>
            </w:pPr>
            <w:r>
              <w:rPr>
                <w:rFonts w:ascii="Arial" w:cs="Arial" w:eastAsia="Arial" w:hAnsi="Arial"/>
                <w:sz w:val="18"/>
                <w:szCs w:val="18"/>
                <w:color w:val="auto"/>
              </w:rPr>
              <w:t>92,386</w:t>
            </w:r>
          </w:p>
        </w:tc>
        <w:tc>
          <w:tcPr>
            <w:tcW w:w="100" w:type="dxa"/>
            <w:vAlign w:val="bottom"/>
            <w:shd w:val="clear" w:color="auto" w:fill="CFF0FC"/>
          </w:tcPr>
          <w:p>
            <w:pPr>
              <w:spacing w:after="0"/>
              <w:rPr>
                <w:sz w:val="23"/>
                <w:szCs w:val="23"/>
                <w:color w:val="auto"/>
              </w:rPr>
            </w:pPr>
          </w:p>
        </w:tc>
        <w:tc>
          <w:tcPr>
            <w:tcW w:w="260" w:type="dxa"/>
            <w:vAlign w:val="bottom"/>
            <w:shd w:val="clear" w:color="auto" w:fill="CFF0FC"/>
          </w:tcPr>
          <w:p>
            <w:pPr>
              <w:spacing w:after="0"/>
              <w:rPr>
                <w:sz w:val="23"/>
                <w:szCs w:val="23"/>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98,462</w:t>
            </w:r>
          </w:p>
        </w:tc>
        <w:tc>
          <w:tcPr>
            <w:tcW w:w="100" w:type="dxa"/>
            <w:vAlign w:val="bottom"/>
            <w:shd w:val="clear" w:color="auto" w:fill="CFF0FC"/>
          </w:tcPr>
          <w:p>
            <w:pPr>
              <w:spacing w:after="0"/>
              <w:rPr>
                <w:sz w:val="23"/>
                <w:szCs w:val="23"/>
                <w:color w:val="auto"/>
              </w:rPr>
            </w:pPr>
          </w:p>
        </w:tc>
        <w:tc>
          <w:tcPr>
            <w:tcW w:w="140" w:type="dxa"/>
            <w:vAlign w:val="bottom"/>
            <w:shd w:val="clear" w:color="auto" w:fill="CFF0FC"/>
          </w:tcPr>
          <w:p>
            <w:pPr>
              <w:spacing w:after="0"/>
              <w:rPr>
                <w:sz w:val="23"/>
                <w:szCs w:val="23"/>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93,153</w:t>
            </w:r>
          </w:p>
        </w:tc>
        <w:tc>
          <w:tcPr>
            <w:tcW w:w="100" w:type="dxa"/>
            <w:vAlign w:val="bottom"/>
            <w:shd w:val="clear" w:color="auto" w:fill="CFF0FC"/>
          </w:tcPr>
          <w:p>
            <w:pPr>
              <w:spacing w:after="0"/>
              <w:rPr>
                <w:sz w:val="23"/>
                <w:szCs w:val="23"/>
                <w:color w:val="auto"/>
              </w:rPr>
            </w:pPr>
          </w:p>
        </w:tc>
        <w:tc>
          <w:tcPr>
            <w:tcW w:w="280" w:type="dxa"/>
            <w:vAlign w:val="bottom"/>
            <w:shd w:val="clear" w:color="auto" w:fill="CFF0FC"/>
          </w:tcPr>
          <w:p>
            <w:pPr>
              <w:spacing w:after="0"/>
              <w:rPr>
                <w:sz w:val="23"/>
                <w:szCs w:val="23"/>
                <w:color w:val="auto"/>
              </w:rPr>
            </w:pPr>
          </w:p>
        </w:tc>
        <w:tc>
          <w:tcPr>
            <w:tcW w:w="9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98,615</w:t>
            </w:r>
          </w:p>
        </w:tc>
      </w:tr>
    </w:tbl>
    <w:p>
      <w:pPr>
        <w:jc w:val="both"/>
        <w:ind w:left="580" w:hanging="315"/>
        <w:spacing w:after="0" w:line="265" w:lineRule="auto"/>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Represents the impact of revenue-related purchase accounting adjustments associated with the 2012 Acquisition. At the time of the 2012 Acquisition, the Company maintained a deferred revenue account, which consisted of deferred ADA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1" w:lineRule="exact"/>
        <w:rPr>
          <w:rFonts w:ascii="Arial" w:cs="Arial" w:eastAsia="Arial" w:hAnsi="Arial"/>
          <w:sz w:val="17"/>
          <w:szCs w:val="17"/>
          <w:color w:val="auto"/>
        </w:rPr>
      </w:pPr>
    </w:p>
    <w:p>
      <w:pPr>
        <w:jc w:val="both"/>
        <w:ind w:left="580" w:hanging="315"/>
        <w:spacing w:after="0" w:line="268" w:lineRule="auto"/>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$44, $105, $173 and $272 in the three and nine months ended September 30, 2019 and 2018, respectively, reflect the difference between the higher rent expense recorded in accordance with U.S. GAAP since the acquisition and the rent expense that would have been recorded had the 2012 Acquisition not occurred. Adjustments of $64, $93, $216 and $276 in the three and nine months ended September 30, 2019 and 2018, respectively, are due to the</w:t>
      </w:r>
    </w:p>
    <w:p>
      <w:pPr>
        <w:sectPr>
          <w:pgSz w:w="11900" w:h="16838" w:orient="portrait"/>
          <w:cols w:equalWidth="0" w:num="1">
            <w:col w:w="11420"/>
          </w:cols>
          <w:pgMar w:left="240" w:top="121" w:right="239" w:bottom="1440" w:gutter="0" w:footer="0" w:header="0"/>
        </w:sectPr>
      </w:pPr>
    </w:p>
    <w:bookmarkStart w:id="14" w:name="page15"/>
    <w:bookmarkEnd w:id="14"/>
    <w:p>
      <w:pPr>
        <w:jc w:val="center"/>
        <w:ind w:right="260"/>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81" w:lineRule="exact"/>
        <w:rPr>
          <w:sz w:val="20"/>
          <w:szCs w:val="20"/>
          <w:color w:val="auto"/>
        </w:rPr>
      </w:pPr>
    </w:p>
    <w:p>
      <w:pPr>
        <w:ind w:left="320"/>
        <w:spacing w:after="0" w:line="282" w:lineRule="auto"/>
        <w:rPr>
          <w:sz w:val="20"/>
          <w:szCs w:val="20"/>
          <w:color w:val="auto"/>
        </w:rPr>
      </w:pPr>
      <w:r>
        <w:rPr>
          <w:rFonts w:ascii="Arial" w:cs="Arial" w:eastAsia="Arial" w:hAnsi="Arial"/>
          <w:sz w:val="18"/>
          <w:szCs w:val="18"/>
          <w:color w:val="auto"/>
        </w:rPr>
        <w:t>amortization of favorable and unfavorable leases. All of the rent related purchase accounting adjustments are adjustments to rent expense which is included in store operations on our consolidated statements of operations.</w:t>
      </w:r>
    </w:p>
    <w:p>
      <w:pPr>
        <w:spacing w:after="0" w:line="1" w:lineRule="exact"/>
        <w:rPr>
          <w:sz w:val="20"/>
          <w:szCs w:val="20"/>
          <w:color w:val="auto"/>
        </w:rPr>
      </w:pPr>
    </w:p>
    <w:p>
      <w:pPr>
        <w:jc w:val="both"/>
        <w:ind w:left="320" w:hanging="315"/>
        <w:spacing w:after="0" w:line="287" w:lineRule="auto"/>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Represents the impact of a non-cash loss recorded in accordance with ASC 805 - Business Combinations related to our acquisition of six franchisee-owned stores on January 1, 2018. The loss recorded under GAAP represents the difference between the fair value of the reacquired franchise rights and the contractual terms of the reacquired franchise rights and is included in other (gain) loss on our consolidated statements of operations.</w:t>
      </w:r>
    </w:p>
    <w:p>
      <w:pPr>
        <w:spacing w:after="0" w:line="1" w:lineRule="exact"/>
        <w:rPr>
          <w:rFonts w:ascii="Arial" w:cs="Arial" w:eastAsia="Arial" w:hAnsi="Arial"/>
          <w:sz w:val="16"/>
          <w:szCs w:val="16"/>
          <w:color w:val="auto"/>
        </w:rPr>
      </w:pPr>
    </w:p>
    <w:p>
      <w:pPr>
        <w:ind w:left="320" w:hanging="315"/>
        <w:spacing w:after="0" w:line="250"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transaction fees and expenses that could not be capitalized related to the issuance of our Series 2018-1 Senior Notes in the three and nine months ended September 30, 2018.</w:t>
      </w:r>
    </w:p>
    <w:p>
      <w:pPr>
        <w:ind w:left="320" w:hanging="315"/>
        <w:spacing w:after="0" w:line="250"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a loss on extinguishment of debt related to the write-off of deferred financing costs associated with the Term Loan B that the Company repaid in August 2018.</w:t>
      </w:r>
    </w:p>
    <w:p>
      <w:pPr>
        <w:ind w:left="320" w:hanging="315"/>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severance expense recorded in connection with an equity award modification.</w:t>
      </w:r>
    </w:p>
    <w:p>
      <w:pPr>
        <w:spacing w:after="0" w:line="9" w:lineRule="exact"/>
        <w:rPr>
          <w:rFonts w:ascii="Arial" w:cs="Arial" w:eastAsia="Arial" w:hAnsi="Arial"/>
          <w:sz w:val="18"/>
          <w:szCs w:val="18"/>
          <w:color w:val="auto"/>
        </w:rPr>
      </w:pPr>
    </w:p>
    <w:p>
      <w:pPr>
        <w:ind w:left="320" w:right="20" w:hanging="315"/>
        <w:spacing w:after="0" w:line="250" w:lineRule="auto"/>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costs associated with new corporate-owned stores incurred prior to the store opening, including payroll-related costs, rent and occupancy expenses, marketing and other store operating supply expenses.</w:t>
      </w:r>
    </w:p>
    <w:p>
      <w:pPr>
        <w:ind w:left="320" w:hanging="315"/>
        <w:spacing w:after="0"/>
        <w:tabs>
          <w:tab w:leader="none" w:pos="3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Represents gains and losses related to the adjustment of our tax benefit arrangements primarily due to changes in our effective tax rate.</w:t>
      </w:r>
    </w:p>
    <w:p>
      <w:pPr>
        <w:spacing w:after="0" w:line="9" w:lineRule="exact"/>
        <w:rPr>
          <w:rFonts w:ascii="Arial" w:cs="Arial" w:eastAsia="Arial" w:hAnsi="Arial"/>
          <w:sz w:val="18"/>
          <w:szCs w:val="18"/>
          <w:color w:val="auto"/>
        </w:rPr>
      </w:pPr>
    </w:p>
    <w:p>
      <w:pPr>
        <w:ind w:left="320" w:right="20" w:hanging="315"/>
        <w:spacing w:after="0" w:line="281" w:lineRule="auto"/>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Represents certain other charges and gains that we do not believe reflect our underlying business performance. In the nine months ended September 30, 2018, this amount includes expense of $590 related to the write off of certain assets that were being tested for potential use across the system.</w:t>
      </w:r>
    </w:p>
    <w:p>
      <w:pPr>
        <w:spacing w:after="0" w:line="1" w:lineRule="exact"/>
        <w:rPr>
          <w:rFonts w:ascii="Arial" w:cs="Arial" w:eastAsia="Arial" w:hAnsi="Arial"/>
          <w:sz w:val="16"/>
          <w:szCs w:val="16"/>
          <w:color w:val="auto"/>
        </w:rPr>
      </w:pPr>
    </w:p>
    <w:p>
      <w:pPr>
        <w:jc w:val="both"/>
        <w:ind w:left="320" w:hanging="315"/>
        <w:spacing w:after="0" w:line="265" w:lineRule="auto"/>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Includes $3,096, $3,096, $9,288 and $9,288 of amortization of intangible assets, other than favorable leases, for the three and nine months ended September 30, 2019 and 2018, respectively, recorded in connection with the 2012 Acquisition, and $1,052, $838, $2,867 and $2,488 of amortization of intangible assets for the three months ended September 30, 2019 and 2018, respectively, recorded in connection with historical acquisitions of franchisee-owned stores. The adjustment represents the amount of actual non-cash amortization expense recorded, in accordance with U.S. GAAP, in each period.</w:t>
      </w:r>
    </w:p>
    <w:p>
      <w:pPr>
        <w:spacing w:after="0" w:line="1" w:lineRule="exact"/>
        <w:rPr>
          <w:rFonts w:ascii="Arial" w:cs="Arial" w:eastAsia="Arial" w:hAnsi="Arial"/>
          <w:sz w:val="17"/>
          <w:szCs w:val="17"/>
          <w:color w:val="auto"/>
        </w:rPr>
      </w:pPr>
    </w:p>
    <w:p>
      <w:pPr>
        <w:ind w:left="320" w:hanging="315"/>
        <w:spacing w:after="0" w:line="265" w:lineRule="auto"/>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Represents corporate income taxes at an assumed effective tax rate of 26.6% and 26.3% for the three and nine months ended September 30, 2019 and 2018, respectively, applied to adjusted income before income taxes.</w:t>
      </w:r>
    </w:p>
    <w:p>
      <w:pPr>
        <w:ind w:left="320" w:hanging="315"/>
        <w:spacing w:after="0" w:line="290" w:lineRule="auto"/>
        <w:tabs>
          <w:tab w:leader="none" w:pos="3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Assumes the full exchange of all outstanding Holdings Units and corresponding shares of Class B common stock for shares of Class A common stock of Planet Fitness, Inc.</w:t>
      </w:r>
    </w:p>
    <w:p>
      <w:pPr>
        <w:sectPr>
          <w:pgSz w:w="11900" w:h="16838" w:orient="portrait"/>
          <w:cols w:equalWidth="0" w:num="1">
            <w:col w:w="11160"/>
          </w:cols>
          <w:pgMar w:left="500" w:top="121"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t>Planet Fitness,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(Amounts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color w:val="auto"/>
        </w:rPr>
        <w:t>A reconciliation of net income per share, diluted, to Adjusted net income per share, diluted is set forth below for the three and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2019 and 2018:</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1160"/>
        <w:spacing w:after="0"/>
        <w:rPr>
          <w:sz w:val="20"/>
          <w:szCs w:val="20"/>
          <w:color w:val="auto"/>
        </w:rPr>
      </w:pPr>
      <w:r>
        <w:rPr>
          <w:rFonts w:ascii="Arial" w:cs="Arial" w:eastAsia="Arial" w:hAnsi="Arial"/>
          <w:sz w:val="14"/>
          <w:szCs w:val="14"/>
          <w:b w:val="1"/>
          <w:bCs w:val="1"/>
          <w:color w:val="auto"/>
        </w:rPr>
        <w:t>(in thousands, except per share amounts)</w:t>
      </w:r>
    </w:p>
    <w:p>
      <w:pPr>
        <w:spacing w:after="0" w:line="50" w:lineRule="exact"/>
        <w:rPr>
          <w:sz w:val="20"/>
          <w:szCs w:val="20"/>
          <w:color w:val="auto"/>
        </w:rPr>
      </w:pPr>
    </w:p>
    <w:p>
      <w:pPr>
        <w:ind w:left="1160"/>
        <w:spacing w:after="0"/>
        <w:rPr>
          <w:sz w:val="20"/>
          <w:szCs w:val="20"/>
          <w:color w:val="auto"/>
        </w:rPr>
      </w:pPr>
      <w:r>
        <w:rPr>
          <w:rFonts w:ascii="Arial" w:cs="Arial" w:eastAsia="Arial" w:hAnsi="Arial"/>
          <w:sz w:val="16"/>
          <w:szCs w:val="16"/>
          <w:color w:val="auto"/>
        </w:rPr>
        <w:t>Net income attributable to Planet Fitness, Inc.</w:t>
      </w:r>
    </w:p>
    <w:p>
      <w:pPr>
        <w:spacing w:after="0" w:line="45" w:lineRule="exact"/>
        <w:rPr>
          <w:sz w:val="20"/>
          <w:szCs w:val="20"/>
          <w:color w:val="auto"/>
        </w:rPr>
      </w:pPr>
    </w:p>
    <w:p>
      <w:pPr>
        <w:ind w:left="1160"/>
        <w:spacing w:after="0"/>
        <w:rPr>
          <w:sz w:val="20"/>
          <w:szCs w:val="20"/>
          <w:color w:val="auto"/>
        </w:rPr>
      </w:pPr>
      <w:r>
        <w:rPr>
          <w:rFonts w:ascii="Arial" w:cs="Arial" w:eastAsia="Arial" w:hAnsi="Arial"/>
          <w:sz w:val="11"/>
          <w:szCs w:val="11"/>
          <w:color w:val="auto"/>
        </w:rPr>
        <w:t>(1)</w:t>
      </w:r>
    </w:p>
    <w:p>
      <w:pPr>
        <w:spacing w:after="0" w:line="36"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Assumed exchange of shares</w:t>
      </w:r>
      <w:r>
        <w:rPr>
          <w:rFonts w:ascii="Arial" w:cs="Arial" w:eastAsia="Arial" w:hAnsi="Arial"/>
          <w:sz w:val="21"/>
          <w:szCs w:val="21"/>
          <w:color w:val="auto"/>
          <w:vertAlign w:val="superscript"/>
        </w:rPr>
        <w:t>(2)</w:t>
      </w:r>
    </w:p>
    <w:p>
      <w:pPr>
        <w:spacing w:after="0" w:line="44"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Net Income</w:t>
      </w:r>
    </w:p>
    <w:p>
      <w:pPr>
        <w:spacing w:after="0" w:line="61" w:lineRule="exact"/>
        <w:rPr>
          <w:sz w:val="20"/>
          <w:szCs w:val="20"/>
          <w:color w:val="auto"/>
        </w:rPr>
      </w:pPr>
    </w:p>
    <w:p>
      <w:pPr>
        <w:ind w:left="1540" w:right="100" w:hanging="134"/>
        <w:spacing w:after="0" w:line="268" w:lineRule="auto"/>
        <w:rPr>
          <w:sz w:val="20"/>
          <w:szCs w:val="20"/>
          <w:color w:val="auto"/>
        </w:rPr>
      </w:pPr>
      <w:r>
        <w:rPr>
          <w:rFonts w:ascii="Arial" w:cs="Arial" w:eastAsia="Arial" w:hAnsi="Arial"/>
          <w:sz w:val="18"/>
          <w:szCs w:val="18"/>
          <w:color w:val="auto"/>
        </w:rPr>
        <w:t>Adjustments to arrive at adjusted income before income taxes</w:t>
      </w:r>
      <w:r>
        <w:rPr>
          <w:rFonts w:ascii="Arial" w:cs="Arial" w:eastAsia="Arial" w:hAnsi="Arial"/>
          <w:sz w:val="21"/>
          <w:szCs w:val="21"/>
          <w:color w:val="auto"/>
          <w:vertAlign w:val="superscript"/>
        </w:rPr>
        <w:t>(3)</w:t>
      </w:r>
    </w:p>
    <w:p>
      <w:pPr>
        <w:spacing w:after="0" w:line="1" w:lineRule="exact"/>
        <w:rPr>
          <w:sz w:val="20"/>
          <w:szCs w:val="20"/>
          <w:color w:val="auto"/>
        </w:rPr>
      </w:pPr>
    </w:p>
    <w:p>
      <w:pPr>
        <w:ind w:left="1400" w:right="340"/>
        <w:spacing w:after="0" w:line="302" w:lineRule="auto"/>
        <w:rPr>
          <w:sz w:val="20"/>
          <w:szCs w:val="20"/>
          <w:color w:val="auto"/>
        </w:rPr>
      </w:pPr>
      <w:r>
        <w:rPr>
          <w:rFonts w:ascii="Arial" w:cs="Arial" w:eastAsia="Arial" w:hAnsi="Arial"/>
          <w:sz w:val="18"/>
          <w:szCs w:val="18"/>
          <w:color w:val="auto"/>
        </w:rPr>
        <w:t>Adjusted income before income taxes Adjusted income taxes</w:t>
      </w:r>
      <w:r>
        <w:rPr>
          <w:rFonts w:ascii="Arial" w:cs="Arial" w:eastAsia="Arial" w:hAnsi="Arial"/>
          <w:sz w:val="21"/>
          <w:szCs w:val="21"/>
          <w:color w:val="auto"/>
          <w:vertAlign w:val="superscript"/>
        </w:rPr>
        <w:t>(4)</w:t>
      </w:r>
    </w:p>
    <w:p>
      <w:pPr>
        <w:spacing w:after="0" w:line="1" w:lineRule="exact"/>
        <w:rPr>
          <w:sz w:val="20"/>
          <w:szCs w:val="20"/>
          <w:color w:val="auto"/>
        </w:rPr>
      </w:pPr>
    </w:p>
    <w:p>
      <w:pPr>
        <w:ind w:left="1400"/>
        <w:spacing w:after="0"/>
        <w:rPr>
          <w:sz w:val="20"/>
          <w:szCs w:val="20"/>
          <w:color w:val="auto"/>
        </w:rPr>
      </w:pPr>
      <w:r>
        <w:rPr>
          <w:rFonts w:ascii="Arial" w:cs="Arial" w:eastAsia="Arial" w:hAnsi="Arial"/>
          <w:sz w:val="18"/>
          <w:szCs w:val="18"/>
          <w:color w:val="auto"/>
        </w:rPr>
        <w:t>Adjusted Net Income</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220" w:type="dxa"/>
            <w:vAlign w:val="bottom"/>
          </w:tcPr>
          <w:p>
            <w:pPr>
              <w:spacing w:after="0"/>
              <w:rPr>
                <w:sz w:val="17"/>
                <w:szCs w:val="17"/>
                <w:color w:val="auto"/>
              </w:rPr>
            </w:pPr>
          </w:p>
        </w:tc>
        <w:tc>
          <w:tcPr>
            <w:tcW w:w="2660" w:type="dxa"/>
            <w:vAlign w:val="bottom"/>
            <w:gridSpan w:val="7"/>
          </w:tcPr>
          <w:p>
            <w:pPr>
              <w:jc w:val="center"/>
              <w:ind w:right="300"/>
              <w:spacing w:after="0"/>
              <w:rPr>
                <w:sz w:val="20"/>
                <w:szCs w:val="20"/>
                <w:color w:val="auto"/>
              </w:rPr>
            </w:pPr>
            <w:r>
              <w:rPr>
                <w:rFonts w:ascii="Arial" w:cs="Arial" w:eastAsia="Arial" w:hAnsi="Arial"/>
                <w:sz w:val="16"/>
                <w:szCs w:val="16"/>
                <w:b w:val="1"/>
                <w:bCs w:val="1"/>
                <w:color w:val="auto"/>
                <w:w w:val="90"/>
              </w:rPr>
              <w:t>For the three months ended</w:t>
            </w:r>
          </w:p>
        </w:tc>
        <w:tc>
          <w:tcPr>
            <w:tcW w:w="220" w:type="dxa"/>
            <w:vAlign w:val="bottom"/>
          </w:tcPr>
          <w:p>
            <w:pPr>
              <w:spacing w:after="0"/>
              <w:rPr>
                <w:sz w:val="17"/>
                <w:szCs w:val="17"/>
                <w:color w:val="auto"/>
              </w:rPr>
            </w:pPr>
          </w:p>
        </w:tc>
        <w:tc>
          <w:tcPr>
            <w:tcW w:w="2560" w:type="dxa"/>
            <w:vAlign w:val="bottom"/>
            <w:gridSpan w:val="6"/>
          </w:tcPr>
          <w:p>
            <w:pPr>
              <w:jc w:val="center"/>
              <w:ind w:right="113"/>
              <w:spacing w:after="0"/>
              <w:rPr>
                <w:sz w:val="20"/>
                <w:szCs w:val="20"/>
                <w:color w:val="auto"/>
              </w:rPr>
            </w:pPr>
            <w:r>
              <w:rPr>
                <w:rFonts w:ascii="Arial" w:cs="Arial" w:eastAsia="Arial" w:hAnsi="Arial"/>
                <w:sz w:val="16"/>
                <w:szCs w:val="16"/>
                <w:b w:val="1"/>
                <w:bCs w:val="1"/>
                <w:color w:val="auto"/>
                <w:w w:val="90"/>
              </w:rPr>
              <w:t>For the three months ended</w:t>
            </w:r>
          </w:p>
        </w:tc>
      </w:tr>
      <w:tr>
        <w:trPr>
          <w:trHeight w:val="210"/>
        </w:trPr>
        <w:tc>
          <w:tcPr>
            <w:tcW w:w="220" w:type="dxa"/>
            <w:vAlign w:val="bottom"/>
          </w:tcPr>
          <w:p>
            <w:pPr>
              <w:spacing w:after="0"/>
              <w:rPr>
                <w:sz w:val="18"/>
                <w:szCs w:val="18"/>
                <w:color w:val="auto"/>
              </w:rPr>
            </w:pPr>
          </w:p>
        </w:tc>
        <w:tc>
          <w:tcPr>
            <w:tcW w:w="1860" w:type="dxa"/>
            <w:vAlign w:val="bottom"/>
            <w:gridSpan w:val="5"/>
          </w:tcPr>
          <w:p>
            <w:pPr>
              <w:jc w:val="center"/>
              <w:ind w:left="412"/>
              <w:spacing w:after="0"/>
              <w:rPr>
                <w:sz w:val="20"/>
                <w:szCs w:val="20"/>
                <w:color w:val="auto"/>
              </w:rPr>
            </w:pPr>
            <w:r>
              <w:rPr>
                <w:rFonts w:ascii="Arial" w:cs="Arial" w:eastAsia="Arial" w:hAnsi="Arial"/>
                <w:sz w:val="16"/>
                <w:szCs w:val="16"/>
                <w:b w:val="1"/>
                <w:bCs w:val="1"/>
                <w:color w:val="auto"/>
                <w:w w:val="90"/>
              </w:rPr>
              <w:t>September 30, 2019</w:t>
            </w: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60" w:type="dxa"/>
            <w:vAlign w:val="bottom"/>
            <w:gridSpan w:val="5"/>
          </w:tcPr>
          <w:p>
            <w:pPr>
              <w:jc w:val="center"/>
              <w:ind w:left="412"/>
              <w:spacing w:after="0"/>
              <w:rPr>
                <w:sz w:val="20"/>
                <w:szCs w:val="20"/>
                <w:color w:val="auto"/>
              </w:rPr>
            </w:pPr>
            <w:r>
              <w:rPr>
                <w:rFonts w:ascii="Arial" w:cs="Arial" w:eastAsia="Arial" w:hAnsi="Arial"/>
                <w:sz w:val="16"/>
                <w:szCs w:val="16"/>
                <w:b w:val="1"/>
                <w:bCs w:val="1"/>
                <w:color w:val="auto"/>
                <w:w w:val="90"/>
              </w:rPr>
              <w:t>September 30, 2018</w:t>
            </w:r>
          </w:p>
        </w:tc>
        <w:tc>
          <w:tcPr>
            <w:tcW w:w="700" w:type="dxa"/>
            <w:vAlign w:val="bottom"/>
          </w:tcPr>
          <w:p>
            <w:pPr>
              <w:spacing w:after="0"/>
              <w:rPr>
                <w:sz w:val="18"/>
                <w:szCs w:val="18"/>
                <w:color w:val="auto"/>
              </w:rPr>
            </w:pPr>
          </w:p>
        </w:tc>
      </w:tr>
      <w:tr>
        <w:trPr>
          <w:trHeight w:val="33"/>
        </w:trPr>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gridSpan w:val="2"/>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r>
      <w:tr>
        <w:trPr>
          <w:trHeight w:val="209"/>
        </w:trPr>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98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income</w:t>
            </w:r>
          </w:p>
        </w:tc>
        <w:tc>
          <w:tcPr>
            <w:tcW w:w="2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880" w:type="dxa"/>
            <w:vAlign w:val="bottom"/>
            <w:gridSpan w:val="2"/>
          </w:tcPr>
          <w:p>
            <w:pPr>
              <w:jc w:val="right"/>
              <w:spacing w:after="0"/>
              <w:rPr>
                <w:sz w:val="20"/>
                <w:szCs w:val="20"/>
                <w:color w:val="auto"/>
              </w:rPr>
            </w:pPr>
            <w:r>
              <w:rPr>
                <w:rFonts w:ascii="Arial" w:cs="Arial" w:eastAsia="Arial" w:hAnsi="Arial"/>
                <w:sz w:val="16"/>
                <w:szCs w:val="16"/>
                <w:b w:val="1"/>
                <w:bCs w:val="1"/>
                <w:color w:val="auto"/>
                <w:w w:val="92"/>
              </w:rPr>
              <w:t>Net income</w:t>
            </w:r>
          </w:p>
        </w:tc>
      </w:tr>
      <w:tr>
        <w:trPr>
          <w:trHeight w:val="203"/>
        </w:trPr>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Average</w:t>
            </w:r>
          </w:p>
        </w:tc>
        <w:tc>
          <w:tcPr>
            <w:tcW w:w="980" w:type="dxa"/>
            <w:vAlign w:val="bottom"/>
            <w:gridSpan w:val="3"/>
          </w:tcPr>
          <w:p>
            <w:pPr>
              <w:jc w:val="center"/>
              <w:ind w:right="100"/>
              <w:spacing w:after="0"/>
              <w:rPr>
                <w:sz w:val="20"/>
                <w:szCs w:val="20"/>
                <w:color w:val="auto"/>
              </w:rPr>
            </w:pPr>
            <w:r>
              <w:rPr>
                <w:rFonts w:ascii="Arial" w:cs="Arial" w:eastAsia="Arial" w:hAnsi="Arial"/>
                <w:sz w:val="16"/>
                <w:szCs w:val="16"/>
                <w:b w:val="1"/>
                <w:bCs w:val="1"/>
                <w:color w:val="auto"/>
                <w:w w:val="88"/>
              </w:rPr>
              <w:t>per share,</w:t>
            </w:r>
          </w:p>
        </w:tc>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Average</w:t>
            </w:r>
          </w:p>
        </w:tc>
        <w:tc>
          <w:tcPr>
            <w:tcW w:w="880" w:type="dxa"/>
            <w:vAlign w:val="bottom"/>
            <w:gridSpan w:val="2"/>
          </w:tcPr>
          <w:p>
            <w:pPr>
              <w:jc w:val="right"/>
              <w:ind w:right="13"/>
              <w:spacing w:after="0"/>
              <w:rPr>
                <w:sz w:val="20"/>
                <w:szCs w:val="20"/>
                <w:color w:val="auto"/>
              </w:rPr>
            </w:pPr>
            <w:r>
              <w:rPr>
                <w:rFonts w:ascii="Arial" w:cs="Arial" w:eastAsia="Arial" w:hAnsi="Arial"/>
                <w:sz w:val="16"/>
                <w:szCs w:val="16"/>
                <w:b w:val="1"/>
                <w:bCs w:val="1"/>
                <w:color w:val="auto"/>
                <w:w w:val="99"/>
              </w:rPr>
              <w:t>per share,</w:t>
            </w:r>
          </w:p>
        </w:tc>
      </w:tr>
      <w:tr>
        <w:trPr>
          <w:trHeight w:val="210"/>
        </w:trPr>
        <w:tc>
          <w:tcPr>
            <w:tcW w:w="880" w:type="dxa"/>
            <w:vAlign w:val="bottom"/>
            <w:gridSpan w:val="2"/>
          </w:tcPr>
          <w:p>
            <w:pPr>
              <w:jc w:val="right"/>
              <w:spacing w:after="0"/>
              <w:rPr>
                <w:sz w:val="20"/>
                <w:szCs w:val="20"/>
                <w:color w:val="auto"/>
              </w:rPr>
            </w:pPr>
            <w:r>
              <w:rPr>
                <w:rFonts w:ascii="Arial" w:cs="Arial" w:eastAsia="Arial" w:hAnsi="Arial"/>
                <w:sz w:val="16"/>
                <w:szCs w:val="16"/>
                <w:b w:val="1"/>
                <w:bCs w:val="1"/>
                <w:color w:val="auto"/>
                <w:w w:val="92"/>
              </w:rPr>
              <w:t>Net income</w:t>
            </w:r>
          </w:p>
        </w:tc>
        <w:tc>
          <w:tcPr>
            <w:tcW w:w="100" w:type="dxa"/>
            <w:vAlign w:val="bottom"/>
          </w:tcPr>
          <w:p>
            <w:pPr>
              <w:spacing w:after="0"/>
              <w:rPr>
                <w:sz w:val="18"/>
                <w:szCs w:val="18"/>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80" w:type="dxa"/>
            <w:vAlign w:val="bottom"/>
          </w:tcPr>
          <w:p>
            <w:pPr>
              <w:spacing w:after="0"/>
              <w:rPr>
                <w:sz w:val="18"/>
                <w:szCs w:val="18"/>
                <w:color w:val="auto"/>
              </w:rPr>
            </w:pPr>
          </w:p>
        </w:tc>
        <w:tc>
          <w:tcPr>
            <w:tcW w:w="8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diluted</w:t>
            </w:r>
          </w:p>
        </w:tc>
        <w:tc>
          <w:tcPr>
            <w:tcW w:w="880" w:type="dxa"/>
            <w:vAlign w:val="bottom"/>
            <w:gridSpan w:val="2"/>
          </w:tcPr>
          <w:p>
            <w:pPr>
              <w:jc w:val="right"/>
              <w:spacing w:after="0"/>
              <w:rPr>
                <w:sz w:val="20"/>
                <w:szCs w:val="20"/>
                <w:color w:val="auto"/>
              </w:rPr>
            </w:pPr>
            <w:r>
              <w:rPr>
                <w:rFonts w:ascii="Arial" w:cs="Arial" w:eastAsia="Arial" w:hAnsi="Arial"/>
                <w:sz w:val="16"/>
                <w:szCs w:val="16"/>
                <w:b w:val="1"/>
                <w:bCs w:val="1"/>
                <w:color w:val="auto"/>
                <w:w w:val="92"/>
              </w:rPr>
              <w:t>Net income</w:t>
            </w:r>
          </w:p>
        </w:tc>
        <w:tc>
          <w:tcPr>
            <w:tcW w:w="100" w:type="dxa"/>
            <w:vAlign w:val="bottom"/>
          </w:tcPr>
          <w:p>
            <w:pPr>
              <w:spacing w:after="0"/>
              <w:rPr>
                <w:sz w:val="18"/>
                <w:szCs w:val="18"/>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Shares</w:t>
            </w:r>
          </w:p>
        </w:tc>
        <w:tc>
          <w:tcPr>
            <w:tcW w:w="180" w:type="dxa"/>
            <w:vAlign w:val="bottom"/>
          </w:tcPr>
          <w:p>
            <w:pPr>
              <w:spacing w:after="0"/>
              <w:rPr>
                <w:sz w:val="18"/>
                <w:szCs w:val="18"/>
                <w:color w:val="auto"/>
              </w:rPr>
            </w:pPr>
          </w:p>
        </w:tc>
        <w:tc>
          <w:tcPr>
            <w:tcW w:w="700" w:type="dxa"/>
            <w:vAlign w:val="bottom"/>
          </w:tcPr>
          <w:p>
            <w:pPr>
              <w:jc w:val="right"/>
              <w:ind w:right="113"/>
              <w:spacing w:after="0"/>
              <w:rPr>
                <w:sz w:val="20"/>
                <w:szCs w:val="20"/>
                <w:color w:val="auto"/>
              </w:rPr>
            </w:pPr>
            <w:r>
              <w:rPr>
                <w:rFonts w:ascii="Arial" w:cs="Arial" w:eastAsia="Arial" w:hAnsi="Arial"/>
                <w:sz w:val="16"/>
                <w:szCs w:val="16"/>
                <w:b w:val="1"/>
                <w:bCs w:val="1"/>
                <w:color w:val="auto"/>
                <w:w w:val="91"/>
              </w:rPr>
              <w:t>diluted</w:t>
            </w:r>
          </w:p>
        </w:tc>
      </w:tr>
      <w:tr>
        <w:trPr>
          <w:trHeight w:val="33"/>
        </w:trPr>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345"/>
        </w:trPr>
        <w:tc>
          <w:tcPr>
            <w:tcW w:w="220" w:type="dxa"/>
            <w:vAlign w:val="bottom"/>
          </w:tcPr>
          <w:p>
            <w:pPr>
              <w:jc w:val="right"/>
              <w:ind w:right="13"/>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25,777</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83,807</w:t>
            </w:r>
          </w:p>
        </w:tc>
        <w:tc>
          <w:tcPr>
            <w:tcW w:w="100" w:type="dxa"/>
            <w:vAlign w:val="bottom"/>
          </w:tcPr>
          <w:p>
            <w:pPr>
              <w:spacing w:after="0"/>
              <w:rPr>
                <w:sz w:val="24"/>
                <w:szCs w:val="24"/>
                <w:color w:val="auto"/>
              </w:rPr>
            </w:pPr>
          </w:p>
        </w:tc>
        <w:tc>
          <w:tcPr>
            <w:tcW w:w="180" w:type="dxa"/>
            <w:vAlign w:val="bottom"/>
          </w:tcPr>
          <w:p>
            <w:pPr>
              <w:ind w:left="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0.31</w:t>
            </w:r>
          </w:p>
        </w:tc>
        <w:tc>
          <w:tcPr>
            <w:tcW w:w="120" w:type="dxa"/>
            <w:vAlign w:val="bottom"/>
          </w:tcPr>
          <w:p>
            <w:pPr>
              <w:spacing w:after="0"/>
              <w:rPr>
                <w:sz w:val="24"/>
                <w:szCs w:val="24"/>
                <w:color w:val="auto"/>
              </w:rPr>
            </w:pPr>
          </w:p>
        </w:tc>
        <w:tc>
          <w:tcPr>
            <w:tcW w:w="220" w:type="dxa"/>
            <w:vAlign w:val="bottom"/>
          </w:tcPr>
          <w:p>
            <w:pPr>
              <w:jc w:val="right"/>
              <w:ind w:right="13"/>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17,471</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88,458</w:t>
            </w:r>
          </w:p>
        </w:tc>
        <w:tc>
          <w:tcPr>
            <w:tcW w:w="10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0.20</w:t>
            </w:r>
          </w:p>
        </w:tc>
      </w:tr>
      <w:tr>
        <w:trPr>
          <w:trHeight w:val="270"/>
        </w:trPr>
        <w:tc>
          <w:tcPr>
            <w:tcW w:w="2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3,915</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8,579</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3,001</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10,004</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00" w:type="dxa"/>
            <w:vAlign w:val="bottom"/>
          </w:tcPr>
          <w:p>
            <w:pPr>
              <w:spacing w:after="0"/>
              <w:rPr>
                <w:sz w:val="23"/>
                <w:szCs w:val="23"/>
                <w:color w:val="auto"/>
              </w:rPr>
            </w:pPr>
          </w:p>
        </w:tc>
      </w:tr>
      <w:tr>
        <w:trPr>
          <w:trHeight w:val="27"/>
        </w:trPr>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237"/>
        </w:trPr>
        <w:tc>
          <w:tcPr>
            <w:tcW w:w="2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29,692</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20,472</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486"/>
        </w:trPr>
        <w:tc>
          <w:tcPr>
            <w:tcW w:w="2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15,346</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17,072</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
        </w:trPr>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37"/>
        </w:trPr>
        <w:tc>
          <w:tcPr>
            <w:tcW w:w="2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45,038</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37,544</w:t>
            </w: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270"/>
        </w:trPr>
        <w:tc>
          <w:tcPr>
            <w:tcW w:w="2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11,980</w:t>
            </w: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9,874</w:t>
            </w: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00" w:type="dxa"/>
            <w:vAlign w:val="bottom"/>
          </w:tcPr>
          <w:p>
            <w:pPr>
              <w:spacing w:after="0"/>
              <w:rPr>
                <w:sz w:val="23"/>
                <w:szCs w:val="23"/>
                <w:color w:val="auto"/>
              </w:rPr>
            </w:pPr>
          </w:p>
        </w:tc>
      </w:tr>
      <w:tr>
        <w:trPr>
          <w:trHeight w:val="27"/>
        </w:trPr>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220" w:type="dxa"/>
            <w:vAlign w:val="bottom"/>
          </w:tcPr>
          <w:p>
            <w:pPr>
              <w:jc w:val="right"/>
              <w:ind w:right="13"/>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33,058</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92,386</w:t>
            </w:r>
          </w:p>
        </w:tc>
        <w:tc>
          <w:tcPr>
            <w:tcW w:w="100" w:type="dxa"/>
            <w:vAlign w:val="bottom"/>
          </w:tcPr>
          <w:p>
            <w:pPr>
              <w:spacing w:after="0"/>
              <w:rPr>
                <w:sz w:val="21"/>
                <w:szCs w:val="21"/>
                <w:color w:val="auto"/>
              </w:rPr>
            </w:pPr>
          </w:p>
        </w:tc>
        <w:tc>
          <w:tcPr>
            <w:tcW w:w="180" w:type="dxa"/>
            <w:vAlign w:val="bottom"/>
          </w:tcPr>
          <w:p>
            <w:pPr>
              <w:ind w:left="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0.36</w:t>
            </w:r>
          </w:p>
        </w:tc>
        <w:tc>
          <w:tcPr>
            <w:tcW w:w="120" w:type="dxa"/>
            <w:vAlign w:val="bottom"/>
          </w:tcPr>
          <w:p>
            <w:pPr>
              <w:spacing w:after="0"/>
              <w:rPr>
                <w:sz w:val="21"/>
                <w:szCs w:val="21"/>
                <w:color w:val="auto"/>
              </w:rPr>
            </w:pPr>
          </w:p>
        </w:tc>
        <w:tc>
          <w:tcPr>
            <w:tcW w:w="220" w:type="dxa"/>
            <w:vAlign w:val="bottom"/>
          </w:tcPr>
          <w:p>
            <w:pPr>
              <w:jc w:val="right"/>
              <w:ind w:right="13"/>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27,670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98,462</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0.28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-2228850</wp:posOffset>
            </wp:positionH>
            <wp:positionV relativeFrom="paragraph">
              <wp:posOffset>-1183005</wp:posOffset>
            </wp:positionV>
            <wp:extent cx="5822950" cy="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22950" cy="171450"/>
                    </a:xfrm>
                    <a:prstGeom prst="rect">
                      <a:avLst/>
                    </a:prstGeom>
                    <a:noFill/>
                  </pic:spPr>
                </pic:pic>
              </a:graphicData>
            </a:graphic>
          </wp:anchor>
        </w:drawing>
        <w:drawing>
          <wp:anchor simplePos="0" relativeHeight="251657728" behindDoc="1" locked="0" layoutInCell="0" allowOverlap="1">
            <wp:simplePos x="0" y="0"/>
            <wp:positionH relativeFrom="column">
              <wp:posOffset>-2228850</wp:posOffset>
            </wp:positionH>
            <wp:positionV relativeFrom="paragraph">
              <wp:posOffset>-831215</wp:posOffset>
            </wp:positionV>
            <wp:extent cx="5822950" cy="308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22950" cy="308610"/>
                    </a:xfrm>
                    <a:prstGeom prst="rect">
                      <a:avLst/>
                    </a:prstGeom>
                    <a:noFill/>
                  </pic:spPr>
                </pic:pic>
              </a:graphicData>
            </a:graphic>
          </wp:anchor>
        </w:drawing>
        <w:drawing>
          <wp:anchor simplePos="0" relativeHeight="251657728" behindDoc="1" locked="0" layoutInCell="0" allowOverlap="1">
            <wp:simplePos x="0" y="0"/>
            <wp:positionH relativeFrom="column">
              <wp:posOffset>-2228850</wp:posOffset>
            </wp:positionH>
            <wp:positionV relativeFrom="paragraph">
              <wp:posOffset>-342265</wp:posOffset>
            </wp:positionV>
            <wp:extent cx="582295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22950" cy="171450"/>
                    </a:xfrm>
                    <a:prstGeom prst="rect">
                      <a:avLst/>
                    </a:prstGeom>
                    <a:noFill/>
                  </pic:spPr>
                </pic:pic>
              </a:graphicData>
            </a:graphic>
          </wp:anchor>
        </w:drawing>
        <w:drawing>
          <wp:anchor simplePos="0" relativeHeight="251657728" behindDoc="1" locked="0" layoutInCell="0" allowOverlap="1">
            <wp:simplePos x="0" y="0"/>
            <wp:positionH relativeFrom="column">
              <wp:posOffset>1826895</wp:posOffset>
            </wp:positionH>
            <wp:positionV relativeFrom="paragraph">
              <wp:posOffset>8890</wp:posOffset>
            </wp:positionV>
            <wp:extent cx="55753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753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8890</wp:posOffset>
            </wp:positionV>
            <wp:extent cx="55753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7530" cy="8890"/>
                    </a:xfrm>
                    <a:prstGeom prst="rect">
                      <a:avLst/>
                    </a:prstGeom>
                    <a:noFill/>
                  </pic:spPr>
                </pic:pic>
              </a:graphicData>
            </a:graphic>
          </wp:anchor>
        </w:drawing>
      </w:r>
    </w:p>
    <w:p>
      <w:pPr>
        <w:spacing w:after="0" w:line="40" w:lineRule="exact"/>
        <w:rPr>
          <w:sz w:val="20"/>
          <w:szCs w:val="20"/>
          <w:color w:val="auto"/>
        </w:rPr>
      </w:pPr>
    </w:p>
    <w:p>
      <w:pPr>
        <w:sectPr>
          <w:pgSz w:w="11900" w:h="16838" w:orient="portrait"/>
          <w:cols w:equalWidth="0" w:num="2">
            <w:col w:w="4460" w:space="180"/>
            <w:col w:w="6780"/>
          </w:cols>
          <w:pgMar w:left="240" w:top="121" w:right="239" w:bottom="1440" w:gutter="0" w:footer="0" w:header="0"/>
          <w:type w:val="continuous"/>
        </w:sectPr>
      </w:pPr>
    </w:p>
    <w:p>
      <w:pPr>
        <w:ind w:left="580" w:hanging="315"/>
        <w:spacing w:after="0"/>
        <w:tabs>
          <w:tab w:leader="none" w:pos="5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right="280" w:hanging="315"/>
        <w:spacing w:after="0" w:line="261" w:lineRule="auto"/>
        <w:tabs>
          <w:tab w:leader="none" w:pos="5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26.6% and 26.3% for the three </w:t>
      </w:r>
      <w:r>
        <w:rPr>
          <w:rFonts w:ascii="Arial" w:cs="Arial" w:eastAsia="Arial" w:hAnsi="Arial"/>
          <w:sz w:val="18"/>
          <w:szCs w:val="18"/>
          <w:color w:val="231F20"/>
        </w:rPr>
        <w:t>months ended</w:t>
      </w:r>
      <w:r>
        <w:rPr>
          <w:rFonts w:ascii="Arial" w:cs="Arial" w:eastAsia="Arial" w:hAnsi="Arial"/>
          <w:sz w:val="18"/>
          <w:szCs w:val="18"/>
          <w:color w:val="auto"/>
        </w:rPr>
        <w:t xml:space="preserve"> September 30, 2019 </w:t>
      </w:r>
      <w:r>
        <w:rPr>
          <w:rFonts w:ascii="Arial" w:cs="Arial" w:eastAsia="Arial" w:hAnsi="Arial"/>
          <w:sz w:val="18"/>
          <w:szCs w:val="18"/>
          <w:color w:val="231F20"/>
        </w:rPr>
        <w:t>and</w:t>
      </w:r>
      <w:r>
        <w:rPr>
          <w:rFonts w:ascii="Arial" w:cs="Arial" w:eastAsia="Arial" w:hAnsi="Arial"/>
          <w:sz w:val="18"/>
          <w:szCs w:val="18"/>
          <w:color w:val="auto"/>
        </w:rPr>
        <w:t xml:space="preserve"> 2018, respectively, applied to adjusted income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4773295</wp:posOffset>
            </wp:positionH>
            <wp:positionV relativeFrom="paragraph">
              <wp:posOffset>-979805</wp:posOffset>
            </wp:positionV>
            <wp:extent cx="5575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7530" cy="8890"/>
                    </a:xfrm>
                    <a:prstGeom prst="rect">
                      <a:avLst/>
                    </a:prstGeom>
                    <a:noFill/>
                  </pic:spPr>
                </pic:pic>
              </a:graphicData>
            </a:graphic>
          </wp:anchor>
        </w:drawing>
        <w:drawing>
          <wp:anchor simplePos="0" relativeHeight="251657728" behindDoc="1" locked="0" layoutInCell="0" allowOverlap="1">
            <wp:simplePos x="0" y="0"/>
            <wp:positionH relativeFrom="column">
              <wp:posOffset>2946400</wp:posOffset>
            </wp:positionH>
            <wp:positionV relativeFrom="paragraph">
              <wp:posOffset>-979805</wp:posOffset>
            </wp:positionV>
            <wp:extent cx="5575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7530" cy="88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780" w:type="dxa"/>
            <w:vAlign w:val="bottom"/>
            <w:gridSpan w:val="6"/>
          </w:tcPr>
          <w:p>
            <w:pPr>
              <w:jc w:val="center"/>
              <w:ind w:left="432"/>
              <w:spacing w:after="0"/>
              <w:rPr>
                <w:sz w:val="20"/>
                <w:szCs w:val="20"/>
                <w:color w:val="auto"/>
              </w:rPr>
            </w:pPr>
            <w:r>
              <w:rPr>
                <w:rFonts w:ascii="Arial" w:cs="Arial" w:eastAsia="Arial" w:hAnsi="Arial"/>
                <w:sz w:val="16"/>
                <w:szCs w:val="16"/>
                <w:b w:val="1"/>
                <w:bCs w:val="1"/>
                <w:color w:val="auto"/>
                <w:w w:val="90"/>
              </w:rPr>
              <w:t>For the nine months ended</w:t>
            </w: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740" w:type="dxa"/>
            <w:vAlign w:val="bottom"/>
            <w:gridSpan w:val="6"/>
          </w:tcPr>
          <w:p>
            <w:pPr>
              <w:jc w:val="center"/>
              <w:ind w:left="432"/>
              <w:spacing w:after="0"/>
              <w:rPr>
                <w:sz w:val="20"/>
                <w:szCs w:val="20"/>
                <w:color w:val="auto"/>
              </w:rPr>
            </w:pPr>
            <w:r>
              <w:rPr>
                <w:rFonts w:ascii="Arial" w:cs="Arial" w:eastAsia="Arial" w:hAnsi="Arial"/>
                <w:sz w:val="16"/>
                <w:szCs w:val="16"/>
                <w:b w:val="1"/>
                <w:bCs w:val="1"/>
                <w:color w:val="auto"/>
                <w:w w:val="90"/>
              </w:rPr>
              <w:t>For the nine months ended</w:t>
            </w:r>
          </w:p>
        </w:tc>
        <w:tc>
          <w:tcPr>
            <w:tcW w:w="620" w:type="dxa"/>
            <w:vAlign w:val="bottom"/>
          </w:tcPr>
          <w:p>
            <w:pPr>
              <w:spacing w:after="0"/>
              <w:rPr>
                <w:sz w:val="17"/>
                <w:szCs w:val="17"/>
                <w:color w:val="auto"/>
              </w:rPr>
            </w:pPr>
          </w:p>
        </w:tc>
      </w:tr>
      <w:tr>
        <w:trPr>
          <w:trHeight w:val="210"/>
        </w:trPr>
        <w:tc>
          <w:tcPr>
            <w:tcW w:w="4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40" w:type="dxa"/>
            <w:vAlign w:val="bottom"/>
            <w:gridSpan w:val="5"/>
          </w:tcPr>
          <w:p>
            <w:pPr>
              <w:jc w:val="center"/>
              <w:ind w:right="354"/>
              <w:spacing w:after="0"/>
              <w:rPr>
                <w:sz w:val="20"/>
                <w:szCs w:val="20"/>
                <w:color w:val="auto"/>
              </w:rPr>
            </w:pPr>
            <w:r>
              <w:rPr>
                <w:rFonts w:ascii="Arial" w:cs="Arial" w:eastAsia="Arial" w:hAnsi="Arial"/>
                <w:sz w:val="16"/>
                <w:szCs w:val="16"/>
                <w:b w:val="1"/>
                <w:bCs w:val="1"/>
                <w:color w:val="auto"/>
                <w:w w:val="90"/>
              </w:rPr>
              <w:t>September 30, 2019</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20" w:type="dxa"/>
            <w:vAlign w:val="bottom"/>
            <w:gridSpan w:val="5"/>
          </w:tcPr>
          <w:p>
            <w:pPr>
              <w:jc w:val="center"/>
              <w:ind w:right="334"/>
              <w:spacing w:after="0"/>
              <w:rPr>
                <w:sz w:val="20"/>
                <w:szCs w:val="20"/>
                <w:color w:val="auto"/>
              </w:rPr>
            </w:pPr>
            <w:r>
              <w:rPr>
                <w:rFonts w:ascii="Arial" w:cs="Arial" w:eastAsia="Arial" w:hAnsi="Arial"/>
                <w:sz w:val="16"/>
                <w:szCs w:val="16"/>
                <w:b w:val="1"/>
                <w:bCs w:val="1"/>
                <w:color w:val="auto"/>
                <w:w w:val="90"/>
              </w:rPr>
              <w:t>September 30, 2018</w:t>
            </w:r>
          </w:p>
        </w:tc>
        <w:tc>
          <w:tcPr>
            <w:tcW w:w="620" w:type="dxa"/>
            <w:vAlign w:val="bottom"/>
          </w:tcPr>
          <w:p>
            <w:pPr>
              <w:spacing w:after="0"/>
              <w:rPr>
                <w:sz w:val="18"/>
                <w:szCs w:val="18"/>
                <w:color w:val="auto"/>
              </w:rPr>
            </w:pPr>
          </w:p>
        </w:tc>
      </w:tr>
      <w:tr>
        <w:trPr>
          <w:trHeight w:val="33"/>
        </w:trPr>
        <w:tc>
          <w:tcPr>
            <w:tcW w:w="42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r>
      <w:tr>
        <w:trPr>
          <w:trHeight w:val="209"/>
        </w:trPr>
        <w:tc>
          <w:tcPr>
            <w:tcW w:w="4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Weighted</w:t>
            </w:r>
          </w:p>
        </w:tc>
        <w:tc>
          <w:tcPr>
            <w:tcW w:w="5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Weighted</w:t>
            </w:r>
          </w:p>
        </w:tc>
        <w:tc>
          <w:tcPr>
            <w:tcW w:w="520" w:type="dxa"/>
            <w:vAlign w:val="bottom"/>
          </w:tcPr>
          <w:p>
            <w:pPr>
              <w:spacing w:after="0"/>
              <w:rPr>
                <w:sz w:val="18"/>
                <w:szCs w:val="18"/>
                <w:color w:val="auto"/>
              </w:rPr>
            </w:pPr>
          </w:p>
        </w:tc>
        <w:tc>
          <w:tcPr>
            <w:tcW w:w="620" w:type="dxa"/>
            <w:vAlign w:val="bottom"/>
          </w:tcPr>
          <w:p>
            <w:pPr>
              <w:spacing w:after="0"/>
              <w:rPr>
                <w:sz w:val="18"/>
                <w:szCs w:val="18"/>
                <w:color w:val="auto"/>
              </w:rPr>
            </w:pPr>
          </w:p>
        </w:tc>
      </w:tr>
      <w:tr>
        <w:trPr>
          <w:trHeight w:val="203"/>
        </w:trPr>
        <w:tc>
          <w:tcPr>
            <w:tcW w:w="42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Average</w:t>
            </w:r>
          </w:p>
        </w:tc>
        <w:tc>
          <w:tcPr>
            <w:tcW w:w="1240" w:type="dxa"/>
            <w:vAlign w:val="bottom"/>
            <w:gridSpan w:val="3"/>
          </w:tcPr>
          <w:p>
            <w:pPr>
              <w:ind w:left="40"/>
              <w:spacing w:after="0"/>
              <w:rPr>
                <w:sz w:val="20"/>
                <w:szCs w:val="20"/>
                <w:color w:val="auto"/>
              </w:rPr>
            </w:pPr>
            <w:r>
              <w:rPr>
                <w:rFonts w:ascii="Arial" w:cs="Arial" w:eastAsia="Arial" w:hAnsi="Arial"/>
                <w:sz w:val="16"/>
                <w:szCs w:val="16"/>
                <w:b w:val="1"/>
                <w:bCs w:val="1"/>
                <w:color w:val="auto"/>
              </w:rPr>
              <w:t>Net income per</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Average</w:t>
            </w:r>
          </w:p>
        </w:tc>
        <w:tc>
          <w:tcPr>
            <w:tcW w:w="1140" w:type="dxa"/>
            <w:vAlign w:val="bottom"/>
            <w:gridSpan w:val="2"/>
          </w:tcPr>
          <w:p>
            <w:pPr>
              <w:ind w:left="40"/>
              <w:spacing w:after="0"/>
              <w:rPr>
                <w:sz w:val="20"/>
                <w:szCs w:val="20"/>
                <w:color w:val="auto"/>
              </w:rPr>
            </w:pPr>
            <w:r>
              <w:rPr>
                <w:rFonts w:ascii="Arial" w:cs="Arial" w:eastAsia="Arial" w:hAnsi="Arial"/>
                <w:sz w:val="16"/>
                <w:szCs w:val="16"/>
                <w:b w:val="1"/>
                <w:bCs w:val="1"/>
                <w:color w:val="auto"/>
                <w:w w:val="93"/>
              </w:rPr>
              <w:t>Net income per</w:t>
            </w:r>
          </w:p>
        </w:tc>
      </w:tr>
      <w:tr>
        <w:trPr>
          <w:trHeight w:val="237"/>
        </w:trPr>
        <w:tc>
          <w:tcPr>
            <w:tcW w:w="42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 except per share amounts)</w:t>
            </w:r>
          </w:p>
        </w:tc>
        <w:tc>
          <w:tcPr>
            <w:tcW w:w="1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32"/>
              <w:spacing w:after="0"/>
              <w:rPr>
                <w:sz w:val="20"/>
                <w:szCs w:val="20"/>
                <w:color w:val="auto"/>
              </w:rPr>
            </w:pPr>
            <w:r>
              <w:rPr>
                <w:rFonts w:ascii="Arial" w:cs="Arial" w:eastAsia="Arial" w:hAnsi="Arial"/>
                <w:sz w:val="16"/>
                <w:szCs w:val="16"/>
                <w:b w:val="1"/>
                <w:bCs w:val="1"/>
                <w:color w:val="auto"/>
                <w:w w:val="92"/>
              </w:rPr>
              <w:t>Net income</w:t>
            </w:r>
          </w:p>
        </w:tc>
        <w:tc>
          <w:tcPr>
            <w:tcW w:w="80" w:type="dxa"/>
            <w:vAlign w:val="bottom"/>
            <w:tcBorders>
              <w:bottom w:val="single" w:sz="8" w:color="auto"/>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9"/>
              </w:rPr>
              <w:t>Shares</w:t>
            </w:r>
          </w:p>
        </w:tc>
        <w:tc>
          <w:tcPr>
            <w:tcW w:w="100" w:type="dxa"/>
            <w:vAlign w:val="bottom"/>
            <w:tcBorders>
              <w:bottom w:val="single" w:sz="8" w:color="CCEEFF"/>
            </w:tcBorders>
          </w:tcPr>
          <w:p>
            <w:pPr>
              <w:spacing w:after="0"/>
              <w:rPr>
                <w:sz w:val="20"/>
                <w:szCs w:val="20"/>
                <w:color w:val="auto"/>
              </w:rPr>
            </w:pPr>
          </w:p>
        </w:tc>
        <w:tc>
          <w:tcPr>
            <w:tcW w:w="1140" w:type="dxa"/>
            <w:vAlign w:val="bottom"/>
            <w:tcBorders>
              <w:bottom w:val="single" w:sz="8" w:color="auto"/>
            </w:tcBorders>
            <w:gridSpan w:val="2"/>
          </w:tcPr>
          <w:p>
            <w:pPr>
              <w:ind w:left="100"/>
              <w:spacing w:after="0"/>
              <w:rPr>
                <w:sz w:val="20"/>
                <w:szCs w:val="20"/>
                <w:color w:val="auto"/>
              </w:rPr>
            </w:pPr>
            <w:r>
              <w:rPr>
                <w:rFonts w:ascii="Arial" w:cs="Arial" w:eastAsia="Arial" w:hAnsi="Arial"/>
                <w:sz w:val="16"/>
                <w:szCs w:val="16"/>
                <w:b w:val="1"/>
                <w:bCs w:val="1"/>
                <w:color w:val="auto"/>
                <w:w w:val="97"/>
              </w:rPr>
              <w:t>share, diluted</w:t>
            </w:r>
          </w:p>
        </w:tc>
        <w:tc>
          <w:tcPr>
            <w:tcW w:w="10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2"/>
              <w:spacing w:after="0"/>
              <w:rPr>
                <w:sz w:val="20"/>
                <w:szCs w:val="20"/>
                <w:color w:val="auto"/>
              </w:rPr>
            </w:pPr>
            <w:r>
              <w:rPr>
                <w:rFonts w:ascii="Arial" w:cs="Arial" w:eastAsia="Arial" w:hAnsi="Arial"/>
                <w:sz w:val="16"/>
                <w:szCs w:val="16"/>
                <w:b w:val="1"/>
                <w:bCs w:val="1"/>
                <w:color w:val="auto"/>
                <w:w w:val="92"/>
              </w:rPr>
              <w:t>Net income</w:t>
            </w: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6"/>
              </w:rPr>
              <w:t>Shares</w:t>
            </w:r>
          </w:p>
        </w:tc>
        <w:tc>
          <w:tcPr>
            <w:tcW w:w="100" w:type="dxa"/>
            <w:vAlign w:val="bottom"/>
            <w:tcBorders>
              <w:bottom w:val="single" w:sz="8" w:color="CCEEFF"/>
            </w:tcBorders>
          </w:tcPr>
          <w:p>
            <w:pPr>
              <w:spacing w:after="0"/>
              <w:rPr>
                <w:sz w:val="20"/>
                <w:szCs w:val="20"/>
                <w:color w:val="auto"/>
              </w:rPr>
            </w:pPr>
          </w:p>
        </w:tc>
        <w:tc>
          <w:tcPr>
            <w:tcW w:w="1140" w:type="dxa"/>
            <w:vAlign w:val="bottom"/>
            <w:tcBorders>
              <w:bottom w:val="single" w:sz="8" w:color="auto"/>
            </w:tcBorders>
            <w:gridSpan w:val="2"/>
          </w:tcPr>
          <w:p>
            <w:pPr>
              <w:ind w:left="100"/>
              <w:spacing w:after="0"/>
              <w:rPr>
                <w:sz w:val="20"/>
                <w:szCs w:val="20"/>
                <w:color w:val="auto"/>
              </w:rPr>
            </w:pPr>
            <w:r>
              <w:rPr>
                <w:rFonts w:ascii="Arial" w:cs="Arial" w:eastAsia="Arial" w:hAnsi="Arial"/>
                <w:sz w:val="16"/>
                <w:szCs w:val="16"/>
                <w:b w:val="1"/>
                <w:bCs w:val="1"/>
                <w:color w:val="auto"/>
                <w:w w:val="97"/>
              </w:rPr>
              <w:t>share, diluted</w:t>
            </w:r>
          </w:p>
        </w:tc>
      </w:tr>
      <w:tr>
        <w:trPr>
          <w:trHeight w:val="270"/>
        </w:trPr>
        <w:tc>
          <w:tcPr>
            <w:tcW w:w="42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Net income attributable to Planet Fitness, Inc.</w:t>
            </w:r>
            <w:r>
              <w:rPr>
                <w:rFonts w:ascii="Arial" w:cs="Arial" w:eastAsia="Arial" w:hAnsi="Arial"/>
                <w:sz w:val="25"/>
                <w:szCs w:val="25"/>
                <w:color w:val="auto"/>
                <w:vertAlign w:val="superscript"/>
              </w:rPr>
              <w:t>(1)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88,030</w:t>
            </w:r>
          </w:p>
        </w:tc>
        <w:tc>
          <w:tcPr>
            <w:tcW w:w="1240" w:type="dxa"/>
            <w:vAlign w:val="bottom"/>
            <w:gridSpan w:val="3"/>
            <w:shd w:val="clear" w:color="auto" w:fill="CCEEFF"/>
          </w:tcPr>
          <w:p>
            <w:pPr>
              <w:jc w:val="right"/>
              <w:ind w:right="39"/>
              <w:spacing w:after="0"/>
              <w:rPr>
                <w:sz w:val="20"/>
                <w:szCs w:val="20"/>
                <w:color w:val="auto"/>
              </w:rPr>
            </w:pPr>
            <w:r>
              <w:rPr>
                <w:rFonts w:ascii="Arial" w:cs="Arial" w:eastAsia="Arial" w:hAnsi="Arial"/>
                <w:sz w:val="18"/>
                <w:szCs w:val="18"/>
                <w:color w:val="auto"/>
              </w:rPr>
              <w:t>84,354</w:t>
            </w:r>
          </w:p>
        </w:tc>
        <w:tc>
          <w:tcPr>
            <w:tcW w:w="100" w:type="dxa"/>
            <w:vAlign w:val="bottom"/>
            <w:shd w:val="clear" w:color="auto" w:fill="CCEEFF"/>
          </w:tcPr>
          <w:p>
            <w:pPr>
              <w:spacing w:after="0"/>
              <w:rPr>
                <w:sz w:val="23"/>
                <w:szCs w:val="23"/>
                <w:color w:val="auto"/>
              </w:rPr>
            </w:pPr>
          </w:p>
        </w:tc>
        <w:tc>
          <w:tcPr>
            <w:tcW w:w="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63,226</w:t>
            </w:r>
          </w:p>
        </w:tc>
        <w:tc>
          <w:tcPr>
            <w:tcW w:w="1200" w:type="dxa"/>
            <w:vAlign w:val="bottom"/>
            <w:gridSpan w:val="3"/>
            <w:shd w:val="clear" w:color="auto" w:fill="CCEEFF"/>
          </w:tcPr>
          <w:p>
            <w:pPr>
              <w:jc w:val="right"/>
              <w:ind w:right="39"/>
              <w:spacing w:after="0"/>
              <w:rPr>
                <w:sz w:val="20"/>
                <w:szCs w:val="20"/>
                <w:color w:val="auto"/>
              </w:rPr>
            </w:pPr>
            <w:r>
              <w:rPr>
                <w:rFonts w:ascii="Arial" w:cs="Arial" w:eastAsia="Arial" w:hAnsi="Arial"/>
                <w:sz w:val="18"/>
                <w:szCs w:val="18"/>
                <w:color w:val="auto"/>
              </w:rPr>
              <w:t>88,064</w:t>
            </w:r>
          </w:p>
        </w:tc>
        <w:tc>
          <w:tcPr>
            <w:tcW w:w="100" w:type="dxa"/>
            <w:vAlign w:val="bottom"/>
            <w:shd w:val="clear" w:color="auto" w:fill="CCEEFF"/>
          </w:tcPr>
          <w:p>
            <w:pPr>
              <w:spacing w:after="0"/>
              <w:rPr>
                <w:sz w:val="23"/>
                <w:szCs w:val="23"/>
                <w:color w:val="auto"/>
              </w:rPr>
            </w:pPr>
          </w:p>
        </w:tc>
        <w:tc>
          <w:tcPr>
            <w:tcW w:w="52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0.72</w:t>
            </w:r>
          </w:p>
        </w:tc>
      </w:tr>
      <w:tr>
        <w:trPr>
          <w:trHeight w:val="270"/>
        </w:trPr>
        <w:tc>
          <w:tcPr>
            <w:tcW w:w="4240" w:type="dxa"/>
            <w:vAlign w:val="bottom"/>
          </w:tcPr>
          <w:p>
            <w:pPr>
              <w:ind w:left="40"/>
              <w:spacing w:after="0" w:line="270" w:lineRule="exact"/>
              <w:rPr>
                <w:sz w:val="20"/>
                <w:szCs w:val="20"/>
                <w:color w:val="auto"/>
              </w:rPr>
            </w:pPr>
            <w:r>
              <w:rPr>
                <w:rFonts w:ascii="Arial" w:cs="Arial" w:eastAsia="Arial" w:hAnsi="Arial"/>
                <w:sz w:val="18"/>
                <w:szCs w:val="18"/>
                <w:color w:val="auto"/>
              </w:rPr>
              <w:t>Assumed exchange of shares</w:t>
            </w:r>
            <w:r>
              <w:rPr>
                <w:rFonts w:ascii="Arial" w:cs="Arial" w:eastAsia="Arial" w:hAnsi="Arial"/>
                <w:sz w:val="25"/>
                <w:szCs w:val="25"/>
                <w:color w:val="auto"/>
                <w:vertAlign w:val="superscript"/>
              </w:rPr>
              <w:t>(2)</w:t>
            </w:r>
          </w:p>
        </w:tc>
        <w:tc>
          <w:tcPr>
            <w:tcW w:w="1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13,128</w:t>
            </w:r>
          </w:p>
        </w:tc>
        <w:tc>
          <w:tcPr>
            <w:tcW w:w="1240" w:type="dxa"/>
            <w:vAlign w:val="bottom"/>
            <w:gridSpan w:val="3"/>
          </w:tcPr>
          <w:p>
            <w:pPr>
              <w:jc w:val="right"/>
              <w:ind w:right="39"/>
              <w:spacing w:after="0"/>
              <w:rPr>
                <w:sz w:val="20"/>
                <w:szCs w:val="20"/>
                <w:color w:val="auto"/>
              </w:rPr>
            </w:pPr>
            <w:r>
              <w:rPr>
                <w:rFonts w:ascii="Arial" w:cs="Arial" w:eastAsia="Arial" w:hAnsi="Arial"/>
                <w:sz w:val="18"/>
                <w:szCs w:val="18"/>
                <w:color w:val="auto"/>
              </w:rPr>
              <w:t>8,799</w:t>
            </w:r>
          </w:p>
        </w:tc>
        <w:tc>
          <w:tcPr>
            <w:tcW w:w="1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11,158</w:t>
            </w:r>
          </w:p>
        </w:tc>
        <w:tc>
          <w:tcPr>
            <w:tcW w:w="1200" w:type="dxa"/>
            <w:vAlign w:val="bottom"/>
            <w:gridSpan w:val="3"/>
          </w:tcPr>
          <w:p>
            <w:pPr>
              <w:jc w:val="right"/>
              <w:ind w:right="39"/>
              <w:spacing w:after="0"/>
              <w:rPr>
                <w:sz w:val="20"/>
                <w:szCs w:val="20"/>
                <w:color w:val="auto"/>
              </w:rPr>
            </w:pPr>
            <w:r>
              <w:rPr>
                <w:rFonts w:ascii="Arial" w:cs="Arial" w:eastAsia="Arial" w:hAnsi="Arial"/>
                <w:sz w:val="18"/>
                <w:szCs w:val="18"/>
                <w:color w:val="auto"/>
              </w:rPr>
              <w:t>10,551</w:t>
            </w: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620" w:type="dxa"/>
            <w:vAlign w:val="bottom"/>
          </w:tcPr>
          <w:p>
            <w:pPr>
              <w:spacing w:after="0"/>
              <w:rPr>
                <w:sz w:val="23"/>
                <w:szCs w:val="23"/>
                <w:color w:val="auto"/>
              </w:rPr>
            </w:pPr>
          </w:p>
        </w:tc>
      </w:tr>
      <w:tr>
        <w:trPr>
          <w:trHeight w:val="244"/>
        </w:trPr>
        <w:tc>
          <w:tcPr>
            <w:tcW w:w="42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101,158</w:t>
            </w: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500" w:type="dxa"/>
            <w:vAlign w:val="bottom"/>
            <w:tcBorders>
              <w:top w:val="single" w:sz="8" w:color="auto"/>
              <w:bottom w:val="single" w:sz="8" w:color="CCEEFF"/>
            </w:tcBorders>
            <w:shd w:val="clear" w:color="auto" w:fill="CCEEFF"/>
          </w:tcPr>
          <w:p>
            <w:pPr>
              <w:spacing w:after="0"/>
              <w:rPr>
                <w:sz w:val="21"/>
                <w:szCs w:val="21"/>
                <w:color w:val="auto"/>
              </w:rPr>
            </w:pPr>
          </w:p>
        </w:tc>
        <w:tc>
          <w:tcPr>
            <w:tcW w:w="6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74,384</w:t>
            </w:r>
          </w:p>
        </w:tc>
        <w:tc>
          <w:tcPr>
            <w:tcW w:w="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6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29"/>
        </w:trPr>
        <w:tc>
          <w:tcPr>
            <w:tcW w:w="4240" w:type="dxa"/>
            <w:vAlign w:val="bottom"/>
          </w:tcPr>
          <w:p>
            <w:pPr>
              <w:ind w:left="40"/>
              <w:spacing w:after="0"/>
              <w:rPr>
                <w:sz w:val="20"/>
                <w:szCs w:val="20"/>
                <w:color w:val="auto"/>
              </w:rPr>
            </w:pPr>
            <w:r>
              <w:rPr>
                <w:rFonts w:ascii="Arial" w:cs="Arial" w:eastAsia="Arial" w:hAnsi="Arial"/>
                <w:sz w:val="18"/>
                <w:szCs w:val="18"/>
                <w:color w:val="auto"/>
              </w:rPr>
              <w:t>Adjustments to arrive at adjusted income</w:t>
            </w: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20" w:type="dxa"/>
            <w:vAlign w:val="bottom"/>
          </w:tcPr>
          <w:p>
            <w:pPr>
              <w:spacing w:after="0"/>
              <w:rPr>
                <w:sz w:val="19"/>
                <w:szCs w:val="19"/>
                <w:color w:val="auto"/>
              </w:rPr>
            </w:pPr>
          </w:p>
        </w:tc>
      </w:tr>
      <w:tr>
        <w:trPr>
          <w:trHeight w:val="257"/>
        </w:trPr>
        <w:tc>
          <w:tcPr>
            <w:tcW w:w="4240" w:type="dxa"/>
            <w:vAlign w:val="bottom"/>
            <w:tcBorders>
              <w:bottom w:val="single" w:sz="8" w:color="CCEEFF"/>
            </w:tcBorders>
          </w:tcPr>
          <w:p>
            <w:pPr>
              <w:ind w:left="180"/>
              <w:spacing w:after="0" w:line="257" w:lineRule="exact"/>
              <w:rPr>
                <w:sz w:val="20"/>
                <w:szCs w:val="20"/>
                <w:color w:val="auto"/>
              </w:rPr>
            </w:pPr>
            <w:r>
              <w:rPr>
                <w:rFonts w:ascii="Arial" w:cs="Arial" w:eastAsia="Arial" w:hAnsi="Arial"/>
                <w:sz w:val="18"/>
                <w:szCs w:val="18"/>
                <w:color w:val="auto"/>
              </w:rPr>
              <w:t>before income taxes</w:t>
            </w:r>
            <w:r>
              <w:rPr>
                <w:rFonts w:ascii="Arial" w:cs="Arial" w:eastAsia="Arial" w:hAnsi="Arial"/>
                <w:sz w:val="25"/>
                <w:szCs w:val="25"/>
                <w:color w:val="auto"/>
                <w:vertAlign w:val="superscript"/>
              </w:rPr>
              <w:t>(3)</w:t>
            </w:r>
          </w:p>
        </w:tc>
        <w:tc>
          <w:tcPr>
            <w:tcW w:w="16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45,939</w:t>
            </w:r>
          </w:p>
        </w:tc>
        <w:tc>
          <w:tcPr>
            <w:tcW w:w="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0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500" w:type="dxa"/>
            <w:vAlign w:val="bottom"/>
            <w:tcBorders>
              <w:bottom w:val="single" w:sz="8" w:color="CCEEFF"/>
            </w:tcBorders>
          </w:tcPr>
          <w:p>
            <w:pPr>
              <w:spacing w:after="0"/>
              <w:rPr>
                <w:sz w:val="22"/>
                <w:szCs w:val="22"/>
                <w:color w:val="auto"/>
              </w:rPr>
            </w:pPr>
          </w:p>
        </w:tc>
        <w:tc>
          <w:tcPr>
            <w:tcW w:w="6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43,710</w:t>
            </w:r>
          </w:p>
        </w:tc>
        <w:tc>
          <w:tcPr>
            <w:tcW w:w="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Adjusted income before income taxes</w:t>
            </w: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147,097</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118,094</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r>
      <w:tr>
        <w:trPr>
          <w:trHeight w:val="270"/>
        </w:trPr>
        <w:tc>
          <w:tcPr>
            <w:tcW w:w="42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Adjusted income taxes</w:t>
            </w:r>
            <w:r>
              <w:rPr>
                <w:rFonts w:ascii="Arial" w:cs="Arial" w:eastAsia="Arial" w:hAnsi="Arial"/>
                <w:sz w:val="25"/>
                <w:szCs w:val="25"/>
                <w:color w:val="auto"/>
                <w:vertAlign w:val="superscript"/>
              </w:rPr>
              <w:t>(4)</w:t>
            </w:r>
          </w:p>
        </w:tc>
        <w:tc>
          <w:tcPr>
            <w:tcW w:w="16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39,128</w:t>
            </w: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1040" w:type="dxa"/>
            <w:vAlign w:val="bottom"/>
            <w:tcBorders>
              <w:bottom w:val="single" w:sz="8" w:color="CCEEFF"/>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500" w:type="dxa"/>
            <w:vAlign w:val="bottom"/>
            <w:tcBorders>
              <w:bottom w:val="single" w:sz="8" w:color="CCEEFF"/>
            </w:tcBorders>
          </w:tcPr>
          <w:p>
            <w:pPr>
              <w:spacing w:after="0"/>
              <w:rPr>
                <w:sz w:val="23"/>
                <w:szCs w:val="23"/>
                <w:color w:val="auto"/>
              </w:rPr>
            </w:pPr>
          </w:p>
        </w:tc>
        <w:tc>
          <w:tcPr>
            <w:tcW w:w="640" w:type="dxa"/>
            <w:vAlign w:val="bottom"/>
            <w:tcBorders>
              <w:bottom w:val="single" w:sz="8" w:color="CCEEFF"/>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31,059</w:t>
            </w:r>
          </w:p>
        </w:tc>
        <w:tc>
          <w:tcPr>
            <w:tcW w:w="8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520" w:type="dxa"/>
            <w:vAlign w:val="bottom"/>
            <w:tcBorders>
              <w:bottom w:val="single" w:sz="8" w:color="CCEEFF"/>
            </w:tcBorders>
          </w:tcPr>
          <w:p>
            <w:pPr>
              <w:spacing w:after="0"/>
              <w:rPr>
                <w:sz w:val="23"/>
                <w:szCs w:val="23"/>
                <w:color w:val="auto"/>
              </w:rPr>
            </w:pPr>
          </w:p>
        </w:tc>
        <w:tc>
          <w:tcPr>
            <w:tcW w:w="620" w:type="dxa"/>
            <w:vAlign w:val="bottom"/>
            <w:tcBorders>
              <w:bottom w:val="single" w:sz="8" w:color="CCEEFF"/>
            </w:tcBorders>
          </w:tcPr>
          <w:p>
            <w:pPr>
              <w:spacing w:after="0"/>
              <w:rPr>
                <w:sz w:val="23"/>
                <w:szCs w:val="23"/>
                <w:color w:val="auto"/>
              </w:rPr>
            </w:pPr>
          </w:p>
        </w:tc>
      </w:tr>
      <w:tr>
        <w:trPr>
          <w:trHeight w:val="257"/>
        </w:trPr>
        <w:tc>
          <w:tcPr>
            <w:tcW w:w="4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Adjusted Net Income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107,969</w:t>
            </w:r>
          </w:p>
        </w:tc>
        <w:tc>
          <w:tcPr>
            <w:tcW w:w="1240" w:type="dxa"/>
            <w:vAlign w:val="bottom"/>
            <w:gridSpan w:val="3"/>
            <w:shd w:val="clear" w:color="auto" w:fill="CCEEFF"/>
          </w:tcPr>
          <w:p>
            <w:pPr>
              <w:jc w:val="right"/>
              <w:ind w:right="39"/>
              <w:spacing w:after="0"/>
              <w:rPr>
                <w:sz w:val="20"/>
                <w:szCs w:val="20"/>
                <w:color w:val="auto"/>
              </w:rPr>
            </w:pPr>
            <w:r>
              <w:rPr>
                <w:rFonts w:ascii="Arial" w:cs="Arial" w:eastAsia="Arial" w:hAnsi="Arial"/>
                <w:sz w:val="18"/>
                <w:szCs w:val="18"/>
                <w:color w:val="auto"/>
              </w:rPr>
              <w:t>93,153</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1.16</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87,035</w:t>
            </w:r>
          </w:p>
        </w:tc>
        <w:tc>
          <w:tcPr>
            <w:tcW w:w="1200" w:type="dxa"/>
            <w:vAlign w:val="bottom"/>
            <w:gridSpan w:val="3"/>
            <w:shd w:val="clear" w:color="auto" w:fill="CCEEFF"/>
          </w:tcPr>
          <w:p>
            <w:pPr>
              <w:jc w:val="right"/>
              <w:ind w:right="39"/>
              <w:spacing w:after="0"/>
              <w:rPr>
                <w:sz w:val="20"/>
                <w:szCs w:val="20"/>
                <w:color w:val="auto"/>
              </w:rPr>
            </w:pPr>
            <w:r>
              <w:rPr>
                <w:rFonts w:ascii="Arial" w:cs="Arial" w:eastAsia="Arial" w:hAnsi="Arial"/>
                <w:sz w:val="18"/>
                <w:szCs w:val="18"/>
                <w:color w:val="auto"/>
              </w:rPr>
              <w:t>98,615</w:t>
            </w:r>
          </w:p>
        </w:tc>
        <w:tc>
          <w:tcPr>
            <w:tcW w:w="100" w:type="dxa"/>
            <w:vAlign w:val="bottom"/>
            <w:shd w:val="clear" w:color="auto" w:fill="CCEEFF"/>
          </w:tcPr>
          <w:p>
            <w:pPr>
              <w:spacing w:after="0"/>
              <w:rPr>
                <w:sz w:val="22"/>
                <w:szCs w:val="22"/>
                <w:color w:val="auto"/>
              </w:rPr>
            </w:pPr>
          </w:p>
        </w:tc>
        <w:tc>
          <w:tcPr>
            <w:tcW w:w="52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0.88</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r>
    </w:tbl>
    <w:p>
      <w:pPr>
        <w:spacing w:after="0" w:line="94" w:lineRule="exact"/>
        <w:rPr>
          <w:sz w:val="20"/>
          <w:szCs w:val="20"/>
          <w:color w:val="auto"/>
        </w:rPr>
      </w:pPr>
    </w:p>
    <w:p>
      <w:pPr>
        <w:ind w:left="580" w:hanging="315"/>
        <w:spacing w:after="0"/>
        <w:tabs>
          <w:tab w:leader="none" w:pos="5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Represents net income attributable to Planet Fitness, Inc. and the associated weighted average shares, diluted of Class A common stock outstanding.</w:t>
      </w:r>
    </w:p>
    <w:p>
      <w:pPr>
        <w:spacing w:after="0" w:line="46" w:lineRule="exact"/>
        <w:rPr>
          <w:rFonts w:ascii="Arial" w:cs="Arial" w:eastAsia="Arial" w:hAnsi="Arial"/>
          <w:sz w:val="16"/>
          <w:szCs w:val="16"/>
          <w:color w:val="auto"/>
        </w:rPr>
      </w:pPr>
    </w:p>
    <w:p>
      <w:pPr>
        <w:jc w:val="both"/>
        <w:ind w:left="580" w:hanging="315"/>
        <w:spacing w:after="0" w:line="250" w:lineRule="auto"/>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Arial" w:cs="Arial" w:eastAsia="Arial" w:hAnsi="Arial"/>
          <w:sz w:val="18"/>
          <w:szCs w:val="18"/>
          <w:color w:val="auto"/>
        </w:rPr>
      </w:pPr>
    </w:p>
    <w:p>
      <w:pPr>
        <w:ind w:left="580" w:hanging="315"/>
        <w:spacing w:after="0"/>
        <w:tabs>
          <w:tab w:leader="none" w:pos="5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Represents the total impact of all adjustments identified in the adjusted net income table above to arrive at adjusted income before income taxes.</w:t>
      </w:r>
    </w:p>
    <w:p>
      <w:pPr>
        <w:spacing w:after="0" w:line="32" w:lineRule="exact"/>
        <w:rPr>
          <w:rFonts w:ascii="Arial" w:cs="Arial" w:eastAsia="Arial" w:hAnsi="Arial"/>
          <w:sz w:val="16"/>
          <w:szCs w:val="16"/>
          <w:color w:val="auto"/>
        </w:rPr>
      </w:pPr>
    </w:p>
    <w:p>
      <w:pPr>
        <w:ind w:left="580" w:hanging="315"/>
        <w:spacing w:after="0" w:line="261" w:lineRule="auto"/>
        <w:tabs>
          <w:tab w:leader="none" w:pos="5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Represents corporate income taxes at an assumed effective tax rate of 26.6% and 26.3% for the nine </w:t>
      </w:r>
      <w:r>
        <w:rPr>
          <w:rFonts w:ascii="Arial" w:cs="Arial" w:eastAsia="Arial" w:hAnsi="Arial"/>
          <w:sz w:val="18"/>
          <w:szCs w:val="18"/>
          <w:color w:val="231F20"/>
        </w:rPr>
        <w:t>months ended</w:t>
      </w:r>
      <w:r>
        <w:rPr>
          <w:rFonts w:ascii="Arial" w:cs="Arial" w:eastAsia="Arial" w:hAnsi="Arial"/>
          <w:sz w:val="18"/>
          <w:szCs w:val="18"/>
          <w:color w:val="auto"/>
        </w:rPr>
        <w:t xml:space="preserve"> September 30, 2019 </w:t>
      </w:r>
      <w:r>
        <w:rPr>
          <w:rFonts w:ascii="Arial" w:cs="Arial" w:eastAsia="Arial" w:hAnsi="Arial"/>
          <w:sz w:val="18"/>
          <w:szCs w:val="18"/>
          <w:color w:val="231F20"/>
        </w:rPr>
        <w:t>and</w:t>
      </w:r>
      <w:r>
        <w:rPr>
          <w:rFonts w:ascii="Arial" w:cs="Arial" w:eastAsia="Arial" w:hAnsi="Arial"/>
          <w:sz w:val="18"/>
          <w:szCs w:val="18"/>
          <w:color w:val="auto"/>
        </w:rPr>
        <w:t xml:space="preserve"> 2018, respectively, applied to adjusted income before income taxes.</w:t>
      </w:r>
    </w:p>
    <w:sectPr>
      <w:pgSz w:w="11900" w:h="16838" w:orient="portrait"/>
      <w:cols w:equalWidth="0" w:num="1">
        <w:col w:w="11420"/>
      </w:cols>
      <w:pgMar w:left="240" w:top="1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1)"/>
      <w:numFmt w:val="lowerLetter"/>
      <w:start w:val="4"/>
    </w:lvl>
  </w:abstractNum>
  <w:abstractNum w:abstractNumId="2">
    <w:nsid w:val="79E2A9E3"/>
    <w:multiLevelType w:val="hybridMultilevel"/>
    <w:lvl w:ilvl="0">
      <w:lvlJc w:val="left"/>
      <w:lvlText w:val="(%1)"/>
      <w:numFmt w:val="decimal"/>
    </w:lvl>
    <w:lvl w:ilvl="1">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1)"/>
      <w:numFmt w:val="decimal"/>
      <w:start w:val="1"/>
    </w:lvl>
  </w:abstractNum>
  <w:abstractNum w:abstractNumId="7">
    <w:nsid w:val="4DB127F8"/>
    <w:multiLevelType w:val="hybridMultilevel"/>
    <w:lvl w:ilvl="0">
      <w:lvlJc w:val="left"/>
      <w:lvlText w:val="(%1)"/>
      <w:numFmt w:val="decimal"/>
      <w:start w:val="8"/>
    </w:lvl>
  </w:abstractNum>
  <w:abstractNum w:abstractNumId="8">
    <w:nsid w:val="216231B"/>
    <w:multiLevelType w:val="hybridMultilevel"/>
    <w:lvl w:ilvl="0">
      <w:lvlJc w:val="left"/>
      <w:lvlText w:val="(%1)"/>
      <w:numFmt w:val="decimal"/>
      <w:start w:val="1"/>
    </w:lvl>
  </w:abstractNum>
  <w:abstractNum w:abstractNumId="9">
    <w:nsid w:val="1F16E9E8"/>
    <w:multiLevelType w:val="hybridMultilevel"/>
    <w:lvl w:ilvl="0">
      <w:lvlJc w:val="left"/>
      <w:lvlText w:val="(%1)"/>
      <w:numFmt w:val="decimal"/>
      <w:start w:val="3"/>
    </w:lvl>
  </w:abstractNum>
  <w:abstractNum w:abstractNumId="10">
    <w:nsid w:val="1190CDE7"/>
    <w:multiLevelType w:val="hybridMultilevel"/>
    <w:lvl w:ilvl="0">
      <w:lvlJc w:val="left"/>
      <w:lvlText w:val="(%1)"/>
      <w:numFmt w:val="decimal"/>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2020-01-09T07:43:35Z</dcterms:created>
  <dcterms:modified xsi:type="dcterms:W3CDTF">2020-01-09T07:43:35Z</dcterms:modified>
</cp:coreProperties>
</file>