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us72703h1014_071019.txt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2)</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PLANET FITNESS,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120"/>
        <w:spacing w:after="0"/>
        <w:tabs>
          <w:tab w:leader="none" w:pos="1040" w:val="left"/>
        </w:tabs>
        <w:rPr>
          <w:sz w:val="20"/>
          <w:szCs w:val="20"/>
          <w:color w:val="auto"/>
        </w:rPr>
      </w:pPr>
      <w:r>
        <w:rPr>
          <w:rFonts w:ascii="Courier New" w:cs="Courier New" w:eastAsia="Courier New" w:hAnsi="Courier New"/>
          <w:sz w:val="18"/>
          <w:szCs w:val="18"/>
          <w:color w:val="auto"/>
        </w:rPr>
        <w:t>Class A</w:t>
      </w:r>
      <w:r>
        <w:rPr>
          <w:sz w:val="20"/>
          <w:szCs w:val="20"/>
          <w:color w:val="auto"/>
        </w:rPr>
        <w:tab/>
      </w:r>
      <w:r>
        <w:rPr>
          <w:rFonts w:ascii="Courier New" w:cs="Courier New" w:eastAsia="Courier New" w:hAnsi="Courier New"/>
          <w:sz w:val="16"/>
          <w:szCs w:val="16"/>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72703H101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June 30, 2019</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72703H101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3646070</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4033340</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4033340</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4.8%</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PLANET FITNESS,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26 FOX RUN ROAD</w:t>
      </w:r>
    </w:p>
    <w:p>
      <w:pPr>
        <w:spacing w:after="0" w:line="238" w:lineRule="auto"/>
        <w:rPr>
          <w:sz w:val="20"/>
          <w:szCs w:val="20"/>
          <w:color w:val="auto"/>
        </w:rPr>
      </w:pPr>
      <w:r>
        <w:rPr>
          <w:rFonts w:ascii="Courier New" w:cs="Courier New" w:eastAsia="Courier New" w:hAnsi="Courier New"/>
          <w:sz w:val="18"/>
          <w:szCs w:val="18"/>
          <w:color w:val="auto"/>
        </w:rPr>
        <w:t>NEWINGTON NH 3801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20"/>
        <w:spacing w:after="0"/>
        <w:tabs>
          <w:tab w:leader="none" w:pos="1040" w:val="left"/>
        </w:tabs>
        <w:rPr>
          <w:sz w:val="20"/>
          <w:szCs w:val="20"/>
          <w:color w:val="auto"/>
        </w:rPr>
      </w:pPr>
      <w:r>
        <w:rPr>
          <w:rFonts w:ascii="Courier New" w:cs="Courier New" w:eastAsia="Courier New" w:hAnsi="Courier New"/>
          <w:sz w:val="18"/>
          <w:szCs w:val="18"/>
          <w:color w:val="auto"/>
        </w:rPr>
        <w:t>Class A</w:t>
      </w:r>
      <w:r>
        <w:rPr>
          <w:sz w:val="20"/>
          <w:szCs w:val="20"/>
          <w:color w:val="auto"/>
        </w:rPr>
        <w:tab/>
      </w:r>
      <w:r>
        <w:rPr>
          <w:rFonts w:ascii="Courier New" w:cs="Courier New" w:eastAsia="Courier New" w:hAnsi="Courier New"/>
          <w:sz w:val="16"/>
          <w:szCs w:val="16"/>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359" w:hanging="1272"/>
        <w:spacing w:after="0" w:line="235"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4033340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4.8%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3646070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4033340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X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 N/A ]</w:t>
      </w:r>
    </w:p>
    <w:p>
      <w:pPr>
        <w:spacing w:after="0" w:line="207"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ectPr>
          <w:pgSz w:w="11900" w:h="16838" w:orient="portrait"/>
          <w:cols w:equalWidth="0" w:num="1">
            <w:col w:w="10219"/>
          </w:cols>
          <w:pgMar w:left="240" w:top="142" w:right="1440" w:bottom="0" w:gutter="0" w:footer="0" w:header="0"/>
        </w:sect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If a group has filed this schedule pursuant to Rule 13d-1(b)(ii)(J),</w:t>
      </w:r>
    </w:p>
    <w:p>
      <w:pPr>
        <w:sectPr>
          <w:pgSz w:w="11900" w:h="16838" w:orient="portrait"/>
          <w:cols w:equalWidth="0" w:num="1">
            <w:col w:w="10219"/>
          </w:cols>
          <w:pgMar w:left="240" w:top="142" w:right="1440" w:bottom="0" w:gutter="0" w:footer="0" w:header="0"/>
          <w:type w:val="continuous"/>
        </w:sectPr>
      </w:pPr>
    </w:p>
    <w:bookmarkStart w:id="3" w:name="page4"/>
    <w:bookmarkEnd w:id="3"/>
    <w:p>
      <w:pPr>
        <w:ind w:right="2839"/>
        <w:spacing w:after="0" w:line="275" w:lineRule="auto"/>
        <w:rPr>
          <w:sz w:val="20"/>
          <w:szCs w:val="20"/>
          <w:color w:val="auto"/>
        </w:rPr>
      </w:pPr>
      <w:r>
        <w:rPr>
          <w:rFonts w:ascii="Courier New" w:cs="Courier New" w:eastAsia="Courier New" w:hAnsi="Courier New"/>
          <w:sz w:val="16"/>
          <w:szCs w:val="16"/>
          <w:color w:val="auto"/>
        </w:rPr>
        <w:t>so indicate under Item 3(j) and attach an exhibit stating the identity and Item 3 classification of each member of the group. If a group has filed this schedule pursuant to Rule 13d-1(c) or Rule 13d-1(d), attach an exhibit stating the identity of each member of the group.</w:t>
      </w:r>
    </w:p>
    <w:p>
      <w:pPr>
        <w:spacing w:after="0" w:line="37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July 10, 2019</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120" w:type="dxa"/>
            <w:vAlign w:val="bottom"/>
          </w:tcPr>
          <w:p>
            <w:pPr>
              <w:jc w:val="right"/>
              <w:spacing w:after="0"/>
              <w:rPr>
                <w:sz w:val="20"/>
                <w:szCs w:val="20"/>
                <w:color w:val="auto"/>
              </w:rPr>
            </w:pPr>
            <w:r>
              <w:rPr>
                <w:rFonts w:ascii="Courier New" w:cs="Courier New" w:eastAsia="Courier New" w:hAnsi="Courier New"/>
                <w:sz w:val="18"/>
                <w:szCs w:val="18"/>
                <w:color w:val="auto"/>
                <w:w w:val="96"/>
              </w:rPr>
              <w:t>Subsidiary</w:t>
            </w:r>
          </w:p>
        </w:tc>
        <w:tc>
          <w:tcPr>
            <w:tcW w:w="5200" w:type="dxa"/>
            <w:vAlign w:val="bottom"/>
          </w:tcPr>
          <w:p>
            <w:pPr>
              <w:spacing w:after="0"/>
              <w:rPr>
                <w:sz w:val="17"/>
                <w:szCs w:val="17"/>
                <w:color w:val="auto"/>
              </w:rPr>
            </w:pPr>
          </w:p>
        </w:tc>
      </w:tr>
      <w:tr>
        <w:trPr>
          <w:trHeight w:val="608"/>
        </w:trPr>
        <w:tc>
          <w:tcPr>
            <w:tcW w:w="1120" w:type="dxa"/>
            <w:vAlign w:val="bottom"/>
          </w:tcPr>
          <w:p>
            <w:pPr>
              <w:jc w:val="right"/>
              <w:spacing w:after="0"/>
              <w:rPr>
                <w:sz w:val="20"/>
                <w:szCs w:val="20"/>
                <w:color w:val="auto"/>
              </w:rPr>
            </w:pPr>
            <w:r>
              <w:rPr>
                <w:rFonts w:ascii="Courier New" w:cs="Courier New" w:eastAsia="Courier New" w:hAnsi="Courier New"/>
                <w:sz w:val="18"/>
                <w:szCs w:val="18"/>
                <w:color w:val="auto"/>
              </w:rPr>
              <w:t>BlackRock</w:t>
            </w:r>
          </w:p>
        </w:tc>
        <w:tc>
          <w:tcPr>
            <w:tcW w:w="5200" w:type="dxa"/>
            <w:vAlign w:val="bottom"/>
          </w:tcPr>
          <w:p>
            <w:pPr>
              <w:ind w:left="40"/>
              <w:spacing w:after="0"/>
              <w:rPr>
                <w:sz w:val="20"/>
                <w:szCs w:val="20"/>
                <w:color w:val="auto"/>
              </w:rPr>
            </w:pPr>
            <w:r>
              <w:rPr>
                <w:rFonts w:ascii="Courier New" w:cs="Courier New" w:eastAsia="Courier New" w:hAnsi="Courier New"/>
                <w:sz w:val="18"/>
                <w:szCs w:val="18"/>
                <w:color w:val="auto"/>
              </w:rPr>
              <w:t>Life Limited</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International Limited</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Advisors, LLC</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(Netherlands) B.V.</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7"/>
              </w:rPr>
              <w:t>Institutional Trust Company, National Association</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Asset Management Ireland Limited</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Financial Management, Inc.</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Japan Co., Ltd.</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Asset Management Schweiz AG</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Investment Management, LLC</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Investment Management (UK) Limited</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Asset Management Canada Limited</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(Luxembourg) S.A.</w:t>
            </w:r>
          </w:p>
        </w:tc>
      </w:tr>
    </w:tbl>
    <w:p>
      <w:pPr>
        <w:sectPr>
          <w:pgSz w:w="11900" w:h="16838" w:orient="portrait"/>
          <w:cols w:equalWidth="0" w:num="1">
            <w:col w:w="10219"/>
          </w:cols>
          <w:pgMar w:left="240" w:top="142" w:right="1440" w:bottom="0" w:gutter="0" w:footer="0" w:header="0"/>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(UK) Limited</w:t>
      </w:r>
    </w:p>
    <w:p>
      <w:pPr>
        <w:ind w:left="120"/>
        <w:spacing w:after="0"/>
        <w:rPr>
          <w:sz w:val="20"/>
          <w:szCs w:val="20"/>
          <w:color w:val="auto"/>
        </w:rPr>
      </w:pPr>
      <w:r>
        <w:rPr>
          <w:rFonts w:ascii="Courier New" w:cs="Courier New" w:eastAsia="Courier New" w:hAnsi="Courier New"/>
          <w:sz w:val="18"/>
          <w:szCs w:val="18"/>
          <w:color w:val="auto"/>
        </w:rPr>
        <w:t>BlackRock Fund Advisors</w:t>
      </w:r>
    </w:p>
    <w:p>
      <w:pPr>
        <w:ind w:left="120"/>
        <w:spacing w:after="0" w:line="237" w:lineRule="auto"/>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93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9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61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303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9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2019-12-01T01:57:22Z</dcterms:created>
  <dcterms:modified xsi:type="dcterms:W3CDTF">2019-12-01T01:57:22Z</dcterms:modified>
</cp:coreProperties>
</file>