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32"/>
          <w:szCs w:val="32"/>
          <w:b w:val="1"/>
          <w:bCs w:val="1"/>
          <w:color w:val="auto"/>
        </w:rPr>
        <w:t>UNITED STATES</w:t>
      </w:r>
    </w:p>
    <w:p>
      <w:pPr>
        <w:spacing w:after="0" w:line="46"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SECURITIES AND EXCHANGE COMMISSION</w:t>
      </w:r>
    </w:p>
    <w:p>
      <w:pPr>
        <w:spacing w:after="0" w:line="12"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195"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FORM 10-Q</w:t>
      </w:r>
    </w:p>
    <w:p>
      <w:pPr>
        <w:spacing w:after="0" w:line="294" w:lineRule="exact"/>
        <w:rPr>
          <w:sz w:val="24"/>
          <w:szCs w:val="24"/>
          <w:color w:val="auto"/>
        </w:rPr>
      </w:pPr>
    </w:p>
    <w:p>
      <w:pPr>
        <w:ind w:left="980" w:hanging="945"/>
        <w:spacing w:after="0"/>
        <w:tabs>
          <w:tab w:leader="none" w:pos="980" w:val="left"/>
        </w:tabs>
        <w:numPr>
          <w:ilvl w:val="0"/>
          <w:numId w:val="1"/>
        </w:numPr>
        <w:rPr>
          <w:rFonts w:ascii="MS PGothic" w:cs="MS PGothic" w:eastAsia="MS PGothic" w:hAnsi="MS PGothic"/>
          <w:sz w:val="21"/>
          <w:szCs w:val="21"/>
          <w:color w:val="auto"/>
        </w:rPr>
      </w:pPr>
      <w:r>
        <w:rPr>
          <w:rFonts w:ascii="Arial" w:cs="Arial" w:eastAsia="Arial" w:hAnsi="Arial"/>
          <w:sz w:val="21"/>
          <w:szCs w:val="21"/>
          <w:b w:val="1"/>
          <w:bCs w:val="1"/>
          <w:color w:val="auto"/>
        </w:rPr>
        <w:t>QUARTERLY REPORT PURSUANT TO SECTION 13 OR 15(d) OF THE SECURITIES EXCHANGE ACT</w:t>
      </w:r>
    </w:p>
    <w:p>
      <w:pPr>
        <w:spacing w:after="0" w:line="25" w:lineRule="exact"/>
        <w:rPr>
          <w:rFonts w:ascii="MS PGothic" w:cs="MS PGothic" w:eastAsia="MS PGothic" w:hAnsi="MS PGothic"/>
          <w:sz w:val="21"/>
          <w:szCs w:val="21"/>
          <w:color w:val="auto"/>
        </w:rPr>
      </w:pPr>
    </w:p>
    <w:p>
      <w:pPr>
        <w:ind w:left="5660"/>
        <w:spacing w:after="0"/>
        <w:rPr>
          <w:rFonts w:ascii="MS PGothic" w:cs="MS PGothic" w:eastAsia="MS PGothic" w:hAnsi="MS PGothic"/>
          <w:sz w:val="21"/>
          <w:szCs w:val="21"/>
          <w:color w:val="auto"/>
        </w:rPr>
      </w:pPr>
      <w:r>
        <w:rPr>
          <w:rFonts w:ascii="Arial" w:cs="Arial" w:eastAsia="Arial" w:hAnsi="Arial"/>
          <w:sz w:val="22"/>
          <w:szCs w:val="22"/>
          <w:b w:val="1"/>
          <w:bCs w:val="1"/>
          <w:color w:val="auto"/>
        </w:rPr>
        <w:t>OF 1934</w:t>
      </w:r>
    </w:p>
    <w:p>
      <w:pPr>
        <w:spacing w:after="0" w:line="83"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For the quarterly period ended June 30, 2018</w:t>
      </w:r>
    </w:p>
    <w:p>
      <w:pPr>
        <w:spacing w:after="0" w:line="11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OR</w:t>
      </w:r>
    </w:p>
    <w:p>
      <w:pPr>
        <w:spacing w:after="0" w:line="162" w:lineRule="exact"/>
        <w:rPr>
          <w:sz w:val="24"/>
          <w:szCs w:val="24"/>
          <w:color w:val="auto"/>
        </w:rPr>
      </w:pPr>
    </w:p>
    <w:p>
      <w:pPr>
        <w:ind w:left="980" w:hanging="945"/>
        <w:spacing w:after="0"/>
        <w:tabs>
          <w:tab w:leader="none" w:pos="980" w:val="left"/>
        </w:tabs>
        <w:numPr>
          <w:ilvl w:val="0"/>
          <w:numId w:val="2"/>
        </w:numPr>
        <w:rPr>
          <w:rFonts w:ascii="MS PGothic" w:cs="MS PGothic" w:eastAsia="MS PGothic" w:hAnsi="MS PGothic"/>
          <w:sz w:val="21"/>
          <w:szCs w:val="21"/>
          <w:color w:val="auto"/>
        </w:rPr>
      </w:pPr>
      <w:r>
        <w:rPr>
          <w:rFonts w:ascii="Arial" w:cs="Arial" w:eastAsia="Arial" w:hAnsi="Arial"/>
          <w:sz w:val="21"/>
          <w:szCs w:val="21"/>
          <w:b w:val="1"/>
          <w:bCs w:val="1"/>
          <w:color w:val="auto"/>
        </w:rPr>
        <w:t>TRANSITION REPORT PURSUANT TO SECTION 13 OR 15(d) OF THE SECURITIES EXCHANGE ACT</w:t>
      </w:r>
    </w:p>
    <w:p>
      <w:pPr>
        <w:spacing w:after="0" w:line="25" w:lineRule="exact"/>
        <w:rPr>
          <w:rFonts w:ascii="MS PGothic" w:cs="MS PGothic" w:eastAsia="MS PGothic" w:hAnsi="MS PGothic"/>
          <w:sz w:val="21"/>
          <w:szCs w:val="21"/>
          <w:color w:val="auto"/>
        </w:rPr>
      </w:pPr>
    </w:p>
    <w:p>
      <w:pPr>
        <w:ind w:left="5660"/>
        <w:spacing w:after="0"/>
        <w:rPr>
          <w:rFonts w:ascii="MS PGothic" w:cs="MS PGothic" w:eastAsia="MS PGothic" w:hAnsi="MS PGothic"/>
          <w:sz w:val="21"/>
          <w:szCs w:val="21"/>
          <w:color w:val="auto"/>
        </w:rPr>
      </w:pPr>
      <w:r>
        <w:rPr>
          <w:rFonts w:ascii="Arial" w:cs="Arial" w:eastAsia="Arial" w:hAnsi="Arial"/>
          <w:sz w:val="22"/>
          <w:szCs w:val="22"/>
          <w:b w:val="1"/>
          <w:bCs w:val="1"/>
          <w:color w:val="auto"/>
        </w:rPr>
        <w:t>OF 1934</w:t>
      </w:r>
    </w:p>
    <w:p>
      <w:pPr>
        <w:spacing w:after="0" w:line="83" w:lineRule="exact"/>
        <w:rPr>
          <w:sz w:val="24"/>
          <w:szCs w:val="24"/>
          <w:color w:val="auto"/>
        </w:rPr>
      </w:pPr>
    </w:p>
    <w:p>
      <w:pPr>
        <w:ind w:left="3300"/>
        <w:spacing w:after="0"/>
        <w:rPr>
          <w:sz w:val="20"/>
          <w:szCs w:val="20"/>
          <w:color w:val="auto"/>
        </w:rPr>
      </w:pPr>
      <w:r>
        <w:rPr>
          <w:rFonts w:ascii="Arial" w:cs="Arial" w:eastAsia="Arial" w:hAnsi="Arial"/>
          <w:sz w:val="18"/>
          <w:szCs w:val="18"/>
          <w:b w:val="1"/>
          <w:bCs w:val="1"/>
          <w:color w:val="auto"/>
        </w:rPr>
        <w:t>For the transition period from ___________to ______________</w:t>
      </w:r>
    </w:p>
    <w:p>
      <w:pPr>
        <w:spacing w:after="0" w:line="122"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Commission file number: 001-37534</w:t>
      </w:r>
    </w:p>
    <w:p>
      <w:pPr>
        <w:spacing w:after="0" w:line="219" w:lineRule="exact"/>
        <w:rPr>
          <w:sz w:val="24"/>
          <w:szCs w:val="24"/>
          <w:color w:val="auto"/>
        </w:rPr>
      </w:pPr>
    </w:p>
    <w:p>
      <w:pPr>
        <w:jc w:val="center"/>
        <w:ind w:right="-19"/>
        <w:spacing w:after="0"/>
        <w:rPr>
          <w:sz w:val="20"/>
          <w:szCs w:val="20"/>
          <w:color w:val="auto"/>
        </w:rPr>
      </w:pPr>
      <w:r>
        <w:rPr>
          <w:rFonts w:ascii="Arial" w:cs="Arial" w:eastAsia="Arial" w:hAnsi="Arial"/>
          <w:sz w:val="43"/>
          <w:szCs w:val="43"/>
          <w:b w:val="1"/>
          <w:bCs w:val="1"/>
          <w:color w:val="auto"/>
        </w:rPr>
        <w:t>PLANET FITNESS, INC.</w:t>
      </w:r>
    </w:p>
    <w:p>
      <w:pPr>
        <w:spacing w:after="0" w:line="50"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(Exact Name of Registrant as Specified in Its Charter)</w:t>
      </w:r>
    </w:p>
    <w:p>
      <w:pPr>
        <w:sectPr>
          <w:pgSz w:w="11900" w:h="16838" w:orient="portrait"/>
          <w:cols w:equalWidth="0" w:num="1">
            <w:col w:w="11420"/>
          </w:cols>
          <w:pgMar w:left="240" w:top="287" w:right="239" w:bottom="1440" w:gutter="0" w:footer="0" w:header="0"/>
        </w:sectPr>
      </w:pPr>
    </w:p>
    <w:p>
      <w:pPr>
        <w:spacing w:after="0" w:line="273" w:lineRule="exact"/>
        <w:rPr>
          <w:sz w:val="24"/>
          <w:szCs w:val="24"/>
          <w:color w:val="auto"/>
        </w:rPr>
      </w:pPr>
    </w:p>
    <w:p>
      <w:pPr>
        <w:ind w:left="238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53"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38-3942097</w:t>
      </w:r>
    </w:p>
    <w:p>
      <w:pPr>
        <w:spacing w:after="0" w:line="82" w:lineRule="exact"/>
        <w:rPr>
          <w:sz w:val="24"/>
          <w:szCs w:val="24"/>
          <w:color w:val="auto"/>
        </w:rPr>
      </w:pPr>
    </w:p>
    <w:p>
      <w:pPr>
        <w:sectPr>
          <w:pgSz w:w="11900" w:h="16838" w:orient="portrait"/>
          <w:cols w:equalWidth="0" w:num="2">
            <w:col w:w="7540" w:space="720"/>
            <w:col w:w="3160"/>
          </w:cols>
          <w:pgMar w:left="240" w:top="287" w:right="239" w:bottom="1440" w:gutter="0" w:footer="0" w:header="0"/>
          <w:type w:val="continuous"/>
        </w:sectPr>
      </w:pPr>
    </w:p>
    <w:p>
      <w:pPr>
        <w:ind w:left="1820"/>
        <w:spacing w:after="0"/>
        <w:rPr>
          <w:sz w:val="20"/>
          <w:szCs w:val="20"/>
          <w:color w:val="auto"/>
        </w:rPr>
      </w:pPr>
      <w:r>
        <w:rPr>
          <w:rFonts w:ascii="Arial" w:cs="Arial" w:eastAsia="Arial" w:hAnsi="Arial"/>
          <w:sz w:val="13"/>
          <w:szCs w:val="13"/>
          <w:b w:val="1"/>
          <w:bCs w:val="1"/>
          <w:color w:val="auto"/>
        </w:rPr>
        <w:t>(State or Other Jurisdiction of</w:t>
      </w:r>
    </w:p>
    <w:p>
      <w:pPr>
        <w:spacing w:after="0" w:line="15" w:lineRule="exact"/>
        <w:rPr>
          <w:sz w:val="24"/>
          <w:szCs w:val="24"/>
          <w:color w:val="auto"/>
        </w:rPr>
      </w:pPr>
    </w:p>
    <w:p>
      <w:pPr>
        <w:ind w:left="1780"/>
        <w:spacing w:after="0"/>
        <w:rPr>
          <w:sz w:val="20"/>
          <w:szCs w:val="20"/>
          <w:color w:val="auto"/>
        </w:rPr>
      </w:pPr>
      <w:r>
        <w:rPr>
          <w:rFonts w:ascii="Arial" w:cs="Arial" w:eastAsia="Arial" w:hAnsi="Arial"/>
          <w:sz w:val="13"/>
          <w:szCs w:val="13"/>
          <w:b w:val="1"/>
          <w:bCs w:val="1"/>
          <w:color w:val="auto"/>
        </w:rPr>
        <w:t>Incorporation or Organization)</w:t>
      </w:r>
    </w:p>
    <w:p>
      <w:pPr>
        <w:spacing w:after="0" w:line="20" w:lineRule="exact"/>
        <w:rPr>
          <w:sz w:val="24"/>
          <w:szCs w:val="24"/>
          <w:color w:val="auto"/>
        </w:rPr>
      </w:pPr>
      <w:r>
        <w:rPr>
          <w:sz w:val="24"/>
          <w:szCs w:val="24"/>
          <w:color w:val="auto"/>
        </w:rPr>
        <w:br w:type="column"/>
      </w:r>
    </w:p>
    <w:p>
      <w:pPr>
        <w:ind w:left="40"/>
        <w:spacing w:after="0"/>
        <w:rPr>
          <w:sz w:val="20"/>
          <w:szCs w:val="20"/>
          <w:color w:val="auto"/>
        </w:rPr>
      </w:pPr>
      <w:r>
        <w:rPr>
          <w:rFonts w:ascii="Arial" w:cs="Arial" w:eastAsia="Arial" w:hAnsi="Arial"/>
          <w:sz w:val="14"/>
          <w:szCs w:val="14"/>
          <w:b w:val="1"/>
          <w:bCs w:val="1"/>
          <w:color w:val="auto"/>
        </w:rPr>
        <w:t>(I.R.S. Employer</w:t>
      </w:r>
    </w:p>
    <w:p>
      <w:pPr>
        <w:spacing w:after="0" w:line="4"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Identification No.)</w:t>
      </w:r>
    </w:p>
    <w:p>
      <w:pPr>
        <w:spacing w:after="0" w:line="95" w:lineRule="exact"/>
        <w:rPr>
          <w:sz w:val="24"/>
          <w:szCs w:val="24"/>
          <w:color w:val="auto"/>
        </w:rPr>
      </w:pPr>
    </w:p>
    <w:p>
      <w:pPr>
        <w:sectPr>
          <w:pgSz w:w="11900" w:h="16838" w:orient="portrait"/>
          <w:cols w:equalWidth="0" w:num="2">
            <w:col w:w="7400" w:space="720"/>
            <w:col w:w="3300"/>
          </w:cols>
          <w:pgMar w:left="240" w:top="287" w:right="239" w:bottom="1440" w:gutter="0" w:footer="0" w:header="0"/>
          <w:type w:val="continuous"/>
        </w:sectPr>
      </w:pPr>
    </w:p>
    <w:p>
      <w:pPr>
        <w:ind w:left="4080"/>
        <w:spacing w:after="0"/>
        <w:rPr>
          <w:sz w:val="20"/>
          <w:szCs w:val="20"/>
          <w:color w:val="auto"/>
        </w:rPr>
      </w:pPr>
      <w:r>
        <w:rPr>
          <w:rFonts w:ascii="Arial" w:cs="Arial" w:eastAsia="Arial" w:hAnsi="Arial"/>
          <w:sz w:val="18"/>
          <w:szCs w:val="18"/>
          <w:b w:val="1"/>
          <w:bCs w:val="1"/>
          <w:color w:val="auto"/>
        </w:rPr>
        <w:t>4 Liberty Lane West, Hampton, NH 03842</w:t>
      </w:r>
    </w:p>
    <w:p>
      <w:pPr>
        <w:spacing w:after="0" w:line="90" w:lineRule="exact"/>
        <w:rPr>
          <w:sz w:val="24"/>
          <w:szCs w:val="24"/>
          <w:color w:val="auto"/>
        </w:rPr>
      </w:pPr>
    </w:p>
    <w:p>
      <w:pPr>
        <w:ind w:left="3620"/>
        <w:spacing w:after="0"/>
        <w:rPr>
          <w:sz w:val="20"/>
          <w:szCs w:val="20"/>
          <w:color w:val="auto"/>
        </w:rPr>
      </w:pPr>
      <w:r>
        <w:rPr>
          <w:rFonts w:ascii="Arial" w:cs="Arial" w:eastAsia="Arial" w:hAnsi="Arial"/>
          <w:sz w:val="16"/>
          <w:szCs w:val="16"/>
          <w:b w:val="1"/>
          <w:bCs w:val="1"/>
          <w:color w:val="auto"/>
        </w:rPr>
        <w:t>(Address of Principal Executive Offices and Zip Code)</w:t>
      </w:r>
    </w:p>
    <w:p>
      <w:pPr>
        <w:spacing w:after="0" w:line="113" w:lineRule="exact"/>
        <w:rPr>
          <w:sz w:val="24"/>
          <w:szCs w:val="24"/>
          <w:color w:val="auto"/>
        </w:rPr>
      </w:pPr>
    </w:p>
    <w:p>
      <w:pPr>
        <w:ind w:left="5160"/>
        <w:spacing w:after="0"/>
        <w:rPr>
          <w:sz w:val="20"/>
          <w:szCs w:val="20"/>
          <w:color w:val="auto"/>
        </w:rPr>
      </w:pPr>
      <w:r>
        <w:rPr>
          <w:rFonts w:ascii="Arial" w:cs="Arial" w:eastAsia="Arial" w:hAnsi="Arial"/>
          <w:sz w:val="18"/>
          <w:szCs w:val="18"/>
          <w:b w:val="1"/>
          <w:bCs w:val="1"/>
          <w:color w:val="auto"/>
        </w:rPr>
        <w:t>(603) 750-0001</w:t>
      </w:r>
    </w:p>
    <w:p>
      <w:pPr>
        <w:spacing w:after="0" w:line="90" w:lineRule="exact"/>
        <w:rPr>
          <w:sz w:val="24"/>
          <w:szCs w:val="24"/>
          <w:color w:val="auto"/>
        </w:rPr>
      </w:pPr>
    </w:p>
    <w:p>
      <w:pPr>
        <w:ind w:left="3600"/>
        <w:spacing w:after="0"/>
        <w:rPr>
          <w:sz w:val="20"/>
          <w:szCs w:val="20"/>
          <w:color w:val="auto"/>
        </w:rPr>
      </w:pPr>
      <w:r>
        <w:rPr>
          <w:rFonts w:ascii="Arial" w:cs="Arial" w:eastAsia="Arial" w:hAnsi="Arial"/>
          <w:sz w:val="16"/>
          <w:szCs w:val="16"/>
          <w:b w:val="1"/>
          <w:bCs w:val="1"/>
          <w:color w:val="auto"/>
        </w:rPr>
        <w:t>(Registrant’s Telephone Number, Including Area Code)</w:t>
      </w:r>
    </w:p>
    <w:p>
      <w:pPr>
        <w:spacing w:after="0" w:line="113"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Securities registered pursuant to Section 12(b) of the Act:</w:t>
      </w:r>
    </w:p>
    <w:p>
      <w:pPr>
        <w:sectPr>
          <w:pgSz w:w="11900" w:h="16838" w:orient="portrait"/>
          <w:cols w:equalWidth="0" w:num="1">
            <w:col w:w="11420"/>
          </w:cols>
          <w:pgMar w:left="240" w:top="287" w:right="239" w:bottom="1440" w:gutter="0" w:footer="0" w:header="0"/>
          <w:type w:val="continuous"/>
        </w:sectPr>
      </w:pPr>
    </w:p>
    <w:p>
      <w:pPr>
        <w:spacing w:after="0" w:line="148" w:lineRule="exact"/>
        <w:rPr>
          <w:sz w:val="24"/>
          <w:szCs w:val="24"/>
          <w:color w:val="auto"/>
        </w:rPr>
      </w:pPr>
    </w:p>
    <w:p>
      <w:pPr>
        <w:jc w:val="both"/>
        <w:ind w:firstLine="486"/>
        <w:spacing w:after="0" w:line="227"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49" w:lineRule="exact"/>
        <w:rPr>
          <w:sz w:val="24"/>
          <w:szCs w:val="24"/>
          <w:color w:val="auto"/>
        </w:rPr>
      </w:pPr>
    </w:p>
    <w:p>
      <w:pPr>
        <w:jc w:val="both"/>
        <w:ind w:firstLine="486"/>
        <w:spacing w:after="0" w:line="227" w:lineRule="exact"/>
        <w:rPr>
          <w:sz w:val="20"/>
          <w:szCs w:val="20"/>
          <w:color w:val="auto"/>
        </w:rPr>
      </w:pPr>
      <w:r>
        <w:rPr>
          <w:rFonts w:ascii="Arial" w:cs="Arial" w:eastAsia="Arial" w:hAnsi="Arial"/>
          <w:sz w:val="18"/>
          <w:szCs w:val="18"/>
          <w:color w:val="auto"/>
        </w:rPr>
        <w:t xml:space="preserve">Indicate by check mark whether the registrant has submitted electronically and posted on its corporate Web site, if any, every Interactive Data File required to be submitted and posted pursuant to Rule 405 of Regulation S-T during the preceding 12 months (or for such shorter period that the registrant was required to submit and post such files).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49" w:lineRule="exact"/>
        <w:rPr>
          <w:sz w:val="24"/>
          <w:szCs w:val="24"/>
          <w:color w:val="auto"/>
        </w:rPr>
      </w:pPr>
    </w:p>
    <w:p>
      <w:pPr>
        <w:jc w:val="both"/>
        <w:ind w:right="40" w:firstLine="554"/>
        <w:spacing w:after="0" w:line="264"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smaller reporting company, or an emerging growth company. See the definitions of “large accelerated filer,” “accelerated filer,” “smaller reporting company,” and “emerging growth company” in Rule 12b-2 of the Exchange Act.</w:t>
      </w:r>
    </w:p>
    <w:p>
      <w:pPr>
        <w:spacing w:after="0" w:line="162" w:lineRule="exact"/>
        <w:rPr>
          <w:sz w:val="24"/>
          <w:szCs w:val="24"/>
          <w:color w:val="auto"/>
        </w:rPr>
      </w:pPr>
    </w:p>
    <w:tbl>
      <w:tblPr>
        <w:tblLayout w:type="fixed"/>
        <w:tblInd w:w="40" w:type="dxa"/>
        <w:tblCellMar>
          <w:top w:w="0" w:type="dxa"/>
          <w:left w:w="0" w:type="dxa"/>
          <w:bottom w:w="0" w:type="dxa"/>
          <w:right w:w="0" w:type="dxa"/>
        </w:tblCellMar>
      </w:tblPr>
      <w:tr>
        <w:trPr>
          <w:trHeight w:val="283"/>
        </w:trPr>
        <w:tc>
          <w:tcPr>
            <w:tcW w:w="2400" w:type="dxa"/>
            <w:vAlign w:val="bottom"/>
          </w:tcPr>
          <w:p>
            <w:pPr>
              <w:spacing w:after="0"/>
              <w:rPr>
                <w:sz w:val="20"/>
                <w:szCs w:val="20"/>
                <w:color w:val="auto"/>
              </w:rPr>
            </w:pPr>
            <w:r>
              <w:rPr>
                <w:rFonts w:ascii="Arial" w:cs="Arial" w:eastAsia="Arial" w:hAnsi="Arial"/>
                <w:sz w:val="18"/>
                <w:szCs w:val="18"/>
                <w:color w:val="auto"/>
              </w:rPr>
              <w:t>Large accelerated filer</w:t>
            </w:r>
          </w:p>
        </w:tc>
        <w:tc>
          <w:tcPr>
            <w:tcW w:w="4700" w:type="dxa"/>
            <w:vAlign w:val="bottom"/>
          </w:tcPr>
          <w:p>
            <w:pPr>
              <w:ind w:left="460"/>
              <w:spacing w:after="0" w:line="181" w:lineRule="exact"/>
              <w:rPr>
                <w:sz w:val="20"/>
                <w:szCs w:val="20"/>
                <w:color w:val="auto"/>
              </w:rPr>
            </w:pPr>
            <w:r>
              <w:rPr>
                <w:rFonts w:ascii="MS PGothic" w:cs="MS PGothic" w:eastAsia="MS PGothic" w:hAnsi="MS PGothic"/>
                <w:sz w:val="18"/>
                <w:szCs w:val="18"/>
                <w:color w:val="auto"/>
              </w:rPr>
              <w:t>☒</w:t>
            </w:r>
          </w:p>
        </w:tc>
        <w:tc>
          <w:tcPr>
            <w:tcW w:w="3320" w:type="dxa"/>
            <w:vAlign w:val="bottom"/>
          </w:tcPr>
          <w:p>
            <w:pPr>
              <w:ind w:left="800"/>
              <w:spacing w:after="0"/>
              <w:rPr>
                <w:sz w:val="20"/>
                <w:szCs w:val="20"/>
                <w:color w:val="auto"/>
              </w:rPr>
            </w:pPr>
            <w:r>
              <w:rPr>
                <w:rFonts w:ascii="Arial" w:cs="Arial" w:eastAsia="Arial" w:hAnsi="Arial"/>
                <w:sz w:val="18"/>
                <w:szCs w:val="18"/>
                <w:color w:val="auto"/>
              </w:rPr>
              <w:t>Accelerated filer</w:t>
            </w:r>
          </w:p>
        </w:tc>
        <w:tc>
          <w:tcPr>
            <w:tcW w:w="700" w:type="dxa"/>
            <w:vAlign w:val="bottom"/>
          </w:tcPr>
          <w:p>
            <w:pPr>
              <w:ind w:left="54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540"/>
        </w:trPr>
        <w:tc>
          <w:tcPr>
            <w:tcW w:w="2400" w:type="dxa"/>
            <w:vAlign w:val="bottom"/>
          </w:tcPr>
          <w:p>
            <w:pPr>
              <w:spacing w:after="0"/>
              <w:rPr>
                <w:sz w:val="20"/>
                <w:szCs w:val="20"/>
                <w:color w:val="auto"/>
              </w:rPr>
            </w:pPr>
            <w:r>
              <w:rPr>
                <w:rFonts w:ascii="Arial" w:cs="Arial" w:eastAsia="Arial" w:hAnsi="Arial"/>
                <w:sz w:val="18"/>
                <w:szCs w:val="18"/>
                <w:color w:val="auto"/>
              </w:rPr>
              <w:t>Non-accelerated filer</w:t>
            </w:r>
          </w:p>
        </w:tc>
        <w:tc>
          <w:tcPr>
            <w:tcW w:w="4700" w:type="dxa"/>
            <w:vAlign w:val="bottom"/>
          </w:tcPr>
          <w:p>
            <w:pPr>
              <w:ind w:left="4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(Do not check if a small reporting company)</w:t>
            </w:r>
          </w:p>
        </w:tc>
        <w:tc>
          <w:tcPr>
            <w:tcW w:w="3320" w:type="dxa"/>
            <w:vAlign w:val="bottom"/>
          </w:tcPr>
          <w:p>
            <w:pPr>
              <w:ind w:left="800"/>
              <w:spacing w:after="0"/>
              <w:rPr>
                <w:sz w:val="20"/>
                <w:szCs w:val="20"/>
                <w:color w:val="auto"/>
              </w:rPr>
            </w:pPr>
            <w:r>
              <w:rPr>
                <w:rFonts w:ascii="Arial" w:cs="Arial" w:eastAsia="Arial" w:hAnsi="Arial"/>
                <w:sz w:val="18"/>
                <w:szCs w:val="18"/>
                <w:color w:val="auto"/>
              </w:rPr>
              <w:t>Smaller reporting company</w:t>
            </w:r>
          </w:p>
        </w:tc>
        <w:tc>
          <w:tcPr>
            <w:tcW w:w="700" w:type="dxa"/>
            <w:vAlign w:val="bottom"/>
          </w:tcPr>
          <w:p>
            <w:pPr>
              <w:ind w:left="54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540"/>
        </w:trPr>
        <w:tc>
          <w:tcPr>
            <w:tcW w:w="2400" w:type="dxa"/>
            <w:vAlign w:val="bottom"/>
          </w:tcPr>
          <w:p>
            <w:pPr>
              <w:spacing w:after="0"/>
              <w:rPr>
                <w:sz w:val="20"/>
                <w:szCs w:val="20"/>
                <w:color w:val="auto"/>
              </w:rPr>
            </w:pPr>
            <w:r>
              <w:rPr>
                <w:rFonts w:ascii="Arial" w:cs="Arial" w:eastAsia="Arial" w:hAnsi="Arial"/>
                <w:sz w:val="18"/>
                <w:szCs w:val="18"/>
                <w:color w:val="auto"/>
              </w:rPr>
              <w:t>Emerging growth company</w:t>
            </w:r>
          </w:p>
        </w:tc>
        <w:tc>
          <w:tcPr>
            <w:tcW w:w="4700" w:type="dxa"/>
            <w:vAlign w:val="bottom"/>
          </w:tcPr>
          <w:p>
            <w:pPr>
              <w:ind w:left="460"/>
              <w:spacing w:after="0" w:line="181" w:lineRule="exact"/>
              <w:rPr>
                <w:sz w:val="20"/>
                <w:szCs w:val="20"/>
                <w:color w:val="auto"/>
              </w:rPr>
            </w:pPr>
            <w:r>
              <w:rPr>
                <w:rFonts w:ascii="MS PGothic" w:cs="MS PGothic" w:eastAsia="MS PGothic" w:hAnsi="MS PGothic"/>
                <w:sz w:val="18"/>
                <w:szCs w:val="18"/>
                <w:color w:val="auto"/>
              </w:rPr>
              <w:t>☐</w:t>
            </w:r>
          </w:p>
        </w:tc>
        <w:tc>
          <w:tcPr>
            <w:tcW w:w="3320" w:type="dxa"/>
            <w:vAlign w:val="bottom"/>
          </w:tcPr>
          <w:p>
            <w:pPr>
              <w:spacing w:after="0"/>
              <w:rPr>
                <w:sz w:val="24"/>
                <w:szCs w:val="24"/>
                <w:color w:val="auto"/>
              </w:rPr>
            </w:pPr>
          </w:p>
        </w:tc>
        <w:tc>
          <w:tcPr>
            <w:tcW w:w="700" w:type="dxa"/>
            <w:vAlign w:val="bottom"/>
          </w:tcPr>
          <w:p>
            <w:pPr>
              <w:spacing w:after="0"/>
              <w:rPr>
                <w:sz w:val="24"/>
                <w:szCs w:val="24"/>
                <w:color w:val="auto"/>
              </w:rPr>
            </w:pPr>
          </w:p>
        </w:tc>
      </w:tr>
    </w:tbl>
    <w:p>
      <w:pPr>
        <w:spacing w:after="0" w:line="60" w:lineRule="exact"/>
        <w:rPr>
          <w:sz w:val="24"/>
          <w:szCs w:val="24"/>
          <w:color w:val="auto"/>
        </w:rPr>
      </w:pPr>
    </w:p>
    <w:p>
      <w:pPr>
        <w:ind w:right="200" w:firstLine="486"/>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1" w:lineRule="exact"/>
        <w:rPr>
          <w:sz w:val="24"/>
          <w:szCs w:val="24"/>
          <w:color w:val="auto"/>
        </w:rPr>
      </w:pPr>
    </w:p>
    <w:p>
      <w:pPr>
        <w:ind w:left="500"/>
        <w:spacing w:after="0" w:line="207" w:lineRule="exact"/>
        <w:tabs>
          <w:tab w:leader="none" w:pos="8080" w:val="left"/>
          <w:tab w:leader="none" w:pos="8760" w:val="left"/>
        </w:tabs>
        <w:rPr>
          <w:sz w:val="20"/>
          <w:szCs w:val="20"/>
          <w:color w:val="auto"/>
        </w:rPr>
      </w:pPr>
      <w:r>
        <w:rPr>
          <w:rFonts w:ascii="Arial" w:cs="Arial" w:eastAsia="Arial" w:hAnsi="Arial"/>
          <w:sz w:val="17"/>
          <w:szCs w:val="17"/>
          <w:color w:val="auto"/>
        </w:rPr>
        <w:t>Indicate by check mark whether the registrant is a shell company (as defined in Rule 12b-2 of the Act).</w:t>
      </w:r>
      <w:r>
        <w:rPr>
          <w:sz w:val="20"/>
          <w:szCs w:val="20"/>
          <w:color w:val="auto"/>
        </w:rPr>
        <w:tab/>
      </w:r>
      <w:r>
        <w:rPr>
          <w:rFonts w:ascii="Arial" w:cs="Arial" w:eastAsia="Arial" w:hAnsi="Arial"/>
          <w:sz w:val="18"/>
          <w:szCs w:val="18"/>
          <w:color w:val="auto"/>
        </w:rPr>
        <w:t xml:space="preserve">Yes </w:t>
      </w:r>
      <w:r>
        <w:rPr>
          <w:rFonts w:ascii="MS PGothic" w:cs="MS PGothic" w:eastAsia="MS PGothic" w:hAnsi="MS PGothic"/>
          <w:sz w:val="18"/>
          <w:szCs w:val="18"/>
          <w:color w:val="auto"/>
        </w:rPr>
        <w:t>☐</w:t>
      </w:r>
      <w:r>
        <w:rPr>
          <w:rFonts w:ascii="Arial" w:cs="Arial" w:eastAsia="Arial" w:hAnsi="Arial"/>
          <w:sz w:val="18"/>
          <w:szCs w:val="18"/>
          <w:color w:val="auto"/>
        </w:rPr>
        <w:tab/>
        <w:t xml:space="preserve">No </w:t>
      </w:r>
      <w:r>
        <w:rPr>
          <w:rFonts w:ascii="MS PGothic" w:cs="MS PGothic" w:eastAsia="MS PGothic" w:hAnsi="MS PGothic"/>
          <w:sz w:val="18"/>
          <w:szCs w:val="18"/>
          <w:color w:val="auto"/>
        </w:rPr>
        <w:t>☒</w:t>
      </w:r>
    </w:p>
    <w:p>
      <w:pPr>
        <w:spacing w:after="0" w:line="58" w:lineRule="exact"/>
        <w:rPr>
          <w:sz w:val="24"/>
          <w:szCs w:val="24"/>
          <w:color w:val="auto"/>
        </w:rPr>
      </w:pPr>
    </w:p>
    <w:p>
      <w:pPr>
        <w:ind w:firstLine="486"/>
        <w:spacing w:after="0" w:line="259" w:lineRule="auto"/>
        <w:rPr>
          <w:sz w:val="20"/>
          <w:szCs w:val="20"/>
          <w:color w:val="auto"/>
        </w:rPr>
      </w:pPr>
      <w:r>
        <w:rPr>
          <w:rFonts w:ascii="Arial" w:cs="Arial" w:eastAsia="Arial" w:hAnsi="Arial"/>
          <w:sz w:val="18"/>
          <w:szCs w:val="18"/>
          <w:color w:val="auto"/>
        </w:rPr>
        <w:t>As of August 1, 2018 there were 88,168,785 shares of the Registrant’s Class A Common Stock, par value $0.0001 per share, outstanding and 10,235,804 shares of the Registrant’s Class B Common Stock, par value $0.0001 per share, outstanding.</w:t>
      </w:r>
    </w:p>
    <w:p>
      <w:pPr>
        <w:spacing w:after="0" w:line="213"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420"/>
          </w:cols>
          <w:pgMar w:left="240" w:top="287" w:right="239" w:bottom="1440" w:gutter="0" w:footer="0" w:header="0"/>
          <w:type w:val="continuous"/>
        </w:sectPr>
      </w:pPr>
    </w:p>
    <w:bookmarkStart w:id="1" w:name="page2"/>
    <w:bookmarkEnd w:id="1"/>
    <w:p>
      <w:pPr>
        <w:ind w:left="4680"/>
        <w:spacing w:after="0"/>
        <w:rPr>
          <w:sz w:val="20"/>
          <w:szCs w:val="20"/>
          <w:color w:val="auto"/>
        </w:rPr>
      </w:pPr>
      <w:r>
        <w:rPr>
          <w:rFonts w:ascii="Arial" w:cs="Arial" w:eastAsia="Arial" w:hAnsi="Arial"/>
          <w:sz w:val="18"/>
          <w:szCs w:val="18"/>
          <w:b w:val="1"/>
          <w:bCs w:val="1"/>
          <w:color w:val="auto"/>
        </w:rPr>
        <w:t>PLANET FITNESS, INC.</w:t>
      </w:r>
    </w:p>
    <w:p>
      <w:pPr>
        <w:spacing w:after="0" w:line="27" w:lineRule="exact"/>
        <w:rPr>
          <w:sz w:val="20"/>
          <w:szCs w:val="20"/>
          <w:color w:val="auto"/>
        </w:rPr>
      </w:pPr>
    </w:p>
    <w:p>
      <w:pPr>
        <w:ind w:left="4720"/>
        <w:spacing w:after="0"/>
        <w:rPr>
          <w:sz w:val="20"/>
          <w:szCs w:val="20"/>
          <w:color w:val="auto"/>
        </w:rPr>
      </w:pPr>
      <w:r>
        <w:rPr>
          <w:rFonts w:ascii="Arial" w:cs="Arial" w:eastAsia="Arial" w:hAnsi="Arial"/>
          <w:sz w:val="18"/>
          <w:szCs w:val="18"/>
          <w:b w:val="1"/>
          <w:bCs w:val="1"/>
          <w:color w:val="auto"/>
        </w:rPr>
        <w:t>TABLE OF CONTENTS</w:t>
      </w:r>
    </w:p>
    <w:p>
      <w:pPr>
        <w:spacing w:after="0" w:line="37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120" w:type="dxa"/>
            <w:vAlign w:val="bottom"/>
          </w:tcPr>
          <w:p>
            <w:pPr>
              <w:spacing w:after="0"/>
              <w:rPr>
                <w:sz w:val="20"/>
                <w:szCs w:val="20"/>
                <w:color w:val="auto"/>
              </w:rPr>
            </w:pPr>
          </w:p>
        </w:tc>
        <w:tc>
          <w:tcPr>
            <w:tcW w:w="2740" w:type="dxa"/>
            <w:vAlign w:val="bottom"/>
          </w:tcPr>
          <w:p>
            <w:pPr>
              <w:spacing w:after="0"/>
              <w:rPr>
                <w:sz w:val="20"/>
                <w:szCs w:val="20"/>
                <w:color w:val="auto"/>
              </w:rPr>
            </w:pPr>
          </w:p>
        </w:tc>
        <w:tc>
          <w:tcPr>
            <w:tcW w:w="800" w:type="dxa"/>
            <w:vAlign w:val="bottom"/>
            <w:gridSpan w:val="4"/>
          </w:tcPr>
          <w:p>
            <w:pPr>
              <w:ind w:left="220"/>
              <w:spacing w:after="0"/>
              <w:rPr>
                <w:sz w:val="20"/>
                <w:szCs w:val="20"/>
                <w:color w:val="auto"/>
              </w:rPr>
            </w:pPr>
            <w:r>
              <w:rPr>
                <w:rFonts w:ascii="Arial" w:cs="Arial" w:eastAsia="Arial" w:hAnsi="Arial"/>
                <w:sz w:val="18"/>
                <w:szCs w:val="18"/>
                <w:color w:val="auto"/>
              </w:rPr>
              <w:t>Page</w:t>
            </w:r>
          </w:p>
        </w:tc>
        <w:tc>
          <w:tcPr>
            <w:tcW w:w="0" w:type="dxa"/>
            <w:vAlign w:val="bottom"/>
          </w:tcPr>
          <w:p>
            <w:pPr>
              <w:spacing w:after="0"/>
              <w:rPr>
                <w:sz w:val="1"/>
                <w:szCs w:val="1"/>
                <w:color w:val="auto"/>
              </w:rPr>
            </w:pPr>
          </w:p>
        </w:tc>
      </w:tr>
      <w:tr>
        <w:trPr>
          <w:trHeight w:val="27"/>
        </w:trPr>
        <w:tc>
          <w:tcPr>
            <w:tcW w:w="620" w:type="dxa"/>
            <w:vAlign w:val="bottom"/>
          </w:tcPr>
          <w:p>
            <w:pPr>
              <w:spacing w:after="0"/>
              <w:rPr>
                <w:sz w:val="2"/>
                <w:szCs w:val="2"/>
                <w:color w:val="auto"/>
              </w:rPr>
            </w:pPr>
          </w:p>
        </w:tc>
        <w:tc>
          <w:tcPr>
            <w:tcW w:w="120" w:type="dxa"/>
            <w:vAlign w:val="bottom"/>
          </w:tcPr>
          <w:p>
            <w:pPr>
              <w:spacing w:after="0"/>
              <w:rPr>
                <w:sz w:val="2"/>
                <w:szCs w:val="2"/>
                <w:color w:val="auto"/>
              </w:rPr>
            </w:pPr>
          </w:p>
        </w:tc>
        <w:tc>
          <w:tcPr>
            <w:tcW w:w="640" w:type="dxa"/>
            <w:vAlign w:val="bottom"/>
          </w:tcPr>
          <w:p>
            <w:pPr>
              <w:spacing w:after="0"/>
              <w:rPr>
                <w:sz w:val="2"/>
                <w:szCs w:val="2"/>
                <w:color w:val="auto"/>
              </w:rPr>
            </w:pPr>
          </w:p>
        </w:tc>
        <w:tc>
          <w:tcPr>
            <w:tcW w:w="4340" w:type="dxa"/>
            <w:vAlign w:val="bottom"/>
            <w:gridSpan w:val="11"/>
            <w:vMerge w:val="restart"/>
          </w:tcPr>
          <w:p>
            <w:pPr>
              <w:spacing w:after="0"/>
              <w:rPr>
                <w:rFonts w:ascii="Arial" w:cs="Arial" w:eastAsia="Arial" w:hAnsi="Arial"/>
                <w:sz w:val="18"/>
                <w:szCs w:val="18"/>
                <w:color w:val="0000EE"/>
                <w:w w:val="94"/>
              </w:rPr>
            </w:pPr>
            <w:hyperlink w:anchor="page3">
              <w:r>
                <w:rPr>
                  <w:rFonts w:ascii="Arial" w:cs="Arial" w:eastAsia="Arial" w:hAnsi="Arial"/>
                  <w:sz w:val="18"/>
                  <w:szCs w:val="18"/>
                  <w:color w:val="0000EE"/>
                  <w:w w:val="94"/>
                </w:rPr>
                <w:t>Cautionary Note Regarding Forward-Looking Statements</w:t>
              </w:r>
            </w:hyperlink>
          </w:p>
        </w:tc>
        <w:tc>
          <w:tcPr>
            <w:tcW w:w="4860" w:type="dxa"/>
            <w:vAlign w:val="bottom"/>
            <w:gridSpan w:val="2"/>
            <w:vMerge w:val="restart"/>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0"/>
        </w:trPr>
        <w:tc>
          <w:tcPr>
            <w:tcW w:w="6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4340" w:type="dxa"/>
            <w:vAlign w:val="bottom"/>
            <w:tcBorders>
              <w:bottom w:val="single" w:sz="8" w:color="0000EE"/>
            </w:tcBorders>
            <w:gridSpan w:val="11"/>
            <w:vMerge w:val="continue"/>
          </w:tcPr>
          <w:p>
            <w:pPr>
              <w:spacing w:after="0"/>
              <w:rPr>
                <w:sz w:val="16"/>
                <w:szCs w:val="16"/>
                <w:color w:val="auto"/>
              </w:rPr>
            </w:pPr>
          </w:p>
        </w:tc>
        <w:tc>
          <w:tcPr>
            <w:tcW w:w="4860" w:type="dxa"/>
            <w:vAlign w:val="bottom"/>
            <w:gridSpan w:val="2"/>
            <w:vMerge w:val="continue"/>
          </w:tcPr>
          <w:p>
            <w:pPr>
              <w:spacing w:after="0"/>
              <w:rPr>
                <w:sz w:val="16"/>
                <w:szCs w:val="16"/>
                <w:color w:val="auto"/>
              </w:rPr>
            </w:pPr>
          </w:p>
        </w:tc>
        <w:tc>
          <w:tcPr>
            <w:tcW w:w="680" w:type="dxa"/>
            <w:vAlign w:val="bottom"/>
            <w:gridSpan w:val="2"/>
          </w:tcPr>
          <w:p>
            <w:pPr>
              <w:spacing w:after="0"/>
              <w:rPr>
                <w:sz w:val="16"/>
                <w:szCs w:val="16"/>
                <w:color w:val="auto"/>
              </w:rPr>
            </w:pPr>
          </w:p>
        </w:tc>
        <w:tc>
          <w:tcPr>
            <w:tcW w:w="100" w:type="dxa"/>
            <w:vAlign w:val="bottom"/>
            <w:tcBorders>
              <w:bottom w:val="single" w:sz="8" w:color="0000EE"/>
            </w:tcBorders>
          </w:tcPr>
          <w:p>
            <w:pPr>
              <w:jc w:val="right"/>
              <w:spacing w:after="0" w:line="170" w:lineRule="exact"/>
              <w:rPr>
                <w:rFonts w:ascii="Arial" w:cs="Arial" w:eastAsia="Arial" w:hAnsi="Arial"/>
                <w:sz w:val="18"/>
                <w:szCs w:val="18"/>
                <w:color w:val="0000EE"/>
                <w:w w:val="79"/>
              </w:rPr>
            </w:pPr>
            <w:hyperlink w:anchor="page3">
              <w:r>
                <w:rPr>
                  <w:rFonts w:ascii="Arial" w:cs="Arial" w:eastAsia="Arial" w:hAnsi="Arial"/>
                  <w:sz w:val="18"/>
                  <w:szCs w:val="18"/>
                  <w:color w:val="0000EE"/>
                  <w:w w:val="79"/>
                </w:rPr>
                <w:t>3</w:t>
              </w:r>
            </w:hyperlink>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57"/>
        </w:trPr>
        <w:tc>
          <w:tcPr>
            <w:tcW w:w="6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9200" w:type="dxa"/>
            <w:vAlign w:val="bottom"/>
            <w:gridSpan w:val="13"/>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PART I – FINANCIAL INFORMATION</w:t>
              </w:r>
            </w:hyperlink>
          </w:p>
        </w:tc>
        <w:tc>
          <w:tcPr>
            <w:tcW w:w="800" w:type="dxa"/>
            <w:vAlign w:val="bottom"/>
            <w:gridSpan w:val="4"/>
          </w:tcPr>
          <w:p>
            <w:pPr>
              <w:jc w:val="right"/>
              <w:ind w:right="20"/>
              <w:spacing w:after="0"/>
              <w:rPr>
                <w:rFonts w:ascii="Arial" w:cs="Arial" w:eastAsia="Arial" w:hAnsi="Arial"/>
                <w:sz w:val="18"/>
                <w:szCs w:val="18"/>
                <w:color w:val="0000EE"/>
              </w:rPr>
            </w:pPr>
            <w:hyperlink w:anchor="page4">
              <w:r>
                <w:rPr>
                  <w:rFonts w:ascii="Arial" w:cs="Arial" w:eastAsia="Arial" w:hAnsi="Arial"/>
                  <w:sz w:val="18"/>
                  <w:szCs w:val="18"/>
                  <w:color w:val="0000EE"/>
                </w:rPr>
                <w:t>4</w:t>
              </w:r>
            </w:hyperlink>
          </w:p>
        </w:tc>
        <w:tc>
          <w:tcPr>
            <w:tcW w:w="0" w:type="dxa"/>
            <w:vAlign w:val="bottom"/>
          </w:tcPr>
          <w:p>
            <w:pPr>
              <w:spacing w:after="0"/>
              <w:rPr>
                <w:sz w:val="1"/>
                <w:szCs w:val="1"/>
                <w:color w:val="auto"/>
              </w:rPr>
            </w:pPr>
          </w:p>
        </w:tc>
      </w:tr>
      <w:tr>
        <w:trPr>
          <w:trHeight w:val="250"/>
        </w:trPr>
        <w:tc>
          <w:tcPr>
            <w:tcW w:w="620" w:type="dxa"/>
            <w:vAlign w:val="bottom"/>
            <w:tcBorders>
              <w:bottom w:val="single" w:sz="8" w:color="0000EE"/>
            </w:tcBorders>
          </w:tcPr>
          <w:p>
            <w:pPr>
              <w:spacing w:after="0"/>
              <w:rPr>
                <w:rFonts w:ascii="Arial" w:cs="Arial" w:eastAsia="Arial" w:hAnsi="Arial"/>
                <w:sz w:val="18"/>
                <w:szCs w:val="18"/>
                <w:color w:val="0000EE"/>
                <w:w w:val="95"/>
              </w:rPr>
            </w:pPr>
            <w:hyperlink w:anchor="page4">
              <w:r>
                <w:rPr>
                  <w:rFonts w:ascii="Arial" w:cs="Arial" w:eastAsia="Arial" w:hAnsi="Arial"/>
                  <w:sz w:val="18"/>
                  <w:szCs w:val="18"/>
                  <w:color w:val="0000EE"/>
                  <w:w w:val="95"/>
                </w:rPr>
                <w:t>ITEM 1.</w:t>
              </w:r>
            </w:hyperlink>
          </w:p>
        </w:tc>
        <w:tc>
          <w:tcPr>
            <w:tcW w:w="760" w:type="dxa"/>
            <w:vAlign w:val="bottom"/>
            <w:gridSpan w:val="2"/>
          </w:tcPr>
          <w:p>
            <w:pPr>
              <w:spacing w:after="0"/>
              <w:rPr>
                <w:sz w:val="21"/>
                <w:szCs w:val="21"/>
                <w:color w:val="auto"/>
              </w:rPr>
            </w:pPr>
          </w:p>
        </w:tc>
        <w:tc>
          <w:tcPr>
            <w:tcW w:w="1500" w:type="dxa"/>
            <w:vAlign w:val="bottom"/>
            <w:tcBorders>
              <w:top w:val="single" w:sz="8" w:color="0000EE"/>
              <w:bottom w:val="single" w:sz="8" w:color="0000EE"/>
            </w:tcBorders>
            <w:gridSpan w:val="5"/>
          </w:tcPr>
          <w:p>
            <w:pPr>
              <w:spacing w:after="0"/>
              <w:rPr>
                <w:rFonts w:ascii="Arial" w:cs="Arial" w:eastAsia="Arial" w:hAnsi="Arial"/>
                <w:sz w:val="18"/>
                <w:szCs w:val="18"/>
                <w:color w:val="0000EE"/>
                <w:w w:val="88"/>
              </w:rPr>
            </w:pPr>
            <w:hyperlink w:anchor="page4">
              <w:r>
                <w:rPr>
                  <w:rFonts w:ascii="Arial" w:cs="Arial" w:eastAsia="Arial" w:hAnsi="Arial"/>
                  <w:sz w:val="18"/>
                  <w:szCs w:val="18"/>
                  <w:color w:val="0000EE"/>
                  <w:w w:val="88"/>
                </w:rPr>
                <w:t>Financial Statements</w:t>
              </w:r>
            </w:hyperlink>
          </w:p>
        </w:tc>
        <w:tc>
          <w:tcPr>
            <w:tcW w:w="1460" w:type="dxa"/>
            <w:vAlign w:val="bottom"/>
            <w:tcBorders>
              <w:top w:val="single" w:sz="8" w:color="0000EE"/>
            </w:tcBorders>
            <w:gridSpan w:val="4"/>
          </w:tcPr>
          <w:p>
            <w:pPr>
              <w:spacing w:after="0"/>
              <w:rPr>
                <w:sz w:val="21"/>
                <w:szCs w:val="21"/>
                <w:color w:val="auto"/>
              </w:rPr>
            </w:pPr>
          </w:p>
        </w:tc>
        <w:tc>
          <w:tcPr>
            <w:tcW w:w="6240" w:type="dxa"/>
            <w:vAlign w:val="bottom"/>
            <w:gridSpan w:val="4"/>
          </w:tcPr>
          <w:p>
            <w:pPr>
              <w:spacing w:after="0"/>
              <w:rPr>
                <w:sz w:val="21"/>
                <w:szCs w:val="21"/>
                <w:color w:val="auto"/>
              </w:rPr>
            </w:pPr>
          </w:p>
        </w:tc>
        <w:tc>
          <w:tcPr>
            <w:tcW w:w="680" w:type="dxa"/>
            <w:vAlign w:val="bottom"/>
            <w:gridSpan w:val="2"/>
          </w:tcPr>
          <w:p>
            <w:pPr>
              <w:spacing w:after="0"/>
              <w:rPr>
                <w:sz w:val="21"/>
                <w:szCs w:val="21"/>
                <w:color w:val="auto"/>
              </w:rPr>
            </w:pPr>
          </w:p>
        </w:tc>
        <w:tc>
          <w:tcPr>
            <w:tcW w:w="100" w:type="dxa"/>
            <w:vAlign w:val="bottom"/>
            <w:tcBorders>
              <w:top w:val="single" w:sz="8" w:color="0000EE"/>
              <w:bottom w:val="single" w:sz="8" w:color="0000EE"/>
            </w:tcBorders>
          </w:tcPr>
          <w:p>
            <w:pPr>
              <w:jc w:val="right"/>
              <w:spacing w:after="0"/>
              <w:rPr>
                <w:rFonts w:ascii="Arial" w:cs="Arial" w:eastAsia="Arial" w:hAnsi="Arial"/>
                <w:sz w:val="18"/>
                <w:szCs w:val="18"/>
                <w:color w:val="0000EE"/>
                <w:w w:val="79"/>
              </w:rPr>
            </w:pPr>
            <w:hyperlink w:anchor="page4">
              <w:r>
                <w:rPr>
                  <w:rFonts w:ascii="Arial" w:cs="Arial" w:eastAsia="Arial" w:hAnsi="Arial"/>
                  <w:sz w:val="18"/>
                  <w:szCs w:val="18"/>
                  <w:color w:val="0000EE"/>
                  <w:w w:val="79"/>
                </w:rPr>
                <w:t>4</w:t>
              </w:r>
            </w:hyperlink>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620" w:type="dxa"/>
            <w:vAlign w:val="bottom"/>
          </w:tcPr>
          <w:p>
            <w:pPr>
              <w:spacing w:after="0"/>
              <w:rPr>
                <w:rFonts w:ascii="Arial" w:cs="Arial" w:eastAsia="Arial" w:hAnsi="Arial"/>
                <w:sz w:val="18"/>
                <w:szCs w:val="18"/>
                <w:color w:val="0000EE"/>
                <w:w w:val="95"/>
              </w:rPr>
            </w:pPr>
            <w:hyperlink w:anchor="page30">
              <w:r>
                <w:rPr>
                  <w:rFonts w:ascii="Arial" w:cs="Arial" w:eastAsia="Arial" w:hAnsi="Arial"/>
                  <w:sz w:val="18"/>
                  <w:szCs w:val="18"/>
                  <w:color w:val="0000EE"/>
                  <w:w w:val="95"/>
                </w:rPr>
                <w:t>ITEM 2.</w:t>
              </w:r>
            </w:hyperlink>
          </w:p>
        </w:tc>
        <w:tc>
          <w:tcPr>
            <w:tcW w:w="760" w:type="dxa"/>
            <w:vAlign w:val="bottom"/>
            <w:gridSpan w:val="2"/>
          </w:tcPr>
          <w:p>
            <w:pPr>
              <w:spacing w:after="0"/>
              <w:rPr>
                <w:sz w:val="21"/>
                <w:szCs w:val="21"/>
                <w:color w:val="auto"/>
              </w:rPr>
            </w:pPr>
          </w:p>
        </w:tc>
        <w:tc>
          <w:tcPr>
            <w:tcW w:w="6460" w:type="dxa"/>
            <w:vAlign w:val="bottom"/>
            <w:gridSpan w:val="12"/>
          </w:tcPr>
          <w:p>
            <w:pPr>
              <w:spacing w:after="0"/>
              <w:rPr>
                <w:rFonts w:ascii="Arial" w:cs="Arial" w:eastAsia="Arial" w:hAnsi="Arial"/>
                <w:sz w:val="18"/>
                <w:szCs w:val="18"/>
                <w:color w:val="0000EE"/>
                <w:w w:val="90"/>
              </w:rPr>
            </w:pPr>
            <w:hyperlink w:anchor="page30">
              <w:r>
                <w:rPr>
                  <w:rFonts w:ascii="Arial" w:cs="Arial" w:eastAsia="Arial" w:hAnsi="Arial"/>
                  <w:sz w:val="18"/>
                  <w:szCs w:val="18"/>
                  <w:color w:val="0000EE"/>
                  <w:w w:val="90"/>
                </w:rPr>
                <w:t>Management’s Discussion and Analysis of Financial Condition and Results of Operations</w:t>
              </w:r>
            </w:hyperlink>
          </w:p>
        </w:tc>
        <w:tc>
          <w:tcPr>
            <w:tcW w:w="2740" w:type="dxa"/>
            <w:vAlign w:val="bottom"/>
          </w:tcPr>
          <w:p>
            <w:pPr>
              <w:spacing w:after="0"/>
              <w:rPr>
                <w:sz w:val="21"/>
                <w:szCs w:val="21"/>
                <w:color w:val="auto"/>
              </w:rPr>
            </w:pPr>
          </w:p>
        </w:tc>
        <w:tc>
          <w:tcPr>
            <w:tcW w:w="800" w:type="dxa"/>
            <w:vAlign w:val="bottom"/>
            <w:gridSpan w:val="4"/>
          </w:tcPr>
          <w:p>
            <w:pPr>
              <w:jc w:val="right"/>
              <w:ind w:right="20"/>
              <w:spacing w:after="0"/>
              <w:rPr>
                <w:rFonts w:ascii="Arial" w:cs="Arial" w:eastAsia="Arial" w:hAnsi="Arial"/>
                <w:sz w:val="18"/>
                <w:szCs w:val="18"/>
                <w:color w:val="0000EE"/>
              </w:rPr>
            </w:pPr>
            <w:hyperlink w:anchor="page30">
              <w:r>
                <w:rPr>
                  <w:rFonts w:ascii="Arial" w:cs="Arial" w:eastAsia="Arial" w:hAnsi="Arial"/>
                  <w:sz w:val="18"/>
                  <w:szCs w:val="18"/>
                  <w:color w:val="0000EE"/>
                </w:rPr>
                <w:t>29</w:t>
              </w:r>
            </w:hyperlink>
          </w:p>
        </w:tc>
        <w:tc>
          <w:tcPr>
            <w:tcW w:w="0" w:type="dxa"/>
            <w:vAlign w:val="bottom"/>
          </w:tcPr>
          <w:p>
            <w:pPr>
              <w:spacing w:after="0"/>
              <w:rPr>
                <w:sz w:val="1"/>
                <w:szCs w:val="1"/>
                <w:color w:val="auto"/>
              </w:rPr>
            </w:pPr>
          </w:p>
        </w:tc>
      </w:tr>
      <w:tr>
        <w:trPr>
          <w:trHeight w:val="20"/>
        </w:trPr>
        <w:tc>
          <w:tcPr>
            <w:tcW w:w="62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460" w:type="dxa"/>
            <w:vAlign w:val="bottom"/>
            <w:tcBorders>
              <w:left w:val="single" w:sz="8" w:color="0000EE"/>
            </w:tcBorders>
            <w:gridSpan w:val="2"/>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1680" w:type="dxa"/>
            <w:vAlign w:val="bottom"/>
            <w:gridSpan w:val="3"/>
            <w:shd w:val="clear" w:color="auto" w:fill="0000EE"/>
          </w:tcPr>
          <w:p>
            <w:pPr>
              <w:spacing w:after="0" w:line="20" w:lineRule="exact"/>
              <w:rPr>
                <w:sz w:val="1"/>
                <w:szCs w:val="1"/>
                <w:color w:val="auto"/>
              </w:rPr>
            </w:pPr>
          </w:p>
        </w:tc>
        <w:tc>
          <w:tcPr>
            <w:tcW w:w="2120" w:type="dxa"/>
            <w:vAlign w:val="bottom"/>
            <w:tcBorders>
              <w:left w:val="single" w:sz="8" w:color="0000EE"/>
            </w:tcBorders>
            <w:shd w:val="clear" w:color="auto" w:fill="0000EE"/>
          </w:tcPr>
          <w:p>
            <w:pPr>
              <w:spacing w:after="0" w:line="20" w:lineRule="exact"/>
              <w:rPr>
                <w:sz w:val="1"/>
                <w:szCs w:val="1"/>
                <w:color w:val="auto"/>
              </w:rPr>
            </w:pPr>
          </w:p>
        </w:tc>
        <w:tc>
          <w:tcPr>
            <w:tcW w:w="27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620" w:type="dxa"/>
            <w:vAlign w:val="bottom"/>
          </w:tcPr>
          <w:p>
            <w:pPr>
              <w:spacing w:after="0"/>
              <w:rPr>
                <w:rFonts w:ascii="Arial" w:cs="Arial" w:eastAsia="Arial" w:hAnsi="Arial"/>
                <w:sz w:val="18"/>
                <w:szCs w:val="18"/>
                <w:color w:val="0000EE"/>
                <w:w w:val="95"/>
              </w:rPr>
            </w:pPr>
            <w:hyperlink w:anchor="page47">
              <w:r>
                <w:rPr>
                  <w:rFonts w:ascii="Arial" w:cs="Arial" w:eastAsia="Arial" w:hAnsi="Arial"/>
                  <w:sz w:val="18"/>
                  <w:szCs w:val="18"/>
                  <w:color w:val="0000EE"/>
                  <w:w w:val="95"/>
                </w:rPr>
                <w:t>ITEM 3.</w:t>
              </w:r>
            </w:hyperlink>
          </w:p>
        </w:tc>
        <w:tc>
          <w:tcPr>
            <w:tcW w:w="760" w:type="dxa"/>
            <w:vAlign w:val="bottom"/>
            <w:gridSpan w:val="2"/>
          </w:tcPr>
          <w:p>
            <w:pPr>
              <w:spacing w:after="0"/>
              <w:rPr>
                <w:sz w:val="21"/>
                <w:szCs w:val="21"/>
                <w:color w:val="auto"/>
              </w:rPr>
            </w:pPr>
          </w:p>
        </w:tc>
        <w:tc>
          <w:tcPr>
            <w:tcW w:w="4340" w:type="dxa"/>
            <w:vAlign w:val="bottom"/>
            <w:gridSpan w:val="11"/>
          </w:tcPr>
          <w:p>
            <w:pPr>
              <w:spacing w:after="0"/>
              <w:rPr>
                <w:rFonts w:ascii="Arial" w:cs="Arial" w:eastAsia="Arial" w:hAnsi="Arial"/>
                <w:sz w:val="18"/>
                <w:szCs w:val="18"/>
                <w:color w:val="0000EE"/>
                <w:w w:val="91"/>
              </w:rPr>
            </w:pPr>
            <w:hyperlink w:anchor="page47">
              <w:r>
                <w:rPr>
                  <w:rFonts w:ascii="Arial" w:cs="Arial" w:eastAsia="Arial" w:hAnsi="Arial"/>
                  <w:sz w:val="18"/>
                  <w:szCs w:val="18"/>
                  <w:color w:val="0000EE"/>
                  <w:w w:val="91"/>
                </w:rPr>
                <w:t>Quantitative and Qualitative Disclosures About Market Risk</w:t>
              </w:r>
            </w:hyperlink>
          </w:p>
        </w:tc>
        <w:tc>
          <w:tcPr>
            <w:tcW w:w="2120" w:type="dxa"/>
            <w:vAlign w:val="bottom"/>
          </w:tcPr>
          <w:p>
            <w:pPr>
              <w:spacing w:after="0"/>
              <w:rPr>
                <w:sz w:val="21"/>
                <w:szCs w:val="21"/>
                <w:color w:val="auto"/>
              </w:rPr>
            </w:pPr>
          </w:p>
        </w:tc>
        <w:tc>
          <w:tcPr>
            <w:tcW w:w="2740" w:type="dxa"/>
            <w:vAlign w:val="bottom"/>
          </w:tcPr>
          <w:p>
            <w:pPr>
              <w:spacing w:after="0"/>
              <w:rPr>
                <w:sz w:val="21"/>
                <w:szCs w:val="21"/>
                <w:color w:val="auto"/>
              </w:rPr>
            </w:pPr>
          </w:p>
        </w:tc>
        <w:tc>
          <w:tcPr>
            <w:tcW w:w="800" w:type="dxa"/>
            <w:vAlign w:val="bottom"/>
            <w:gridSpan w:val="4"/>
          </w:tcPr>
          <w:p>
            <w:pPr>
              <w:jc w:val="right"/>
              <w:ind w:right="20"/>
              <w:spacing w:after="0"/>
              <w:rPr>
                <w:rFonts w:ascii="Arial" w:cs="Arial" w:eastAsia="Arial" w:hAnsi="Arial"/>
                <w:sz w:val="18"/>
                <w:szCs w:val="18"/>
                <w:color w:val="0000EE"/>
              </w:rPr>
            </w:pPr>
            <w:hyperlink w:anchor="page47">
              <w:r>
                <w:rPr>
                  <w:rFonts w:ascii="Arial" w:cs="Arial" w:eastAsia="Arial" w:hAnsi="Arial"/>
                  <w:sz w:val="18"/>
                  <w:szCs w:val="18"/>
                  <w:color w:val="0000EE"/>
                </w:rPr>
                <w:t>46</w:t>
              </w:r>
            </w:hyperlink>
          </w:p>
        </w:tc>
        <w:tc>
          <w:tcPr>
            <w:tcW w:w="0" w:type="dxa"/>
            <w:vAlign w:val="bottom"/>
          </w:tcPr>
          <w:p>
            <w:pPr>
              <w:spacing w:after="0"/>
              <w:rPr>
                <w:sz w:val="1"/>
                <w:szCs w:val="1"/>
                <w:color w:val="auto"/>
              </w:rPr>
            </w:pPr>
          </w:p>
        </w:tc>
      </w:tr>
      <w:tr>
        <w:trPr>
          <w:trHeight w:val="20"/>
        </w:trPr>
        <w:tc>
          <w:tcPr>
            <w:tcW w:w="62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460" w:type="dxa"/>
            <w:vAlign w:val="bottom"/>
            <w:tcBorders>
              <w:left w:val="single" w:sz="8" w:color="0000EE"/>
            </w:tcBorders>
            <w:gridSpan w:val="2"/>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1680" w:type="dxa"/>
            <w:vAlign w:val="bottom"/>
            <w:gridSpan w:val="3"/>
            <w:shd w:val="clear" w:color="auto" w:fill="0000EE"/>
          </w:tcPr>
          <w:p>
            <w:pPr>
              <w:spacing w:after="0" w:line="20" w:lineRule="exact"/>
              <w:rPr>
                <w:sz w:val="1"/>
                <w:szCs w:val="1"/>
                <w:color w:val="auto"/>
              </w:rPr>
            </w:pPr>
          </w:p>
        </w:tc>
        <w:tc>
          <w:tcPr>
            <w:tcW w:w="4860" w:type="dxa"/>
            <w:vAlign w:val="bottom"/>
            <w:tcBorders>
              <w:left w:val="single" w:sz="8" w:color="0000EE"/>
            </w:tcBorders>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620" w:type="dxa"/>
            <w:vAlign w:val="bottom"/>
          </w:tcPr>
          <w:p>
            <w:pPr>
              <w:spacing w:after="0"/>
              <w:rPr>
                <w:rFonts w:ascii="Arial" w:cs="Arial" w:eastAsia="Arial" w:hAnsi="Arial"/>
                <w:sz w:val="18"/>
                <w:szCs w:val="18"/>
                <w:color w:val="0000EE"/>
                <w:w w:val="95"/>
              </w:rPr>
            </w:pPr>
            <w:hyperlink w:anchor="page48">
              <w:r>
                <w:rPr>
                  <w:rFonts w:ascii="Arial" w:cs="Arial" w:eastAsia="Arial" w:hAnsi="Arial"/>
                  <w:sz w:val="18"/>
                  <w:szCs w:val="18"/>
                  <w:color w:val="0000EE"/>
                  <w:w w:val="95"/>
                </w:rPr>
                <w:t>ITEM 4.</w:t>
              </w:r>
            </w:hyperlink>
          </w:p>
        </w:tc>
        <w:tc>
          <w:tcPr>
            <w:tcW w:w="760" w:type="dxa"/>
            <w:vAlign w:val="bottom"/>
            <w:gridSpan w:val="2"/>
          </w:tcPr>
          <w:p>
            <w:pPr>
              <w:spacing w:after="0"/>
              <w:rPr>
                <w:sz w:val="21"/>
                <w:szCs w:val="21"/>
                <w:color w:val="auto"/>
              </w:rPr>
            </w:pPr>
          </w:p>
        </w:tc>
        <w:tc>
          <w:tcPr>
            <w:tcW w:w="4340" w:type="dxa"/>
            <w:vAlign w:val="bottom"/>
            <w:gridSpan w:val="11"/>
          </w:tcPr>
          <w:p>
            <w:pPr>
              <w:spacing w:after="0"/>
              <w:rPr>
                <w:rFonts w:ascii="Arial" w:cs="Arial" w:eastAsia="Arial" w:hAnsi="Arial"/>
                <w:sz w:val="18"/>
                <w:szCs w:val="18"/>
                <w:color w:val="0000EE"/>
              </w:rPr>
            </w:pPr>
            <w:hyperlink w:anchor="page48">
              <w:r>
                <w:rPr>
                  <w:rFonts w:ascii="Arial" w:cs="Arial" w:eastAsia="Arial" w:hAnsi="Arial"/>
                  <w:sz w:val="18"/>
                  <w:szCs w:val="18"/>
                  <w:color w:val="0000EE"/>
                </w:rPr>
                <w:t>Controls and Procedures</w:t>
              </w:r>
            </w:hyperlink>
          </w:p>
        </w:tc>
        <w:tc>
          <w:tcPr>
            <w:tcW w:w="4860" w:type="dxa"/>
            <w:vAlign w:val="bottom"/>
            <w:gridSpan w:val="2"/>
          </w:tcPr>
          <w:p>
            <w:pPr>
              <w:spacing w:after="0"/>
              <w:rPr>
                <w:sz w:val="21"/>
                <w:szCs w:val="21"/>
                <w:color w:val="auto"/>
              </w:rPr>
            </w:pPr>
          </w:p>
        </w:tc>
        <w:tc>
          <w:tcPr>
            <w:tcW w:w="800" w:type="dxa"/>
            <w:vAlign w:val="bottom"/>
            <w:gridSpan w:val="4"/>
          </w:tcPr>
          <w:p>
            <w:pPr>
              <w:jc w:val="right"/>
              <w:ind w:right="20"/>
              <w:spacing w:after="0"/>
              <w:rPr>
                <w:rFonts w:ascii="Arial" w:cs="Arial" w:eastAsia="Arial" w:hAnsi="Arial"/>
                <w:sz w:val="18"/>
                <w:szCs w:val="18"/>
                <w:color w:val="0000EE"/>
              </w:rPr>
            </w:pPr>
            <w:hyperlink w:anchor="page48">
              <w:r>
                <w:rPr>
                  <w:rFonts w:ascii="Arial" w:cs="Arial" w:eastAsia="Arial" w:hAnsi="Arial"/>
                  <w:sz w:val="18"/>
                  <w:szCs w:val="18"/>
                  <w:color w:val="0000EE"/>
                </w:rPr>
                <w:t>47</w:t>
              </w:r>
            </w:hyperlink>
          </w:p>
        </w:tc>
        <w:tc>
          <w:tcPr>
            <w:tcW w:w="0" w:type="dxa"/>
            <w:vAlign w:val="bottom"/>
          </w:tcPr>
          <w:p>
            <w:pPr>
              <w:spacing w:after="0"/>
              <w:rPr>
                <w:sz w:val="1"/>
                <w:szCs w:val="1"/>
                <w:color w:val="auto"/>
              </w:rPr>
            </w:pPr>
          </w:p>
        </w:tc>
      </w:tr>
      <w:tr>
        <w:trPr>
          <w:trHeight w:val="20"/>
        </w:trPr>
        <w:tc>
          <w:tcPr>
            <w:tcW w:w="62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460" w:type="dxa"/>
            <w:vAlign w:val="bottom"/>
            <w:tcBorders>
              <w:left w:val="single" w:sz="8" w:color="0000EE"/>
            </w:tcBorders>
            <w:gridSpan w:val="2"/>
            <w:shd w:val="clear" w:color="auto" w:fill="0000EE"/>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80" w:type="dxa"/>
            <w:vAlign w:val="bottom"/>
            <w:gridSpan w:val="3"/>
          </w:tcPr>
          <w:p>
            <w:pPr>
              <w:spacing w:after="0" w:line="20" w:lineRule="exact"/>
              <w:rPr>
                <w:sz w:val="1"/>
                <w:szCs w:val="1"/>
                <w:color w:val="auto"/>
              </w:rPr>
            </w:pPr>
          </w:p>
        </w:tc>
        <w:tc>
          <w:tcPr>
            <w:tcW w:w="486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6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2660" w:type="dxa"/>
            <w:vAlign w:val="bottom"/>
            <w:gridSpan w:val="8"/>
          </w:tcPr>
          <w:p>
            <w:pPr>
              <w:spacing w:after="0"/>
              <w:rPr>
                <w:rFonts w:ascii="Arial" w:cs="Arial" w:eastAsia="Arial" w:hAnsi="Arial"/>
                <w:sz w:val="18"/>
                <w:szCs w:val="18"/>
                <w:color w:val="0000EE"/>
                <w:w w:val="95"/>
              </w:rPr>
            </w:pPr>
            <w:hyperlink w:anchor="page49">
              <w:r>
                <w:rPr>
                  <w:rFonts w:ascii="Arial" w:cs="Arial" w:eastAsia="Arial" w:hAnsi="Arial"/>
                  <w:sz w:val="18"/>
                  <w:szCs w:val="18"/>
                  <w:color w:val="0000EE"/>
                  <w:w w:val="95"/>
                </w:rPr>
                <w:t>PART II – OTHER INFORMATION</w:t>
              </w:r>
            </w:hyperlink>
          </w:p>
        </w:tc>
        <w:tc>
          <w:tcPr>
            <w:tcW w:w="6540" w:type="dxa"/>
            <w:vAlign w:val="bottom"/>
            <w:gridSpan w:val="5"/>
          </w:tcPr>
          <w:p>
            <w:pPr>
              <w:spacing w:after="0"/>
              <w:rPr>
                <w:sz w:val="21"/>
                <w:szCs w:val="21"/>
                <w:color w:val="auto"/>
              </w:rPr>
            </w:pPr>
          </w:p>
        </w:tc>
        <w:tc>
          <w:tcPr>
            <w:tcW w:w="800" w:type="dxa"/>
            <w:vAlign w:val="bottom"/>
            <w:gridSpan w:val="4"/>
          </w:tcPr>
          <w:p>
            <w:pPr>
              <w:jc w:val="right"/>
              <w:ind w:right="20"/>
              <w:spacing w:after="0"/>
              <w:rPr>
                <w:rFonts w:ascii="Arial" w:cs="Arial" w:eastAsia="Arial" w:hAnsi="Arial"/>
                <w:sz w:val="18"/>
                <w:szCs w:val="18"/>
                <w:color w:val="0000EE"/>
              </w:rPr>
            </w:pPr>
            <w:hyperlink w:anchor="page49">
              <w:r>
                <w:rPr>
                  <w:rFonts w:ascii="Arial" w:cs="Arial" w:eastAsia="Arial" w:hAnsi="Arial"/>
                  <w:sz w:val="18"/>
                  <w:szCs w:val="18"/>
                  <w:color w:val="0000EE"/>
                </w:rPr>
                <w:t>48</w:t>
              </w:r>
            </w:hyperlink>
          </w:p>
        </w:tc>
        <w:tc>
          <w:tcPr>
            <w:tcW w:w="0" w:type="dxa"/>
            <w:vAlign w:val="bottom"/>
          </w:tcPr>
          <w:p>
            <w:pPr>
              <w:spacing w:after="0"/>
              <w:rPr>
                <w:sz w:val="1"/>
                <w:szCs w:val="1"/>
                <w:color w:val="auto"/>
              </w:rPr>
            </w:pPr>
          </w:p>
        </w:tc>
      </w:tr>
      <w:tr>
        <w:trPr>
          <w:trHeight w:val="20"/>
        </w:trPr>
        <w:tc>
          <w:tcPr>
            <w:tcW w:w="740" w:type="dxa"/>
            <w:vAlign w:val="bottom"/>
            <w:gridSpan w:val="2"/>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1020" w:type="dxa"/>
            <w:vAlign w:val="bottom"/>
            <w:tcBorders>
              <w:left w:val="single" w:sz="8" w:color="0000EE"/>
            </w:tcBorders>
            <w:gridSpan w:val="3"/>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1680" w:type="dxa"/>
            <w:vAlign w:val="bottom"/>
            <w:gridSpan w:val="3"/>
          </w:tcPr>
          <w:p>
            <w:pPr>
              <w:spacing w:after="0" w:line="20" w:lineRule="exact"/>
              <w:rPr>
                <w:sz w:val="1"/>
                <w:szCs w:val="1"/>
                <w:color w:val="auto"/>
              </w:rPr>
            </w:pPr>
          </w:p>
        </w:tc>
        <w:tc>
          <w:tcPr>
            <w:tcW w:w="486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620" w:type="dxa"/>
            <w:vAlign w:val="bottom"/>
          </w:tcPr>
          <w:p>
            <w:pPr>
              <w:spacing w:after="0"/>
              <w:rPr>
                <w:rFonts w:ascii="Arial" w:cs="Arial" w:eastAsia="Arial" w:hAnsi="Arial"/>
                <w:sz w:val="18"/>
                <w:szCs w:val="18"/>
                <w:color w:val="0000EE"/>
                <w:w w:val="95"/>
              </w:rPr>
            </w:pPr>
            <w:hyperlink w:anchor="page49">
              <w:r>
                <w:rPr>
                  <w:rFonts w:ascii="Arial" w:cs="Arial" w:eastAsia="Arial" w:hAnsi="Arial"/>
                  <w:sz w:val="18"/>
                  <w:szCs w:val="18"/>
                  <w:color w:val="0000EE"/>
                  <w:w w:val="95"/>
                </w:rPr>
                <w:t>ITEM 1.</w:t>
              </w:r>
            </w:hyperlink>
          </w:p>
        </w:tc>
        <w:tc>
          <w:tcPr>
            <w:tcW w:w="760" w:type="dxa"/>
            <w:vAlign w:val="bottom"/>
            <w:gridSpan w:val="2"/>
          </w:tcPr>
          <w:p>
            <w:pPr>
              <w:spacing w:after="0"/>
              <w:rPr>
                <w:sz w:val="21"/>
                <w:szCs w:val="21"/>
                <w:color w:val="auto"/>
              </w:rPr>
            </w:pPr>
          </w:p>
        </w:tc>
        <w:tc>
          <w:tcPr>
            <w:tcW w:w="2660" w:type="dxa"/>
            <w:vAlign w:val="bottom"/>
            <w:gridSpan w:val="8"/>
          </w:tcPr>
          <w:p>
            <w:pPr>
              <w:spacing w:after="0"/>
              <w:rPr>
                <w:rFonts w:ascii="Arial" w:cs="Arial" w:eastAsia="Arial" w:hAnsi="Arial"/>
                <w:sz w:val="18"/>
                <w:szCs w:val="18"/>
                <w:color w:val="0000EE"/>
              </w:rPr>
            </w:pPr>
            <w:hyperlink w:anchor="page49">
              <w:r>
                <w:rPr>
                  <w:rFonts w:ascii="Arial" w:cs="Arial" w:eastAsia="Arial" w:hAnsi="Arial"/>
                  <w:sz w:val="18"/>
                  <w:szCs w:val="18"/>
                  <w:color w:val="0000EE"/>
                </w:rPr>
                <w:t>Legal Proceedings</w:t>
              </w:r>
            </w:hyperlink>
          </w:p>
        </w:tc>
        <w:tc>
          <w:tcPr>
            <w:tcW w:w="6540" w:type="dxa"/>
            <w:vAlign w:val="bottom"/>
            <w:gridSpan w:val="5"/>
          </w:tcPr>
          <w:p>
            <w:pPr>
              <w:spacing w:after="0"/>
              <w:rPr>
                <w:sz w:val="21"/>
                <w:szCs w:val="21"/>
                <w:color w:val="auto"/>
              </w:rPr>
            </w:pPr>
          </w:p>
        </w:tc>
        <w:tc>
          <w:tcPr>
            <w:tcW w:w="800" w:type="dxa"/>
            <w:vAlign w:val="bottom"/>
            <w:gridSpan w:val="4"/>
          </w:tcPr>
          <w:p>
            <w:pPr>
              <w:jc w:val="right"/>
              <w:ind w:right="20"/>
              <w:spacing w:after="0"/>
              <w:rPr>
                <w:rFonts w:ascii="Arial" w:cs="Arial" w:eastAsia="Arial" w:hAnsi="Arial"/>
                <w:sz w:val="18"/>
                <w:szCs w:val="18"/>
                <w:color w:val="0000EE"/>
              </w:rPr>
            </w:pPr>
            <w:hyperlink w:anchor="page49">
              <w:r>
                <w:rPr>
                  <w:rFonts w:ascii="Arial" w:cs="Arial" w:eastAsia="Arial" w:hAnsi="Arial"/>
                  <w:sz w:val="18"/>
                  <w:szCs w:val="18"/>
                  <w:color w:val="0000EE"/>
                </w:rPr>
                <w:t>48</w:t>
              </w:r>
            </w:hyperlink>
          </w:p>
        </w:tc>
        <w:tc>
          <w:tcPr>
            <w:tcW w:w="0" w:type="dxa"/>
            <w:vAlign w:val="bottom"/>
          </w:tcPr>
          <w:p>
            <w:pPr>
              <w:spacing w:after="0"/>
              <w:rPr>
                <w:sz w:val="1"/>
                <w:szCs w:val="1"/>
                <w:color w:val="auto"/>
              </w:rPr>
            </w:pPr>
          </w:p>
        </w:tc>
      </w:tr>
      <w:tr>
        <w:trPr>
          <w:trHeight w:val="20"/>
        </w:trPr>
        <w:tc>
          <w:tcPr>
            <w:tcW w:w="62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1020" w:type="dxa"/>
            <w:vAlign w:val="bottom"/>
            <w:tcBorders>
              <w:left w:val="single" w:sz="8" w:color="0000EE"/>
            </w:tcBorders>
            <w:gridSpan w:val="3"/>
          </w:tcPr>
          <w:p>
            <w:pPr>
              <w:spacing w:after="0" w:line="20" w:lineRule="exact"/>
              <w:rPr>
                <w:sz w:val="1"/>
                <w:szCs w:val="1"/>
                <w:color w:val="auto"/>
              </w:rPr>
            </w:pPr>
          </w:p>
        </w:tc>
        <w:tc>
          <w:tcPr>
            <w:tcW w:w="2020" w:type="dxa"/>
            <w:vAlign w:val="bottom"/>
            <w:gridSpan w:val="4"/>
          </w:tcPr>
          <w:p>
            <w:pPr>
              <w:spacing w:after="0" w:line="20" w:lineRule="exact"/>
              <w:rPr>
                <w:sz w:val="1"/>
                <w:szCs w:val="1"/>
                <w:color w:val="auto"/>
              </w:rPr>
            </w:pPr>
          </w:p>
        </w:tc>
        <w:tc>
          <w:tcPr>
            <w:tcW w:w="486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1380" w:type="dxa"/>
            <w:vAlign w:val="bottom"/>
            <w:gridSpan w:val="3"/>
          </w:tcPr>
          <w:p>
            <w:pPr>
              <w:spacing w:after="0"/>
              <w:rPr>
                <w:rFonts w:ascii="Arial" w:cs="Arial" w:eastAsia="Arial" w:hAnsi="Arial"/>
                <w:sz w:val="18"/>
                <w:szCs w:val="18"/>
                <w:color w:val="0000EE"/>
              </w:rPr>
            </w:pPr>
            <w:hyperlink w:anchor="page49">
              <w:r>
                <w:rPr>
                  <w:rFonts w:ascii="Arial" w:cs="Arial" w:eastAsia="Arial" w:hAnsi="Arial"/>
                  <w:sz w:val="18"/>
                  <w:szCs w:val="18"/>
                  <w:color w:val="0000EE"/>
                </w:rPr>
                <w:t>ITEM 1A.</w:t>
              </w:r>
            </w:hyperlink>
          </w:p>
        </w:tc>
        <w:tc>
          <w:tcPr>
            <w:tcW w:w="9200" w:type="dxa"/>
            <w:vAlign w:val="bottom"/>
            <w:gridSpan w:val="13"/>
          </w:tcPr>
          <w:p>
            <w:pPr>
              <w:spacing w:after="0"/>
              <w:rPr>
                <w:rFonts w:ascii="Arial" w:cs="Arial" w:eastAsia="Arial" w:hAnsi="Arial"/>
                <w:sz w:val="18"/>
                <w:szCs w:val="18"/>
                <w:color w:val="0000EE"/>
              </w:rPr>
            </w:pPr>
            <w:hyperlink w:anchor="page49">
              <w:r>
                <w:rPr>
                  <w:rFonts w:ascii="Arial" w:cs="Arial" w:eastAsia="Arial" w:hAnsi="Arial"/>
                  <w:sz w:val="18"/>
                  <w:szCs w:val="18"/>
                  <w:color w:val="0000EE"/>
                </w:rPr>
                <w:t>Risk Factors</w:t>
              </w:r>
            </w:hyperlink>
          </w:p>
        </w:tc>
        <w:tc>
          <w:tcPr>
            <w:tcW w:w="800" w:type="dxa"/>
            <w:vAlign w:val="bottom"/>
            <w:gridSpan w:val="4"/>
          </w:tcPr>
          <w:p>
            <w:pPr>
              <w:jc w:val="right"/>
              <w:ind w:right="20"/>
              <w:spacing w:after="0"/>
              <w:rPr>
                <w:rFonts w:ascii="Arial" w:cs="Arial" w:eastAsia="Arial" w:hAnsi="Arial"/>
                <w:sz w:val="18"/>
                <w:szCs w:val="18"/>
                <w:color w:val="0000EE"/>
              </w:rPr>
            </w:pPr>
            <w:hyperlink w:anchor="page49">
              <w:r>
                <w:rPr>
                  <w:rFonts w:ascii="Arial" w:cs="Arial" w:eastAsia="Arial" w:hAnsi="Arial"/>
                  <w:sz w:val="18"/>
                  <w:szCs w:val="18"/>
                  <w:color w:val="0000EE"/>
                </w:rPr>
                <w:t>48</w:t>
              </w:r>
            </w:hyperlink>
          </w:p>
        </w:tc>
        <w:tc>
          <w:tcPr>
            <w:tcW w:w="0" w:type="dxa"/>
            <w:vAlign w:val="bottom"/>
          </w:tcPr>
          <w:p>
            <w:pPr>
              <w:spacing w:after="0"/>
              <w:rPr>
                <w:sz w:val="1"/>
                <w:szCs w:val="1"/>
                <w:color w:val="auto"/>
              </w:rPr>
            </w:pPr>
          </w:p>
        </w:tc>
      </w:tr>
      <w:tr>
        <w:trPr>
          <w:trHeight w:val="20"/>
        </w:trPr>
        <w:tc>
          <w:tcPr>
            <w:tcW w:w="740" w:type="dxa"/>
            <w:vAlign w:val="bottom"/>
            <w:gridSpan w:val="2"/>
            <w:shd w:val="clear" w:color="auto" w:fill="0000EE"/>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20" w:type="dxa"/>
            <w:vAlign w:val="bottom"/>
            <w:gridSpan w:val="3"/>
          </w:tcPr>
          <w:p>
            <w:pPr>
              <w:spacing w:after="0" w:line="20" w:lineRule="exact"/>
              <w:rPr>
                <w:sz w:val="1"/>
                <w:szCs w:val="1"/>
                <w:color w:val="auto"/>
              </w:rPr>
            </w:pPr>
          </w:p>
        </w:tc>
        <w:tc>
          <w:tcPr>
            <w:tcW w:w="2020" w:type="dxa"/>
            <w:vAlign w:val="bottom"/>
            <w:gridSpan w:val="4"/>
          </w:tcPr>
          <w:p>
            <w:pPr>
              <w:spacing w:after="0" w:line="20" w:lineRule="exact"/>
              <w:rPr>
                <w:sz w:val="1"/>
                <w:szCs w:val="1"/>
                <w:color w:val="auto"/>
              </w:rPr>
            </w:pPr>
          </w:p>
        </w:tc>
        <w:tc>
          <w:tcPr>
            <w:tcW w:w="486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620" w:type="dxa"/>
            <w:vAlign w:val="bottom"/>
          </w:tcPr>
          <w:p>
            <w:pPr>
              <w:spacing w:after="0"/>
              <w:rPr>
                <w:rFonts w:ascii="Arial" w:cs="Arial" w:eastAsia="Arial" w:hAnsi="Arial"/>
                <w:sz w:val="18"/>
                <w:szCs w:val="18"/>
                <w:color w:val="0000EE"/>
                <w:w w:val="95"/>
              </w:rPr>
            </w:pPr>
            <w:hyperlink w:anchor="page50">
              <w:r>
                <w:rPr>
                  <w:rFonts w:ascii="Arial" w:cs="Arial" w:eastAsia="Arial" w:hAnsi="Arial"/>
                  <w:sz w:val="18"/>
                  <w:szCs w:val="18"/>
                  <w:color w:val="0000EE"/>
                  <w:w w:val="95"/>
                </w:rPr>
                <w:t>ITEM 2.</w:t>
              </w:r>
            </w:hyperlink>
          </w:p>
        </w:tc>
        <w:tc>
          <w:tcPr>
            <w:tcW w:w="12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9200" w:type="dxa"/>
            <w:vAlign w:val="bottom"/>
            <w:gridSpan w:val="13"/>
          </w:tcPr>
          <w:p>
            <w:pPr>
              <w:spacing w:after="0"/>
              <w:rPr>
                <w:rFonts w:ascii="Arial" w:cs="Arial" w:eastAsia="Arial" w:hAnsi="Arial"/>
                <w:sz w:val="18"/>
                <w:szCs w:val="18"/>
                <w:color w:val="0000EE"/>
              </w:rPr>
            </w:pPr>
            <w:hyperlink w:anchor="page50">
              <w:r>
                <w:rPr>
                  <w:rFonts w:ascii="Arial" w:cs="Arial" w:eastAsia="Arial" w:hAnsi="Arial"/>
                  <w:sz w:val="18"/>
                  <w:szCs w:val="18"/>
                  <w:color w:val="0000EE"/>
                </w:rPr>
                <w:t>Unregistered Sales of Equity Securities and Use of Proceeds</w:t>
              </w:r>
            </w:hyperlink>
          </w:p>
        </w:tc>
        <w:tc>
          <w:tcPr>
            <w:tcW w:w="800" w:type="dxa"/>
            <w:vAlign w:val="bottom"/>
            <w:gridSpan w:val="4"/>
          </w:tcPr>
          <w:p>
            <w:pPr>
              <w:jc w:val="right"/>
              <w:ind w:right="20"/>
              <w:spacing w:after="0"/>
              <w:rPr>
                <w:rFonts w:ascii="Arial" w:cs="Arial" w:eastAsia="Arial" w:hAnsi="Arial"/>
                <w:sz w:val="18"/>
                <w:szCs w:val="18"/>
                <w:color w:val="0000EE"/>
              </w:rPr>
            </w:pPr>
            <w:hyperlink w:anchor="page50">
              <w:r>
                <w:rPr>
                  <w:rFonts w:ascii="Arial" w:cs="Arial" w:eastAsia="Arial" w:hAnsi="Arial"/>
                  <w:sz w:val="18"/>
                  <w:szCs w:val="18"/>
                  <w:color w:val="0000EE"/>
                </w:rPr>
                <w:t>49</w:t>
              </w:r>
            </w:hyperlink>
          </w:p>
        </w:tc>
        <w:tc>
          <w:tcPr>
            <w:tcW w:w="0" w:type="dxa"/>
            <w:vAlign w:val="bottom"/>
          </w:tcPr>
          <w:p>
            <w:pPr>
              <w:spacing w:after="0"/>
              <w:rPr>
                <w:sz w:val="1"/>
                <w:szCs w:val="1"/>
                <w:color w:val="auto"/>
              </w:rPr>
            </w:pPr>
          </w:p>
        </w:tc>
      </w:tr>
      <w:tr>
        <w:trPr>
          <w:trHeight w:val="20"/>
        </w:trPr>
        <w:tc>
          <w:tcPr>
            <w:tcW w:w="620" w:type="dxa"/>
            <w:vAlign w:val="bottom"/>
            <w:shd w:val="clear" w:color="auto" w:fill="0000EE"/>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540" w:type="dxa"/>
            <w:vAlign w:val="bottom"/>
            <w:gridSpan w:val="2"/>
            <w:shd w:val="clear" w:color="auto" w:fill="0000EE"/>
          </w:tcPr>
          <w:p>
            <w:pPr>
              <w:spacing w:after="0" w:line="20" w:lineRule="exact"/>
              <w:rPr>
                <w:sz w:val="1"/>
                <w:szCs w:val="1"/>
                <w:color w:val="auto"/>
              </w:rPr>
            </w:pPr>
          </w:p>
        </w:tc>
        <w:tc>
          <w:tcPr>
            <w:tcW w:w="1020" w:type="dxa"/>
            <w:vAlign w:val="bottom"/>
            <w:tcBorders>
              <w:left w:val="single" w:sz="8" w:color="0000EE"/>
            </w:tcBorders>
            <w:gridSpan w:val="3"/>
            <w:shd w:val="clear" w:color="auto" w:fill="0000EE"/>
          </w:tcPr>
          <w:p>
            <w:pPr>
              <w:spacing w:after="0" w:line="20" w:lineRule="exact"/>
              <w:rPr>
                <w:sz w:val="1"/>
                <w:szCs w:val="1"/>
                <w:color w:val="auto"/>
              </w:rPr>
            </w:pPr>
          </w:p>
        </w:tc>
        <w:tc>
          <w:tcPr>
            <w:tcW w:w="2020" w:type="dxa"/>
            <w:vAlign w:val="bottom"/>
            <w:gridSpan w:val="4"/>
            <w:shd w:val="clear" w:color="auto" w:fill="0000EE"/>
          </w:tcPr>
          <w:p>
            <w:pPr>
              <w:spacing w:after="0" w:line="20" w:lineRule="exact"/>
              <w:rPr>
                <w:sz w:val="1"/>
                <w:szCs w:val="1"/>
                <w:color w:val="auto"/>
              </w:rPr>
            </w:pPr>
          </w:p>
        </w:tc>
        <w:tc>
          <w:tcPr>
            <w:tcW w:w="486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620" w:type="dxa"/>
            <w:vAlign w:val="bottom"/>
          </w:tcPr>
          <w:p>
            <w:pPr>
              <w:spacing w:after="0"/>
              <w:rPr>
                <w:rFonts w:ascii="Arial" w:cs="Arial" w:eastAsia="Arial" w:hAnsi="Arial"/>
                <w:sz w:val="18"/>
                <w:szCs w:val="18"/>
                <w:color w:val="0000EE"/>
                <w:w w:val="95"/>
              </w:rPr>
            </w:pPr>
            <w:hyperlink w:anchor="page51">
              <w:r>
                <w:rPr>
                  <w:rFonts w:ascii="Arial" w:cs="Arial" w:eastAsia="Arial" w:hAnsi="Arial"/>
                  <w:sz w:val="18"/>
                  <w:szCs w:val="18"/>
                  <w:color w:val="0000EE"/>
                  <w:w w:val="95"/>
                </w:rPr>
                <w:t>ITEM 3.</w:t>
              </w:r>
            </w:hyperlink>
          </w:p>
        </w:tc>
        <w:tc>
          <w:tcPr>
            <w:tcW w:w="760" w:type="dxa"/>
            <w:vAlign w:val="bottom"/>
            <w:gridSpan w:val="2"/>
          </w:tcPr>
          <w:p>
            <w:pPr>
              <w:spacing w:after="0"/>
              <w:rPr>
                <w:sz w:val="21"/>
                <w:szCs w:val="21"/>
                <w:color w:val="auto"/>
              </w:rPr>
            </w:pPr>
          </w:p>
        </w:tc>
        <w:tc>
          <w:tcPr>
            <w:tcW w:w="2320" w:type="dxa"/>
            <w:vAlign w:val="bottom"/>
            <w:gridSpan w:val="7"/>
          </w:tcPr>
          <w:p>
            <w:pPr>
              <w:spacing w:after="0"/>
              <w:rPr>
                <w:rFonts w:ascii="Arial" w:cs="Arial" w:eastAsia="Arial" w:hAnsi="Arial"/>
                <w:sz w:val="18"/>
                <w:szCs w:val="18"/>
                <w:color w:val="0000EE"/>
                <w:w w:val="90"/>
              </w:rPr>
            </w:pPr>
            <w:hyperlink w:anchor="page51">
              <w:r>
                <w:rPr>
                  <w:rFonts w:ascii="Arial" w:cs="Arial" w:eastAsia="Arial" w:hAnsi="Arial"/>
                  <w:sz w:val="18"/>
                  <w:szCs w:val="18"/>
                  <w:color w:val="0000EE"/>
                  <w:w w:val="90"/>
                </w:rPr>
                <w:t>Defaults Upon Senior Securities</w:t>
              </w:r>
            </w:hyperlink>
          </w:p>
        </w:tc>
        <w:tc>
          <w:tcPr>
            <w:tcW w:w="2020" w:type="dxa"/>
            <w:vAlign w:val="bottom"/>
            <w:gridSpan w:val="4"/>
          </w:tcPr>
          <w:p>
            <w:pPr>
              <w:spacing w:after="0"/>
              <w:rPr>
                <w:sz w:val="21"/>
                <w:szCs w:val="21"/>
                <w:color w:val="auto"/>
              </w:rPr>
            </w:pPr>
          </w:p>
        </w:tc>
        <w:tc>
          <w:tcPr>
            <w:tcW w:w="4860" w:type="dxa"/>
            <w:vAlign w:val="bottom"/>
            <w:gridSpan w:val="2"/>
          </w:tcPr>
          <w:p>
            <w:pPr>
              <w:spacing w:after="0"/>
              <w:rPr>
                <w:sz w:val="21"/>
                <w:szCs w:val="21"/>
                <w:color w:val="auto"/>
              </w:rPr>
            </w:pPr>
          </w:p>
        </w:tc>
        <w:tc>
          <w:tcPr>
            <w:tcW w:w="800" w:type="dxa"/>
            <w:vAlign w:val="bottom"/>
            <w:gridSpan w:val="4"/>
          </w:tcPr>
          <w:p>
            <w:pPr>
              <w:jc w:val="right"/>
              <w:ind w:right="20"/>
              <w:spacing w:after="0"/>
              <w:rPr>
                <w:rFonts w:ascii="Arial" w:cs="Arial" w:eastAsia="Arial" w:hAnsi="Arial"/>
                <w:sz w:val="18"/>
                <w:szCs w:val="18"/>
                <w:color w:val="0000EE"/>
              </w:rPr>
            </w:pPr>
            <w:hyperlink w:anchor="page51">
              <w:r>
                <w:rPr>
                  <w:rFonts w:ascii="Arial" w:cs="Arial" w:eastAsia="Arial" w:hAnsi="Arial"/>
                  <w:sz w:val="18"/>
                  <w:szCs w:val="18"/>
                  <w:color w:val="0000EE"/>
                </w:rPr>
                <w:t>50</w:t>
              </w:r>
            </w:hyperlink>
          </w:p>
        </w:tc>
        <w:tc>
          <w:tcPr>
            <w:tcW w:w="0" w:type="dxa"/>
            <w:vAlign w:val="bottom"/>
          </w:tcPr>
          <w:p>
            <w:pPr>
              <w:spacing w:after="0"/>
              <w:rPr>
                <w:sz w:val="1"/>
                <w:szCs w:val="1"/>
                <w:color w:val="auto"/>
              </w:rPr>
            </w:pPr>
          </w:p>
        </w:tc>
      </w:tr>
      <w:tr>
        <w:trPr>
          <w:trHeight w:val="20"/>
        </w:trPr>
        <w:tc>
          <w:tcPr>
            <w:tcW w:w="620" w:type="dxa"/>
            <w:vAlign w:val="bottom"/>
            <w:shd w:val="clear" w:color="auto" w:fill="0000EE"/>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540" w:type="dxa"/>
            <w:vAlign w:val="bottom"/>
            <w:gridSpan w:val="2"/>
            <w:shd w:val="clear" w:color="auto" w:fill="0000EE"/>
          </w:tcPr>
          <w:p>
            <w:pPr>
              <w:spacing w:after="0" w:line="20" w:lineRule="exact"/>
              <w:rPr>
                <w:sz w:val="1"/>
                <w:szCs w:val="1"/>
                <w:color w:val="auto"/>
              </w:rPr>
            </w:pPr>
          </w:p>
        </w:tc>
        <w:tc>
          <w:tcPr>
            <w:tcW w:w="1020" w:type="dxa"/>
            <w:vAlign w:val="bottom"/>
            <w:tcBorders>
              <w:left w:val="single" w:sz="8" w:color="0000EE"/>
            </w:tcBorders>
            <w:gridSpan w:val="3"/>
            <w:shd w:val="clear" w:color="auto" w:fill="0000EE"/>
          </w:tcPr>
          <w:p>
            <w:pPr>
              <w:spacing w:after="0" w:line="20" w:lineRule="exact"/>
              <w:rPr>
                <w:sz w:val="1"/>
                <w:szCs w:val="1"/>
                <w:color w:val="auto"/>
              </w:rPr>
            </w:pPr>
          </w:p>
        </w:tc>
        <w:tc>
          <w:tcPr>
            <w:tcW w:w="6880" w:type="dxa"/>
            <w:vAlign w:val="bottom"/>
            <w:gridSpan w:val="6"/>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620" w:type="dxa"/>
            <w:vAlign w:val="bottom"/>
          </w:tcPr>
          <w:p>
            <w:pPr>
              <w:spacing w:after="0"/>
              <w:rPr>
                <w:rFonts w:ascii="Arial" w:cs="Arial" w:eastAsia="Arial" w:hAnsi="Arial"/>
                <w:sz w:val="18"/>
                <w:szCs w:val="18"/>
                <w:color w:val="0000EE"/>
                <w:w w:val="95"/>
              </w:rPr>
            </w:pPr>
            <w:hyperlink w:anchor="page51">
              <w:r>
                <w:rPr>
                  <w:rFonts w:ascii="Arial" w:cs="Arial" w:eastAsia="Arial" w:hAnsi="Arial"/>
                  <w:sz w:val="18"/>
                  <w:szCs w:val="18"/>
                  <w:color w:val="0000EE"/>
                  <w:w w:val="95"/>
                </w:rPr>
                <w:t>ITEM 4.</w:t>
              </w:r>
            </w:hyperlink>
          </w:p>
        </w:tc>
        <w:tc>
          <w:tcPr>
            <w:tcW w:w="760" w:type="dxa"/>
            <w:vAlign w:val="bottom"/>
            <w:gridSpan w:val="2"/>
          </w:tcPr>
          <w:p>
            <w:pPr>
              <w:spacing w:after="0"/>
              <w:rPr>
                <w:sz w:val="21"/>
                <w:szCs w:val="21"/>
                <w:color w:val="auto"/>
              </w:rPr>
            </w:pPr>
          </w:p>
        </w:tc>
        <w:tc>
          <w:tcPr>
            <w:tcW w:w="2320" w:type="dxa"/>
            <w:vAlign w:val="bottom"/>
            <w:gridSpan w:val="7"/>
          </w:tcPr>
          <w:p>
            <w:pPr>
              <w:spacing w:after="0"/>
              <w:rPr>
                <w:rFonts w:ascii="Arial" w:cs="Arial" w:eastAsia="Arial" w:hAnsi="Arial"/>
                <w:sz w:val="18"/>
                <w:szCs w:val="18"/>
                <w:color w:val="0000EE"/>
              </w:rPr>
            </w:pPr>
            <w:hyperlink w:anchor="page51">
              <w:r>
                <w:rPr>
                  <w:rFonts w:ascii="Arial" w:cs="Arial" w:eastAsia="Arial" w:hAnsi="Arial"/>
                  <w:sz w:val="18"/>
                  <w:szCs w:val="18"/>
                  <w:color w:val="0000EE"/>
                </w:rPr>
                <w:t>Mine Safety Disclosures</w:t>
              </w:r>
            </w:hyperlink>
          </w:p>
        </w:tc>
        <w:tc>
          <w:tcPr>
            <w:tcW w:w="6880" w:type="dxa"/>
            <w:vAlign w:val="bottom"/>
            <w:gridSpan w:val="6"/>
          </w:tcPr>
          <w:p>
            <w:pPr>
              <w:spacing w:after="0"/>
              <w:rPr>
                <w:sz w:val="21"/>
                <w:szCs w:val="21"/>
                <w:color w:val="auto"/>
              </w:rPr>
            </w:pPr>
          </w:p>
        </w:tc>
        <w:tc>
          <w:tcPr>
            <w:tcW w:w="800" w:type="dxa"/>
            <w:vAlign w:val="bottom"/>
            <w:gridSpan w:val="4"/>
          </w:tcPr>
          <w:p>
            <w:pPr>
              <w:jc w:val="right"/>
              <w:ind w:right="20"/>
              <w:spacing w:after="0"/>
              <w:rPr>
                <w:rFonts w:ascii="Arial" w:cs="Arial" w:eastAsia="Arial" w:hAnsi="Arial"/>
                <w:sz w:val="18"/>
                <w:szCs w:val="18"/>
                <w:color w:val="0000EE"/>
              </w:rPr>
            </w:pPr>
            <w:hyperlink w:anchor="page51">
              <w:r>
                <w:rPr>
                  <w:rFonts w:ascii="Arial" w:cs="Arial" w:eastAsia="Arial" w:hAnsi="Arial"/>
                  <w:sz w:val="18"/>
                  <w:szCs w:val="18"/>
                  <w:color w:val="0000EE"/>
                </w:rPr>
                <w:t>50</w:t>
              </w:r>
            </w:hyperlink>
          </w:p>
        </w:tc>
        <w:tc>
          <w:tcPr>
            <w:tcW w:w="0" w:type="dxa"/>
            <w:vAlign w:val="bottom"/>
          </w:tcPr>
          <w:p>
            <w:pPr>
              <w:spacing w:after="0"/>
              <w:rPr>
                <w:sz w:val="1"/>
                <w:szCs w:val="1"/>
                <w:color w:val="auto"/>
              </w:rPr>
            </w:pPr>
          </w:p>
        </w:tc>
      </w:tr>
      <w:tr>
        <w:trPr>
          <w:trHeight w:val="20"/>
        </w:trPr>
        <w:tc>
          <w:tcPr>
            <w:tcW w:w="620" w:type="dxa"/>
            <w:vAlign w:val="bottom"/>
            <w:shd w:val="clear" w:color="auto" w:fill="0000EE"/>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540" w:type="dxa"/>
            <w:vAlign w:val="bottom"/>
            <w:gridSpan w:val="2"/>
            <w:shd w:val="clear" w:color="auto" w:fill="0000EE"/>
          </w:tcPr>
          <w:p>
            <w:pPr>
              <w:spacing w:after="0" w:line="20" w:lineRule="exact"/>
              <w:rPr>
                <w:sz w:val="1"/>
                <w:szCs w:val="1"/>
                <w:color w:val="auto"/>
              </w:rPr>
            </w:pPr>
          </w:p>
        </w:tc>
        <w:tc>
          <w:tcPr>
            <w:tcW w:w="460" w:type="dxa"/>
            <w:vAlign w:val="bottom"/>
            <w:tcBorders>
              <w:left w:val="single" w:sz="8" w:color="0000EE"/>
            </w:tcBorders>
            <w:gridSpan w:val="2"/>
            <w:shd w:val="clear" w:color="auto" w:fill="0000EE"/>
          </w:tcPr>
          <w:p>
            <w:pPr>
              <w:spacing w:after="0" w:line="20" w:lineRule="exact"/>
              <w:rPr>
                <w:sz w:val="1"/>
                <w:szCs w:val="1"/>
                <w:color w:val="auto"/>
              </w:rPr>
            </w:pPr>
          </w:p>
        </w:tc>
        <w:tc>
          <w:tcPr>
            <w:tcW w:w="7440" w:type="dxa"/>
            <w:vAlign w:val="bottom"/>
            <w:gridSpan w:val="7"/>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620" w:type="dxa"/>
            <w:vAlign w:val="bottom"/>
          </w:tcPr>
          <w:p>
            <w:pPr>
              <w:spacing w:after="0"/>
              <w:rPr>
                <w:rFonts w:ascii="Arial" w:cs="Arial" w:eastAsia="Arial" w:hAnsi="Arial"/>
                <w:sz w:val="18"/>
                <w:szCs w:val="18"/>
                <w:color w:val="0000EE"/>
                <w:w w:val="95"/>
              </w:rPr>
            </w:pPr>
            <w:hyperlink w:anchor="page51">
              <w:r>
                <w:rPr>
                  <w:rFonts w:ascii="Arial" w:cs="Arial" w:eastAsia="Arial" w:hAnsi="Arial"/>
                  <w:sz w:val="18"/>
                  <w:szCs w:val="18"/>
                  <w:color w:val="0000EE"/>
                  <w:w w:val="95"/>
                </w:rPr>
                <w:t>ITEM 5.</w:t>
              </w:r>
            </w:hyperlink>
          </w:p>
        </w:tc>
        <w:tc>
          <w:tcPr>
            <w:tcW w:w="760" w:type="dxa"/>
            <w:vAlign w:val="bottom"/>
            <w:gridSpan w:val="2"/>
          </w:tcPr>
          <w:p>
            <w:pPr>
              <w:spacing w:after="0"/>
              <w:rPr>
                <w:sz w:val="21"/>
                <w:szCs w:val="21"/>
                <w:color w:val="auto"/>
              </w:rPr>
            </w:pPr>
          </w:p>
        </w:tc>
        <w:tc>
          <w:tcPr>
            <w:tcW w:w="1760" w:type="dxa"/>
            <w:vAlign w:val="bottom"/>
            <w:gridSpan w:val="6"/>
          </w:tcPr>
          <w:p>
            <w:pPr>
              <w:spacing w:after="0"/>
              <w:rPr>
                <w:rFonts w:ascii="Arial" w:cs="Arial" w:eastAsia="Arial" w:hAnsi="Arial"/>
                <w:sz w:val="18"/>
                <w:szCs w:val="18"/>
                <w:color w:val="0000EE"/>
              </w:rPr>
            </w:pPr>
            <w:hyperlink w:anchor="page51">
              <w:r>
                <w:rPr>
                  <w:rFonts w:ascii="Arial" w:cs="Arial" w:eastAsia="Arial" w:hAnsi="Arial"/>
                  <w:sz w:val="18"/>
                  <w:szCs w:val="18"/>
                  <w:color w:val="0000EE"/>
                </w:rPr>
                <w:t>Other Information</w:t>
              </w:r>
            </w:hyperlink>
          </w:p>
        </w:tc>
        <w:tc>
          <w:tcPr>
            <w:tcW w:w="7440" w:type="dxa"/>
            <w:vAlign w:val="bottom"/>
            <w:gridSpan w:val="7"/>
          </w:tcPr>
          <w:p>
            <w:pPr>
              <w:spacing w:after="0"/>
              <w:rPr>
                <w:sz w:val="21"/>
                <w:szCs w:val="21"/>
                <w:color w:val="auto"/>
              </w:rPr>
            </w:pPr>
          </w:p>
        </w:tc>
        <w:tc>
          <w:tcPr>
            <w:tcW w:w="800" w:type="dxa"/>
            <w:vAlign w:val="bottom"/>
            <w:gridSpan w:val="4"/>
          </w:tcPr>
          <w:p>
            <w:pPr>
              <w:jc w:val="right"/>
              <w:ind w:right="20"/>
              <w:spacing w:after="0"/>
              <w:rPr>
                <w:rFonts w:ascii="Arial" w:cs="Arial" w:eastAsia="Arial" w:hAnsi="Arial"/>
                <w:sz w:val="18"/>
                <w:szCs w:val="18"/>
                <w:color w:val="0000EE"/>
              </w:rPr>
            </w:pPr>
            <w:hyperlink w:anchor="page51">
              <w:r>
                <w:rPr>
                  <w:rFonts w:ascii="Arial" w:cs="Arial" w:eastAsia="Arial" w:hAnsi="Arial"/>
                  <w:sz w:val="18"/>
                  <w:szCs w:val="18"/>
                  <w:color w:val="0000EE"/>
                </w:rPr>
                <w:t>50</w:t>
              </w:r>
            </w:hyperlink>
          </w:p>
        </w:tc>
        <w:tc>
          <w:tcPr>
            <w:tcW w:w="0" w:type="dxa"/>
            <w:vAlign w:val="bottom"/>
          </w:tcPr>
          <w:p>
            <w:pPr>
              <w:spacing w:after="0"/>
              <w:rPr>
                <w:sz w:val="1"/>
                <w:szCs w:val="1"/>
                <w:color w:val="auto"/>
              </w:rPr>
            </w:pPr>
          </w:p>
        </w:tc>
      </w:tr>
      <w:tr>
        <w:trPr>
          <w:trHeight w:val="20"/>
        </w:trPr>
        <w:tc>
          <w:tcPr>
            <w:tcW w:w="620" w:type="dxa"/>
            <w:vAlign w:val="bottom"/>
            <w:shd w:val="clear" w:color="auto" w:fill="0000EE"/>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540" w:type="dxa"/>
            <w:vAlign w:val="bottom"/>
            <w:gridSpan w:val="2"/>
            <w:shd w:val="clear" w:color="auto" w:fill="0000EE"/>
          </w:tcPr>
          <w:p>
            <w:pPr>
              <w:spacing w:after="0" w:line="20" w:lineRule="exact"/>
              <w:rPr>
                <w:sz w:val="1"/>
                <w:szCs w:val="1"/>
                <w:color w:val="auto"/>
              </w:rPr>
            </w:pPr>
          </w:p>
        </w:tc>
        <w:tc>
          <w:tcPr>
            <w:tcW w:w="7900" w:type="dxa"/>
            <w:vAlign w:val="bottom"/>
            <w:gridSpan w:val="9"/>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620" w:type="dxa"/>
            <w:vAlign w:val="bottom"/>
          </w:tcPr>
          <w:p>
            <w:pPr>
              <w:spacing w:after="0"/>
              <w:rPr>
                <w:rFonts w:ascii="Arial" w:cs="Arial" w:eastAsia="Arial" w:hAnsi="Arial"/>
                <w:sz w:val="18"/>
                <w:szCs w:val="18"/>
                <w:color w:val="0000EE"/>
                <w:w w:val="95"/>
              </w:rPr>
            </w:pPr>
            <w:hyperlink w:anchor="page51">
              <w:r>
                <w:rPr>
                  <w:rFonts w:ascii="Arial" w:cs="Arial" w:eastAsia="Arial" w:hAnsi="Arial"/>
                  <w:sz w:val="18"/>
                  <w:szCs w:val="18"/>
                  <w:color w:val="0000EE"/>
                  <w:w w:val="95"/>
                </w:rPr>
                <w:t>ITEM 6.</w:t>
              </w:r>
            </w:hyperlink>
          </w:p>
        </w:tc>
        <w:tc>
          <w:tcPr>
            <w:tcW w:w="760" w:type="dxa"/>
            <w:vAlign w:val="bottom"/>
            <w:gridSpan w:val="2"/>
          </w:tcPr>
          <w:p>
            <w:pPr>
              <w:spacing w:after="0"/>
              <w:rPr>
                <w:sz w:val="21"/>
                <w:szCs w:val="21"/>
                <w:color w:val="auto"/>
              </w:rPr>
            </w:pPr>
          </w:p>
        </w:tc>
        <w:tc>
          <w:tcPr>
            <w:tcW w:w="600" w:type="dxa"/>
            <w:vAlign w:val="bottom"/>
          </w:tcPr>
          <w:p>
            <w:pPr>
              <w:spacing w:after="0"/>
              <w:rPr>
                <w:rFonts w:ascii="Arial" w:cs="Arial" w:eastAsia="Arial" w:hAnsi="Arial"/>
                <w:sz w:val="18"/>
                <w:szCs w:val="18"/>
                <w:color w:val="0000EE"/>
                <w:w w:val="91"/>
              </w:rPr>
            </w:pPr>
            <w:hyperlink w:anchor="page51">
              <w:r>
                <w:rPr>
                  <w:rFonts w:ascii="Arial" w:cs="Arial" w:eastAsia="Arial" w:hAnsi="Arial"/>
                  <w:sz w:val="18"/>
                  <w:szCs w:val="18"/>
                  <w:color w:val="0000EE"/>
                  <w:w w:val="91"/>
                </w:rPr>
                <w:t>Exhibits</w:t>
              </w:r>
            </w:hyperlink>
          </w:p>
        </w:tc>
        <w:tc>
          <w:tcPr>
            <w:tcW w:w="700" w:type="dxa"/>
            <w:vAlign w:val="bottom"/>
            <w:gridSpan w:val="3"/>
          </w:tcPr>
          <w:p>
            <w:pPr>
              <w:spacing w:after="0"/>
              <w:rPr>
                <w:sz w:val="21"/>
                <w:szCs w:val="21"/>
                <w:color w:val="auto"/>
              </w:rPr>
            </w:pPr>
          </w:p>
        </w:tc>
        <w:tc>
          <w:tcPr>
            <w:tcW w:w="7900" w:type="dxa"/>
            <w:vAlign w:val="bottom"/>
            <w:gridSpan w:val="9"/>
          </w:tcPr>
          <w:p>
            <w:pPr>
              <w:spacing w:after="0"/>
              <w:rPr>
                <w:sz w:val="21"/>
                <w:szCs w:val="21"/>
                <w:color w:val="auto"/>
              </w:rPr>
            </w:pPr>
          </w:p>
        </w:tc>
        <w:tc>
          <w:tcPr>
            <w:tcW w:w="800" w:type="dxa"/>
            <w:vAlign w:val="bottom"/>
            <w:gridSpan w:val="4"/>
          </w:tcPr>
          <w:p>
            <w:pPr>
              <w:jc w:val="right"/>
              <w:ind w:right="20"/>
              <w:spacing w:after="0"/>
              <w:rPr>
                <w:rFonts w:ascii="Arial" w:cs="Arial" w:eastAsia="Arial" w:hAnsi="Arial"/>
                <w:sz w:val="18"/>
                <w:szCs w:val="18"/>
                <w:color w:val="0000EE"/>
              </w:rPr>
            </w:pPr>
            <w:hyperlink w:anchor="page51">
              <w:r>
                <w:rPr>
                  <w:rFonts w:ascii="Arial" w:cs="Arial" w:eastAsia="Arial" w:hAnsi="Arial"/>
                  <w:sz w:val="18"/>
                  <w:szCs w:val="18"/>
                  <w:color w:val="0000EE"/>
                </w:rPr>
                <w:t>50</w:t>
              </w:r>
            </w:hyperlink>
          </w:p>
        </w:tc>
        <w:tc>
          <w:tcPr>
            <w:tcW w:w="0" w:type="dxa"/>
            <w:vAlign w:val="bottom"/>
          </w:tcPr>
          <w:p>
            <w:pPr>
              <w:spacing w:after="0"/>
              <w:rPr>
                <w:sz w:val="1"/>
                <w:szCs w:val="1"/>
                <w:color w:val="auto"/>
              </w:rPr>
            </w:pPr>
          </w:p>
        </w:tc>
      </w:tr>
      <w:tr>
        <w:trPr>
          <w:trHeight w:val="20"/>
        </w:trPr>
        <w:tc>
          <w:tcPr>
            <w:tcW w:w="62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440" w:type="dxa"/>
            <w:vAlign w:val="bottom"/>
            <w:gridSpan w:val="11"/>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0"/>
        </w:trPr>
        <w:tc>
          <w:tcPr>
            <w:tcW w:w="6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760" w:type="dxa"/>
            <w:vAlign w:val="bottom"/>
            <w:tcBorders>
              <w:bottom w:val="single" w:sz="8" w:color="0000EE"/>
            </w:tcBorders>
            <w:gridSpan w:val="2"/>
          </w:tcPr>
          <w:p>
            <w:pPr>
              <w:spacing w:after="0"/>
              <w:rPr>
                <w:rFonts w:ascii="Arial" w:cs="Arial" w:eastAsia="Arial" w:hAnsi="Arial"/>
                <w:sz w:val="18"/>
                <w:szCs w:val="18"/>
                <w:color w:val="0000EE"/>
                <w:w w:val="85"/>
              </w:rPr>
            </w:pPr>
            <w:hyperlink w:anchor="page52">
              <w:r>
                <w:rPr>
                  <w:rFonts w:ascii="Arial" w:cs="Arial" w:eastAsia="Arial" w:hAnsi="Arial"/>
                  <w:sz w:val="18"/>
                  <w:szCs w:val="18"/>
                  <w:color w:val="0000EE"/>
                  <w:w w:val="85"/>
                </w:rPr>
                <w:t>Signatures</w:t>
              </w:r>
            </w:hyperlink>
          </w:p>
        </w:tc>
        <w:tc>
          <w:tcPr>
            <w:tcW w:w="8440" w:type="dxa"/>
            <w:vAlign w:val="bottom"/>
            <w:gridSpan w:val="11"/>
          </w:tcPr>
          <w:p>
            <w:pPr>
              <w:spacing w:after="0"/>
              <w:rPr>
                <w:sz w:val="23"/>
                <w:szCs w:val="23"/>
                <w:color w:val="auto"/>
              </w:rPr>
            </w:pPr>
          </w:p>
        </w:tc>
        <w:tc>
          <w:tcPr>
            <w:tcW w:w="800" w:type="dxa"/>
            <w:vAlign w:val="bottom"/>
            <w:gridSpan w:val="4"/>
          </w:tcPr>
          <w:p>
            <w:pPr>
              <w:jc w:val="right"/>
              <w:ind w:right="20"/>
              <w:spacing w:after="0"/>
              <w:rPr>
                <w:rFonts w:ascii="Arial" w:cs="Arial" w:eastAsia="Arial" w:hAnsi="Arial"/>
                <w:sz w:val="18"/>
                <w:szCs w:val="18"/>
                <w:color w:val="0000EE"/>
              </w:rPr>
            </w:pPr>
            <w:hyperlink w:anchor="page52">
              <w:r>
                <w:rPr>
                  <w:rFonts w:ascii="Arial" w:cs="Arial" w:eastAsia="Arial" w:hAnsi="Arial"/>
                  <w:sz w:val="18"/>
                  <w:szCs w:val="18"/>
                  <w:color w:val="0000EE"/>
                </w:rPr>
                <w:t>51</w:t>
              </w:r>
            </w:hyperlink>
          </w:p>
        </w:tc>
        <w:tc>
          <w:tcPr>
            <w:tcW w:w="0" w:type="dxa"/>
            <w:vAlign w:val="bottom"/>
          </w:tcPr>
          <w:p>
            <w:pPr>
              <w:spacing w:after="0"/>
              <w:rPr>
                <w:sz w:val="1"/>
                <w:szCs w:val="1"/>
                <w:color w:val="auto"/>
              </w:rPr>
            </w:pPr>
          </w:p>
        </w:tc>
      </w:tr>
      <w:tr>
        <w:trPr>
          <w:trHeight w:val="500"/>
        </w:trPr>
        <w:tc>
          <w:tcPr>
            <w:tcW w:w="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340" w:type="dxa"/>
            <w:vAlign w:val="bottom"/>
            <w:gridSpan w:val="11"/>
          </w:tcPr>
          <w:p>
            <w:pPr>
              <w:ind w:left="4240"/>
              <w:spacing w:after="0"/>
              <w:rPr>
                <w:sz w:val="20"/>
                <w:szCs w:val="20"/>
                <w:color w:val="auto"/>
              </w:rPr>
            </w:pPr>
            <w:r>
              <w:rPr>
                <w:rFonts w:ascii="Arial" w:cs="Arial" w:eastAsia="Arial" w:hAnsi="Arial"/>
                <w:sz w:val="15"/>
                <w:szCs w:val="15"/>
                <w:color w:val="auto"/>
                <w:w w:val="71"/>
              </w:rPr>
              <w:t>2</w:t>
            </w:r>
          </w:p>
        </w:tc>
        <w:tc>
          <w:tcPr>
            <w:tcW w:w="2120" w:type="dxa"/>
            <w:vAlign w:val="bottom"/>
          </w:tcPr>
          <w:p>
            <w:pPr>
              <w:spacing w:after="0"/>
              <w:rPr>
                <w:sz w:val="24"/>
                <w:szCs w:val="24"/>
                <w:color w:val="auto"/>
              </w:rPr>
            </w:pPr>
          </w:p>
        </w:tc>
        <w:tc>
          <w:tcPr>
            <w:tcW w:w="27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380"/>
          </w:cols>
          <w:pgMar w:left="280" w:top="364" w:right="239" w:bottom="1440" w:gutter="0" w:footer="0" w:header="0"/>
        </w:sectPr>
      </w:pPr>
    </w:p>
    <w:bookmarkStart w:id="2" w:name="page3"/>
    <w:bookmarkEnd w:id="2"/>
    <w:p>
      <w:pPr>
        <w:spacing w:after="0"/>
        <w:rPr>
          <w:sz w:val="20"/>
          <w:szCs w:val="20"/>
          <w:color w:val="auto"/>
        </w:rPr>
      </w:pPr>
      <w:r>
        <w:rPr>
          <w:rFonts w:ascii="Arial" w:cs="Arial" w:eastAsia="Arial" w:hAnsi="Arial"/>
          <w:sz w:val="18"/>
          <w:szCs w:val="18"/>
          <w:b w:val="1"/>
          <w:bCs w:val="1"/>
          <w:color w:val="auto"/>
        </w:rPr>
        <w:t>Cautionary Note Regarding Forward-Looking Statements</w:t>
      </w:r>
    </w:p>
    <w:p>
      <w:pPr>
        <w:spacing w:after="0" w:line="121" w:lineRule="exact"/>
        <w:rPr>
          <w:sz w:val="20"/>
          <w:szCs w:val="20"/>
          <w:color w:val="auto"/>
        </w:rPr>
      </w:pPr>
    </w:p>
    <w:p>
      <w:pPr>
        <w:jc w:val="both"/>
        <w:spacing w:after="0" w:line="267" w:lineRule="auto"/>
        <w:rPr>
          <w:sz w:val="20"/>
          <w:szCs w:val="20"/>
          <w:color w:val="auto"/>
        </w:rPr>
      </w:pPr>
      <w:r>
        <w:rPr>
          <w:rFonts w:ascii="Arial" w:cs="Arial" w:eastAsia="Arial" w:hAnsi="Arial"/>
          <w:sz w:val="17"/>
          <w:szCs w:val="17"/>
          <w:i w:val="1"/>
          <w:iCs w:val="1"/>
          <w:color w:val="auto"/>
        </w:rPr>
        <w:t>This Quarterly Report on Form 10-Q, as well as information included in oral statements or other written statements made or to be made by us, contain statements that constitute “forward-looking statements” within the meaning of the Private Securities Litigation Reform Act of 1995. Forward-looking statements are neither historical facts nor assurances of future performance. Instead, they are based on our current beliefs, expectations and assumptions regarding the future of our business, future plans and strategies, and other future conditions. Forward-looking statements can be identified by words such as “anticipate,” “believe,” “envision,” “estimate,” “expect,” “intend,” “may,” “plan,” “predict,” “project,” “target,” “potential,” “will,” “would,” “could,” “should,” “continue,” “ongoing,” “contemplate” and other similar expressions, although not all forward-looking statements contain these identifying words. Examples of forward-looking statements include, among others, statements we make regarding:</w:t>
      </w:r>
    </w:p>
    <w:p>
      <w:pPr>
        <w:spacing w:after="0" w:line="5" w:lineRule="exact"/>
        <w:rPr>
          <w:sz w:val="20"/>
          <w:szCs w:val="20"/>
          <w:color w:val="auto"/>
        </w:rPr>
      </w:pPr>
    </w:p>
    <w:p>
      <w:pPr>
        <w:ind w:left="580" w:hanging="315"/>
        <w:spacing w:after="0"/>
        <w:tabs>
          <w:tab w:leader="none" w:pos="580" w:val="left"/>
        </w:tabs>
        <w:numPr>
          <w:ilvl w:val="0"/>
          <w:numId w:val="3"/>
        </w:numPr>
        <w:rPr>
          <w:rFonts w:ascii="Arial" w:cs="Arial" w:eastAsia="Arial" w:hAnsi="Arial"/>
          <w:sz w:val="18"/>
          <w:szCs w:val="18"/>
          <w:i w:val="1"/>
          <w:iCs w:val="1"/>
          <w:color w:val="auto"/>
        </w:rPr>
      </w:pPr>
      <w:r>
        <w:rPr>
          <w:rFonts w:ascii="Arial" w:cs="Arial" w:eastAsia="Arial" w:hAnsi="Arial"/>
          <w:sz w:val="18"/>
          <w:szCs w:val="18"/>
          <w:i w:val="1"/>
          <w:iCs w:val="1"/>
          <w:color w:val="auto"/>
        </w:rPr>
        <w:t>future financial position;</w:t>
      </w:r>
    </w:p>
    <w:p>
      <w:pPr>
        <w:spacing w:after="0" w:line="9" w:lineRule="exact"/>
        <w:rPr>
          <w:rFonts w:ascii="Arial" w:cs="Arial" w:eastAsia="Arial" w:hAnsi="Arial"/>
          <w:sz w:val="18"/>
          <w:szCs w:val="18"/>
          <w:i w:val="1"/>
          <w:iCs w:val="1"/>
          <w:color w:val="auto"/>
        </w:rPr>
      </w:pPr>
    </w:p>
    <w:p>
      <w:pPr>
        <w:ind w:left="580" w:hanging="315"/>
        <w:spacing w:after="0"/>
        <w:tabs>
          <w:tab w:leader="none" w:pos="580" w:val="left"/>
        </w:tabs>
        <w:numPr>
          <w:ilvl w:val="0"/>
          <w:numId w:val="3"/>
        </w:numPr>
        <w:rPr>
          <w:rFonts w:ascii="Arial" w:cs="Arial" w:eastAsia="Arial" w:hAnsi="Arial"/>
          <w:sz w:val="18"/>
          <w:szCs w:val="18"/>
          <w:i w:val="1"/>
          <w:iCs w:val="1"/>
          <w:color w:val="auto"/>
        </w:rPr>
      </w:pPr>
      <w:r>
        <w:rPr>
          <w:rFonts w:ascii="Arial" w:cs="Arial" w:eastAsia="Arial" w:hAnsi="Arial"/>
          <w:sz w:val="18"/>
          <w:szCs w:val="18"/>
          <w:i w:val="1"/>
          <w:iCs w:val="1"/>
          <w:color w:val="auto"/>
        </w:rPr>
        <w:t>business strategy;</w:t>
      </w:r>
    </w:p>
    <w:p>
      <w:pPr>
        <w:spacing w:after="0" w:line="9" w:lineRule="exact"/>
        <w:rPr>
          <w:rFonts w:ascii="Arial" w:cs="Arial" w:eastAsia="Arial" w:hAnsi="Arial"/>
          <w:sz w:val="18"/>
          <w:szCs w:val="18"/>
          <w:i w:val="1"/>
          <w:iCs w:val="1"/>
          <w:color w:val="auto"/>
        </w:rPr>
      </w:pPr>
    </w:p>
    <w:p>
      <w:pPr>
        <w:ind w:left="580" w:hanging="315"/>
        <w:spacing w:after="0"/>
        <w:tabs>
          <w:tab w:leader="none" w:pos="580" w:val="left"/>
        </w:tabs>
        <w:numPr>
          <w:ilvl w:val="0"/>
          <w:numId w:val="3"/>
        </w:numPr>
        <w:rPr>
          <w:rFonts w:ascii="Arial" w:cs="Arial" w:eastAsia="Arial" w:hAnsi="Arial"/>
          <w:sz w:val="18"/>
          <w:szCs w:val="18"/>
          <w:i w:val="1"/>
          <w:iCs w:val="1"/>
          <w:color w:val="auto"/>
        </w:rPr>
      </w:pPr>
      <w:r>
        <w:rPr>
          <w:rFonts w:ascii="Arial" w:cs="Arial" w:eastAsia="Arial" w:hAnsi="Arial"/>
          <w:sz w:val="18"/>
          <w:szCs w:val="18"/>
          <w:i w:val="1"/>
          <w:iCs w:val="1"/>
          <w:color w:val="auto"/>
        </w:rPr>
        <w:t>budgets, projected costs and plans;</w:t>
      </w:r>
    </w:p>
    <w:p>
      <w:pPr>
        <w:spacing w:after="0" w:line="9" w:lineRule="exact"/>
        <w:rPr>
          <w:rFonts w:ascii="Arial" w:cs="Arial" w:eastAsia="Arial" w:hAnsi="Arial"/>
          <w:sz w:val="18"/>
          <w:szCs w:val="18"/>
          <w:i w:val="1"/>
          <w:iCs w:val="1"/>
          <w:color w:val="auto"/>
        </w:rPr>
      </w:pPr>
    </w:p>
    <w:p>
      <w:pPr>
        <w:ind w:left="580" w:hanging="315"/>
        <w:spacing w:after="0"/>
        <w:tabs>
          <w:tab w:leader="none" w:pos="580" w:val="left"/>
        </w:tabs>
        <w:numPr>
          <w:ilvl w:val="0"/>
          <w:numId w:val="3"/>
        </w:numPr>
        <w:rPr>
          <w:rFonts w:ascii="Arial" w:cs="Arial" w:eastAsia="Arial" w:hAnsi="Arial"/>
          <w:sz w:val="18"/>
          <w:szCs w:val="18"/>
          <w:i w:val="1"/>
          <w:iCs w:val="1"/>
          <w:color w:val="auto"/>
        </w:rPr>
      </w:pPr>
      <w:r>
        <w:rPr>
          <w:rFonts w:ascii="Arial" w:cs="Arial" w:eastAsia="Arial" w:hAnsi="Arial"/>
          <w:sz w:val="18"/>
          <w:szCs w:val="18"/>
          <w:i w:val="1"/>
          <w:iCs w:val="1"/>
          <w:color w:val="auto"/>
        </w:rPr>
        <w:t>future industry growth;</w:t>
      </w:r>
    </w:p>
    <w:p>
      <w:pPr>
        <w:spacing w:after="0" w:line="9" w:lineRule="exact"/>
        <w:rPr>
          <w:rFonts w:ascii="Arial" w:cs="Arial" w:eastAsia="Arial" w:hAnsi="Arial"/>
          <w:sz w:val="18"/>
          <w:szCs w:val="18"/>
          <w:i w:val="1"/>
          <w:iCs w:val="1"/>
          <w:color w:val="auto"/>
        </w:rPr>
      </w:pPr>
    </w:p>
    <w:p>
      <w:pPr>
        <w:ind w:left="580" w:hanging="315"/>
        <w:spacing w:after="0"/>
        <w:tabs>
          <w:tab w:leader="none" w:pos="580" w:val="left"/>
        </w:tabs>
        <w:numPr>
          <w:ilvl w:val="0"/>
          <w:numId w:val="3"/>
        </w:numPr>
        <w:rPr>
          <w:rFonts w:ascii="Arial" w:cs="Arial" w:eastAsia="Arial" w:hAnsi="Arial"/>
          <w:sz w:val="18"/>
          <w:szCs w:val="18"/>
          <w:i w:val="1"/>
          <w:iCs w:val="1"/>
          <w:color w:val="auto"/>
        </w:rPr>
      </w:pPr>
      <w:r>
        <w:rPr>
          <w:rFonts w:ascii="Arial" w:cs="Arial" w:eastAsia="Arial" w:hAnsi="Arial"/>
          <w:sz w:val="18"/>
          <w:szCs w:val="18"/>
          <w:i w:val="1"/>
          <w:iCs w:val="1"/>
          <w:color w:val="auto"/>
        </w:rPr>
        <w:t>financing sources;</w:t>
      </w:r>
    </w:p>
    <w:p>
      <w:pPr>
        <w:spacing w:after="0" w:line="9" w:lineRule="exact"/>
        <w:rPr>
          <w:rFonts w:ascii="Arial" w:cs="Arial" w:eastAsia="Arial" w:hAnsi="Arial"/>
          <w:sz w:val="18"/>
          <w:szCs w:val="18"/>
          <w:i w:val="1"/>
          <w:iCs w:val="1"/>
          <w:color w:val="auto"/>
        </w:rPr>
      </w:pPr>
    </w:p>
    <w:p>
      <w:pPr>
        <w:ind w:left="580" w:hanging="315"/>
        <w:spacing w:after="0"/>
        <w:tabs>
          <w:tab w:leader="none" w:pos="580" w:val="left"/>
        </w:tabs>
        <w:numPr>
          <w:ilvl w:val="0"/>
          <w:numId w:val="3"/>
        </w:numPr>
        <w:rPr>
          <w:rFonts w:ascii="Arial" w:cs="Arial" w:eastAsia="Arial" w:hAnsi="Arial"/>
          <w:sz w:val="18"/>
          <w:szCs w:val="18"/>
          <w:i w:val="1"/>
          <w:iCs w:val="1"/>
          <w:color w:val="auto"/>
        </w:rPr>
      </w:pPr>
      <w:r>
        <w:rPr>
          <w:rFonts w:ascii="Arial" w:cs="Arial" w:eastAsia="Arial" w:hAnsi="Arial"/>
          <w:sz w:val="18"/>
          <w:szCs w:val="18"/>
          <w:i w:val="1"/>
          <w:iCs w:val="1"/>
          <w:color w:val="auto"/>
        </w:rPr>
        <w:t>Potential return of capital initiatives;</w:t>
      </w:r>
    </w:p>
    <w:p>
      <w:pPr>
        <w:spacing w:after="0" w:line="9" w:lineRule="exact"/>
        <w:rPr>
          <w:rFonts w:ascii="Arial" w:cs="Arial" w:eastAsia="Arial" w:hAnsi="Arial"/>
          <w:sz w:val="18"/>
          <w:szCs w:val="18"/>
          <w:i w:val="1"/>
          <w:iCs w:val="1"/>
          <w:color w:val="auto"/>
        </w:rPr>
      </w:pPr>
    </w:p>
    <w:p>
      <w:pPr>
        <w:ind w:left="580" w:hanging="315"/>
        <w:spacing w:after="0"/>
        <w:tabs>
          <w:tab w:leader="none" w:pos="580" w:val="left"/>
        </w:tabs>
        <w:numPr>
          <w:ilvl w:val="0"/>
          <w:numId w:val="3"/>
        </w:numPr>
        <w:rPr>
          <w:rFonts w:ascii="Arial" w:cs="Arial" w:eastAsia="Arial" w:hAnsi="Arial"/>
          <w:sz w:val="18"/>
          <w:szCs w:val="18"/>
          <w:i w:val="1"/>
          <w:iCs w:val="1"/>
          <w:color w:val="auto"/>
        </w:rPr>
      </w:pPr>
      <w:r>
        <w:rPr>
          <w:rFonts w:ascii="Arial" w:cs="Arial" w:eastAsia="Arial" w:hAnsi="Arial"/>
          <w:sz w:val="18"/>
          <w:szCs w:val="18"/>
          <w:i w:val="1"/>
          <w:iCs w:val="1"/>
          <w:color w:val="auto"/>
        </w:rPr>
        <w:t>the impact of litigation, government inquiries and investigations; and</w:t>
      </w:r>
    </w:p>
    <w:p>
      <w:pPr>
        <w:spacing w:after="0" w:line="9" w:lineRule="exact"/>
        <w:rPr>
          <w:rFonts w:ascii="Arial" w:cs="Arial" w:eastAsia="Arial" w:hAnsi="Arial"/>
          <w:sz w:val="18"/>
          <w:szCs w:val="18"/>
          <w:i w:val="1"/>
          <w:iCs w:val="1"/>
          <w:color w:val="auto"/>
        </w:rPr>
      </w:pPr>
    </w:p>
    <w:p>
      <w:pPr>
        <w:ind w:left="580" w:hanging="315"/>
        <w:spacing w:after="0"/>
        <w:tabs>
          <w:tab w:leader="none" w:pos="580" w:val="left"/>
        </w:tabs>
        <w:numPr>
          <w:ilvl w:val="0"/>
          <w:numId w:val="3"/>
        </w:numPr>
        <w:rPr>
          <w:rFonts w:ascii="Arial" w:cs="Arial" w:eastAsia="Arial" w:hAnsi="Arial"/>
          <w:sz w:val="18"/>
          <w:szCs w:val="18"/>
          <w:i w:val="1"/>
          <w:iCs w:val="1"/>
          <w:color w:val="auto"/>
        </w:rPr>
      </w:pPr>
      <w:r>
        <w:rPr>
          <w:rFonts w:ascii="Arial" w:cs="Arial" w:eastAsia="Arial" w:hAnsi="Arial"/>
          <w:sz w:val="18"/>
          <w:szCs w:val="18"/>
          <w:i w:val="1"/>
          <w:iCs w:val="1"/>
          <w:color w:val="auto"/>
        </w:rPr>
        <w:t>all other statements regarding our intent, plans, beliefs or expectations or those of our directors or officers.</w:t>
      </w:r>
    </w:p>
    <w:p>
      <w:pPr>
        <w:spacing w:after="0" w:line="211" w:lineRule="exact"/>
        <w:rPr>
          <w:sz w:val="20"/>
          <w:szCs w:val="20"/>
          <w:color w:val="auto"/>
        </w:rPr>
      </w:pPr>
    </w:p>
    <w:p>
      <w:pPr>
        <w:jc w:val="both"/>
        <w:spacing w:after="0" w:line="254" w:lineRule="auto"/>
        <w:rPr>
          <w:sz w:val="20"/>
          <w:szCs w:val="20"/>
          <w:color w:val="auto"/>
        </w:rPr>
      </w:pPr>
      <w:r>
        <w:rPr>
          <w:rFonts w:ascii="Arial" w:cs="Arial" w:eastAsia="Arial" w:hAnsi="Arial"/>
          <w:sz w:val="18"/>
          <w:szCs w:val="18"/>
          <w:i w:val="1"/>
          <w:iCs w:val="1"/>
          <w:color w:val="auto"/>
        </w:rPr>
        <w:t>We may not actually achieve the plans, intentions or expectations disclosed in our forward-looking statements, and you should not place undue reliance on our forward-looking statements. Actual results or events could differ materially from the plans, intentions and expectations disclosed in the forward-looking statements we make. Important factors that could cause actual results and events to differ materially from those indicated in the forward-looking statements include, among others, the following:</w:t>
      </w:r>
    </w:p>
    <w:p>
      <w:pPr>
        <w:spacing w:after="0" w:line="2" w:lineRule="exact"/>
        <w:rPr>
          <w:sz w:val="20"/>
          <w:szCs w:val="20"/>
          <w:color w:val="auto"/>
        </w:rPr>
      </w:pPr>
    </w:p>
    <w:p>
      <w:pPr>
        <w:ind w:left="580" w:hanging="315"/>
        <w:spacing w:after="0" w:line="250" w:lineRule="auto"/>
        <w:tabs>
          <w:tab w:leader="none" w:pos="580" w:val="left"/>
        </w:tabs>
        <w:numPr>
          <w:ilvl w:val="0"/>
          <w:numId w:val="4"/>
        </w:numPr>
        <w:rPr>
          <w:rFonts w:ascii="Arial" w:cs="Arial" w:eastAsia="Arial" w:hAnsi="Arial"/>
          <w:sz w:val="18"/>
          <w:szCs w:val="18"/>
          <w:i w:val="1"/>
          <w:iCs w:val="1"/>
          <w:color w:val="auto"/>
        </w:rPr>
      </w:pPr>
      <w:r>
        <w:rPr>
          <w:rFonts w:ascii="Arial" w:cs="Arial" w:eastAsia="Arial" w:hAnsi="Arial"/>
          <w:sz w:val="18"/>
          <w:szCs w:val="18"/>
          <w:i w:val="1"/>
          <w:iCs w:val="1"/>
          <w:color w:val="auto"/>
        </w:rPr>
        <w:t>our dependence on the operational and financial results of, and our relationships with, our franchisees and the success of their new and existing stores;</w:t>
      </w:r>
    </w:p>
    <w:p>
      <w:pPr>
        <w:ind w:left="580" w:hanging="315"/>
        <w:spacing w:after="0"/>
        <w:tabs>
          <w:tab w:leader="none" w:pos="580" w:val="left"/>
        </w:tabs>
        <w:numPr>
          <w:ilvl w:val="0"/>
          <w:numId w:val="4"/>
        </w:numPr>
        <w:rPr>
          <w:rFonts w:ascii="Arial" w:cs="Arial" w:eastAsia="Arial" w:hAnsi="Arial"/>
          <w:sz w:val="18"/>
          <w:szCs w:val="18"/>
          <w:i w:val="1"/>
          <w:iCs w:val="1"/>
          <w:color w:val="auto"/>
        </w:rPr>
      </w:pPr>
      <w:r>
        <w:rPr>
          <w:rFonts w:ascii="Arial" w:cs="Arial" w:eastAsia="Arial" w:hAnsi="Arial"/>
          <w:sz w:val="18"/>
          <w:szCs w:val="18"/>
          <w:i w:val="1"/>
          <w:iCs w:val="1"/>
          <w:color w:val="auto"/>
        </w:rPr>
        <w:t>risks relating to damage to our brand and reputation;</w:t>
      </w:r>
    </w:p>
    <w:p>
      <w:pPr>
        <w:spacing w:after="0" w:line="9" w:lineRule="exact"/>
        <w:rPr>
          <w:rFonts w:ascii="Arial" w:cs="Arial" w:eastAsia="Arial" w:hAnsi="Arial"/>
          <w:sz w:val="18"/>
          <w:szCs w:val="18"/>
          <w:i w:val="1"/>
          <w:iCs w:val="1"/>
          <w:color w:val="auto"/>
        </w:rPr>
      </w:pPr>
    </w:p>
    <w:p>
      <w:pPr>
        <w:ind w:left="580" w:hanging="315"/>
        <w:spacing w:after="0"/>
        <w:tabs>
          <w:tab w:leader="none" w:pos="580" w:val="left"/>
        </w:tabs>
        <w:numPr>
          <w:ilvl w:val="0"/>
          <w:numId w:val="4"/>
        </w:numPr>
        <w:rPr>
          <w:rFonts w:ascii="Arial" w:cs="Arial" w:eastAsia="Arial" w:hAnsi="Arial"/>
          <w:sz w:val="18"/>
          <w:szCs w:val="18"/>
          <w:i w:val="1"/>
          <w:iCs w:val="1"/>
          <w:color w:val="auto"/>
        </w:rPr>
      </w:pPr>
      <w:r>
        <w:rPr>
          <w:rFonts w:ascii="Arial" w:cs="Arial" w:eastAsia="Arial" w:hAnsi="Arial"/>
          <w:sz w:val="18"/>
          <w:szCs w:val="18"/>
          <w:i w:val="1"/>
          <w:iCs w:val="1"/>
          <w:color w:val="auto"/>
        </w:rPr>
        <w:t>our ability to successfully implement our growth strategy;</w:t>
      </w:r>
    </w:p>
    <w:p>
      <w:pPr>
        <w:spacing w:after="0" w:line="9" w:lineRule="exact"/>
        <w:rPr>
          <w:rFonts w:ascii="Arial" w:cs="Arial" w:eastAsia="Arial" w:hAnsi="Arial"/>
          <w:sz w:val="18"/>
          <w:szCs w:val="18"/>
          <w:i w:val="1"/>
          <w:iCs w:val="1"/>
          <w:color w:val="auto"/>
        </w:rPr>
      </w:pPr>
    </w:p>
    <w:p>
      <w:pPr>
        <w:ind w:left="580" w:hanging="315"/>
        <w:spacing w:after="0"/>
        <w:tabs>
          <w:tab w:leader="none" w:pos="580" w:val="left"/>
        </w:tabs>
        <w:numPr>
          <w:ilvl w:val="0"/>
          <w:numId w:val="4"/>
        </w:numPr>
        <w:rPr>
          <w:rFonts w:ascii="Arial" w:cs="Arial" w:eastAsia="Arial" w:hAnsi="Arial"/>
          <w:sz w:val="18"/>
          <w:szCs w:val="18"/>
          <w:i w:val="1"/>
          <w:iCs w:val="1"/>
          <w:color w:val="auto"/>
        </w:rPr>
      </w:pPr>
      <w:r>
        <w:rPr>
          <w:rFonts w:ascii="Arial" w:cs="Arial" w:eastAsia="Arial" w:hAnsi="Arial"/>
          <w:sz w:val="18"/>
          <w:szCs w:val="18"/>
          <w:i w:val="1"/>
          <w:iCs w:val="1"/>
          <w:color w:val="auto"/>
        </w:rPr>
        <w:t>technical, operational and regulatory risks related to our third-party providers’ systems and our own information systems;</w:t>
      </w:r>
    </w:p>
    <w:p>
      <w:pPr>
        <w:spacing w:after="0" w:line="9" w:lineRule="exact"/>
        <w:rPr>
          <w:rFonts w:ascii="Arial" w:cs="Arial" w:eastAsia="Arial" w:hAnsi="Arial"/>
          <w:sz w:val="18"/>
          <w:szCs w:val="18"/>
          <w:i w:val="1"/>
          <w:iCs w:val="1"/>
          <w:color w:val="auto"/>
        </w:rPr>
      </w:pPr>
    </w:p>
    <w:p>
      <w:pPr>
        <w:ind w:left="580" w:hanging="315"/>
        <w:spacing w:after="0"/>
        <w:tabs>
          <w:tab w:leader="none" w:pos="580" w:val="left"/>
        </w:tabs>
        <w:numPr>
          <w:ilvl w:val="0"/>
          <w:numId w:val="4"/>
        </w:numPr>
        <w:rPr>
          <w:rFonts w:ascii="Arial" w:cs="Arial" w:eastAsia="Arial" w:hAnsi="Arial"/>
          <w:sz w:val="18"/>
          <w:szCs w:val="18"/>
          <w:i w:val="1"/>
          <w:iCs w:val="1"/>
          <w:color w:val="auto"/>
        </w:rPr>
      </w:pPr>
      <w:r>
        <w:rPr>
          <w:rFonts w:ascii="Arial" w:cs="Arial" w:eastAsia="Arial" w:hAnsi="Arial"/>
          <w:sz w:val="18"/>
          <w:szCs w:val="18"/>
          <w:i w:val="1"/>
          <w:iCs w:val="1"/>
          <w:color w:val="auto"/>
        </w:rPr>
        <w:t>our and our franchisees’ ability to attract and retain members;</w:t>
      </w:r>
    </w:p>
    <w:p>
      <w:pPr>
        <w:spacing w:after="0" w:line="9" w:lineRule="exact"/>
        <w:rPr>
          <w:rFonts w:ascii="Arial" w:cs="Arial" w:eastAsia="Arial" w:hAnsi="Arial"/>
          <w:sz w:val="18"/>
          <w:szCs w:val="18"/>
          <w:i w:val="1"/>
          <w:iCs w:val="1"/>
          <w:color w:val="auto"/>
        </w:rPr>
      </w:pPr>
    </w:p>
    <w:p>
      <w:pPr>
        <w:ind w:left="580" w:hanging="315"/>
        <w:spacing w:after="0"/>
        <w:tabs>
          <w:tab w:leader="none" w:pos="580" w:val="left"/>
        </w:tabs>
        <w:numPr>
          <w:ilvl w:val="0"/>
          <w:numId w:val="4"/>
        </w:numPr>
        <w:rPr>
          <w:rFonts w:ascii="Arial" w:cs="Arial" w:eastAsia="Arial" w:hAnsi="Arial"/>
          <w:sz w:val="18"/>
          <w:szCs w:val="18"/>
          <w:i w:val="1"/>
          <w:iCs w:val="1"/>
          <w:color w:val="auto"/>
        </w:rPr>
      </w:pPr>
      <w:r>
        <w:rPr>
          <w:rFonts w:ascii="Arial" w:cs="Arial" w:eastAsia="Arial" w:hAnsi="Arial"/>
          <w:sz w:val="18"/>
          <w:szCs w:val="18"/>
          <w:i w:val="1"/>
          <w:iCs w:val="1"/>
          <w:color w:val="auto"/>
        </w:rPr>
        <w:t>the high level of competition in the health club industry generally;</w:t>
      </w:r>
    </w:p>
    <w:p>
      <w:pPr>
        <w:spacing w:after="0" w:line="9" w:lineRule="exact"/>
        <w:rPr>
          <w:rFonts w:ascii="Arial" w:cs="Arial" w:eastAsia="Arial" w:hAnsi="Arial"/>
          <w:sz w:val="18"/>
          <w:szCs w:val="18"/>
          <w:i w:val="1"/>
          <w:iCs w:val="1"/>
          <w:color w:val="auto"/>
        </w:rPr>
      </w:pPr>
    </w:p>
    <w:p>
      <w:pPr>
        <w:ind w:left="580" w:hanging="315"/>
        <w:spacing w:after="0"/>
        <w:tabs>
          <w:tab w:leader="none" w:pos="580" w:val="left"/>
        </w:tabs>
        <w:numPr>
          <w:ilvl w:val="0"/>
          <w:numId w:val="4"/>
        </w:numPr>
        <w:rPr>
          <w:rFonts w:ascii="Arial" w:cs="Arial" w:eastAsia="Arial" w:hAnsi="Arial"/>
          <w:sz w:val="18"/>
          <w:szCs w:val="18"/>
          <w:i w:val="1"/>
          <w:iCs w:val="1"/>
          <w:color w:val="auto"/>
        </w:rPr>
      </w:pPr>
      <w:r>
        <w:rPr>
          <w:rFonts w:ascii="Arial" w:cs="Arial" w:eastAsia="Arial" w:hAnsi="Arial"/>
          <w:sz w:val="18"/>
          <w:szCs w:val="18"/>
          <w:i w:val="1"/>
          <w:iCs w:val="1"/>
          <w:color w:val="auto"/>
        </w:rPr>
        <w:t>our reliance on a limited number of vendors, suppliers and other third-party service providers;</w:t>
      </w:r>
    </w:p>
    <w:p>
      <w:pPr>
        <w:spacing w:after="0" w:line="9" w:lineRule="exact"/>
        <w:rPr>
          <w:rFonts w:ascii="Arial" w:cs="Arial" w:eastAsia="Arial" w:hAnsi="Arial"/>
          <w:sz w:val="18"/>
          <w:szCs w:val="18"/>
          <w:i w:val="1"/>
          <w:iCs w:val="1"/>
          <w:color w:val="auto"/>
        </w:rPr>
      </w:pPr>
    </w:p>
    <w:p>
      <w:pPr>
        <w:ind w:left="580" w:hanging="315"/>
        <w:spacing w:after="0" w:line="250" w:lineRule="auto"/>
        <w:tabs>
          <w:tab w:leader="none" w:pos="580" w:val="left"/>
        </w:tabs>
        <w:numPr>
          <w:ilvl w:val="0"/>
          <w:numId w:val="4"/>
        </w:numPr>
        <w:rPr>
          <w:rFonts w:ascii="Arial" w:cs="Arial" w:eastAsia="Arial" w:hAnsi="Arial"/>
          <w:sz w:val="18"/>
          <w:szCs w:val="18"/>
          <w:i w:val="1"/>
          <w:iCs w:val="1"/>
          <w:color w:val="auto"/>
        </w:rPr>
      </w:pPr>
      <w:r>
        <w:rPr>
          <w:rFonts w:ascii="Arial" w:cs="Arial" w:eastAsia="Arial" w:hAnsi="Arial"/>
          <w:sz w:val="18"/>
          <w:szCs w:val="18"/>
          <w:i w:val="1"/>
          <w:iCs w:val="1"/>
          <w:color w:val="auto"/>
        </w:rPr>
        <w:t>our substantial increased indebtedness as a result of our refinancing and securitization transactions and our ability to incur additional indebtedness or refinance that indebtedness in the future;</w:t>
      </w:r>
    </w:p>
    <w:p>
      <w:pPr>
        <w:ind w:left="580" w:hanging="315"/>
        <w:spacing w:after="0"/>
        <w:tabs>
          <w:tab w:leader="none" w:pos="580" w:val="left"/>
        </w:tabs>
        <w:numPr>
          <w:ilvl w:val="0"/>
          <w:numId w:val="4"/>
        </w:numPr>
        <w:rPr>
          <w:rFonts w:ascii="Arial" w:cs="Arial" w:eastAsia="Arial" w:hAnsi="Arial"/>
          <w:sz w:val="18"/>
          <w:szCs w:val="18"/>
          <w:i w:val="1"/>
          <w:iCs w:val="1"/>
          <w:color w:val="auto"/>
        </w:rPr>
      </w:pPr>
      <w:r>
        <w:rPr>
          <w:rFonts w:ascii="Arial" w:cs="Arial" w:eastAsia="Arial" w:hAnsi="Arial"/>
          <w:sz w:val="18"/>
          <w:szCs w:val="18"/>
          <w:i w:val="1"/>
          <w:iCs w:val="1"/>
          <w:color w:val="auto"/>
        </w:rPr>
        <w:t>our future financial performance and our ability to pay principal and interest on our indebtedness;</w:t>
      </w:r>
    </w:p>
    <w:p>
      <w:pPr>
        <w:spacing w:after="0" w:line="9" w:lineRule="exact"/>
        <w:rPr>
          <w:rFonts w:ascii="Arial" w:cs="Arial" w:eastAsia="Arial" w:hAnsi="Arial"/>
          <w:sz w:val="18"/>
          <w:szCs w:val="18"/>
          <w:i w:val="1"/>
          <w:iCs w:val="1"/>
          <w:color w:val="auto"/>
        </w:rPr>
      </w:pPr>
    </w:p>
    <w:p>
      <w:pPr>
        <w:ind w:left="580" w:hanging="315"/>
        <w:spacing w:after="0"/>
        <w:tabs>
          <w:tab w:leader="none" w:pos="580" w:val="left"/>
        </w:tabs>
        <w:numPr>
          <w:ilvl w:val="0"/>
          <w:numId w:val="4"/>
        </w:numPr>
        <w:rPr>
          <w:rFonts w:ascii="Arial" w:cs="Arial" w:eastAsia="Arial" w:hAnsi="Arial"/>
          <w:sz w:val="18"/>
          <w:szCs w:val="18"/>
          <w:i w:val="1"/>
          <w:iCs w:val="1"/>
          <w:color w:val="auto"/>
        </w:rPr>
      </w:pPr>
      <w:r>
        <w:rPr>
          <w:rFonts w:ascii="Arial" w:cs="Arial" w:eastAsia="Arial" w:hAnsi="Arial"/>
          <w:sz w:val="18"/>
          <w:szCs w:val="18"/>
          <w:i w:val="1"/>
          <w:iCs w:val="1"/>
          <w:color w:val="auto"/>
        </w:rPr>
        <w:t>risks relating to our corporate structure and tax receivable agreements; and</w:t>
      </w:r>
    </w:p>
    <w:p>
      <w:pPr>
        <w:spacing w:after="0" w:line="9" w:lineRule="exact"/>
        <w:rPr>
          <w:rFonts w:ascii="Arial" w:cs="Arial" w:eastAsia="Arial" w:hAnsi="Arial"/>
          <w:sz w:val="18"/>
          <w:szCs w:val="18"/>
          <w:i w:val="1"/>
          <w:iCs w:val="1"/>
          <w:color w:val="auto"/>
        </w:rPr>
      </w:pPr>
    </w:p>
    <w:p>
      <w:pPr>
        <w:ind w:left="580" w:hanging="315"/>
        <w:spacing w:after="0" w:line="261" w:lineRule="auto"/>
        <w:tabs>
          <w:tab w:leader="none" w:pos="580" w:val="left"/>
        </w:tabs>
        <w:numPr>
          <w:ilvl w:val="0"/>
          <w:numId w:val="4"/>
        </w:numPr>
        <w:rPr>
          <w:rFonts w:ascii="Arial" w:cs="Arial" w:eastAsia="Arial" w:hAnsi="Arial"/>
          <w:sz w:val="18"/>
          <w:szCs w:val="18"/>
          <w:i w:val="1"/>
          <w:iCs w:val="1"/>
          <w:color w:val="auto"/>
        </w:rPr>
      </w:pPr>
      <w:r>
        <w:rPr>
          <w:rFonts w:ascii="Arial" w:cs="Arial" w:eastAsia="Arial" w:hAnsi="Arial"/>
          <w:sz w:val="18"/>
          <w:szCs w:val="18"/>
          <w:i w:val="1"/>
          <w:iCs w:val="1"/>
          <w:color w:val="auto"/>
        </w:rPr>
        <w:t>the other factors identified under the heading “Risk Factors” in our annual report on Form 10-K for the fiscal year ended December 31, 2017 filed with the Securities and Exchange Commission on March 1, 2018, and elsewhere in this Quarterly Report on Form 10-Q.</w:t>
      </w:r>
    </w:p>
    <w:p>
      <w:pPr>
        <w:spacing w:after="0" w:line="184" w:lineRule="exact"/>
        <w:rPr>
          <w:sz w:val="20"/>
          <w:szCs w:val="20"/>
          <w:color w:val="auto"/>
        </w:rPr>
      </w:pPr>
    </w:p>
    <w:p>
      <w:pPr>
        <w:spacing w:after="0" w:line="277" w:lineRule="auto"/>
        <w:rPr>
          <w:sz w:val="20"/>
          <w:szCs w:val="20"/>
          <w:color w:val="auto"/>
        </w:rPr>
      </w:pPr>
      <w:r>
        <w:rPr>
          <w:rFonts w:ascii="Arial" w:cs="Arial" w:eastAsia="Arial" w:hAnsi="Arial"/>
          <w:sz w:val="18"/>
          <w:szCs w:val="18"/>
          <w:i w:val="1"/>
          <w:iCs w:val="1"/>
          <w:color w:val="auto"/>
        </w:rPr>
        <w:t>The forward-looking statements in this Quarterly Report on Form 10-Q represent our views as of the date of this Report. We undertake no obligation to publicly update any forward-looking statements whether as a result of new information, future developments or otherwise.</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364" w:right="239" w:bottom="1440" w:gutter="0" w:footer="0" w:header="0"/>
        </w:sectPr>
      </w:pPr>
    </w:p>
    <w:bookmarkStart w:id="3" w:name="page4"/>
    <w:bookmarkEnd w:id="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I-FINANCIAL INFORMATION</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Financial Statements</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6"/>
          <w:szCs w:val="16"/>
          <w:b w:val="1"/>
          <w:bCs w:val="1"/>
          <w:color w:val="auto"/>
        </w:rPr>
        <w:t>Planet Fitness, Inc. and subsidiaries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6"/>
          <w:szCs w:val="16"/>
          <w:b w:val="1"/>
          <w:bCs w:val="1"/>
          <w:color w:val="auto"/>
        </w:rPr>
        <w:t>Condensed consolidated balance sheets</w:t>
      </w:r>
    </w:p>
    <w:p>
      <w:pPr>
        <w:spacing w:after="0" w:line="5" w:lineRule="exact"/>
        <w:rPr>
          <w:sz w:val="20"/>
          <w:szCs w:val="20"/>
          <w:color w:val="auto"/>
        </w:rPr>
      </w:pPr>
    </w:p>
    <w:p>
      <w:pPr>
        <w:jc w:val="center"/>
        <w:ind w:right="-19"/>
        <w:spacing w:after="0"/>
        <w:rPr>
          <w:sz w:val="20"/>
          <w:szCs w:val="20"/>
          <w:color w:val="auto"/>
        </w:rPr>
      </w:pPr>
      <w:r>
        <w:rPr>
          <w:rFonts w:ascii="Arial" w:cs="Arial" w:eastAsia="Arial" w:hAnsi="Arial"/>
          <w:sz w:val="16"/>
          <w:szCs w:val="16"/>
          <w:b w:val="1"/>
          <w:bCs w:val="1"/>
          <w:color w:val="auto"/>
        </w:rPr>
        <w:t>(Unaudited)</w:t>
      </w:r>
    </w:p>
    <w:p>
      <w:pPr>
        <w:spacing w:after="0" w:line="5" w:lineRule="exact"/>
        <w:rPr>
          <w:sz w:val="20"/>
          <w:szCs w:val="20"/>
          <w:color w:val="auto"/>
        </w:rPr>
      </w:pPr>
    </w:p>
    <w:p>
      <w:pPr>
        <w:jc w:val="center"/>
        <w:ind w:right="20"/>
        <w:spacing w:after="0"/>
        <w:rPr>
          <w:sz w:val="20"/>
          <w:szCs w:val="20"/>
          <w:color w:val="auto"/>
        </w:rPr>
      </w:pPr>
      <w:r>
        <w:rPr>
          <w:rFonts w:ascii="Arial" w:cs="Arial" w:eastAsia="Arial" w:hAnsi="Arial"/>
          <w:sz w:val="16"/>
          <w:szCs w:val="16"/>
          <w:b w:val="1"/>
          <w:bCs w:val="1"/>
          <w:color w:val="auto"/>
        </w:rPr>
        <w:t>(Amounts in thousands, except per share amounts)</w:t>
      </w:r>
    </w:p>
    <w:p>
      <w:pPr>
        <w:spacing w:after="0" w:line="208"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786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460" w:type="dxa"/>
            <w:vAlign w:val="bottom"/>
            <w:gridSpan w:val="2"/>
          </w:tcPr>
          <w:p>
            <w:pPr>
              <w:ind w:left="240"/>
              <w:spacing w:after="0"/>
              <w:rPr>
                <w:sz w:val="20"/>
                <w:szCs w:val="20"/>
                <w:color w:val="auto"/>
              </w:rPr>
            </w:pPr>
            <w:r>
              <w:rPr>
                <w:rFonts w:ascii="Arial" w:cs="Arial" w:eastAsia="Arial" w:hAnsi="Arial"/>
                <w:sz w:val="14"/>
                <w:szCs w:val="14"/>
                <w:b w:val="1"/>
                <w:bCs w:val="1"/>
                <w:color w:val="auto"/>
              </w:rPr>
              <w:t>June 30,</w:t>
            </w:r>
          </w:p>
        </w:tc>
        <w:tc>
          <w:tcPr>
            <w:tcW w:w="260" w:type="dxa"/>
            <w:vAlign w:val="bottom"/>
          </w:tcPr>
          <w:p>
            <w:pPr>
              <w:spacing w:after="0"/>
              <w:rPr>
                <w:sz w:val="16"/>
                <w:szCs w:val="16"/>
                <w:color w:val="auto"/>
              </w:rPr>
            </w:pPr>
          </w:p>
        </w:tc>
        <w:tc>
          <w:tcPr>
            <w:tcW w:w="1440" w:type="dxa"/>
            <w:vAlign w:val="bottom"/>
          </w:tcPr>
          <w:p>
            <w:pPr>
              <w:jc w:val="right"/>
              <w:ind w:right="364"/>
              <w:spacing w:after="0"/>
              <w:rPr>
                <w:sz w:val="20"/>
                <w:szCs w:val="20"/>
                <w:color w:val="auto"/>
              </w:rPr>
            </w:pPr>
            <w:r>
              <w:rPr>
                <w:rFonts w:ascii="Arial" w:cs="Arial" w:eastAsia="Arial" w:hAnsi="Arial"/>
                <w:sz w:val="14"/>
                <w:szCs w:val="14"/>
                <w:b w:val="1"/>
                <w:bCs w:val="1"/>
                <w:color w:val="auto"/>
              </w:rPr>
              <w:t>December 31,</w:t>
            </w:r>
          </w:p>
        </w:tc>
      </w:tr>
      <w:tr>
        <w:trPr>
          <w:trHeight w:val="250"/>
        </w:trPr>
        <w:tc>
          <w:tcPr>
            <w:tcW w:w="7860" w:type="dxa"/>
            <w:vAlign w:val="bottom"/>
            <w:tcBorders>
              <w:bottom w:val="single" w:sz="8" w:color="CCEEFF"/>
            </w:tcBorders>
          </w:tcPr>
          <w:p>
            <w:pPr>
              <w:spacing w:after="0"/>
              <w:rPr>
                <w:sz w:val="21"/>
                <w:szCs w:val="21"/>
                <w:color w:val="auto"/>
              </w:rPr>
            </w:pPr>
          </w:p>
        </w:tc>
        <w:tc>
          <w:tcPr>
            <w:tcW w:w="340" w:type="dxa"/>
            <w:vAlign w:val="bottom"/>
            <w:tcBorders>
              <w:top w:val="single" w:sz="8" w:color="auto"/>
              <w:bottom w:val="single" w:sz="8" w:color="auto"/>
            </w:tcBorders>
          </w:tcPr>
          <w:p>
            <w:pPr>
              <w:spacing w:after="0"/>
              <w:rPr>
                <w:sz w:val="21"/>
                <w:szCs w:val="21"/>
                <w:color w:val="auto"/>
              </w:rPr>
            </w:pPr>
          </w:p>
        </w:tc>
        <w:tc>
          <w:tcPr>
            <w:tcW w:w="1360" w:type="dxa"/>
            <w:vAlign w:val="bottom"/>
            <w:tcBorders>
              <w:top w:val="single" w:sz="8" w:color="auto"/>
              <w:bottom w:val="single" w:sz="8" w:color="auto"/>
            </w:tcBorders>
          </w:tcPr>
          <w:p>
            <w:pPr>
              <w:jc w:val="right"/>
              <w:ind w:right="644"/>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1"/>
                <w:szCs w:val="21"/>
                <w:color w:val="auto"/>
              </w:rPr>
            </w:pPr>
          </w:p>
        </w:tc>
        <w:tc>
          <w:tcPr>
            <w:tcW w:w="260" w:type="dxa"/>
            <w:vAlign w:val="bottom"/>
            <w:tcBorders>
              <w:top w:val="single" w:sz="8" w:color="auto"/>
              <w:bottom w:val="single" w:sz="8" w:color="auto"/>
            </w:tcBorders>
          </w:tcPr>
          <w:p>
            <w:pPr>
              <w:spacing w:after="0"/>
              <w:rPr>
                <w:sz w:val="21"/>
                <w:szCs w:val="21"/>
                <w:color w:val="auto"/>
              </w:rPr>
            </w:pPr>
          </w:p>
        </w:tc>
        <w:tc>
          <w:tcPr>
            <w:tcW w:w="1440" w:type="dxa"/>
            <w:vAlign w:val="bottom"/>
            <w:tcBorders>
              <w:top w:val="single" w:sz="8" w:color="auto"/>
              <w:bottom w:val="single" w:sz="8" w:color="auto"/>
            </w:tcBorders>
          </w:tcPr>
          <w:p>
            <w:pPr>
              <w:jc w:val="right"/>
              <w:ind w:right="644"/>
              <w:spacing w:after="0"/>
              <w:rPr>
                <w:sz w:val="20"/>
                <w:szCs w:val="20"/>
                <w:color w:val="auto"/>
              </w:rPr>
            </w:pPr>
            <w:r>
              <w:rPr>
                <w:rFonts w:ascii="Arial" w:cs="Arial" w:eastAsia="Arial" w:hAnsi="Arial"/>
                <w:sz w:val="14"/>
                <w:szCs w:val="14"/>
                <w:b w:val="1"/>
                <w:bCs w:val="1"/>
                <w:color w:val="auto"/>
              </w:rPr>
              <w:t>2017</w:t>
            </w:r>
          </w:p>
        </w:tc>
      </w:tr>
      <w:tr>
        <w:trPr>
          <w:trHeight w:val="256"/>
        </w:trPr>
        <w:tc>
          <w:tcPr>
            <w:tcW w:w="7860" w:type="dxa"/>
            <w:vAlign w:val="bottom"/>
            <w:shd w:val="clear" w:color="auto" w:fill="CCEEFF"/>
          </w:tcPr>
          <w:p>
            <w:pPr>
              <w:ind w:left="20"/>
              <w:spacing w:after="0"/>
              <w:rPr>
                <w:sz w:val="20"/>
                <w:szCs w:val="20"/>
                <w:color w:val="auto"/>
              </w:rPr>
            </w:pPr>
            <w:r>
              <w:rPr>
                <w:rFonts w:ascii="Arial" w:cs="Arial" w:eastAsia="Arial" w:hAnsi="Arial"/>
                <w:sz w:val="15"/>
                <w:szCs w:val="15"/>
                <w:color w:val="auto"/>
              </w:rPr>
              <w:t>Assets</w:t>
            </w:r>
          </w:p>
        </w:tc>
        <w:tc>
          <w:tcPr>
            <w:tcW w:w="340" w:type="dxa"/>
            <w:vAlign w:val="bottom"/>
            <w:shd w:val="clear" w:color="auto" w:fill="CCEEFF"/>
          </w:tcPr>
          <w:p>
            <w:pPr>
              <w:spacing w:after="0"/>
              <w:rPr>
                <w:sz w:val="22"/>
                <w:szCs w:val="22"/>
                <w:color w:val="auto"/>
              </w:rPr>
            </w:pPr>
          </w:p>
        </w:tc>
        <w:tc>
          <w:tcPr>
            <w:tcW w:w="13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1440" w:type="dxa"/>
            <w:vAlign w:val="bottom"/>
            <w:shd w:val="clear" w:color="auto" w:fill="CCEEFF"/>
          </w:tcPr>
          <w:p>
            <w:pPr>
              <w:spacing w:after="0"/>
              <w:rPr>
                <w:sz w:val="22"/>
                <w:szCs w:val="22"/>
                <w:color w:val="auto"/>
              </w:rPr>
            </w:pPr>
          </w:p>
        </w:tc>
      </w:tr>
      <w:tr>
        <w:trPr>
          <w:trHeight w:val="266"/>
        </w:trPr>
        <w:tc>
          <w:tcPr>
            <w:tcW w:w="7860" w:type="dxa"/>
            <w:vAlign w:val="bottom"/>
          </w:tcPr>
          <w:p>
            <w:pPr>
              <w:ind w:left="20"/>
              <w:spacing w:after="0"/>
              <w:rPr>
                <w:sz w:val="20"/>
                <w:szCs w:val="20"/>
                <w:color w:val="auto"/>
              </w:rPr>
            </w:pPr>
            <w:r>
              <w:rPr>
                <w:rFonts w:ascii="Arial" w:cs="Arial" w:eastAsia="Arial" w:hAnsi="Arial"/>
                <w:sz w:val="15"/>
                <w:szCs w:val="15"/>
                <w:color w:val="auto"/>
              </w:rPr>
              <w:t>Current assets:</w:t>
            </w:r>
          </w:p>
        </w:tc>
        <w:tc>
          <w:tcPr>
            <w:tcW w:w="340" w:type="dxa"/>
            <w:vAlign w:val="bottom"/>
          </w:tcPr>
          <w:p>
            <w:pPr>
              <w:spacing w:after="0"/>
              <w:rPr>
                <w:sz w:val="23"/>
                <w:szCs w:val="23"/>
                <w:color w:val="auto"/>
              </w:rPr>
            </w:pPr>
          </w:p>
        </w:tc>
        <w:tc>
          <w:tcPr>
            <w:tcW w:w="13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440" w:type="dxa"/>
            <w:vAlign w:val="bottom"/>
          </w:tcPr>
          <w:p>
            <w:pPr>
              <w:spacing w:after="0"/>
              <w:rPr>
                <w:sz w:val="23"/>
                <w:szCs w:val="23"/>
                <w:color w:val="auto"/>
              </w:rPr>
            </w:pPr>
          </w:p>
        </w:tc>
      </w:tr>
      <w:tr>
        <w:trPr>
          <w:trHeight w:val="274"/>
        </w:trPr>
        <w:tc>
          <w:tcPr>
            <w:tcW w:w="7860" w:type="dxa"/>
            <w:vAlign w:val="bottom"/>
            <w:shd w:val="clear" w:color="auto" w:fill="CCEEFF"/>
          </w:tcPr>
          <w:p>
            <w:pPr>
              <w:ind w:left="100"/>
              <w:spacing w:after="0"/>
              <w:rPr>
                <w:sz w:val="20"/>
                <w:szCs w:val="20"/>
                <w:color w:val="auto"/>
              </w:rPr>
            </w:pPr>
            <w:r>
              <w:rPr>
                <w:rFonts w:ascii="Arial" w:cs="Arial" w:eastAsia="Arial" w:hAnsi="Arial"/>
                <w:sz w:val="15"/>
                <w:szCs w:val="15"/>
                <w:color w:val="auto"/>
              </w:rPr>
              <w:t>Cash and cash equivalents</w:t>
            </w:r>
          </w:p>
        </w:tc>
        <w:tc>
          <w:tcPr>
            <w:tcW w:w="340" w:type="dxa"/>
            <w:vAlign w:val="bottom"/>
            <w:shd w:val="clear" w:color="auto" w:fill="CCEEFF"/>
          </w:tcPr>
          <w:p>
            <w:pPr>
              <w:jc w:val="right"/>
              <w:ind w:right="163"/>
              <w:spacing w:after="0"/>
              <w:rPr>
                <w:sz w:val="20"/>
                <w:szCs w:val="20"/>
                <w:color w:val="auto"/>
              </w:rPr>
            </w:pPr>
            <w:r>
              <w:rPr>
                <w:rFonts w:ascii="Arial" w:cs="Arial" w:eastAsia="Arial" w:hAnsi="Arial"/>
                <w:sz w:val="15"/>
                <w:szCs w:val="15"/>
                <w:color w:val="auto"/>
                <w:w w:val="95"/>
              </w:rPr>
              <w:t>$</w:t>
            </w:r>
          </w:p>
        </w:tc>
        <w:tc>
          <w:tcPr>
            <w:tcW w:w="1360" w:type="dxa"/>
            <w:vAlign w:val="bottom"/>
            <w:shd w:val="clear" w:color="auto" w:fill="CCEEFF"/>
          </w:tcPr>
          <w:p>
            <w:pPr>
              <w:jc w:val="right"/>
              <w:ind w:right="44"/>
              <w:spacing w:after="0"/>
              <w:rPr>
                <w:sz w:val="20"/>
                <w:szCs w:val="20"/>
                <w:color w:val="auto"/>
              </w:rPr>
            </w:pPr>
            <w:r>
              <w:rPr>
                <w:rFonts w:ascii="Arial" w:cs="Arial" w:eastAsia="Arial" w:hAnsi="Arial"/>
                <w:sz w:val="15"/>
                <w:szCs w:val="15"/>
                <w:color w:val="auto"/>
              </w:rPr>
              <w:t>147,784</w:t>
            </w: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jc w:val="right"/>
              <w:ind w:right="83"/>
              <w:spacing w:after="0"/>
              <w:rPr>
                <w:sz w:val="20"/>
                <w:szCs w:val="20"/>
                <w:color w:val="auto"/>
              </w:rPr>
            </w:pPr>
            <w:r>
              <w:rPr>
                <w:rFonts w:ascii="Arial" w:cs="Arial" w:eastAsia="Arial" w:hAnsi="Arial"/>
                <w:sz w:val="15"/>
                <w:szCs w:val="15"/>
                <w:color w:val="auto"/>
                <w:w w:val="95"/>
              </w:rPr>
              <w:t>$</w:t>
            </w:r>
          </w:p>
        </w:tc>
        <w:tc>
          <w:tcPr>
            <w:tcW w:w="1440" w:type="dxa"/>
            <w:vAlign w:val="bottom"/>
            <w:shd w:val="clear" w:color="auto" w:fill="CCEEFF"/>
          </w:tcPr>
          <w:p>
            <w:pPr>
              <w:jc w:val="right"/>
              <w:ind w:right="44"/>
              <w:spacing w:after="0"/>
              <w:rPr>
                <w:sz w:val="20"/>
                <w:szCs w:val="20"/>
                <w:color w:val="auto"/>
              </w:rPr>
            </w:pPr>
            <w:r>
              <w:rPr>
                <w:rFonts w:ascii="Arial" w:cs="Arial" w:eastAsia="Arial" w:hAnsi="Arial"/>
                <w:sz w:val="15"/>
                <w:szCs w:val="15"/>
                <w:color w:val="auto"/>
              </w:rPr>
              <w:t>113,080</w:t>
            </w:r>
          </w:p>
        </w:tc>
      </w:tr>
      <w:tr>
        <w:trPr>
          <w:trHeight w:val="266"/>
        </w:trPr>
        <w:tc>
          <w:tcPr>
            <w:tcW w:w="7860" w:type="dxa"/>
            <w:vAlign w:val="bottom"/>
          </w:tcPr>
          <w:p>
            <w:pPr>
              <w:ind w:left="100"/>
              <w:spacing w:after="0"/>
              <w:rPr>
                <w:sz w:val="20"/>
                <w:szCs w:val="20"/>
                <w:color w:val="auto"/>
              </w:rPr>
            </w:pPr>
            <w:r>
              <w:rPr>
                <w:rFonts w:ascii="Arial" w:cs="Arial" w:eastAsia="Arial" w:hAnsi="Arial"/>
                <w:sz w:val="15"/>
                <w:szCs w:val="15"/>
                <w:color w:val="auto"/>
                <w:w w:val="94"/>
              </w:rPr>
              <w:t>Accounts receivable, net of allowance for bad debts of $20 and $32 at June 30, 2018 and December 31, 2017, respectively</w:t>
            </w:r>
          </w:p>
        </w:tc>
        <w:tc>
          <w:tcPr>
            <w:tcW w:w="340" w:type="dxa"/>
            <w:vAlign w:val="bottom"/>
          </w:tcPr>
          <w:p>
            <w:pPr>
              <w:spacing w:after="0"/>
              <w:rPr>
                <w:sz w:val="23"/>
                <w:szCs w:val="23"/>
                <w:color w:val="auto"/>
              </w:rPr>
            </w:pPr>
          </w:p>
        </w:tc>
        <w:tc>
          <w:tcPr>
            <w:tcW w:w="1360" w:type="dxa"/>
            <w:vAlign w:val="bottom"/>
          </w:tcPr>
          <w:p>
            <w:pPr>
              <w:jc w:val="right"/>
              <w:ind w:right="44"/>
              <w:spacing w:after="0"/>
              <w:rPr>
                <w:sz w:val="20"/>
                <w:szCs w:val="20"/>
                <w:color w:val="auto"/>
              </w:rPr>
            </w:pPr>
            <w:r>
              <w:rPr>
                <w:rFonts w:ascii="Arial" w:cs="Arial" w:eastAsia="Arial" w:hAnsi="Arial"/>
                <w:sz w:val="15"/>
                <w:szCs w:val="15"/>
                <w:color w:val="auto"/>
              </w:rPr>
              <w:t>14,932</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440" w:type="dxa"/>
            <w:vAlign w:val="bottom"/>
          </w:tcPr>
          <w:p>
            <w:pPr>
              <w:jc w:val="right"/>
              <w:ind w:right="44"/>
              <w:spacing w:after="0"/>
              <w:rPr>
                <w:sz w:val="20"/>
                <w:szCs w:val="20"/>
                <w:color w:val="auto"/>
              </w:rPr>
            </w:pPr>
            <w:r>
              <w:rPr>
                <w:rFonts w:ascii="Arial" w:cs="Arial" w:eastAsia="Arial" w:hAnsi="Arial"/>
                <w:sz w:val="15"/>
                <w:szCs w:val="15"/>
                <w:color w:val="auto"/>
              </w:rPr>
              <w:t>37,272</w:t>
            </w:r>
          </w:p>
        </w:tc>
      </w:tr>
      <w:tr>
        <w:trPr>
          <w:trHeight w:val="274"/>
        </w:trPr>
        <w:tc>
          <w:tcPr>
            <w:tcW w:w="7860" w:type="dxa"/>
            <w:vAlign w:val="bottom"/>
            <w:shd w:val="clear" w:color="auto" w:fill="CCEEFF"/>
          </w:tcPr>
          <w:p>
            <w:pPr>
              <w:ind w:left="100"/>
              <w:spacing w:after="0"/>
              <w:rPr>
                <w:sz w:val="20"/>
                <w:szCs w:val="20"/>
                <w:color w:val="auto"/>
              </w:rPr>
            </w:pPr>
            <w:r>
              <w:rPr>
                <w:rFonts w:ascii="Arial" w:cs="Arial" w:eastAsia="Arial" w:hAnsi="Arial"/>
                <w:sz w:val="15"/>
                <w:szCs w:val="15"/>
                <w:color w:val="auto"/>
              </w:rPr>
              <w:t>Due from related parties</w:t>
            </w:r>
          </w:p>
        </w:tc>
        <w:tc>
          <w:tcPr>
            <w:tcW w:w="340" w:type="dxa"/>
            <w:vAlign w:val="bottom"/>
            <w:shd w:val="clear" w:color="auto" w:fill="CCEEFF"/>
          </w:tcPr>
          <w:p>
            <w:pPr>
              <w:spacing w:after="0"/>
              <w:rPr>
                <w:sz w:val="23"/>
                <w:szCs w:val="23"/>
                <w:color w:val="auto"/>
              </w:rPr>
            </w:pPr>
          </w:p>
        </w:tc>
        <w:tc>
          <w:tcPr>
            <w:tcW w:w="1460" w:type="dxa"/>
            <w:vAlign w:val="bottom"/>
            <w:gridSpan w:val="2"/>
            <w:shd w:val="clear" w:color="auto" w:fill="CCEEFF"/>
          </w:tcPr>
          <w:p>
            <w:pPr>
              <w:jc w:val="right"/>
              <w:ind w:right="220"/>
              <w:spacing w:after="0"/>
              <w:rPr>
                <w:sz w:val="20"/>
                <w:szCs w:val="20"/>
                <w:color w:val="auto"/>
              </w:rPr>
            </w:pPr>
            <w:r>
              <w:rPr>
                <w:rFonts w:ascii="Arial" w:cs="Arial" w:eastAsia="Arial" w:hAnsi="Arial"/>
                <w:sz w:val="15"/>
                <w:szCs w:val="15"/>
                <w:color w:val="auto"/>
              </w:rPr>
              <w:t>—</w:t>
            </w:r>
          </w:p>
        </w:tc>
        <w:tc>
          <w:tcPr>
            <w:tcW w:w="260" w:type="dxa"/>
            <w:vAlign w:val="bottom"/>
            <w:shd w:val="clear" w:color="auto" w:fill="CCEEFF"/>
          </w:tcPr>
          <w:p>
            <w:pPr>
              <w:spacing w:after="0"/>
              <w:rPr>
                <w:sz w:val="23"/>
                <w:szCs w:val="23"/>
                <w:color w:val="auto"/>
              </w:rPr>
            </w:pPr>
          </w:p>
        </w:tc>
        <w:tc>
          <w:tcPr>
            <w:tcW w:w="1440" w:type="dxa"/>
            <w:vAlign w:val="bottom"/>
            <w:shd w:val="clear" w:color="auto" w:fill="CCEEFF"/>
          </w:tcPr>
          <w:p>
            <w:pPr>
              <w:jc w:val="right"/>
              <w:ind w:right="44"/>
              <w:spacing w:after="0"/>
              <w:rPr>
                <w:sz w:val="20"/>
                <w:szCs w:val="20"/>
                <w:color w:val="auto"/>
              </w:rPr>
            </w:pPr>
            <w:r>
              <w:rPr>
                <w:rFonts w:ascii="Arial" w:cs="Arial" w:eastAsia="Arial" w:hAnsi="Arial"/>
                <w:sz w:val="15"/>
                <w:szCs w:val="15"/>
                <w:color w:val="auto"/>
              </w:rPr>
              <w:t>3,020</w:t>
            </w:r>
          </w:p>
        </w:tc>
      </w:tr>
      <w:tr>
        <w:trPr>
          <w:trHeight w:val="266"/>
        </w:trPr>
        <w:tc>
          <w:tcPr>
            <w:tcW w:w="7860" w:type="dxa"/>
            <w:vAlign w:val="bottom"/>
          </w:tcPr>
          <w:p>
            <w:pPr>
              <w:ind w:left="100"/>
              <w:spacing w:after="0"/>
              <w:rPr>
                <w:sz w:val="20"/>
                <w:szCs w:val="20"/>
                <w:color w:val="auto"/>
              </w:rPr>
            </w:pPr>
            <w:r>
              <w:rPr>
                <w:rFonts w:ascii="Arial" w:cs="Arial" w:eastAsia="Arial" w:hAnsi="Arial"/>
                <w:sz w:val="15"/>
                <w:szCs w:val="15"/>
                <w:color w:val="auto"/>
              </w:rPr>
              <w:t>Inventory</w:t>
            </w:r>
          </w:p>
        </w:tc>
        <w:tc>
          <w:tcPr>
            <w:tcW w:w="340" w:type="dxa"/>
            <w:vAlign w:val="bottom"/>
          </w:tcPr>
          <w:p>
            <w:pPr>
              <w:spacing w:after="0"/>
              <w:rPr>
                <w:sz w:val="23"/>
                <w:szCs w:val="23"/>
                <w:color w:val="auto"/>
              </w:rPr>
            </w:pPr>
          </w:p>
        </w:tc>
        <w:tc>
          <w:tcPr>
            <w:tcW w:w="1360" w:type="dxa"/>
            <w:vAlign w:val="bottom"/>
          </w:tcPr>
          <w:p>
            <w:pPr>
              <w:jc w:val="right"/>
              <w:ind w:right="44"/>
              <w:spacing w:after="0"/>
              <w:rPr>
                <w:sz w:val="20"/>
                <w:szCs w:val="20"/>
                <w:color w:val="auto"/>
              </w:rPr>
            </w:pPr>
            <w:r>
              <w:rPr>
                <w:rFonts w:ascii="Arial" w:cs="Arial" w:eastAsia="Arial" w:hAnsi="Arial"/>
                <w:sz w:val="15"/>
                <w:szCs w:val="15"/>
                <w:color w:val="auto"/>
              </w:rPr>
              <w:t>3,193</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440" w:type="dxa"/>
            <w:vAlign w:val="bottom"/>
          </w:tcPr>
          <w:p>
            <w:pPr>
              <w:jc w:val="right"/>
              <w:ind w:right="44"/>
              <w:spacing w:after="0"/>
              <w:rPr>
                <w:sz w:val="20"/>
                <w:szCs w:val="20"/>
                <w:color w:val="auto"/>
              </w:rPr>
            </w:pPr>
            <w:r>
              <w:rPr>
                <w:rFonts w:ascii="Arial" w:cs="Arial" w:eastAsia="Arial" w:hAnsi="Arial"/>
                <w:sz w:val="15"/>
                <w:szCs w:val="15"/>
                <w:color w:val="auto"/>
              </w:rPr>
              <w:t>2,692</w:t>
            </w:r>
          </w:p>
        </w:tc>
      </w:tr>
      <w:tr>
        <w:trPr>
          <w:trHeight w:val="274"/>
        </w:trPr>
        <w:tc>
          <w:tcPr>
            <w:tcW w:w="7860" w:type="dxa"/>
            <w:vAlign w:val="bottom"/>
            <w:shd w:val="clear" w:color="auto" w:fill="CCEEFF"/>
          </w:tcPr>
          <w:p>
            <w:pPr>
              <w:ind w:left="100"/>
              <w:spacing w:after="0"/>
              <w:rPr>
                <w:sz w:val="20"/>
                <w:szCs w:val="20"/>
                <w:color w:val="auto"/>
              </w:rPr>
            </w:pPr>
            <w:r>
              <w:rPr>
                <w:rFonts w:ascii="Arial" w:cs="Arial" w:eastAsia="Arial" w:hAnsi="Arial"/>
                <w:sz w:val="15"/>
                <w:szCs w:val="15"/>
                <w:color w:val="auto"/>
              </w:rPr>
              <w:t>Restricted assets – national advertising fund</w:t>
            </w:r>
          </w:p>
        </w:tc>
        <w:tc>
          <w:tcPr>
            <w:tcW w:w="340" w:type="dxa"/>
            <w:vAlign w:val="bottom"/>
            <w:shd w:val="clear" w:color="auto" w:fill="CCEEFF"/>
          </w:tcPr>
          <w:p>
            <w:pPr>
              <w:spacing w:after="0"/>
              <w:rPr>
                <w:sz w:val="23"/>
                <w:szCs w:val="23"/>
                <w:color w:val="auto"/>
              </w:rPr>
            </w:pPr>
          </w:p>
        </w:tc>
        <w:tc>
          <w:tcPr>
            <w:tcW w:w="1360" w:type="dxa"/>
            <w:vAlign w:val="bottom"/>
            <w:shd w:val="clear" w:color="auto" w:fill="CCEEFF"/>
          </w:tcPr>
          <w:p>
            <w:pPr>
              <w:jc w:val="right"/>
              <w:ind w:right="44"/>
              <w:spacing w:after="0"/>
              <w:rPr>
                <w:sz w:val="20"/>
                <w:szCs w:val="20"/>
                <w:color w:val="auto"/>
              </w:rPr>
            </w:pPr>
            <w:r>
              <w:rPr>
                <w:rFonts w:ascii="Arial" w:cs="Arial" w:eastAsia="Arial" w:hAnsi="Arial"/>
                <w:sz w:val="15"/>
                <w:szCs w:val="15"/>
                <w:color w:val="auto"/>
              </w:rPr>
              <w:t>73</w:t>
            </w: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1440" w:type="dxa"/>
            <w:vAlign w:val="bottom"/>
            <w:shd w:val="clear" w:color="auto" w:fill="CCEEFF"/>
          </w:tcPr>
          <w:p>
            <w:pPr>
              <w:jc w:val="right"/>
              <w:ind w:right="44"/>
              <w:spacing w:after="0"/>
              <w:rPr>
                <w:sz w:val="20"/>
                <w:szCs w:val="20"/>
                <w:color w:val="auto"/>
              </w:rPr>
            </w:pPr>
            <w:r>
              <w:rPr>
                <w:rFonts w:ascii="Arial" w:cs="Arial" w:eastAsia="Arial" w:hAnsi="Arial"/>
                <w:sz w:val="15"/>
                <w:szCs w:val="15"/>
                <w:color w:val="auto"/>
              </w:rPr>
              <w:t>499</w:t>
            </w:r>
          </w:p>
        </w:tc>
      </w:tr>
      <w:tr>
        <w:trPr>
          <w:trHeight w:val="266"/>
        </w:trPr>
        <w:tc>
          <w:tcPr>
            <w:tcW w:w="7860" w:type="dxa"/>
            <w:vAlign w:val="bottom"/>
          </w:tcPr>
          <w:p>
            <w:pPr>
              <w:ind w:left="100"/>
              <w:spacing w:after="0"/>
              <w:rPr>
                <w:sz w:val="20"/>
                <w:szCs w:val="20"/>
                <w:color w:val="auto"/>
              </w:rPr>
            </w:pPr>
            <w:r>
              <w:rPr>
                <w:rFonts w:ascii="Arial" w:cs="Arial" w:eastAsia="Arial" w:hAnsi="Arial"/>
                <w:sz w:val="15"/>
                <w:szCs w:val="15"/>
                <w:color w:val="auto"/>
              </w:rPr>
              <w:t>Deferred expenses – national advertising fund</w:t>
            </w:r>
          </w:p>
        </w:tc>
        <w:tc>
          <w:tcPr>
            <w:tcW w:w="340" w:type="dxa"/>
            <w:vAlign w:val="bottom"/>
          </w:tcPr>
          <w:p>
            <w:pPr>
              <w:spacing w:after="0"/>
              <w:rPr>
                <w:sz w:val="23"/>
                <w:szCs w:val="23"/>
                <w:color w:val="auto"/>
              </w:rPr>
            </w:pPr>
          </w:p>
        </w:tc>
        <w:tc>
          <w:tcPr>
            <w:tcW w:w="1360" w:type="dxa"/>
            <w:vAlign w:val="bottom"/>
          </w:tcPr>
          <w:p>
            <w:pPr>
              <w:jc w:val="right"/>
              <w:ind w:right="44"/>
              <w:spacing w:after="0"/>
              <w:rPr>
                <w:sz w:val="20"/>
                <w:szCs w:val="20"/>
                <w:color w:val="auto"/>
              </w:rPr>
            </w:pPr>
            <w:r>
              <w:rPr>
                <w:rFonts w:ascii="Arial" w:cs="Arial" w:eastAsia="Arial" w:hAnsi="Arial"/>
                <w:sz w:val="15"/>
                <w:szCs w:val="15"/>
                <w:color w:val="auto"/>
              </w:rPr>
              <w:t>1,648</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440" w:type="dxa"/>
            <w:vAlign w:val="bottom"/>
          </w:tcPr>
          <w:p>
            <w:pPr>
              <w:jc w:val="right"/>
              <w:ind w:right="44"/>
              <w:spacing w:after="0"/>
              <w:rPr>
                <w:sz w:val="20"/>
                <w:szCs w:val="20"/>
                <w:color w:val="auto"/>
              </w:rPr>
            </w:pPr>
            <w:r>
              <w:rPr>
                <w:rFonts w:ascii="Arial" w:cs="Arial" w:eastAsia="Arial" w:hAnsi="Arial"/>
                <w:sz w:val="15"/>
                <w:szCs w:val="15"/>
                <w:color w:val="auto"/>
              </w:rPr>
              <w:t>—</w:t>
            </w:r>
          </w:p>
        </w:tc>
      </w:tr>
      <w:tr>
        <w:trPr>
          <w:trHeight w:val="274"/>
        </w:trPr>
        <w:tc>
          <w:tcPr>
            <w:tcW w:w="7860" w:type="dxa"/>
            <w:vAlign w:val="bottom"/>
            <w:shd w:val="clear" w:color="auto" w:fill="CCEEFF"/>
          </w:tcPr>
          <w:p>
            <w:pPr>
              <w:ind w:left="100"/>
              <w:spacing w:after="0"/>
              <w:rPr>
                <w:sz w:val="20"/>
                <w:szCs w:val="20"/>
                <w:color w:val="auto"/>
              </w:rPr>
            </w:pPr>
            <w:r>
              <w:rPr>
                <w:rFonts w:ascii="Arial" w:cs="Arial" w:eastAsia="Arial" w:hAnsi="Arial"/>
                <w:sz w:val="15"/>
                <w:szCs w:val="15"/>
                <w:color w:val="auto"/>
              </w:rPr>
              <w:t>Prepaid expenses</w:t>
            </w:r>
          </w:p>
        </w:tc>
        <w:tc>
          <w:tcPr>
            <w:tcW w:w="340" w:type="dxa"/>
            <w:vAlign w:val="bottom"/>
            <w:shd w:val="clear" w:color="auto" w:fill="CCEEFF"/>
          </w:tcPr>
          <w:p>
            <w:pPr>
              <w:spacing w:after="0"/>
              <w:rPr>
                <w:sz w:val="23"/>
                <w:szCs w:val="23"/>
                <w:color w:val="auto"/>
              </w:rPr>
            </w:pPr>
          </w:p>
        </w:tc>
        <w:tc>
          <w:tcPr>
            <w:tcW w:w="1360" w:type="dxa"/>
            <w:vAlign w:val="bottom"/>
            <w:shd w:val="clear" w:color="auto" w:fill="CCEEFF"/>
          </w:tcPr>
          <w:p>
            <w:pPr>
              <w:jc w:val="right"/>
              <w:ind w:right="44"/>
              <w:spacing w:after="0"/>
              <w:rPr>
                <w:sz w:val="20"/>
                <w:szCs w:val="20"/>
                <w:color w:val="auto"/>
              </w:rPr>
            </w:pPr>
            <w:r>
              <w:rPr>
                <w:rFonts w:ascii="Arial" w:cs="Arial" w:eastAsia="Arial" w:hAnsi="Arial"/>
                <w:sz w:val="15"/>
                <w:szCs w:val="15"/>
                <w:color w:val="auto"/>
              </w:rPr>
              <w:t>3,796</w:t>
            </w: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1440" w:type="dxa"/>
            <w:vAlign w:val="bottom"/>
            <w:shd w:val="clear" w:color="auto" w:fill="CCEEFF"/>
          </w:tcPr>
          <w:p>
            <w:pPr>
              <w:jc w:val="right"/>
              <w:ind w:right="44"/>
              <w:spacing w:after="0"/>
              <w:rPr>
                <w:sz w:val="20"/>
                <w:szCs w:val="20"/>
                <w:color w:val="auto"/>
              </w:rPr>
            </w:pPr>
            <w:r>
              <w:rPr>
                <w:rFonts w:ascii="Arial" w:cs="Arial" w:eastAsia="Arial" w:hAnsi="Arial"/>
                <w:sz w:val="15"/>
                <w:szCs w:val="15"/>
                <w:color w:val="auto"/>
              </w:rPr>
              <w:t>3,929</w:t>
            </w:r>
          </w:p>
        </w:tc>
      </w:tr>
      <w:tr>
        <w:trPr>
          <w:trHeight w:val="266"/>
        </w:trPr>
        <w:tc>
          <w:tcPr>
            <w:tcW w:w="7860" w:type="dxa"/>
            <w:vAlign w:val="bottom"/>
          </w:tcPr>
          <w:p>
            <w:pPr>
              <w:ind w:left="100"/>
              <w:spacing w:after="0"/>
              <w:rPr>
                <w:sz w:val="20"/>
                <w:szCs w:val="20"/>
                <w:color w:val="auto"/>
              </w:rPr>
            </w:pPr>
            <w:r>
              <w:rPr>
                <w:rFonts w:ascii="Arial" w:cs="Arial" w:eastAsia="Arial" w:hAnsi="Arial"/>
                <w:sz w:val="15"/>
                <w:szCs w:val="15"/>
                <w:color w:val="auto"/>
              </w:rPr>
              <w:t>Other receivables</w:t>
            </w:r>
          </w:p>
        </w:tc>
        <w:tc>
          <w:tcPr>
            <w:tcW w:w="340" w:type="dxa"/>
            <w:vAlign w:val="bottom"/>
          </w:tcPr>
          <w:p>
            <w:pPr>
              <w:spacing w:after="0"/>
              <w:rPr>
                <w:sz w:val="23"/>
                <w:szCs w:val="23"/>
                <w:color w:val="auto"/>
              </w:rPr>
            </w:pPr>
          </w:p>
        </w:tc>
        <w:tc>
          <w:tcPr>
            <w:tcW w:w="1360" w:type="dxa"/>
            <w:vAlign w:val="bottom"/>
          </w:tcPr>
          <w:p>
            <w:pPr>
              <w:jc w:val="right"/>
              <w:ind w:right="44"/>
              <w:spacing w:after="0"/>
              <w:rPr>
                <w:sz w:val="20"/>
                <w:szCs w:val="20"/>
                <w:color w:val="auto"/>
              </w:rPr>
            </w:pPr>
            <w:r>
              <w:rPr>
                <w:rFonts w:ascii="Arial" w:cs="Arial" w:eastAsia="Arial" w:hAnsi="Arial"/>
                <w:sz w:val="15"/>
                <w:szCs w:val="15"/>
                <w:color w:val="auto"/>
              </w:rPr>
              <w:t>23,343</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440" w:type="dxa"/>
            <w:vAlign w:val="bottom"/>
          </w:tcPr>
          <w:p>
            <w:pPr>
              <w:jc w:val="right"/>
              <w:ind w:right="44"/>
              <w:spacing w:after="0"/>
              <w:rPr>
                <w:sz w:val="20"/>
                <w:szCs w:val="20"/>
                <w:color w:val="auto"/>
              </w:rPr>
            </w:pPr>
            <w:r>
              <w:rPr>
                <w:rFonts w:ascii="Arial" w:cs="Arial" w:eastAsia="Arial" w:hAnsi="Arial"/>
                <w:sz w:val="15"/>
                <w:szCs w:val="15"/>
                <w:color w:val="auto"/>
              </w:rPr>
              <w:t>9,562</w:t>
            </w:r>
          </w:p>
        </w:tc>
      </w:tr>
      <w:tr>
        <w:trPr>
          <w:trHeight w:val="270"/>
        </w:trPr>
        <w:tc>
          <w:tcPr>
            <w:tcW w:w="7860" w:type="dxa"/>
            <w:vAlign w:val="bottom"/>
            <w:shd w:val="clear" w:color="auto" w:fill="CCEEFF"/>
          </w:tcPr>
          <w:p>
            <w:pPr>
              <w:ind w:left="100"/>
              <w:spacing w:after="0"/>
              <w:rPr>
                <w:sz w:val="20"/>
                <w:szCs w:val="20"/>
                <w:color w:val="auto"/>
              </w:rPr>
            </w:pPr>
            <w:r>
              <w:rPr>
                <w:rFonts w:ascii="Arial" w:cs="Arial" w:eastAsia="Arial" w:hAnsi="Arial"/>
                <w:sz w:val="15"/>
                <w:szCs w:val="15"/>
                <w:color w:val="auto"/>
              </w:rPr>
              <w:t>Other current assets</w:t>
            </w:r>
          </w:p>
        </w:tc>
        <w:tc>
          <w:tcPr>
            <w:tcW w:w="340" w:type="dxa"/>
            <w:vAlign w:val="bottom"/>
            <w:tcBorders>
              <w:bottom w:val="single" w:sz="8" w:color="auto"/>
            </w:tcBorders>
            <w:shd w:val="clear" w:color="auto" w:fill="CCEEFF"/>
          </w:tcPr>
          <w:p>
            <w:pPr>
              <w:spacing w:after="0"/>
              <w:rPr>
                <w:sz w:val="23"/>
                <w:szCs w:val="23"/>
                <w:color w:val="auto"/>
              </w:rPr>
            </w:pPr>
          </w:p>
        </w:tc>
        <w:tc>
          <w:tcPr>
            <w:tcW w:w="1360" w:type="dxa"/>
            <w:vAlign w:val="bottom"/>
            <w:tcBorders>
              <w:bottom w:val="single" w:sz="8" w:color="auto"/>
            </w:tcBorders>
            <w:shd w:val="clear" w:color="auto" w:fill="CCEEFF"/>
          </w:tcPr>
          <w:p>
            <w:pPr>
              <w:jc w:val="right"/>
              <w:ind w:right="44"/>
              <w:spacing w:after="0"/>
              <w:rPr>
                <w:sz w:val="20"/>
                <w:szCs w:val="20"/>
                <w:color w:val="auto"/>
              </w:rPr>
            </w:pPr>
            <w:r>
              <w:rPr>
                <w:rFonts w:ascii="Arial" w:cs="Arial" w:eastAsia="Arial" w:hAnsi="Arial"/>
                <w:sz w:val="15"/>
                <w:szCs w:val="15"/>
                <w:color w:val="auto"/>
              </w:rPr>
              <w:t>5,916</w:t>
            </w:r>
          </w:p>
        </w:tc>
        <w:tc>
          <w:tcPr>
            <w:tcW w:w="10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1440" w:type="dxa"/>
            <w:vAlign w:val="bottom"/>
            <w:tcBorders>
              <w:bottom w:val="single" w:sz="8" w:color="auto"/>
            </w:tcBorders>
            <w:shd w:val="clear" w:color="auto" w:fill="CCEEFF"/>
          </w:tcPr>
          <w:p>
            <w:pPr>
              <w:jc w:val="right"/>
              <w:ind w:right="44"/>
              <w:spacing w:after="0"/>
              <w:rPr>
                <w:sz w:val="20"/>
                <w:szCs w:val="20"/>
                <w:color w:val="auto"/>
              </w:rPr>
            </w:pPr>
            <w:r>
              <w:rPr>
                <w:rFonts w:ascii="Arial" w:cs="Arial" w:eastAsia="Arial" w:hAnsi="Arial"/>
                <w:sz w:val="15"/>
                <w:szCs w:val="15"/>
                <w:color w:val="auto"/>
              </w:rPr>
              <w:t>6,947</w:t>
            </w:r>
          </w:p>
        </w:tc>
      </w:tr>
      <w:tr>
        <w:trPr>
          <w:trHeight w:val="250"/>
        </w:trPr>
        <w:tc>
          <w:tcPr>
            <w:tcW w:w="7860" w:type="dxa"/>
            <w:vAlign w:val="bottom"/>
          </w:tcPr>
          <w:p>
            <w:pPr>
              <w:ind w:left="280"/>
              <w:spacing w:after="0"/>
              <w:rPr>
                <w:sz w:val="20"/>
                <w:szCs w:val="20"/>
                <w:color w:val="auto"/>
              </w:rPr>
            </w:pPr>
            <w:r>
              <w:rPr>
                <w:rFonts w:ascii="Arial" w:cs="Arial" w:eastAsia="Arial" w:hAnsi="Arial"/>
                <w:sz w:val="15"/>
                <w:szCs w:val="15"/>
                <w:color w:val="auto"/>
              </w:rPr>
              <w:t>Total current assets</w:t>
            </w:r>
          </w:p>
        </w:tc>
        <w:tc>
          <w:tcPr>
            <w:tcW w:w="340" w:type="dxa"/>
            <w:vAlign w:val="bottom"/>
          </w:tcPr>
          <w:p>
            <w:pPr>
              <w:spacing w:after="0"/>
              <w:rPr>
                <w:sz w:val="21"/>
                <w:szCs w:val="21"/>
                <w:color w:val="auto"/>
              </w:rPr>
            </w:pPr>
          </w:p>
        </w:tc>
        <w:tc>
          <w:tcPr>
            <w:tcW w:w="1360" w:type="dxa"/>
            <w:vAlign w:val="bottom"/>
          </w:tcPr>
          <w:p>
            <w:pPr>
              <w:jc w:val="right"/>
              <w:ind w:right="44"/>
              <w:spacing w:after="0"/>
              <w:rPr>
                <w:sz w:val="20"/>
                <w:szCs w:val="20"/>
                <w:color w:val="auto"/>
              </w:rPr>
            </w:pPr>
            <w:r>
              <w:rPr>
                <w:rFonts w:ascii="Arial" w:cs="Arial" w:eastAsia="Arial" w:hAnsi="Arial"/>
                <w:sz w:val="15"/>
                <w:szCs w:val="15"/>
                <w:color w:val="auto"/>
              </w:rPr>
              <w:t>200,685</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440" w:type="dxa"/>
            <w:vAlign w:val="bottom"/>
          </w:tcPr>
          <w:p>
            <w:pPr>
              <w:jc w:val="right"/>
              <w:ind w:right="44"/>
              <w:spacing w:after="0"/>
              <w:rPr>
                <w:sz w:val="20"/>
                <w:szCs w:val="20"/>
                <w:color w:val="auto"/>
              </w:rPr>
            </w:pPr>
            <w:r>
              <w:rPr>
                <w:rFonts w:ascii="Arial" w:cs="Arial" w:eastAsia="Arial" w:hAnsi="Arial"/>
                <w:sz w:val="15"/>
                <w:szCs w:val="15"/>
                <w:color w:val="auto"/>
              </w:rPr>
              <w:t>177,001</w:t>
            </w:r>
          </w:p>
        </w:tc>
      </w:tr>
      <w:tr>
        <w:trPr>
          <w:trHeight w:val="180"/>
        </w:trPr>
        <w:tc>
          <w:tcPr>
            <w:tcW w:w="7860" w:type="dxa"/>
            <w:vAlign w:val="bottom"/>
            <w:shd w:val="clear" w:color="auto" w:fill="CCEEFF"/>
          </w:tcPr>
          <w:p>
            <w:pPr>
              <w:ind w:left="20"/>
              <w:spacing w:after="0"/>
              <w:rPr>
                <w:sz w:val="20"/>
                <w:szCs w:val="20"/>
                <w:color w:val="auto"/>
              </w:rPr>
            </w:pPr>
            <w:r>
              <w:rPr>
                <w:rFonts w:ascii="Arial" w:cs="Arial" w:eastAsia="Arial" w:hAnsi="Arial"/>
                <w:sz w:val="15"/>
                <w:szCs w:val="15"/>
                <w:color w:val="auto"/>
                <w:w w:val="95"/>
              </w:rPr>
              <w:t>Property and equipment, net of accumulated depreciation of $44,676, as of June 30, 2018 and $36,228 as of December 31,</w:t>
            </w:r>
          </w:p>
        </w:tc>
        <w:tc>
          <w:tcPr>
            <w:tcW w:w="340" w:type="dxa"/>
            <w:vAlign w:val="bottom"/>
            <w:shd w:val="clear" w:color="auto" w:fill="CCEEFF"/>
          </w:tcPr>
          <w:p>
            <w:pPr>
              <w:spacing w:after="0"/>
              <w:rPr>
                <w:sz w:val="15"/>
                <w:szCs w:val="15"/>
                <w:color w:val="auto"/>
              </w:rPr>
            </w:pPr>
          </w:p>
        </w:tc>
        <w:tc>
          <w:tcPr>
            <w:tcW w:w="13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1440" w:type="dxa"/>
            <w:vAlign w:val="bottom"/>
            <w:shd w:val="clear" w:color="auto" w:fill="CCEEFF"/>
          </w:tcPr>
          <w:p>
            <w:pPr>
              <w:spacing w:after="0"/>
              <w:rPr>
                <w:sz w:val="15"/>
                <w:szCs w:val="15"/>
                <w:color w:val="auto"/>
              </w:rPr>
            </w:pPr>
          </w:p>
        </w:tc>
      </w:tr>
      <w:tr>
        <w:trPr>
          <w:trHeight w:val="202"/>
        </w:trPr>
        <w:tc>
          <w:tcPr>
            <w:tcW w:w="7860" w:type="dxa"/>
            <w:vAlign w:val="bottom"/>
            <w:shd w:val="clear" w:color="auto" w:fill="CCEEFF"/>
          </w:tcPr>
          <w:p>
            <w:pPr>
              <w:ind w:left="20"/>
              <w:spacing w:after="0"/>
              <w:rPr>
                <w:sz w:val="20"/>
                <w:szCs w:val="20"/>
                <w:color w:val="auto"/>
              </w:rPr>
            </w:pPr>
            <w:r>
              <w:rPr>
                <w:rFonts w:ascii="Arial" w:cs="Arial" w:eastAsia="Arial" w:hAnsi="Arial"/>
                <w:sz w:val="15"/>
                <w:szCs w:val="15"/>
                <w:color w:val="auto"/>
              </w:rPr>
              <w:t>2017</w:t>
            </w:r>
          </w:p>
        </w:tc>
        <w:tc>
          <w:tcPr>
            <w:tcW w:w="340" w:type="dxa"/>
            <w:vAlign w:val="bottom"/>
            <w:shd w:val="clear" w:color="auto" w:fill="CCEEFF"/>
          </w:tcPr>
          <w:p>
            <w:pPr>
              <w:spacing w:after="0"/>
              <w:rPr>
                <w:sz w:val="17"/>
                <w:szCs w:val="17"/>
                <w:color w:val="auto"/>
              </w:rPr>
            </w:pPr>
          </w:p>
        </w:tc>
        <w:tc>
          <w:tcPr>
            <w:tcW w:w="1360" w:type="dxa"/>
            <w:vAlign w:val="bottom"/>
            <w:shd w:val="clear" w:color="auto" w:fill="CCEEFF"/>
          </w:tcPr>
          <w:p>
            <w:pPr>
              <w:jc w:val="right"/>
              <w:ind w:right="44"/>
              <w:spacing w:after="0"/>
              <w:rPr>
                <w:sz w:val="20"/>
                <w:szCs w:val="20"/>
                <w:color w:val="auto"/>
              </w:rPr>
            </w:pPr>
            <w:r>
              <w:rPr>
                <w:rFonts w:ascii="Arial" w:cs="Arial" w:eastAsia="Arial" w:hAnsi="Arial"/>
                <w:sz w:val="15"/>
                <w:szCs w:val="15"/>
                <w:color w:val="auto"/>
              </w:rPr>
              <w:t>87,570</w:t>
            </w: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440" w:type="dxa"/>
            <w:vAlign w:val="bottom"/>
            <w:shd w:val="clear" w:color="auto" w:fill="CCEEFF"/>
          </w:tcPr>
          <w:p>
            <w:pPr>
              <w:jc w:val="right"/>
              <w:ind w:right="44"/>
              <w:spacing w:after="0"/>
              <w:rPr>
                <w:sz w:val="20"/>
                <w:szCs w:val="20"/>
                <w:color w:val="auto"/>
              </w:rPr>
            </w:pPr>
            <w:r>
              <w:rPr>
                <w:rFonts w:ascii="Arial" w:cs="Arial" w:eastAsia="Arial" w:hAnsi="Arial"/>
                <w:sz w:val="15"/>
                <w:szCs w:val="15"/>
                <w:color w:val="auto"/>
              </w:rPr>
              <w:t>83,327</w:t>
            </w:r>
          </w:p>
        </w:tc>
      </w:tr>
      <w:tr>
        <w:trPr>
          <w:trHeight w:val="266"/>
        </w:trPr>
        <w:tc>
          <w:tcPr>
            <w:tcW w:w="7860" w:type="dxa"/>
            <w:vAlign w:val="bottom"/>
          </w:tcPr>
          <w:p>
            <w:pPr>
              <w:ind w:left="20"/>
              <w:spacing w:after="0"/>
              <w:rPr>
                <w:sz w:val="20"/>
                <w:szCs w:val="20"/>
                <w:color w:val="auto"/>
              </w:rPr>
            </w:pPr>
            <w:r>
              <w:rPr>
                <w:rFonts w:ascii="Arial" w:cs="Arial" w:eastAsia="Arial" w:hAnsi="Arial"/>
                <w:sz w:val="15"/>
                <w:szCs w:val="15"/>
                <w:color w:val="auto"/>
              </w:rPr>
              <w:t>Intangible assets, net</w:t>
            </w:r>
          </w:p>
        </w:tc>
        <w:tc>
          <w:tcPr>
            <w:tcW w:w="340" w:type="dxa"/>
            <w:vAlign w:val="bottom"/>
          </w:tcPr>
          <w:p>
            <w:pPr>
              <w:spacing w:after="0"/>
              <w:rPr>
                <w:sz w:val="23"/>
                <w:szCs w:val="23"/>
                <w:color w:val="auto"/>
              </w:rPr>
            </w:pPr>
          </w:p>
        </w:tc>
        <w:tc>
          <w:tcPr>
            <w:tcW w:w="1360" w:type="dxa"/>
            <w:vAlign w:val="bottom"/>
          </w:tcPr>
          <w:p>
            <w:pPr>
              <w:jc w:val="right"/>
              <w:ind w:right="44"/>
              <w:spacing w:after="0"/>
              <w:rPr>
                <w:sz w:val="20"/>
                <w:szCs w:val="20"/>
                <w:color w:val="auto"/>
              </w:rPr>
            </w:pPr>
            <w:r>
              <w:rPr>
                <w:rFonts w:ascii="Arial" w:cs="Arial" w:eastAsia="Arial" w:hAnsi="Arial"/>
                <w:sz w:val="15"/>
                <w:szCs w:val="15"/>
                <w:color w:val="auto"/>
              </w:rPr>
              <w:t>237,092</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440" w:type="dxa"/>
            <w:vAlign w:val="bottom"/>
          </w:tcPr>
          <w:p>
            <w:pPr>
              <w:jc w:val="right"/>
              <w:ind w:right="44"/>
              <w:spacing w:after="0"/>
              <w:rPr>
                <w:sz w:val="20"/>
                <w:szCs w:val="20"/>
                <w:color w:val="auto"/>
              </w:rPr>
            </w:pPr>
            <w:r>
              <w:rPr>
                <w:rFonts w:ascii="Arial" w:cs="Arial" w:eastAsia="Arial" w:hAnsi="Arial"/>
                <w:sz w:val="15"/>
                <w:szCs w:val="15"/>
                <w:color w:val="auto"/>
              </w:rPr>
              <w:t>235,657</w:t>
            </w:r>
          </w:p>
        </w:tc>
      </w:tr>
      <w:tr>
        <w:trPr>
          <w:trHeight w:val="274"/>
        </w:trPr>
        <w:tc>
          <w:tcPr>
            <w:tcW w:w="7860" w:type="dxa"/>
            <w:vAlign w:val="bottom"/>
            <w:shd w:val="clear" w:color="auto" w:fill="CCEEFF"/>
          </w:tcPr>
          <w:p>
            <w:pPr>
              <w:ind w:left="20"/>
              <w:spacing w:after="0"/>
              <w:rPr>
                <w:sz w:val="20"/>
                <w:szCs w:val="20"/>
                <w:color w:val="auto"/>
              </w:rPr>
            </w:pPr>
            <w:r>
              <w:rPr>
                <w:rFonts w:ascii="Arial" w:cs="Arial" w:eastAsia="Arial" w:hAnsi="Arial"/>
                <w:sz w:val="15"/>
                <w:szCs w:val="15"/>
                <w:color w:val="auto"/>
              </w:rPr>
              <w:t>Goodwill</w:t>
            </w:r>
          </w:p>
        </w:tc>
        <w:tc>
          <w:tcPr>
            <w:tcW w:w="340" w:type="dxa"/>
            <w:vAlign w:val="bottom"/>
            <w:shd w:val="clear" w:color="auto" w:fill="CCEEFF"/>
          </w:tcPr>
          <w:p>
            <w:pPr>
              <w:spacing w:after="0"/>
              <w:rPr>
                <w:sz w:val="23"/>
                <w:szCs w:val="23"/>
                <w:color w:val="auto"/>
              </w:rPr>
            </w:pPr>
          </w:p>
        </w:tc>
        <w:tc>
          <w:tcPr>
            <w:tcW w:w="1360" w:type="dxa"/>
            <w:vAlign w:val="bottom"/>
            <w:shd w:val="clear" w:color="auto" w:fill="CCEEFF"/>
          </w:tcPr>
          <w:p>
            <w:pPr>
              <w:jc w:val="right"/>
              <w:ind w:right="44"/>
              <w:spacing w:after="0"/>
              <w:rPr>
                <w:sz w:val="20"/>
                <w:szCs w:val="20"/>
                <w:color w:val="auto"/>
              </w:rPr>
            </w:pPr>
            <w:r>
              <w:rPr>
                <w:rFonts w:ascii="Arial" w:cs="Arial" w:eastAsia="Arial" w:hAnsi="Arial"/>
                <w:sz w:val="15"/>
                <w:szCs w:val="15"/>
                <w:color w:val="auto"/>
              </w:rPr>
              <w:t>191,038</w:t>
            </w: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1440" w:type="dxa"/>
            <w:vAlign w:val="bottom"/>
            <w:shd w:val="clear" w:color="auto" w:fill="CCEEFF"/>
          </w:tcPr>
          <w:p>
            <w:pPr>
              <w:jc w:val="right"/>
              <w:ind w:right="44"/>
              <w:spacing w:after="0"/>
              <w:rPr>
                <w:sz w:val="20"/>
                <w:szCs w:val="20"/>
                <w:color w:val="auto"/>
              </w:rPr>
            </w:pPr>
            <w:r>
              <w:rPr>
                <w:rFonts w:ascii="Arial" w:cs="Arial" w:eastAsia="Arial" w:hAnsi="Arial"/>
                <w:sz w:val="15"/>
                <w:szCs w:val="15"/>
                <w:color w:val="auto"/>
              </w:rPr>
              <w:t>176,981</w:t>
            </w:r>
          </w:p>
        </w:tc>
      </w:tr>
      <w:tr>
        <w:trPr>
          <w:trHeight w:val="266"/>
        </w:trPr>
        <w:tc>
          <w:tcPr>
            <w:tcW w:w="7860" w:type="dxa"/>
            <w:vAlign w:val="bottom"/>
          </w:tcPr>
          <w:p>
            <w:pPr>
              <w:ind w:left="20"/>
              <w:spacing w:after="0"/>
              <w:rPr>
                <w:sz w:val="20"/>
                <w:szCs w:val="20"/>
                <w:color w:val="auto"/>
              </w:rPr>
            </w:pPr>
            <w:r>
              <w:rPr>
                <w:rFonts w:ascii="Arial" w:cs="Arial" w:eastAsia="Arial" w:hAnsi="Arial"/>
                <w:sz w:val="15"/>
                <w:szCs w:val="15"/>
                <w:color w:val="auto"/>
              </w:rPr>
              <w:t>Deferred income taxes</w:t>
            </w:r>
          </w:p>
        </w:tc>
        <w:tc>
          <w:tcPr>
            <w:tcW w:w="340" w:type="dxa"/>
            <w:vAlign w:val="bottom"/>
          </w:tcPr>
          <w:p>
            <w:pPr>
              <w:spacing w:after="0"/>
              <w:rPr>
                <w:sz w:val="23"/>
                <w:szCs w:val="23"/>
                <w:color w:val="auto"/>
              </w:rPr>
            </w:pPr>
          </w:p>
        </w:tc>
        <w:tc>
          <w:tcPr>
            <w:tcW w:w="1360" w:type="dxa"/>
            <w:vAlign w:val="bottom"/>
          </w:tcPr>
          <w:p>
            <w:pPr>
              <w:jc w:val="right"/>
              <w:ind w:right="44"/>
              <w:spacing w:after="0"/>
              <w:rPr>
                <w:sz w:val="20"/>
                <w:szCs w:val="20"/>
                <w:color w:val="auto"/>
              </w:rPr>
            </w:pPr>
            <w:r>
              <w:rPr>
                <w:rFonts w:ascii="Arial" w:cs="Arial" w:eastAsia="Arial" w:hAnsi="Arial"/>
                <w:sz w:val="15"/>
                <w:szCs w:val="15"/>
                <w:color w:val="auto"/>
              </w:rPr>
              <w:t>406,699</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440" w:type="dxa"/>
            <w:vAlign w:val="bottom"/>
          </w:tcPr>
          <w:p>
            <w:pPr>
              <w:jc w:val="right"/>
              <w:ind w:right="44"/>
              <w:spacing w:after="0"/>
              <w:rPr>
                <w:sz w:val="20"/>
                <w:szCs w:val="20"/>
                <w:color w:val="auto"/>
              </w:rPr>
            </w:pPr>
            <w:r>
              <w:rPr>
                <w:rFonts w:ascii="Arial" w:cs="Arial" w:eastAsia="Arial" w:hAnsi="Arial"/>
                <w:sz w:val="15"/>
                <w:szCs w:val="15"/>
                <w:color w:val="auto"/>
              </w:rPr>
              <w:t>407,782</w:t>
            </w:r>
          </w:p>
        </w:tc>
      </w:tr>
      <w:tr>
        <w:trPr>
          <w:trHeight w:val="270"/>
        </w:trPr>
        <w:tc>
          <w:tcPr>
            <w:tcW w:w="7860" w:type="dxa"/>
            <w:vAlign w:val="bottom"/>
            <w:shd w:val="clear" w:color="auto" w:fill="CCEEFF"/>
          </w:tcPr>
          <w:p>
            <w:pPr>
              <w:ind w:left="20"/>
              <w:spacing w:after="0"/>
              <w:rPr>
                <w:sz w:val="20"/>
                <w:szCs w:val="20"/>
                <w:color w:val="auto"/>
              </w:rPr>
            </w:pPr>
            <w:r>
              <w:rPr>
                <w:rFonts w:ascii="Arial" w:cs="Arial" w:eastAsia="Arial" w:hAnsi="Arial"/>
                <w:sz w:val="15"/>
                <w:szCs w:val="15"/>
                <w:color w:val="auto"/>
              </w:rPr>
              <w:t>Other assets, net</w:t>
            </w:r>
          </w:p>
        </w:tc>
        <w:tc>
          <w:tcPr>
            <w:tcW w:w="340" w:type="dxa"/>
            <w:vAlign w:val="bottom"/>
            <w:tcBorders>
              <w:bottom w:val="single" w:sz="8" w:color="auto"/>
            </w:tcBorders>
            <w:shd w:val="clear" w:color="auto" w:fill="CCEEFF"/>
          </w:tcPr>
          <w:p>
            <w:pPr>
              <w:spacing w:after="0"/>
              <w:rPr>
                <w:sz w:val="23"/>
                <w:szCs w:val="23"/>
                <w:color w:val="auto"/>
              </w:rPr>
            </w:pPr>
          </w:p>
        </w:tc>
        <w:tc>
          <w:tcPr>
            <w:tcW w:w="1360" w:type="dxa"/>
            <w:vAlign w:val="bottom"/>
            <w:tcBorders>
              <w:bottom w:val="single" w:sz="8" w:color="auto"/>
            </w:tcBorders>
            <w:shd w:val="clear" w:color="auto" w:fill="CCEEFF"/>
          </w:tcPr>
          <w:p>
            <w:pPr>
              <w:jc w:val="right"/>
              <w:ind w:right="44"/>
              <w:spacing w:after="0"/>
              <w:rPr>
                <w:sz w:val="20"/>
                <w:szCs w:val="20"/>
                <w:color w:val="auto"/>
              </w:rPr>
            </w:pPr>
            <w:r>
              <w:rPr>
                <w:rFonts w:ascii="Arial" w:cs="Arial" w:eastAsia="Arial" w:hAnsi="Arial"/>
                <w:sz w:val="15"/>
                <w:szCs w:val="15"/>
                <w:color w:val="auto"/>
              </w:rPr>
              <w:t>1,637</w:t>
            </w:r>
          </w:p>
        </w:tc>
        <w:tc>
          <w:tcPr>
            <w:tcW w:w="10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1440" w:type="dxa"/>
            <w:vAlign w:val="bottom"/>
            <w:tcBorders>
              <w:bottom w:val="single" w:sz="8" w:color="auto"/>
            </w:tcBorders>
            <w:shd w:val="clear" w:color="auto" w:fill="CCEEFF"/>
          </w:tcPr>
          <w:p>
            <w:pPr>
              <w:jc w:val="right"/>
              <w:ind w:right="44"/>
              <w:spacing w:after="0"/>
              <w:rPr>
                <w:sz w:val="20"/>
                <w:szCs w:val="20"/>
                <w:color w:val="auto"/>
              </w:rPr>
            </w:pPr>
            <w:r>
              <w:rPr>
                <w:rFonts w:ascii="Arial" w:cs="Arial" w:eastAsia="Arial" w:hAnsi="Arial"/>
                <w:sz w:val="15"/>
                <w:szCs w:val="15"/>
                <w:color w:val="auto"/>
              </w:rPr>
              <w:t>11,717</w:t>
            </w:r>
          </w:p>
        </w:tc>
      </w:tr>
      <w:tr>
        <w:trPr>
          <w:trHeight w:val="281"/>
        </w:trPr>
        <w:tc>
          <w:tcPr>
            <w:tcW w:w="7860" w:type="dxa"/>
            <w:vAlign w:val="bottom"/>
            <w:tcBorders>
              <w:bottom w:val="single" w:sz="8" w:color="CCEEFF"/>
            </w:tcBorders>
          </w:tcPr>
          <w:p>
            <w:pPr>
              <w:ind w:left="280"/>
              <w:spacing w:after="0"/>
              <w:rPr>
                <w:sz w:val="20"/>
                <w:szCs w:val="20"/>
                <w:color w:val="auto"/>
              </w:rPr>
            </w:pPr>
            <w:r>
              <w:rPr>
                <w:rFonts w:ascii="Arial" w:cs="Arial" w:eastAsia="Arial" w:hAnsi="Arial"/>
                <w:sz w:val="15"/>
                <w:szCs w:val="15"/>
                <w:color w:val="auto"/>
              </w:rPr>
              <w:t>Total assets</w:t>
            </w:r>
          </w:p>
        </w:tc>
        <w:tc>
          <w:tcPr>
            <w:tcW w:w="340" w:type="dxa"/>
            <w:vAlign w:val="bottom"/>
            <w:tcBorders>
              <w:bottom w:val="single" w:sz="8" w:color="auto"/>
            </w:tcBorders>
          </w:tcPr>
          <w:p>
            <w:pPr>
              <w:jc w:val="right"/>
              <w:ind w:right="163"/>
              <w:spacing w:after="0"/>
              <w:rPr>
                <w:sz w:val="20"/>
                <w:szCs w:val="20"/>
                <w:color w:val="auto"/>
              </w:rPr>
            </w:pPr>
            <w:r>
              <w:rPr>
                <w:rFonts w:ascii="Arial" w:cs="Arial" w:eastAsia="Arial" w:hAnsi="Arial"/>
                <w:sz w:val="15"/>
                <w:szCs w:val="15"/>
                <w:color w:val="auto"/>
                <w:w w:val="95"/>
              </w:rPr>
              <w:t>$</w:t>
            </w:r>
          </w:p>
        </w:tc>
        <w:tc>
          <w:tcPr>
            <w:tcW w:w="1360" w:type="dxa"/>
            <w:vAlign w:val="bottom"/>
            <w:tcBorders>
              <w:bottom w:val="single" w:sz="8" w:color="auto"/>
            </w:tcBorders>
          </w:tcPr>
          <w:p>
            <w:pPr>
              <w:jc w:val="right"/>
              <w:ind w:right="44"/>
              <w:spacing w:after="0"/>
              <w:rPr>
                <w:sz w:val="20"/>
                <w:szCs w:val="20"/>
                <w:color w:val="auto"/>
              </w:rPr>
            </w:pPr>
            <w:r>
              <w:rPr>
                <w:rFonts w:ascii="Arial" w:cs="Arial" w:eastAsia="Arial" w:hAnsi="Arial"/>
                <w:sz w:val="15"/>
                <w:szCs w:val="15"/>
                <w:color w:val="auto"/>
              </w:rPr>
              <w:t>1,124,721</w:t>
            </w:r>
          </w:p>
        </w:tc>
        <w:tc>
          <w:tcPr>
            <w:tcW w:w="100" w:type="dxa"/>
            <w:vAlign w:val="bottom"/>
            <w:tcBorders>
              <w:bottom w:val="single" w:sz="8" w:color="CCEEFF"/>
            </w:tcBorders>
          </w:tcPr>
          <w:p>
            <w:pPr>
              <w:spacing w:after="0"/>
              <w:rPr>
                <w:sz w:val="24"/>
                <w:szCs w:val="24"/>
                <w:color w:val="auto"/>
              </w:rPr>
            </w:pPr>
          </w:p>
        </w:tc>
        <w:tc>
          <w:tcPr>
            <w:tcW w:w="260" w:type="dxa"/>
            <w:vAlign w:val="bottom"/>
            <w:tcBorders>
              <w:bottom w:val="single" w:sz="8" w:color="auto"/>
            </w:tcBorders>
          </w:tcPr>
          <w:p>
            <w:pPr>
              <w:jc w:val="right"/>
              <w:ind w:right="83"/>
              <w:spacing w:after="0"/>
              <w:rPr>
                <w:sz w:val="20"/>
                <w:szCs w:val="20"/>
                <w:color w:val="auto"/>
              </w:rPr>
            </w:pPr>
            <w:r>
              <w:rPr>
                <w:rFonts w:ascii="Arial" w:cs="Arial" w:eastAsia="Arial" w:hAnsi="Arial"/>
                <w:sz w:val="15"/>
                <w:szCs w:val="15"/>
                <w:color w:val="auto"/>
                <w:w w:val="95"/>
              </w:rPr>
              <w:t>$</w:t>
            </w:r>
          </w:p>
        </w:tc>
        <w:tc>
          <w:tcPr>
            <w:tcW w:w="1440" w:type="dxa"/>
            <w:vAlign w:val="bottom"/>
            <w:tcBorders>
              <w:bottom w:val="single" w:sz="8" w:color="auto"/>
            </w:tcBorders>
          </w:tcPr>
          <w:p>
            <w:pPr>
              <w:jc w:val="right"/>
              <w:ind w:right="44"/>
              <w:spacing w:after="0"/>
              <w:rPr>
                <w:sz w:val="20"/>
                <w:szCs w:val="20"/>
                <w:color w:val="auto"/>
              </w:rPr>
            </w:pPr>
            <w:r>
              <w:rPr>
                <w:rFonts w:ascii="Arial" w:cs="Arial" w:eastAsia="Arial" w:hAnsi="Arial"/>
                <w:sz w:val="15"/>
                <w:szCs w:val="15"/>
                <w:color w:val="auto"/>
              </w:rPr>
              <w:t>1,092,465</w:t>
            </w:r>
          </w:p>
        </w:tc>
      </w:tr>
      <w:tr>
        <w:trPr>
          <w:trHeight w:val="251"/>
        </w:trPr>
        <w:tc>
          <w:tcPr>
            <w:tcW w:w="7860" w:type="dxa"/>
            <w:vAlign w:val="bottom"/>
            <w:shd w:val="clear" w:color="auto" w:fill="CCEEFF"/>
          </w:tcPr>
          <w:p>
            <w:pPr>
              <w:ind w:left="20"/>
              <w:spacing w:after="0"/>
              <w:rPr>
                <w:sz w:val="20"/>
                <w:szCs w:val="20"/>
                <w:color w:val="auto"/>
              </w:rPr>
            </w:pPr>
            <w:r>
              <w:rPr>
                <w:rFonts w:ascii="Arial" w:cs="Arial" w:eastAsia="Arial" w:hAnsi="Arial"/>
                <w:sz w:val="15"/>
                <w:szCs w:val="15"/>
                <w:b w:val="1"/>
                <w:bCs w:val="1"/>
                <w:color w:val="auto"/>
              </w:rPr>
              <w:t>Liabilities and stockholders' deficit</w:t>
            </w:r>
          </w:p>
        </w:tc>
        <w:tc>
          <w:tcPr>
            <w:tcW w:w="340" w:type="dxa"/>
            <w:vAlign w:val="bottom"/>
            <w:shd w:val="clear" w:color="auto" w:fill="CCEEFF"/>
          </w:tcPr>
          <w:p>
            <w:pPr>
              <w:spacing w:after="0"/>
              <w:rPr>
                <w:sz w:val="21"/>
                <w:szCs w:val="21"/>
                <w:color w:val="auto"/>
              </w:rPr>
            </w:pPr>
          </w:p>
        </w:tc>
        <w:tc>
          <w:tcPr>
            <w:tcW w:w="136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260" w:type="dxa"/>
            <w:vAlign w:val="bottom"/>
            <w:shd w:val="clear" w:color="auto" w:fill="CCEEFF"/>
          </w:tcPr>
          <w:p>
            <w:pPr>
              <w:spacing w:after="0"/>
              <w:rPr>
                <w:sz w:val="21"/>
                <w:szCs w:val="21"/>
                <w:color w:val="auto"/>
              </w:rPr>
            </w:pPr>
          </w:p>
        </w:tc>
        <w:tc>
          <w:tcPr>
            <w:tcW w:w="1440" w:type="dxa"/>
            <w:vAlign w:val="bottom"/>
            <w:shd w:val="clear" w:color="auto" w:fill="CCEEFF"/>
          </w:tcPr>
          <w:p>
            <w:pPr>
              <w:spacing w:after="0"/>
              <w:rPr>
                <w:sz w:val="21"/>
                <w:szCs w:val="21"/>
                <w:color w:val="auto"/>
              </w:rPr>
            </w:pPr>
          </w:p>
        </w:tc>
      </w:tr>
      <w:tr>
        <w:trPr>
          <w:trHeight w:val="266"/>
        </w:trPr>
        <w:tc>
          <w:tcPr>
            <w:tcW w:w="7860" w:type="dxa"/>
            <w:vAlign w:val="bottom"/>
          </w:tcPr>
          <w:p>
            <w:pPr>
              <w:ind w:left="20"/>
              <w:spacing w:after="0"/>
              <w:rPr>
                <w:sz w:val="20"/>
                <w:szCs w:val="20"/>
                <w:color w:val="auto"/>
              </w:rPr>
            </w:pPr>
            <w:r>
              <w:rPr>
                <w:rFonts w:ascii="Arial" w:cs="Arial" w:eastAsia="Arial" w:hAnsi="Arial"/>
                <w:sz w:val="15"/>
                <w:szCs w:val="15"/>
                <w:color w:val="auto"/>
              </w:rPr>
              <w:t>Current liabilities:</w:t>
            </w:r>
          </w:p>
        </w:tc>
        <w:tc>
          <w:tcPr>
            <w:tcW w:w="340" w:type="dxa"/>
            <w:vAlign w:val="bottom"/>
          </w:tcPr>
          <w:p>
            <w:pPr>
              <w:spacing w:after="0"/>
              <w:rPr>
                <w:sz w:val="23"/>
                <w:szCs w:val="23"/>
                <w:color w:val="auto"/>
              </w:rPr>
            </w:pPr>
          </w:p>
        </w:tc>
        <w:tc>
          <w:tcPr>
            <w:tcW w:w="13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440" w:type="dxa"/>
            <w:vAlign w:val="bottom"/>
          </w:tcPr>
          <w:p>
            <w:pPr>
              <w:spacing w:after="0"/>
              <w:rPr>
                <w:sz w:val="23"/>
                <w:szCs w:val="23"/>
                <w:color w:val="auto"/>
              </w:rPr>
            </w:pPr>
          </w:p>
        </w:tc>
      </w:tr>
      <w:tr>
        <w:trPr>
          <w:trHeight w:val="274"/>
        </w:trPr>
        <w:tc>
          <w:tcPr>
            <w:tcW w:w="7860" w:type="dxa"/>
            <w:vAlign w:val="bottom"/>
            <w:shd w:val="clear" w:color="auto" w:fill="CCEEFF"/>
          </w:tcPr>
          <w:p>
            <w:pPr>
              <w:ind w:left="100"/>
              <w:spacing w:after="0"/>
              <w:rPr>
                <w:sz w:val="20"/>
                <w:szCs w:val="20"/>
                <w:color w:val="auto"/>
              </w:rPr>
            </w:pPr>
            <w:r>
              <w:rPr>
                <w:rFonts w:ascii="Arial" w:cs="Arial" w:eastAsia="Arial" w:hAnsi="Arial"/>
                <w:sz w:val="15"/>
                <w:szCs w:val="15"/>
                <w:color w:val="auto"/>
              </w:rPr>
              <w:t>Current maturities of long-term debt</w:t>
            </w:r>
          </w:p>
        </w:tc>
        <w:tc>
          <w:tcPr>
            <w:tcW w:w="340" w:type="dxa"/>
            <w:vAlign w:val="bottom"/>
            <w:shd w:val="clear" w:color="auto" w:fill="CCEEFF"/>
          </w:tcPr>
          <w:p>
            <w:pPr>
              <w:jc w:val="right"/>
              <w:ind w:right="163"/>
              <w:spacing w:after="0"/>
              <w:rPr>
                <w:sz w:val="20"/>
                <w:szCs w:val="20"/>
                <w:color w:val="auto"/>
              </w:rPr>
            </w:pPr>
            <w:r>
              <w:rPr>
                <w:rFonts w:ascii="Arial" w:cs="Arial" w:eastAsia="Arial" w:hAnsi="Arial"/>
                <w:sz w:val="15"/>
                <w:szCs w:val="15"/>
                <w:color w:val="auto"/>
                <w:w w:val="95"/>
              </w:rPr>
              <w:t>$</w:t>
            </w:r>
          </w:p>
        </w:tc>
        <w:tc>
          <w:tcPr>
            <w:tcW w:w="1360" w:type="dxa"/>
            <w:vAlign w:val="bottom"/>
            <w:shd w:val="clear" w:color="auto" w:fill="CCEEFF"/>
          </w:tcPr>
          <w:p>
            <w:pPr>
              <w:jc w:val="right"/>
              <w:ind w:right="44"/>
              <w:spacing w:after="0"/>
              <w:rPr>
                <w:sz w:val="20"/>
                <w:szCs w:val="20"/>
                <w:color w:val="auto"/>
              </w:rPr>
            </w:pPr>
            <w:r>
              <w:rPr>
                <w:rFonts w:ascii="Arial" w:cs="Arial" w:eastAsia="Arial" w:hAnsi="Arial"/>
                <w:sz w:val="15"/>
                <w:szCs w:val="15"/>
                <w:color w:val="auto"/>
              </w:rPr>
              <w:t>7,185</w:t>
            </w: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jc w:val="right"/>
              <w:ind w:right="83"/>
              <w:spacing w:after="0"/>
              <w:rPr>
                <w:sz w:val="20"/>
                <w:szCs w:val="20"/>
                <w:color w:val="auto"/>
              </w:rPr>
            </w:pPr>
            <w:r>
              <w:rPr>
                <w:rFonts w:ascii="Arial" w:cs="Arial" w:eastAsia="Arial" w:hAnsi="Arial"/>
                <w:sz w:val="15"/>
                <w:szCs w:val="15"/>
                <w:color w:val="auto"/>
                <w:w w:val="95"/>
              </w:rPr>
              <w:t>$</w:t>
            </w:r>
          </w:p>
        </w:tc>
        <w:tc>
          <w:tcPr>
            <w:tcW w:w="1440" w:type="dxa"/>
            <w:vAlign w:val="bottom"/>
            <w:shd w:val="clear" w:color="auto" w:fill="CCEEFF"/>
          </w:tcPr>
          <w:p>
            <w:pPr>
              <w:jc w:val="right"/>
              <w:ind w:right="44"/>
              <w:spacing w:after="0"/>
              <w:rPr>
                <w:sz w:val="20"/>
                <w:szCs w:val="20"/>
                <w:color w:val="auto"/>
              </w:rPr>
            </w:pPr>
            <w:r>
              <w:rPr>
                <w:rFonts w:ascii="Arial" w:cs="Arial" w:eastAsia="Arial" w:hAnsi="Arial"/>
                <w:sz w:val="15"/>
                <w:szCs w:val="15"/>
                <w:color w:val="auto"/>
              </w:rPr>
              <w:t>7,185</w:t>
            </w:r>
          </w:p>
        </w:tc>
      </w:tr>
      <w:tr>
        <w:trPr>
          <w:trHeight w:val="266"/>
        </w:trPr>
        <w:tc>
          <w:tcPr>
            <w:tcW w:w="7860" w:type="dxa"/>
            <w:vAlign w:val="bottom"/>
          </w:tcPr>
          <w:p>
            <w:pPr>
              <w:ind w:left="100"/>
              <w:spacing w:after="0"/>
              <w:rPr>
                <w:sz w:val="20"/>
                <w:szCs w:val="20"/>
                <w:color w:val="auto"/>
              </w:rPr>
            </w:pPr>
            <w:r>
              <w:rPr>
                <w:rFonts w:ascii="Arial" w:cs="Arial" w:eastAsia="Arial" w:hAnsi="Arial"/>
                <w:sz w:val="15"/>
                <w:szCs w:val="15"/>
                <w:color w:val="auto"/>
              </w:rPr>
              <w:t>Accounts payable</w:t>
            </w:r>
          </w:p>
        </w:tc>
        <w:tc>
          <w:tcPr>
            <w:tcW w:w="340" w:type="dxa"/>
            <w:vAlign w:val="bottom"/>
          </w:tcPr>
          <w:p>
            <w:pPr>
              <w:spacing w:after="0"/>
              <w:rPr>
                <w:sz w:val="23"/>
                <w:szCs w:val="23"/>
                <w:color w:val="auto"/>
              </w:rPr>
            </w:pPr>
          </w:p>
        </w:tc>
        <w:tc>
          <w:tcPr>
            <w:tcW w:w="1360" w:type="dxa"/>
            <w:vAlign w:val="bottom"/>
          </w:tcPr>
          <w:p>
            <w:pPr>
              <w:jc w:val="right"/>
              <w:ind w:right="44"/>
              <w:spacing w:after="0"/>
              <w:rPr>
                <w:sz w:val="20"/>
                <w:szCs w:val="20"/>
                <w:color w:val="auto"/>
              </w:rPr>
            </w:pPr>
            <w:r>
              <w:rPr>
                <w:rFonts w:ascii="Arial" w:cs="Arial" w:eastAsia="Arial" w:hAnsi="Arial"/>
                <w:sz w:val="15"/>
                <w:szCs w:val="15"/>
                <w:color w:val="auto"/>
              </w:rPr>
              <w:t>16,268</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440" w:type="dxa"/>
            <w:vAlign w:val="bottom"/>
          </w:tcPr>
          <w:p>
            <w:pPr>
              <w:jc w:val="right"/>
              <w:ind w:right="44"/>
              <w:spacing w:after="0"/>
              <w:rPr>
                <w:sz w:val="20"/>
                <w:szCs w:val="20"/>
                <w:color w:val="auto"/>
              </w:rPr>
            </w:pPr>
            <w:r>
              <w:rPr>
                <w:rFonts w:ascii="Arial" w:cs="Arial" w:eastAsia="Arial" w:hAnsi="Arial"/>
                <w:sz w:val="15"/>
                <w:szCs w:val="15"/>
                <w:color w:val="auto"/>
              </w:rPr>
              <w:t>28,648</w:t>
            </w:r>
          </w:p>
        </w:tc>
      </w:tr>
      <w:tr>
        <w:trPr>
          <w:trHeight w:val="274"/>
        </w:trPr>
        <w:tc>
          <w:tcPr>
            <w:tcW w:w="7860" w:type="dxa"/>
            <w:vAlign w:val="bottom"/>
            <w:shd w:val="clear" w:color="auto" w:fill="CCEEFF"/>
          </w:tcPr>
          <w:p>
            <w:pPr>
              <w:ind w:left="100"/>
              <w:spacing w:after="0"/>
              <w:rPr>
                <w:sz w:val="20"/>
                <w:szCs w:val="20"/>
                <w:color w:val="auto"/>
              </w:rPr>
            </w:pPr>
            <w:r>
              <w:rPr>
                <w:rFonts w:ascii="Arial" w:cs="Arial" w:eastAsia="Arial" w:hAnsi="Arial"/>
                <w:sz w:val="15"/>
                <w:szCs w:val="15"/>
                <w:color w:val="auto"/>
              </w:rPr>
              <w:t>Accrued expenses</w:t>
            </w:r>
          </w:p>
        </w:tc>
        <w:tc>
          <w:tcPr>
            <w:tcW w:w="340" w:type="dxa"/>
            <w:vAlign w:val="bottom"/>
            <w:shd w:val="clear" w:color="auto" w:fill="CCEEFF"/>
          </w:tcPr>
          <w:p>
            <w:pPr>
              <w:spacing w:after="0"/>
              <w:rPr>
                <w:sz w:val="23"/>
                <w:szCs w:val="23"/>
                <w:color w:val="auto"/>
              </w:rPr>
            </w:pPr>
          </w:p>
        </w:tc>
        <w:tc>
          <w:tcPr>
            <w:tcW w:w="1360" w:type="dxa"/>
            <w:vAlign w:val="bottom"/>
            <w:shd w:val="clear" w:color="auto" w:fill="CCEEFF"/>
          </w:tcPr>
          <w:p>
            <w:pPr>
              <w:jc w:val="right"/>
              <w:ind w:right="44"/>
              <w:spacing w:after="0"/>
              <w:rPr>
                <w:sz w:val="20"/>
                <w:szCs w:val="20"/>
                <w:color w:val="auto"/>
              </w:rPr>
            </w:pPr>
            <w:r>
              <w:rPr>
                <w:rFonts w:ascii="Arial" w:cs="Arial" w:eastAsia="Arial" w:hAnsi="Arial"/>
                <w:sz w:val="15"/>
                <w:szCs w:val="15"/>
                <w:color w:val="auto"/>
              </w:rPr>
              <w:t>14,715</w:t>
            </w: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1440" w:type="dxa"/>
            <w:vAlign w:val="bottom"/>
            <w:shd w:val="clear" w:color="auto" w:fill="CCEEFF"/>
          </w:tcPr>
          <w:p>
            <w:pPr>
              <w:jc w:val="right"/>
              <w:ind w:right="44"/>
              <w:spacing w:after="0"/>
              <w:rPr>
                <w:sz w:val="20"/>
                <w:szCs w:val="20"/>
                <w:color w:val="auto"/>
              </w:rPr>
            </w:pPr>
            <w:r>
              <w:rPr>
                <w:rFonts w:ascii="Arial" w:cs="Arial" w:eastAsia="Arial" w:hAnsi="Arial"/>
                <w:sz w:val="15"/>
                <w:szCs w:val="15"/>
                <w:color w:val="auto"/>
              </w:rPr>
              <w:t>18,590</w:t>
            </w:r>
          </w:p>
        </w:tc>
      </w:tr>
      <w:tr>
        <w:trPr>
          <w:trHeight w:val="266"/>
        </w:trPr>
        <w:tc>
          <w:tcPr>
            <w:tcW w:w="7860" w:type="dxa"/>
            <w:vAlign w:val="bottom"/>
          </w:tcPr>
          <w:p>
            <w:pPr>
              <w:ind w:left="100"/>
              <w:spacing w:after="0"/>
              <w:rPr>
                <w:sz w:val="20"/>
                <w:szCs w:val="20"/>
                <w:color w:val="auto"/>
              </w:rPr>
            </w:pPr>
            <w:r>
              <w:rPr>
                <w:rFonts w:ascii="Arial" w:cs="Arial" w:eastAsia="Arial" w:hAnsi="Arial"/>
                <w:sz w:val="15"/>
                <w:szCs w:val="15"/>
                <w:color w:val="auto"/>
              </w:rPr>
              <w:t>Equipment deposits</w:t>
            </w:r>
          </w:p>
        </w:tc>
        <w:tc>
          <w:tcPr>
            <w:tcW w:w="340" w:type="dxa"/>
            <w:vAlign w:val="bottom"/>
          </w:tcPr>
          <w:p>
            <w:pPr>
              <w:spacing w:after="0"/>
              <w:rPr>
                <w:sz w:val="23"/>
                <w:szCs w:val="23"/>
                <w:color w:val="auto"/>
              </w:rPr>
            </w:pPr>
          </w:p>
        </w:tc>
        <w:tc>
          <w:tcPr>
            <w:tcW w:w="1360" w:type="dxa"/>
            <w:vAlign w:val="bottom"/>
          </w:tcPr>
          <w:p>
            <w:pPr>
              <w:jc w:val="right"/>
              <w:ind w:right="44"/>
              <w:spacing w:after="0"/>
              <w:rPr>
                <w:sz w:val="20"/>
                <w:szCs w:val="20"/>
                <w:color w:val="auto"/>
              </w:rPr>
            </w:pPr>
            <w:r>
              <w:rPr>
                <w:rFonts w:ascii="Arial" w:cs="Arial" w:eastAsia="Arial" w:hAnsi="Arial"/>
                <w:sz w:val="15"/>
                <w:szCs w:val="15"/>
                <w:color w:val="auto"/>
              </w:rPr>
              <w:t>9,001</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440" w:type="dxa"/>
            <w:vAlign w:val="bottom"/>
          </w:tcPr>
          <w:p>
            <w:pPr>
              <w:jc w:val="right"/>
              <w:ind w:right="44"/>
              <w:spacing w:after="0"/>
              <w:rPr>
                <w:sz w:val="20"/>
                <w:szCs w:val="20"/>
                <w:color w:val="auto"/>
              </w:rPr>
            </w:pPr>
            <w:r>
              <w:rPr>
                <w:rFonts w:ascii="Arial" w:cs="Arial" w:eastAsia="Arial" w:hAnsi="Arial"/>
                <w:sz w:val="15"/>
                <w:szCs w:val="15"/>
                <w:color w:val="auto"/>
              </w:rPr>
              <w:t>6,498</w:t>
            </w:r>
          </w:p>
        </w:tc>
      </w:tr>
      <w:tr>
        <w:trPr>
          <w:trHeight w:val="274"/>
        </w:trPr>
        <w:tc>
          <w:tcPr>
            <w:tcW w:w="7860" w:type="dxa"/>
            <w:vAlign w:val="bottom"/>
            <w:shd w:val="clear" w:color="auto" w:fill="CCEEFF"/>
          </w:tcPr>
          <w:p>
            <w:pPr>
              <w:ind w:left="100"/>
              <w:spacing w:after="0"/>
              <w:rPr>
                <w:sz w:val="20"/>
                <w:szCs w:val="20"/>
                <w:color w:val="auto"/>
              </w:rPr>
            </w:pPr>
            <w:r>
              <w:rPr>
                <w:rFonts w:ascii="Arial" w:cs="Arial" w:eastAsia="Arial" w:hAnsi="Arial"/>
                <w:sz w:val="15"/>
                <w:szCs w:val="15"/>
                <w:color w:val="auto"/>
              </w:rPr>
              <w:t>Restricted liabilities – national advertising fund</w:t>
            </w:r>
          </w:p>
        </w:tc>
        <w:tc>
          <w:tcPr>
            <w:tcW w:w="340" w:type="dxa"/>
            <w:vAlign w:val="bottom"/>
            <w:shd w:val="clear" w:color="auto" w:fill="CCEEFF"/>
          </w:tcPr>
          <w:p>
            <w:pPr>
              <w:spacing w:after="0"/>
              <w:rPr>
                <w:sz w:val="23"/>
                <w:szCs w:val="23"/>
                <w:color w:val="auto"/>
              </w:rPr>
            </w:pPr>
          </w:p>
        </w:tc>
        <w:tc>
          <w:tcPr>
            <w:tcW w:w="1360" w:type="dxa"/>
            <w:vAlign w:val="bottom"/>
            <w:shd w:val="clear" w:color="auto" w:fill="CCEEFF"/>
          </w:tcPr>
          <w:p>
            <w:pPr>
              <w:jc w:val="right"/>
              <w:ind w:right="44"/>
              <w:spacing w:after="0"/>
              <w:rPr>
                <w:sz w:val="20"/>
                <w:szCs w:val="20"/>
                <w:color w:val="auto"/>
              </w:rPr>
            </w:pPr>
            <w:r>
              <w:rPr>
                <w:rFonts w:ascii="Arial" w:cs="Arial" w:eastAsia="Arial" w:hAnsi="Arial"/>
                <w:sz w:val="15"/>
                <w:szCs w:val="15"/>
                <w:color w:val="auto"/>
              </w:rPr>
              <w:t>73</w:t>
            </w: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1440" w:type="dxa"/>
            <w:vAlign w:val="bottom"/>
            <w:shd w:val="clear" w:color="auto" w:fill="CCEEFF"/>
          </w:tcPr>
          <w:p>
            <w:pPr>
              <w:jc w:val="right"/>
              <w:ind w:right="44"/>
              <w:spacing w:after="0"/>
              <w:rPr>
                <w:sz w:val="20"/>
                <w:szCs w:val="20"/>
                <w:color w:val="auto"/>
              </w:rPr>
            </w:pPr>
            <w:r>
              <w:rPr>
                <w:rFonts w:ascii="Arial" w:cs="Arial" w:eastAsia="Arial" w:hAnsi="Arial"/>
                <w:sz w:val="15"/>
                <w:szCs w:val="15"/>
                <w:color w:val="auto"/>
              </w:rPr>
              <w:t>490</w:t>
            </w:r>
          </w:p>
        </w:tc>
      </w:tr>
      <w:tr>
        <w:trPr>
          <w:trHeight w:val="266"/>
        </w:trPr>
        <w:tc>
          <w:tcPr>
            <w:tcW w:w="7860" w:type="dxa"/>
            <w:vAlign w:val="bottom"/>
          </w:tcPr>
          <w:p>
            <w:pPr>
              <w:ind w:left="100"/>
              <w:spacing w:after="0"/>
              <w:rPr>
                <w:sz w:val="20"/>
                <w:szCs w:val="20"/>
                <w:color w:val="auto"/>
              </w:rPr>
            </w:pPr>
            <w:r>
              <w:rPr>
                <w:rFonts w:ascii="Arial" w:cs="Arial" w:eastAsia="Arial" w:hAnsi="Arial"/>
                <w:sz w:val="15"/>
                <w:szCs w:val="15"/>
                <w:color w:val="auto"/>
              </w:rPr>
              <w:t>Deferred revenue, current</w:t>
            </w:r>
          </w:p>
        </w:tc>
        <w:tc>
          <w:tcPr>
            <w:tcW w:w="340" w:type="dxa"/>
            <w:vAlign w:val="bottom"/>
          </w:tcPr>
          <w:p>
            <w:pPr>
              <w:spacing w:after="0"/>
              <w:rPr>
                <w:sz w:val="23"/>
                <w:szCs w:val="23"/>
                <w:color w:val="auto"/>
              </w:rPr>
            </w:pPr>
          </w:p>
        </w:tc>
        <w:tc>
          <w:tcPr>
            <w:tcW w:w="1360" w:type="dxa"/>
            <w:vAlign w:val="bottom"/>
          </w:tcPr>
          <w:p>
            <w:pPr>
              <w:jc w:val="right"/>
              <w:ind w:right="44"/>
              <w:spacing w:after="0"/>
              <w:rPr>
                <w:sz w:val="20"/>
                <w:szCs w:val="20"/>
                <w:color w:val="auto"/>
              </w:rPr>
            </w:pPr>
            <w:r>
              <w:rPr>
                <w:rFonts w:ascii="Arial" w:cs="Arial" w:eastAsia="Arial" w:hAnsi="Arial"/>
                <w:sz w:val="15"/>
                <w:szCs w:val="15"/>
                <w:color w:val="auto"/>
              </w:rPr>
              <w:t>23,186</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440" w:type="dxa"/>
            <w:vAlign w:val="bottom"/>
          </w:tcPr>
          <w:p>
            <w:pPr>
              <w:jc w:val="right"/>
              <w:ind w:right="44"/>
              <w:spacing w:after="0"/>
              <w:rPr>
                <w:sz w:val="20"/>
                <w:szCs w:val="20"/>
                <w:color w:val="auto"/>
              </w:rPr>
            </w:pPr>
            <w:r>
              <w:rPr>
                <w:rFonts w:ascii="Arial" w:cs="Arial" w:eastAsia="Arial" w:hAnsi="Arial"/>
                <w:sz w:val="15"/>
                <w:szCs w:val="15"/>
                <w:color w:val="auto"/>
              </w:rPr>
              <w:t>19,083</w:t>
            </w:r>
          </w:p>
        </w:tc>
      </w:tr>
      <w:tr>
        <w:trPr>
          <w:trHeight w:val="274"/>
        </w:trPr>
        <w:tc>
          <w:tcPr>
            <w:tcW w:w="7860" w:type="dxa"/>
            <w:vAlign w:val="bottom"/>
            <w:shd w:val="clear" w:color="auto" w:fill="CCEEFF"/>
          </w:tcPr>
          <w:p>
            <w:pPr>
              <w:ind w:left="100"/>
              <w:spacing w:after="0"/>
              <w:rPr>
                <w:sz w:val="20"/>
                <w:szCs w:val="20"/>
                <w:color w:val="auto"/>
              </w:rPr>
            </w:pPr>
            <w:r>
              <w:rPr>
                <w:rFonts w:ascii="Arial" w:cs="Arial" w:eastAsia="Arial" w:hAnsi="Arial"/>
                <w:sz w:val="15"/>
                <w:szCs w:val="15"/>
                <w:color w:val="auto"/>
              </w:rPr>
              <w:t>Payable to related parties pursuant to tax benefit arrangements, current</w:t>
            </w:r>
          </w:p>
        </w:tc>
        <w:tc>
          <w:tcPr>
            <w:tcW w:w="340" w:type="dxa"/>
            <w:vAlign w:val="bottom"/>
            <w:shd w:val="clear" w:color="auto" w:fill="CCEEFF"/>
          </w:tcPr>
          <w:p>
            <w:pPr>
              <w:spacing w:after="0"/>
              <w:rPr>
                <w:sz w:val="23"/>
                <w:szCs w:val="23"/>
                <w:color w:val="auto"/>
              </w:rPr>
            </w:pPr>
          </w:p>
        </w:tc>
        <w:tc>
          <w:tcPr>
            <w:tcW w:w="1360" w:type="dxa"/>
            <w:vAlign w:val="bottom"/>
            <w:shd w:val="clear" w:color="auto" w:fill="CCEEFF"/>
          </w:tcPr>
          <w:p>
            <w:pPr>
              <w:jc w:val="right"/>
              <w:ind w:right="44"/>
              <w:spacing w:after="0"/>
              <w:rPr>
                <w:sz w:val="20"/>
                <w:szCs w:val="20"/>
                <w:color w:val="auto"/>
              </w:rPr>
            </w:pPr>
            <w:r>
              <w:rPr>
                <w:rFonts w:ascii="Arial" w:cs="Arial" w:eastAsia="Arial" w:hAnsi="Arial"/>
                <w:sz w:val="15"/>
                <w:szCs w:val="15"/>
                <w:color w:val="auto"/>
              </w:rPr>
              <w:t>25,578</w:t>
            </w: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1440" w:type="dxa"/>
            <w:vAlign w:val="bottom"/>
            <w:shd w:val="clear" w:color="auto" w:fill="CCEEFF"/>
          </w:tcPr>
          <w:p>
            <w:pPr>
              <w:jc w:val="right"/>
              <w:ind w:right="44"/>
              <w:spacing w:after="0"/>
              <w:rPr>
                <w:sz w:val="20"/>
                <w:szCs w:val="20"/>
                <w:color w:val="auto"/>
              </w:rPr>
            </w:pPr>
            <w:r>
              <w:rPr>
                <w:rFonts w:ascii="Arial" w:cs="Arial" w:eastAsia="Arial" w:hAnsi="Arial"/>
                <w:sz w:val="15"/>
                <w:szCs w:val="15"/>
                <w:color w:val="auto"/>
              </w:rPr>
              <w:t>31,062</w:t>
            </w:r>
          </w:p>
        </w:tc>
      </w:tr>
      <w:tr>
        <w:trPr>
          <w:trHeight w:val="266"/>
        </w:trPr>
        <w:tc>
          <w:tcPr>
            <w:tcW w:w="7860" w:type="dxa"/>
            <w:vAlign w:val="bottom"/>
            <w:tcBorders>
              <w:bottom w:val="single" w:sz="8" w:color="CCEEFF"/>
            </w:tcBorders>
          </w:tcPr>
          <w:p>
            <w:pPr>
              <w:ind w:left="100"/>
              <w:spacing w:after="0"/>
              <w:rPr>
                <w:sz w:val="20"/>
                <w:szCs w:val="20"/>
                <w:color w:val="auto"/>
              </w:rPr>
            </w:pPr>
            <w:r>
              <w:rPr>
                <w:rFonts w:ascii="Arial" w:cs="Arial" w:eastAsia="Arial" w:hAnsi="Arial"/>
                <w:sz w:val="15"/>
                <w:szCs w:val="15"/>
                <w:color w:val="auto"/>
              </w:rPr>
              <w:t>Other current liabilities</w:t>
            </w:r>
          </w:p>
        </w:tc>
        <w:tc>
          <w:tcPr>
            <w:tcW w:w="340" w:type="dxa"/>
            <w:vAlign w:val="bottom"/>
            <w:tcBorders>
              <w:bottom w:val="single" w:sz="8" w:color="auto"/>
            </w:tcBorders>
          </w:tcPr>
          <w:p>
            <w:pPr>
              <w:spacing w:after="0"/>
              <w:rPr>
                <w:sz w:val="23"/>
                <w:szCs w:val="23"/>
                <w:color w:val="auto"/>
              </w:rPr>
            </w:pPr>
          </w:p>
        </w:tc>
        <w:tc>
          <w:tcPr>
            <w:tcW w:w="1360" w:type="dxa"/>
            <w:vAlign w:val="bottom"/>
            <w:tcBorders>
              <w:bottom w:val="single" w:sz="8" w:color="auto"/>
            </w:tcBorders>
          </w:tcPr>
          <w:p>
            <w:pPr>
              <w:jc w:val="right"/>
              <w:ind w:right="44"/>
              <w:spacing w:after="0"/>
              <w:rPr>
                <w:sz w:val="20"/>
                <w:szCs w:val="20"/>
                <w:color w:val="auto"/>
              </w:rPr>
            </w:pPr>
            <w:r>
              <w:rPr>
                <w:rFonts w:ascii="Arial" w:cs="Arial" w:eastAsia="Arial" w:hAnsi="Arial"/>
                <w:sz w:val="15"/>
                <w:szCs w:val="15"/>
                <w:color w:val="auto"/>
              </w:rPr>
              <w:t>436</w:t>
            </w:r>
          </w:p>
        </w:tc>
        <w:tc>
          <w:tcPr>
            <w:tcW w:w="100" w:type="dxa"/>
            <w:vAlign w:val="bottom"/>
            <w:tcBorders>
              <w:bottom w:val="single" w:sz="8" w:color="CCEEFF"/>
            </w:tcBorders>
          </w:tcPr>
          <w:p>
            <w:pPr>
              <w:spacing w:after="0"/>
              <w:rPr>
                <w:sz w:val="23"/>
                <w:szCs w:val="23"/>
                <w:color w:val="auto"/>
              </w:rPr>
            </w:pPr>
          </w:p>
        </w:tc>
        <w:tc>
          <w:tcPr>
            <w:tcW w:w="260" w:type="dxa"/>
            <w:vAlign w:val="bottom"/>
            <w:tcBorders>
              <w:bottom w:val="single" w:sz="8" w:color="auto"/>
            </w:tcBorders>
          </w:tcPr>
          <w:p>
            <w:pPr>
              <w:spacing w:after="0"/>
              <w:rPr>
                <w:sz w:val="23"/>
                <w:szCs w:val="23"/>
                <w:color w:val="auto"/>
              </w:rPr>
            </w:pPr>
          </w:p>
        </w:tc>
        <w:tc>
          <w:tcPr>
            <w:tcW w:w="1440" w:type="dxa"/>
            <w:vAlign w:val="bottom"/>
            <w:tcBorders>
              <w:bottom w:val="single" w:sz="8" w:color="auto"/>
            </w:tcBorders>
          </w:tcPr>
          <w:p>
            <w:pPr>
              <w:jc w:val="right"/>
              <w:ind w:right="44"/>
              <w:spacing w:after="0"/>
              <w:rPr>
                <w:sz w:val="20"/>
                <w:szCs w:val="20"/>
                <w:color w:val="auto"/>
              </w:rPr>
            </w:pPr>
            <w:r>
              <w:rPr>
                <w:rFonts w:ascii="Arial" w:cs="Arial" w:eastAsia="Arial" w:hAnsi="Arial"/>
                <w:sz w:val="15"/>
                <w:szCs w:val="15"/>
                <w:color w:val="auto"/>
              </w:rPr>
              <w:t>474</w:t>
            </w:r>
          </w:p>
        </w:tc>
      </w:tr>
      <w:tr>
        <w:trPr>
          <w:trHeight w:val="250"/>
        </w:trPr>
        <w:tc>
          <w:tcPr>
            <w:tcW w:w="7860" w:type="dxa"/>
            <w:vAlign w:val="bottom"/>
            <w:shd w:val="clear" w:color="auto" w:fill="CCEEFF"/>
          </w:tcPr>
          <w:p>
            <w:pPr>
              <w:ind w:left="280"/>
              <w:spacing w:after="0"/>
              <w:rPr>
                <w:sz w:val="20"/>
                <w:szCs w:val="20"/>
                <w:color w:val="auto"/>
              </w:rPr>
            </w:pPr>
            <w:r>
              <w:rPr>
                <w:rFonts w:ascii="Arial" w:cs="Arial" w:eastAsia="Arial" w:hAnsi="Arial"/>
                <w:sz w:val="15"/>
                <w:szCs w:val="15"/>
                <w:color w:val="auto"/>
              </w:rPr>
              <w:t>Total current liabilities</w:t>
            </w:r>
          </w:p>
        </w:tc>
        <w:tc>
          <w:tcPr>
            <w:tcW w:w="340" w:type="dxa"/>
            <w:vAlign w:val="bottom"/>
            <w:tcBorders>
              <w:bottom w:val="single" w:sz="8" w:color="auto"/>
            </w:tcBorders>
            <w:shd w:val="clear" w:color="auto" w:fill="CCEEFF"/>
          </w:tcPr>
          <w:p>
            <w:pPr>
              <w:spacing w:after="0"/>
              <w:rPr>
                <w:sz w:val="21"/>
                <w:szCs w:val="21"/>
                <w:color w:val="auto"/>
              </w:rPr>
            </w:pPr>
          </w:p>
        </w:tc>
        <w:tc>
          <w:tcPr>
            <w:tcW w:w="1360" w:type="dxa"/>
            <w:vAlign w:val="bottom"/>
            <w:tcBorders>
              <w:bottom w:val="single" w:sz="8" w:color="auto"/>
            </w:tcBorders>
            <w:shd w:val="clear" w:color="auto" w:fill="CCEEFF"/>
          </w:tcPr>
          <w:p>
            <w:pPr>
              <w:jc w:val="right"/>
              <w:ind w:right="44"/>
              <w:spacing w:after="0"/>
              <w:rPr>
                <w:sz w:val="20"/>
                <w:szCs w:val="20"/>
                <w:color w:val="auto"/>
              </w:rPr>
            </w:pPr>
            <w:r>
              <w:rPr>
                <w:rFonts w:ascii="Arial" w:cs="Arial" w:eastAsia="Arial" w:hAnsi="Arial"/>
                <w:sz w:val="15"/>
                <w:szCs w:val="15"/>
                <w:color w:val="auto"/>
              </w:rPr>
              <w:t>96,442</w:t>
            </w:r>
          </w:p>
        </w:tc>
        <w:tc>
          <w:tcPr>
            <w:tcW w:w="100" w:type="dxa"/>
            <w:vAlign w:val="bottom"/>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spacing w:after="0"/>
              <w:rPr>
                <w:sz w:val="21"/>
                <w:szCs w:val="21"/>
                <w:color w:val="auto"/>
              </w:rPr>
            </w:pPr>
          </w:p>
        </w:tc>
        <w:tc>
          <w:tcPr>
            <w:tcW w:w="1440" w:type="dxa"/>
            <w:vAlign w:val="bottom"/>
            <w:tcBorders>
              <w:bottom w:val="single" w:sz="8" w:color="auto"/>
            </w:tcBorders>
            <w:shd w:val="clear" w:color="auto" w:fill="CCEEFF"/>
          </w:tcPr>
          <w:p>
            <w:pPr>
              <w:jc w:val="right"/>
              <w:ind w:right="44"/>
              <w:spacing w:after="0"/>
              <w:rPr>
                <w:sz w:val="20"/>
                <w:szCs w:val="20"/>
                <w:color w:val="auto"/>
              </w:rPr>
            </w:pPr>
            <w:r>
              <w:rPr>
                <w:rFonts w:ascii="Arial" w:cs="Arial" w:eastAsia="Arial" w:hAnsi="Arial"/>
                <w:sz w:val="15"/>
                <w:szCs w:val="15"/>
                <w:color w:val="auto"/>
              </w:rPr>
              <w:t>112,030</w:t>
            </w:r>
          </w:p>
        </w:tc>
      </w:tr>
      <w:tr>
        <w:trPr>
          <w:trHeight w:val="250"/>
        </w:trPr>
        <w:tc>
          <w:tcPr>
            <w:tcW w:w="7860" w:type="dxa"/>
            <w:vAlign w:val="bottom"/>
          </w:tcPr>
          <w:p>
            <w:pPr>
              <w:ind w:left="20"/>
              <w:spacing w:after="0"/>
              <w:rPr>
                <w:sz w:val="20"/>
                <w:szCs w:val="20"/>
                <w:color w:val="auto"/>
              </w:rPr>
            </w:pPr>
            <w:r>
              <w:rPr>
                <w:rFonts w:ascii="Arial" w:cs="Arial" w:eastAsia="Arial" w:hAnsi="Arial"/>
                <w:sz w:val="15"/>
                <w:szCs w:val="15"/>
                <w:color w:val="auto"/>
              </w:rPr>
              <w:t>Long-term debt, net of current maturities</w:t>
            </w:r>
          </w:p>
        </w:tc>
        <w:tc>
          <w:tcPr>
            <w:tcW w:w="340" w:type="dxa"/>
            <w:vAlign w:val="bottom"/>
          </w:tcPr>
          <w:p>
            <w:pPr>
              <w:spacing w:after="0"/>
              <w:rPr>
                <w:sz w:val="21"/>
                <w:szCs w:val="21"/>
                <w:color w:val="auto"/>
              </w:rPr>
            </w:pPr>
          </w:p>
        </w:tc>
        <w:tc>
          <w:tcPr>
            <w:tcW w:w="1360" w:type="dxa"/>
            <w:vAlign w:val="bottom"/>
          </w:tcPr>
          <w:p>
            <w:pPr>
              <w:jc w:val="right"/>
              <w:ind w:right="44"/>
              <w:spacing w:after="0"/>
              <w:rPr>
                <w:sz w:val="20"/>
                <w:szCs w:val="20"/>
                <w:color w:val="auto"/>
              </w:rPr>
            </w:pPr>
            <w:r>
              <w:rPr>
                <w:rFonts w:ascii="Arial" w:cs="Arial" w:eastAsia="Arial" w:hAnsi="Arial"/>
                <w:sz w:val="15"/>
                <w:szCs w:val="15"/>
                <w:color w:val="auto"/>
              </w:rPr>
              <w:t>693,957</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440" w:type="dxa"/>
            <w:vAlign w:val="bottom"/>
          </w:tcPr>
          <w:p>
            <w:pPr>
              <w:jc w:val="right"/>
              <w:ind w:right="44"/>
              <w:spacing w:after="0"/>
              <w:rPr>
                <w:sz w:val="20"/>
                <w:szCs w:val="20"/>
                <w:color w:val="auto"/>
              </w:rPr>
            </w:pPr>
            <w:r>
              <w:rPr>
                <w:rFonts w:ascii="Arial" w:cs="Arial" w:eastAsia="Arial" w:hAnsi="Arial"/>
                <w:sz w:val="15"/>
                <w:szCs w:val="15"/>
                <w:color w:val="auto"/>
              </w:rPr>
              <w:t>696,576</w:t>
            </w:r>
          </w:p>
        </w:tc>
      </w:tr>
      <w:tr>
        <w:trPr>
          <w:trHeight w:val="274"/>
        </w:trPr>
        <w:tc>
          <w:tcPr>
            <w:tcW w:w="7860" w:type="dxa"/>
            <w:vAlign w:val="bottom"/>
            <w:shd w:val="clear" w:color="auto" w:fill="CCEEFF"/>
          </w:tcPr>
          <w:p>
            <w:pPr>
              <w:ind w:left="20"/>
              <w:spacing w:after="0"/>
              <w:rPr>
                <w:sz w:val="20"/>
                <w:szCs w:val="20"/>
                <w:color w:val="auto"/>
              </w:rPr>
            </w:pPr>
            <w:r>
              <w:rPr>
                <w:rFonts w:ascii="Arial" w:cs="Arial" w:eastAsia="Arial" w:hAnsi="Arial"/>
                <w:sz w:val="15"/>
                <w:szCs w:val="15"/>
                <w:color w:val="auto"/>
              </w:rPr>
              <w:t>Deferred rent, net of current portion</w:t>
            </w:r>
          </w:p>
        </w:tc>
        <w:tc>
          <w:tcPr>
            <w:tcW w:w="340" w:type="dxa"/>
            <w:vAlign w:val="bottom"/>
            <w:shd w:val="clear" w:color="auto" w:fill="CCEEFF"/>
          </w:tcPr>
          <w:p>
            <w:pPr>
              <w:spacing w:after="0"/>
              <w:rPr>
                <w:sz w:val="23"/>
                <w:szCs w:val="23"/>
                <w:color w:val="auto"/>
              </w:rPr>
            </w:pPr>
          </w:p>
        </w:tc>
        <w:tc>
          <w:tcPr>
            <w:tcW w:w="1360" w:type="dxa"/>
            <w:vAlign w:val="bottom"/>
            <w:shd w:val="clear" w:color="auto" w:fill="CCEEFF"/>
          </w:tcPr>
          <w:p>
            <w:pPr>
              <w:jc w:val="right"/>
              <w:ind w:right="44"/>
              <w:spacing w:after="0"/>
              <w:rPr>
                <w:sz w:val="20"/>
                <w:szCs w:val="20"/>
                <w:color w:val="auto"/>
              </w:rPr>
            </w:pPr>
            <w:r>
              <w:rPr>
                <w:rFonts w:ascii="Arial" w:cs="Arial" w:eastAsia="Arial" w:hAnsi="Arial"/>
                <w:sz w:val="15"/>
                <w:szCs w:val="15"/>
                <w:color w:val="auto"/>
              </w:rPr>
              <w:t>7,700</w:t>
            </w: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1440" w:type="dxa"/>
            <w:vAlign w:val="bottom"/>
            <w:shd w:val="clear" w:color="auto" w:fill="CCEEFF"/>
          </w:tcPr>
          <w:p>
            <w:pPr>
              <w:jc w:val="right"/>
              <w:ind w:right="44"/>
              <w:spacing w:after="0"/>
              <w:rPr>
                <w:sz w:val="20"/>
                <w:szCs w:val="20"/>
                <w:color w:val="auto"/>
              </w:rPr>
            </w:pPr>
            <w:r>
              <w:rPr>
                <w:rFonts w:ascii="Arial" w:cs="Arial" w:eastAsia="Arial" w:hAnsi="Arial"/>
                <w:sz w:val="15"/>
                <w:szCs w:val="15"/>
                <w:color w:val="auto"/>
              </w:rPr>
              <w:t>6,127</w:t>
            </w:r>
          </w:p>
        </w:tc>
      </w:tr>
      <w:tr>
        <w:trPr>
          <w:trHeight w:val="266"/>
        </w:trPr>
        <w:tc>
          <w:tcPr>
            <w:tcW w:w="7860" w:type="dxa"/>
            <w:vAlign w:val="bottom"/>
          </w:tcPr>
          <w:p>
            <w:pPr>
              <w:ind w:left="20"/>
              <w:spacing w:after="0"/>
              <w:rPr>
                <w:sz w:val="20"/>
                <w:szCs w:val="20"/>
                <w:color w:val="auto"/>
              </w:rPr>
            </w:pPr>
            <w:r>
              <w:rPr>
                <w:rFonts w:ascii="Arial" w:cs="Arial" w:eastAsia="Arial" w:hAnsi="Arial"/>
                <w:sz w:val="15"/>
                <w:szCs w:val="15"/>
                <w:color w:val="auto"/>
              </w:rPr>
              <w:t>Deferred revenue, net of current portion</w:t>
            </w:r>
          </w:p>
        </w:tc>
        <w:tc>
          <w:tcPr>
            <w:tcW w:w="340" w:type="dxa"/>
            <w:vAlign w:val="bottom"/>
          </w:tcPr>
          <w:p>
            <w:pPr>
              <w:spacing w:after="0"/>
              <w:rPr>
                <w:sz w:val="23"/>
                <w:szCs w:val="23"/>
                <w:color w:val="auto"/>
              </w:rPr>
            </w:pPr>
          </w:p>
        </w:tc>
        <w:tc>
          <w:tcPr>
            <w:tcW w:w="1360" w:type="dxa"/>
            <w:vAlign w:val="bottom"/>
          </w:tcPr>
          <w:p>
            <w:pPr>
              <w:jc w:val="right"/>
              <w:ind w:right="44"/>
              <w:spacing w:after="0"/>
              <w:rPr>
                <w:sz w:val="20"/>
                <w:szCs w:val="20"/>
                <w:color w:val="auto"/>
              </w:rPr>
            </w:pPr>
            <w:r>
              <w:rPr>
                <w:rFonts w:ascii="Arial" w:cs="Arial" w:eastAsia="Arial" w:hAnsi="Arial"/>
                <w:sz w:val="15"/>
                <w:szCs w:val="15"/>
                <w:color w:val="auto"/>
              </w:rPr>
              <w:t>23,255</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440" w:type="dxa"/>
            <w:vAlign w:val="bottom"/>
          </w:tcPr>
          <w:p>
            <w:pPr>
              <w:jc w:val="right"/>
              <w:ind w:right="44"/>
              <w:spacing w:after="0"/>
              <w:rPr>
                <w:sz w:val="20"/>
                <w:szCs w:val="20"/>
                <w:color w:val="auto"/>
              </w:rPr>
            </w:pPr>
            <w:r>
              <w:rPr>
                <w:rFonts w:ascii="Arial" w:cs="Arial" w:eastAsia="Arial" w:hAnsi="Arial"/>
                <w:sz w:val="15"/>
                <w:szCs w:val="15"/>
                <w:color w:val="auto"/>
              </w:rPr>
              <w:t>8,440</w:t>
            </w:r>
          </w:p>
        </w:tc>
      </w:tr>
      <w:tr>
        <w:trPr>
          <w:trHeight w:val="274"/>
        </w:trPr>
        <w:tc>
          <w:tcPr>
            <w:tcW w:w="7860" w:type="dxa"/>
            <w:vAlign w:val="bottom"/>
            <w:shd w:val="clear" w:color="auto" w:fill="CCEEFF"/>
          </w:tcPr>
          <w:p>
            <w:pPr>
              <w:ind w:left="20"/>
              <w:spacing w:after="0"/>
              <w:rPr>
                <w:sz w:val="20"/>
                <w:szCs w:val="20"/>
                <w:color w:val="auto"/>
              </w:rPr>
            </w:pPr>
            <w:r>
              <w:rPr>
                <w:rFonts w:ascii="Arial" w:cs="Arial" w:eastAsia="Arial" w:hAnsi="Arial"/>
                <w:sz w:val="15"/>
                <w:szCs w:val="15"/>
                <w:color w:val="auto"/>
              </w:rPr>
              <w:t>Deferred tax liabilities</w:t>
            </w:r>
          </w:p>
        </w:tc>
        <w:tc>
          <w:tcPr>
            <w:tcW w:w="340" w:type="dxa"/>
            <w:vAlign w:val="bottom"/>
            <w:shd w:val="clear" w:color="auto" w:fill="CCEEFF"/>
          </w:tcPr>
          <w:p>
            <w:pPr>
              <w:spacing w:after="0"/>
              <w:rPr>
                <w:sz w:val="23"/>
                <w:szCs w:val="23"/>
                <w:color w:val="auto"/>
              </w:rPr>
            </w:pPr>
          </w:p>
        </w:tc>
        <w:tc>
          <w:tcPr>
            <w:tcW w:w="1360" w:type="dxa"/>
            <w:vAlign w:val="bottom"/>
            <w:shd w:val="clear" w:color="auto" w:fill="CCEEFF"/>
          </w:tcPr>
          <w:p>
            <w:pPr>
              <w:jc w:val="right"/>
              <w:ind w:right="44"/>
              <w:spacing w:after="0"/>
              <w:rPr>
                <w:sz w:val="20"/>
                <w:szCs w:val="20"/>
                <w:color w:val="auto"/>
              </w:rPr>
            </w:pPr>
            <w:r>
              <w:rPr>
                <w:rFonts w:ascii="Arial" w:cs="Arial" w:eastAsia="Arial" w:hAnsi="Arial"/>
                <w:sz w:val="15"/>
                <w:szCs w:val="15"/>
                <w:color w:val="auto"/>
              </w:rPr>
              <w:t>1,389</w:t>
            </w: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1440" w:type="dxa"/>
            <w:vAlign w:val="bottom"/>
            <w:shd w:val="clear" w:color="auto" w:fill="CCEEFF"/>
          </w:tcPr>
          <w:p>
            <w:pPr>
              <w:jc w:val="right"/>
              <w:ind w:right="44"/>
              <w:spacing w:after="0"/>
              <w:rPr>
                <w:sz w:val="20"/>
                <w:szCs w:val="20"/>
                <w:color w:val="auto"/>
              </w:rPr>
            </w:pPr>
            <w:r>
              <w:rPr>
                <w:rFonts w:ascii="Arial" w:cs="Arial" w:eastAsia="Arial" w:hAnsi="Arial"/>
                <w:sz w:val="15"/>
                <w:szCs w:val="15"/>
                <w:color w:val="auto"/>
              </w:rPr>
              <w:t>1,629</w:t>
            </w:r>
          </w:p>
        </w:tc>
      </w:tr>
      <w:tr>
        <w:trPr>
          <w:trHeight w:val="266"/>
        </w:trPr>
        <w:tc>
          <w:tcPr>
            <w:tcW w:w="7860" w:type="dxa"/>
            <w:vAlign w:val="bottom"/>
          </w:tcPr>
          <w:p>
            <w:pPr>
              <w:ind w:left="20"/>
              <w:spacing w:after="0"/>
              <w:rPr>
                <w:sz w:val="20"/>
                <w:szCs w:val="20"/>
                <w:color w:val="auto"/>
              </w:rPr>
            </w:pPr>
            <w:r>
              <w:rPr>
                <w:rFonts w:ascii="Arial" w:cs="Arial" w:eastAsia="Arial" w:hAnsi="Arial"/>
                <w:sz w:val="15"/>
                <w:szCs w:val="15"/>
                <w:color w:val="auto"/>
              </w:rPr>
              <w:t>Payable to related parties pursuant to tax benefit arrangements, net of current portion</w:t>
            </w:r>
          </w:p>
        </w:tc>
        <w:tc>
          <w:tcPr>
            <w:tcW w:w="340" w:type="dxa"/>
            <w:vAlign w:val="bottom"/>
          </w:tcPr>
          <w:p>
            <w:pPr>
              <w:spacing w:after="0"/>
              <w:rPr>
                <w:sz w:val="23"/>
                <w:szCs w:val="23"/>
                <w:color w:val="auto"/>
              </w:rPr>
            </w:pPr>
          </w:p>
        </w:tc>
        <w:tc>
          <w:tcPr>
            <w:tcW w:w="1360" w:type="dxa"/>
            <w:vAlign w:val="bottom"/>
          </w:tcPr>
          <w:p>
            <w:pPr>
              <w:jc w:val="right"/>
              <w:ind w:right="44"/>
              <w:spacing w:after="0"/>
              <w:rPr>
                <w:sz w:val="20"/>
                <w:szCs w:val="20"/>
                <w:color w:val="auto"/>
              </w:rPr>
            </w:pPr>
            <w:r>
              <w:rPr>
                <w:rFonts w:ascii="Arial" w:cs="Arial" w:eastAsia="Arial" w:hAnsi="Arial"/>
                <w:sz w:val="15"/>
                <w:szCs w:val="15"/>
                <w:color w:val="auto"/>
              </w:rPr>
              <w:t>391,876</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440" w:type="dxa"/>
            <w:vAlign w:val="bottom"/>
          </w:tcPr>
          <w:p>
            <w:pPr>
              <w:jc w:val="right"/>
              <w:ind w:right="44"/>
              <w:spacing w:after="0"/>
              <w:rPr>
                <w:sz w:val="20"/>
                <w:szCs w:val="20"/>
                <w:color w:val="auto"/>
              </w:rPr>
            </w:pPr>
            <w:r>
              <w:rPr>
                <w:rFonts w:ascii="Arial" w:cs="Arial" w:eastAsia="Arial" w:hAnsi="Arial"/>
                <w:sz w:val="15"/>
                <w:szCs w:val="15"/>
                <w:color w:val="auto"/>
              </w:rPr>
              <w:t>400,298</w:t>
            </w:r>
          </w:p>
        </w:tc>
      </w:tr>
      <w:tr>
        <w:trPr>
          <w:trHeight w:val="270"/>
        </w:trPr>
        <w:tc>
          <w:tcPr>
            <w:tcW w:w="7860" w:type="dxa"/>
            <w:vAlign w:val="bottom"/>
            <w:shd w:val="clear" w:color="auto" w:fill="CCEEFF"/>
          </w:tcPr>
          <w:p>
            <w:pPr>
              <w:ind w:left="20"/>
              <w:spacing w:after="0"/>
              <w:rPr>
                <w:sz w:val="20"/>
                <w:szCs w:val="20"/>
                <w:color w:val="auto"/>
              </w:rPr>
            </w:pPr>
            <w:r>
              <w:rPr>
                <w:rFonts w:ascii="Arial" w:cs="Arial" w:eastAsia="Arial" w:hAnsi="Arial"/>
                <w:sz w:val="15"/>
                <w:szCs w:val="15"/>
                <w:color w:val="auto"/>
              </w:rPr>
              <w:t>Other liabilities</w:t>
            </w:r>
          </w:p>
        </w:tc>
        <w:tc>
          <w:tcPr>
            <w:tcW w:w="340" w:type="dxa"/>
            <w:vAlign w:val="bottom"/>
            <w:tcBorders>
              <w:bottom w:val="single" w:sz="8" w:color="auto"/>
            </w:tcBorders>
            <w:shd w:val="clear" w:color="auto" w:fill="CCEEFF"/>
          </w:tcPr>
          <w:p>
            <w:pPr>
              <w:spacing w:after="0"/>
              <w:rPr>
                <w:sz w:val="23"/>
                <w:szCs w:val="23"/>
                <w:color w:val="auto"/>
              </w:rPr>
            </w:pPr>
          </w:p>
        </w:tc>
        <w:tc>
          <w:tcPr>
            <w:tcW w:w="1360" w:type="dxa"/>
            <w:vAlign w:val="bottom"/>
            <w:tcBorders>
              <w:bottom w:val="single" w:sz="8" w:color="auto"/>
            </w:tcBorders>
            <w:shd w:val="clear" w:color="auto" w:fill="CCEEFF"/>
          </w:tcPr>
          <w:p>
            <w:pPr>
              <w:jc w:val="right"/>
              <w:ind w:right="44"/>
              <w:spacing w:after="0"/>
              <w:rPr>
                <w:sz w:val="20"/>
                <w:szCs w:val="20"/>
                <w:color w:val="auto"/>
              </w:rPr>
            </w:pPr>
            <w:r>
              <w:rPr>
                <w:rFonts w:ascii="Arial" w:cs="Arial" w:eastAsia="Arial" w:hAnsi="Arial"/>
                <w:sz w:val="15"/>
                <w:szCs w:val="15"/>
                <w:color w:val="auto"/>
              </w:rPr>
              <w:t>1,350</w:t>
            </w:r>
          </w:p>
        </w:tc>
        <w:tc>
          <w:tcPr>
            <w:tcW w:w="10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1440" w:type="dxa"/>
            <w:vAlign w:val="bottom"/>
            <w:tcBorders>
              <w:bottom w:val="single" w:sz="8" w:color="auto"/>
            </w:tcBorders>
            <w:shd w:val="clear" w:color="auto" w:fill="CCEEFF"/>
          </w:tcPr>
          <w:p>
            <w:pPr>
              <w:jc w:val="right"/>
              <w:ind w:right="44"/>
              <w:spacing w:after="0"/>
              <w:rPr>
                <w:sz w:val="20"/>
                <w:szCs w:val="20"/>
                <w:color w:val="auto"/>
              </w:rPr>
            </w:pPr>
            <w:r>
              <w:rPr>
                <w:rFonts w:ascii="Arial" w:cs="Arial" w:eastAsia="Arial" w:hAnsi="Arial"/>
                <w:sz w:val="15"/>
                <w:szCs w:val="15"/>
                <w:color w:val="auto"/>
              </w:rPr>
              <w:t>4,302</w:t>
            </w:r>
          </w:p>
        </w:tc>
      </w:tr>
      <w:tr>
        <w:trPr>
          <w:trHeight w:val="250"/>
        </w:trPr>
        <w:tc>
          <w:tcPr>
            <w:tcW w:w="7860" w:type="dxa"/>
            <w:vAlign w:val="bottom"/>
            <w:tcBorders>
              <w:bottom w:val="single" w:sz="8" w:color="CCEEFF"/>
            </w:tcBorders>
          </w:tcPr>
          <w:p>
            <w:pPr>
              <w:ind w:left="280"/>
              <w:spacing w:after="0"/>
              <w:rPr>
                <w:sz w:val="20"/>
                <w:szCs w:val="20"/>
                <w:color w:val="auto"/>
              </w:rPr>
            </w:pPr>
            <w:r>
              <w:rPr>
                <w:rFonts w:ascii="Arial" w:cs="Arial" w:eastAsia="Arial" w:hAnsi="Arial"/>
                <w:sz w:val="15"/>
                <w:szCs w:val="15"/>
                <w:color w:val="auto"/>
              </w:rPr>
              <w:t>Total noncurrent liabilities</w:t>
            </w:r>
          </w:p>
        </w:tc>
        <w:tc>
          <w:tcPr>
            <w:tcW w:w="340" w:type="dxa"/>
            <w:vAlign w:val="bottom"/>
            <w:tcBorders>
              <w:bottom w:val="single" w:sz="8" w:color="auto"/>
            </w:tcBorders>
          </w:tcPr>
          <w:p>
            <w:pPr>
              <w:spacing w:after="0"/>
              <w:rPr>
                <w:sz w:val="21"/>
                <w:szCs w:val="21"/>
                <w:color w:val="auto"/>
              </w:rPr>
            </w:pPr>
          </w:p>
        </w:tc>
        <w:tc>
          <w:tcPr>
            <w:tcW w:w="1360" w:type="dxa"/>
            <w:vAlign w:val="bottom"/>
            <w:tcBorders>
              <w:bottom w:val="single" w:sz="8" w:color="auto"/>
            </w:tcBorders>
          </w:tcPr>
          <w:p>
            <w:pPr>
              <w:jc w:val="right"/>
              <w:ind w:right="44"/>
              <w:spacing w:after="0"/>
              <w:rPr>
                <w:sz w:val="20"/>
                <w:szCs w:val="20"/>
                <w:color w:val="auto"/>
              </w:rPr>
            </w:pPr>
            <w:r>
              <w:rPr>
                <w:rFonts w:ascii="Arial" w:cs="Arial" w:eastAsia="Arial" w:hAnsi="Arial"/>
                <w:sz w:val="15"/>
                <w:szCs w:val="15"/>
                <w:color w:val="auto"/>
              </w:rPr>
              <w:t>1,119,527</w:t>
            </w:r>
          </w:p>
        </w:tc>
        <w:tc>
          <w:tcPr>
            <w:tcW w:w="100" w:type="dxa"/>
            <w:vAlign w:val="bottom"/>
            <w:tcBorders>
              <w:bottom w:val="single" w:sz="8" w:color="CCEEFF"/>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1440" w:type="dxa"/>
            <w:vAlign w:val="bottom"/>
            <w:tcBorders>
              <w:bottom w:val="single" w:sz="8" w:color="auto"/>
            </w:tcBorders>
          </w:tcPr>
          <w:p>
            <w:pPr>
              <w:jc w:val="right"/>
              <w:ind w:right="44"/>
              <w:spacing w:after="0"/>
              <w:rPr>
                <w:sz w:val="20"/>
                <w:szCs w:val="20"/>
                <w:color w:val="auto"/>
              </w:rPr>
            </w:pPr>
            <w:r>
              <w:rPr>
                <w:rFonts w:ascii="Arial" w:cs="Arial" w:eastAsia="Arial" w:hAnsi="Arial"/>
                <w:sz w:val="15"/>
                <w:szCs w:val="15"/>
                <w:color w:val="auto"/>
              </w:rPr>
              <w:t>1,117,372</w:t>
            </w:r>
          </w:p>
        </w:tc>
      </w:tr>
      <w:tr>
        <w:trPr>
          <w:trHeight w:val="254"/>
        </w:trPr>
        <w:tc>
          <w:tcPr>
            <w:tcW w:w="7860" w:type="dxa"/>
            <w:vAlign w:val="bottom"/>
            <w:shd w:val="clear" w:color="auto" w:fill="CCEEFF"/>
          </w:tcPr>
          <w:p>
            <w:pPr>
              <w:ind w:left="20"/>
              <w:spacing w:after="0"/>
              <w:rPr>
                <w:sz w:val="20"/>
                <w:szCs w:val="20"/>
                <w:color w:val="auto"/>
              </w:rPr>
            </w:pPr>
            <w:r>
              <w:rPr>
                <w:rFonts w:ascii="Arial" w:cs="Arial" w:eastAsia="Arial" w:hAnsi="Arial"/>
                <w:sz w:val="15"/>
                <w:szCs w:val="15"/>
                <w:color w:val="auto"/>
              </w:rPr>
              <w:t>Commitments and contingencies (Note 12)</w:t>
            </w:r>
          </w:p>
        </w:tc>
        <w:tc>
          <w:tcPr>
            <w:tcW w:w="340" w:type="dxa"/>
            <w:vAlign w:val="bottom"/>
            <w:shd w:val="clear" w:color="auto" w:fill="CCEEFF"/>
          </w:tcPr>
          <w:p>
            <w:pPr>
              <w:spacing w:after="0"/>
              <w:rPr>
                <w:sz w:val="22"/>
                <w:szCs w:val="22"/>
                <w:color w:val="auto"/>
              </w:rPr>
            </w:pPr>
          </w:p>
        </w:tc>
        <w:tc>
          <w:tcPr>
            <w:tcW w:w="13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1440" w:type="dxa"/>
            <w:vAlign w:val="bottom"/>
            <w:shd w:val="clear" w:color="auto" w:fill="CCEEFF"/>
          </w:tcPr>
          <w:p>
            <w:pPr>
              <w:spacing w:after="0"/>
              <w:rPr>
                <w:sz w:val="22"/>
                <w:szCs w:val="22"/>
                <w:color w:val="auto"/>
              </w:rPr>
            </w:pPr>
          </w:p>
        </w:tc>
      </w:tr>
      <w:tr>
        <w:trPr>
          <w:trHeight w:val="266"/>
        </w:trPr>
        <w:tc>
          <w:tcPr>
            <w:tcW w:w="7860" w:type="dxa"/>
            <w:vAlign w:val="bottom"/>
          </w:tcPr>
          <w:p>
            <w:pPr>
              <w:ind w:left="20"/>
              <w:spacing w:after="0"/>
              <w:rPr>
                <w:sz w:val="20"/>
                <w:szCs w:val="20"/>
                <w:color w:val="auto"/>
              </w:rPr>
            </w:pPr>
            <w:r>
              <w:rPr>
                <w:rFonts w:ascii="Arial" w:cs="Arial" w:eastAsia="Arial" w:hAnsi="Arial"/>
                <w:sz w:val="15"/>
                <w:szCs w:val="15"/>
                <w:color w:val="auto"/>
              </w:rPr>
              <w:t>Stockholders' equity (deficit):</w:t>
            </w:r>
          </w:p>
        </w:tc>
        <w:tc>
          <w:tcPr>
            <w:tcW w:w="340" w:type="dxa"/>
            <w:vAlign w:val="bottom"/>
          </w:tcPr>
          <w:p>
            <w:pPr>
              <w:spacing w:after="0"/>
              <w:rPr>
                <w:sz w:val="23"/>
                <w:szCs w:val="23"/>
                <w:color w:val="auto"/>
              </w:rPr>
            </w:pPr>
          </w:p>
        </w:tc>
        <w:tc>
          <w:tcPr>
            <w:tcW w:w="13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440" w:type="dxa"/>
            <w:vAlign w:val="bottom"/>
          </w:tcPr>
          <w:p>
            <w:pPr>
              <w:spacing w:after="0"/>
              <w:rPr>
                <w:sz w:val="23"/>
                <w:szCs w:val="23"/>
                <w:color w:val="auto"/>
              </w:rPr>
            </w:pPr>
          </w:p>
        </w:tc>
      </w:tr>
      <w:tr>
        <w:trPr>
          <w:trHeight w:val="180"/>
        </w:trPr>
        <w:tc>
          <w:tcPr>
            <w:tcW w:w="7860" w:type="dxa"/>
            <w:vAlign w:val="bottom"/>
            <w:shd w:val="clear" w:color="auto" w:fill="CCEEFF"/>
          </w:tcPr>
          <w:p>
            <w:pPr>
              <w:ind w:left="100"/>
              <w:spacing w:after="0"/>
              <w:rPr>
                <w:sz w:val="20"/>
                <w:szCs w:val="20"/>
                <w:color w:val="auto"/>
              </w:rPr>
            </w:pPr>
            <w:r>
              <w:rPr>
                <w:rFonts w:ascii="Arial" w:cs="Arial" w:eastAsia="Arial" w:hAnsi="Arial"/>
                <w:sz w:val="15"/>
                <w:szCs w:val="15"/>
                <w:color w:val="auto"/>
                <w:w w:val="93"/>
              </w:rPr>
              <w:t>Class A common stock, $.0001 par value - 300,000 authorized, 87,932 and 87,188 shares issued and outstanding as of June</w:t>
            </w:r>
          </w:p>
        </w:tc>
        <w:tc>
          <w:tcPr>
            <w:tcW w:w="340" w:type="dxa"/>
            <w:vAlign w:val="bottom"/>
            <w:shd w:val="clear" w:color="auto" w:fill="CCEEFF"/>
          </w:tcPr>
          <w:p>
            <w:pPr>
              <w:spacing w:after="0"/>
              <w:rPr>
                <w:sz w:val="15"/>
                <w:szCs w:val="15"/>
                <w:color w:val="auto"/>
              </w:rPr>
            </w:pPr>
          </w:p>
        </w:tc>
        <w:tc>
          <w:tcPr>
            <w:tcW w:w="13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1440" w:type="dxa"/>
            <w:vAlign w:val="bottom"/>
            <w:shd w:val="clear" w:color="auto" w:fill="CCEEFF"/>
          </w:tcPr>
          <w:p>
            <w:pPr>
              <w:spacing w:after="0"/>
              <w:rPr>
                <w:sz w:val="15"/>
                <w:szCs w:val="15"/>
                <w:color w:val="auto"/>
              </w:rPr>
            </w:pPr>
          </w:p>
        </w:tc>
      </w:tr>
      <w:tr>
        <w:trPr>
          <w:trHeight w:val="202"/>
        </w:trPr>
        <w:tc>
          <w:tcPr>
            <w:tcW w:w="7860" w:type="dxa"/>
            <w:vAlign w:val="bottom"/>
            <w:shd w:val="clear" w:color="auto" w:fill="CCEEFF"/>
          </w:tcPr>
          <w:p>
            <w:pPr>
              <w:ind w:left="100"/>
              <w:spacing w:after="0"/>
              <w:rPr>
                <w:sz w:val="20"/>
                <w:szCs w:val="20"/>
                <w:color w:val="auto"/>
              </w:rPr>
            </w:pPr>
            <w:r>
              <w:rPr>
                <w:rFonts w:ascii="Arial" w:cs="Arial" w:eastAsia="Arial" w:hAnsi="Arial"/>
                <w:sz w:val="15"/>
                <w:szCs w:val="15"/>
                <w:color w:val="auto"/>
              </w:rPr>
              <w:t>30, 2018 and December 31, 2017, respectively</w:t>
            </w:r>
          </w:p>
        </w:tc>
        <w:tc>
          <w:tcPr>
            <w:tcW w:w="340" w:type="dxa"/>
            <w:vAlign w:val="bottom"/>
            <w:shd w:val="clear" w:color="auto" w:fill="CCEEFF"/>
          </w:tcPr>
          <w:p>
            <w:pPr>
              <w:spacing w:after="0"/>
              <w:rPr>
                <w:sz w:val="17"/>
                <w:szCs w:val="17"/>
                <w:color w:val="auto"/>
              </w:rPr>
            </w:pPr>
          </w:p>
        </w:tc>
        <w:tc>
          <w:tcPr>
            <w:tcW w:w="1360" w:type="dxa"/>
            <w:vAlign w:val="bottom"/>
            <w:shd w:val="clear" w:color="auto" w:fill="CCEEFF"/>
          </w:tcPr>
          <w:p>
            <w:pPr>
              <w:jc w:val="right"/>
              <w:ind w:right="44"/>
              <w:spacing w:after="0"/>
              <w:rPr>
                <w:sz w:val="20"/>
                <w:szCs w:val="20"/>
                <w:color w:val="auto"/>
              </w:rPr>
            </w:pPr>
            <w:r>
              <w:rPr>
                <w:rFonts w:ascii="Arial" w:cs="Arial" w:eastAsia="Arial" w:hAnsi="Arial"/>
                <w:sz w:val="15"/>
                <w:szCs w:val="15"/>
                <w:color w:val="auto"/>
              </w:rPr>
              <w:t>9</w:t>
            </w: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440" w:type="dxa"/>
            <w:vAlign w:val="bottom"/>
            <w:shd w:val="clear" w:color="auto" w:fill="CCEEFF"/>
          </w:tcPr>
          <w:p>
            <w:pPr>
              <w:jc w:val="right"/>
              <w:ind w:right="44"/>
              <w:spacing w:after="0"/>
              <w:rPr>
                <w:sz w:val="20"/>
                <w:szCs w:val="20"/>
                <w:color w:val="auto"/>
              </w:rPr>
            </w:pPr>
            <w:r>
              <w:rPr>
                <w:rFonts w:ascii="Arial" w:cs="Arial" w:eastAsia="Arial" w:hAnsi="Arial"/>
                <w:sz w:val="15"/>
                <w:szCs w:val="15"/>
                <w:color w:val="auto"/>
              </w:rPr>
              <w:t>9</w:t>
            </w:r>
          </w:p>
        </w:tc>
      </w:tr>
      <w:tr>
        <w:trPr>
          <w:trHeight w:val="176"/>
        </w:trPr>
        <w:tc>
          <w:tcPr>
            <w:tcW w:w="7860" w:type="dxa"/>
            <w:vAlign w:val="bottom"/>
          </w:tcPr>
          <w:p>
            <w:pPr>
              <w:ind w:left="100"/>
              <w:spacing w:after="0"/>
              <w:rPr>
                <w:sz w:val="20"/>
                <w:szCs w:val="20"/>
                <w:color w:val="auto"/>
              </w:rPr>
            </w:pPr>
            <w:r>
              <w:rPr>
                <w:rFonts w:ascii="Arial" w:cs="Arial" w:eastAsia="Arial" w:hAnsi="Arial"/>
                <w:sz w:val="15"/>
                <w:szCs w:val="15"/>
                <w:color w:val="auto"/>
                <w:w w:val="93"/>
              </w:rPr>
              <w:t>Class B common stock, $.0001 par value - 100,000 authorized, 10,471 and 11,193 shares issued and outstanding as of June</w:t>
            </w:r>
          </w:p>
        </w:tc>
        <w:tc>
          <w:tcPr>
            <w:tcW w:w="34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440" w:type="dxa"/>
            <w:vAlign w:val="bottom"/>
          </w:tcPr>
          <w:p>
            <w:pPr>
              <w:spacing w:after="0"/>
              <w:rPr>
                <w:sz w:val="15"/>
                <w:szCs w:val="15"/>
                <w:color w:val="auto"/>
              </w:rPr>
            </w:pPr>
          </w:p>
        </w:tc>
      </w:tr>
      <w:tr>
        <w:trPr>
          <w:trHeight w:val="198"/>
        </w:trPr>
        <w:tc>
          <w:tcPr>
            <w:tcW w:w="7860" w:type="dxa"/>
            <w:vAlign w:val="bottom"/>
          </w:tcPr>
          <w:p>
            <w:pPr>
              <w:ind w:left="100"/>
              <w:spacing w:after="0"/>
              <w:rPr>
                <w:sz w:val="20"/>
                <w:szCs w:val="20"/>
                <w:color w:val="auto"/>
              </w:rPr>
            </w:pPr>
            <w:r>
              <w:rPr>
                <w:rFonts w:ascii="Arial" w:cs="Arial" w:eastAsia="Arial" w:hAnsi="Arial"/>
                <w:sz w:val="15"/>
                <w:szCs w:val="15"/>
                <w:color w:val="auto"/>
              </w:rPr>
              <w:t>30, 2018 December 31, 2017, respectively</w:t>
            </w:r>
          </w:p>
        </w:tc>
        <w:tc>
          <w:tcPr>
            <w:tcW w:w="340" w:type="dxa"/>
            <w:vAlign w:val="bottom"/>
          </w:tcPr>
          <w:p>
            <w:pPr>
              <w:spacing w:after="0"/>
              <w:rPr>
                <w:sz w:val="17"/>
                <w:szCs w:val="17"/>
                <w:color w:val="auto"/>
              </w:rPr>
            </w:pPr>
          </w:p>
        </w:tc>
        <w:tc>
          <w:tcPr>
            <w:tcW w:w="1360" w:type="dxa"/>
            <w:vAlign w:val="bottom"/>
          </w:tcPr>
          <w:p>
            <w:pPr>
              <w:jc w:val="right"/>
              <w:ind w:right="44"/>
              <w:spacing w:after="0"/>
              <w:rPr>
                <w:sz w:val="20"/>
                <w:szCs w:val="20"/>
                <w:color w:val="auto"/>
              </w:rPr>
            </w:pPr>
            <w:r>
              <w:rPr>
                <w:rFonts w:ascii="Arial" w:cs="Arial" w:eastAsia="Arial" w:hAnsi="Arial"/>
                <w:sz w:val="15"/>
                <w:szCs w:val="15"/>
                <w:color w:val="auto"/>
              </w:rPr>
              <w:t>1</w:t>
            </w: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440" w:type="dxa"/>
            <w:vAlign w:val="bottom"/>
          </w:tcPr>
          <w:p>
            <w:pPr>
              <w:jc w:val="right"/>
              <w:ind w:right="44"/>
              <w:spacing w:after="0"/>
              <w:rPr>
                <w:sz w:val="20"/>
                <w:szCs w:val="20"/>
                <w:color w:val="auto"/>
              </w:rPr>
            </w:pPr>
            <w:r>
              <w:rPr>
                <w:rFonts w:ascii="Arial" w:cs="Arial" w:eastAsia="Arial" w:hAnsi="Arial"/>
                <w:sz w:val="15"/>
                <w:szCs w:val="15"/>
                <w:color w:val="auto"/>
              </w:rPr>
              <w:t>1</w:t>
            </w:r>
          </w:p>
        </w:tc>
      </w:tr>
      <w:tr>
        <w:trPr>
          <w:trHeight w:val="274"/>
        </w:trPr>
        <w:tc>
          <w:tcPr>
            <w:tcW w:w="7860" w:type="dxa"/>
            <w:vAlign w:val="bottom"/>
            <w:shd w:val="clear" w:color="auto" w:fill="CCEEFF"/>
          </w:tcPr>
          <w:p>
            <w:pPr>
              <w:ind w:left="100"/>
              <w:spacing w:after="0"/>
              <w:rPr>
                <w:sz w:val="20"/>
                <w:szCs w:val="20"/>
                <w:color w:val="auto"/>
              </w:rPr>
            </w:pPr>
            <w:r>
              <w:rPr>
                <w:rFonts w:ascii="Arial" w:cs="Arial" w:eastAsia="Arial" w:hAnsi="Arial"/>
                <w:sz w:val="15"/>
                <w:szCs w:val="15"/>
                <w:color w:val="auto"/>
              </w:rPr>
              <w:t>Accumulated other comprehensive loss</w:t>
            </w:r>
          </w:p>
        </w:tc>
        <w:tc>
          <w:tcPr>
            <w:tcW w:w="340" w:type="dxa"/>
            <w:vAlign w:val="bottom"/>
            <w:shd w:val="clear" w:color="auto" w:fill="CCEEFF"/>
          </w:tcPr>
          <w:p>
            <w:pPr>
              <w:spacing w:after="0"/>
              <w:rPr>
                <w:sz w:val="23"/>
                <w:szCs w:val="23"/>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(385)</w:t>
            </w: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1440" w:type="dxa"/>
            <w:vAlign w:val="bottom"/>
            <w:shd w:val="clear" w:color="auto" w:fill="CCEEFF"/>
          </w:tcPr>
          <w:p>
            <w:pPr>
              <w:jc w:val="right"/>
              <w:ind w:right="4"/>
              <w:spacing w:after="0"/>
              <w:rPr>
                <w:sz w:val="20"/>
                <w:szCs w:val="20"/>
                <w:color w:val="auto"/>
              </w:rPr>
            </w:pPr>
            <w:r>
              <w:rPr>
                <w:rFonts w:ascii="Arial" w:cs="Arial" w:eastAsia="Arial" w:hAnsi="Arial"/>
                <w:sz w:val="15"/>
                <w:szCs w:val="15"/>
                <w:color w:val="auto"/>
              </w:rPr>
              <w:t>(648)</w:t>
            </w:r>
          </w:p>
        </w:tc>
      </w:tr>
      <w:tr>
        <w:trPr>
          <w:trHeight w:val="266"/>
        </w:trPr>
        <w:tc>
          <w:tcPr>
            <w:tcW w:w="7860" w:type="dxa"/>
            <w:vAlign w:val="bottom"/>
          </w:tcPr>
          <w:p>
            <w:pPr>
              <w:ind w:left="100"/>
              <w:spacing w:after="0"/>
              <w:rPr>
                <w:sz w:val="20"/>
                <w:szCs w:val="20"/>
                <w:color w:val="auto"/>
              </w:rPr>
            </w:pPr>
            <w:r>
              <w:rPr>
                <w:rFonts w:ascii="Arial" w:cs="Arial" w:eastAsia="Arial" w:hAnsi="Arial"/>
                <w:sz w:val="15"/>
                <w:szCs w:val="15"/>
                <w:color w:val="auto"/>
              </w:rPr>
              <w:t>Additional paid in capital</w:t>
            </w:r>
          </w:p>
        </w:tc>
        <w:tc>
          <w:tcPr>
            <w:tcW w:w="340" w:type="dxa"/>
            <w:vAlign w:val="bottom"/>
          </w:tcPr>
          <w:p>
            <w:pPr>
              <w:spacing w:after="0"/>
              <w:rPr>
                <w:sz w:val="23"/>
                <w:szCs w:val="23"/>
                <w:color w:val="auto"/>
              </w:rPr>
            </w:pPr>
          </w:p>
        </w:tc>
        <w:tc>
          <w:tcPr>
            <w:tcW w:w="1360" w:type="dxa"/>
            <w:vAlign w:val="bottom"/>
          </w:tcPr>
          <w:p>
            <w:pPr>
              <w:jc w:val="right"/>
              <w:ind w:right="44"/>
              <w:spacing w:after="0"/>
              <w:rPr>
                <w:sz w:val="20"/>
                <w:szCs w:val="20"/>
                <w:color w:val="auto"/>
              </w:rPr>
            </w:pPr>
            <w:r>
              <w:rPr>
                <w:rFonts w:ascii="Arial" w:cs="Arial" w:eastAsia="Arial" w:hAnsi="Arial"/>
                <w:sz w:val="15"/>
                <w:szCs w:val="15"/>
                <w:color w:val="auto"/>
              </w:rPr>
              <w:t>14,744</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440" w:type="dxa"/>
            <w:vAlign w:val="bottom"/>
          </w:tcPr>
          <w:p>
            <w:pPr>
              <w:jc w:val="right"/>
              <w:ind w:right="44"/>
              <w:spacing w:after="0"/>
              <w:rPr>
                <w:sz w:val="20"/>
                <w:szCs w:val="20"/>
                <w:color w:val="auto"/>
              </w:rPr>
            </w:pPr>
            <w:r>
              <w:rPr>
                <w:rFonts w:ascii="Arial" w:cs="Arial" w:eastAsia="Arial" w:hAnsi="Arial"/>
                <w:sz w:val="15"/>
                <w:szCs w:val="15"/>
                <w:color w:val="auto"/>
              </w:rPr>
              <w:t>12,118</w:t>
            </w:r>
          </w:p>
        </w:tc>
      </w:tr>
      <w:tr>
        <w:trPr>
          <w:trHeight w:val="270"/>
        </w:trPr>
        <w:tc>
          <w:tcPr>
            <w:tcW w:w="7860" w:type="dxa"/>
            <w:vAlign w:val="bottom"/>
            <w:shd w:val="clear" w:color="auto" w:fill="CCEEFF"/>
          </w:tcPr>
          <w:p>
            <w:pPr>
              <w:ind w:left="100"/>
              <w:spacing w:after="0"/>
              <w:rPr>
                <w:sz w:val="20"/>
                <w:szCs w:val="20"/>
                <w:color w:val="auto"/>
              </w:rPr>
            </w:pPr>
            <w:r>
              <w:rPr>
                <w:rFonts w:ascii="Arial" w:cs="Arial" w:eastAsia="Arial" w:hAnsi="Arial"/>
                <w:sz w:val="15"/>
                <w:szCs w:val="15"/>
                <w:color w:val="auto"/>
              </w:rPr>
              <w:t>Accumulated deficit</w:t>
            </w:r>
          </w:p>
        </w:tc>
        <w:tc>
          <w:tcPr>
            <w:tcW w:w="340" w:type="dxa"/>
            <w:vAlign w:val="bottom"/>
            <w:tcBorders>
              <w:bottom w:val="single" w:sz="8" w:color="auto"/>
            </w:tcBorders>
            <w:shd w:val="clear" w:color="auto" w:fill="CCEEFF"/>
          </w:tcPr>
          <w:p>
            <w:pPr>
              <w:spacing w:after="0"/>
              <w:rPr>
                <w:sz w:val="23"/>
                <w:szCs w:val="23"/>
                <w:color w:val="auto"/>
              </w:rPr>
            </w:pP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(94,348)</w:t>
            </w:r>
          </w:p>
        </w:tc>
        <w:tc>
          <w:tcPr>
            <w:tcW w:w="10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1440" w:type="dxa"/>
            <w:vAlign w:val="bottom"/>
            <w:tcBorders>
              <w:bottom w:val="single" w:sz="8" w:color="auto"/>
            </w:tcBorders>
            <w:shd w:val="clear" w:color="auto" w:fill="CCEEFF"/>
          </w:tcPr>
          <w:p>
            <w:pPr>
              <w:jc w:val="right"/>
              <w:ind w:right="4"/>
              <w:spacing w:after="0"/>
              <w:rPr>
                <w:sz w:val="20"/>
                <w:szCs w:val="20"/>
                <w:color w:val="auto"/>
              </w:rPr>
            </w:pPr>
            <w:r>
              <w:rPr>
                <w:rFonts w:ascii="Arial" w:cs="Arial" w:eastAsia="Arial" w:hAnsi="Arial"/>
                <w:sz w:val="15"/>
                <w:szCs w:val="15"/>
                <w:color w:val="auto"/>
              </w:rPr>
              <w:t>(130,966)</w:t>
            </w:r>
          </w:p>
        </w:tc>
      </w:tr>
      <w:tr>
        <w:trPr>
          <w:trHeight w:val="250"/>
        </w:trPr>
        <w:tc>
          <w:tcPr>
            <w:tcW w:w="7860" w:type="dxa"/>
            <w:vAlign w:val="bottom"/>
          </w:tcPr>
          <w:p>
            <w:pPr>
              <w:ind w:left="280"/>
              <w:spacing w:after="0"/>
              <w:rPr>
                <w:sz w:val="20"/>
                <w:szCs w:val="20"/>
                <w:color w:val="auto"/>
              </w:rPr>
            </w:pPr>
            <w:r>
              <w:rPr>
                <w:rFonts w:ascii="Arial" w:cs="Arial" w:eastAsia="Arial" w:hAnsi="Arial"/>
                <w:sz w:val="15"/>
                <w:szCs w:val="15"/>
                <w:color w:val="auto"/>
              </w:rPr>
              <w:t>Total stockholders' deficit attributable to Planet Fitness Inc.</w:t>
            </w:r>
          </w:p>
        </w:tc>
        <w:tc>
          <w:tcPr>
            <w:tcW w:w="34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5"/>
                <w:szCs w:val="15"/>
                <w:color w:val="auto"/>
              </w:rPr>
              <w:t>(79,979)</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440" w:type="dxa"/>
            <w:vAlign w:val="bottom"/>
          </w:tcPr>
          <w:p>
            <w:pPr>
              <w:jc w:val="right"/>
              <w:ind w:right="4"/>
              <w:spacing w:after="0"/>
              <w:rPr>
                <w:sz w:val="20"/>
                <w:szCs w:val="20"/>
                <w:color w:val="auto"/>
              </w:rPr>
            </w:pPr>
            <w:r>
              <w:rPr>
                <w:rFonts w:ascii="Arial" w:cs="Arial" w:eastAsia="Arial" w:hAnsi="Arial"/>
                <w:sz w:val="15"/>
                <w:szCs w:val="15"/>
                <w:color w:val="auto"/>
              </w:rPr>
              <w:t>(119,486)</w:t>
            </w:r>
          </w:p>
        </w:tc>
      </w:tr>
      <w:tr>
        <w:trPr>
          <w:trHeight w:val="270"/>
        </w:trPr>
        <w:tc>
          <w:tcPr>
            <w:tcW w:w="7860" w:type="dxa"/>
            <w:vAlign w:val="bottom"/>
            <w:shd w:val="clear" w:color="auto" w:fill="CCEEFF"/>
          </w:tcPr>
          <w:p>
            <w:pPr>
              <w:ind w:left="100"/>
              <w:spacing w:after="0"/>
              <w:rPr>
                <w:sz w:val="20"/>
                <w:szCs w:val="20"/>
                <w:color w:val="auto"/>
              </w:rPr>
            </w:pPr>
            <w:r>
              <w:rPr>
                <w:rFonts w:ascii="Arial" w:cs="Arial" w:eastAsia="Arial" w:hAnsi="Arial"/>
                <w:sz w:val="15"/>
                <w:szCs w:val="15"/>
                <w:color w:val="auto"/>
              </w:rPr>
              <w:t>Non-controlling interests</w:t>
            </w:r>
          </w:p>
        </w:tc>
        <w:tc>
          <w:tcPr>
            <w:tcW w:w="340" w:type="dxa"/>
            <w:vAlign w:val="bottom"/>
            <w:tcBorders>
              <w:bottom w:val="single" w:sz="8" w:color="auto"/>
            </w:tcBorders>
            <w:shd w:val="clear" w:color="auto" w:fill="CCEEFF"/>
          </w:tcPr>
          <w:p>
            <w:pPr>
              <w:spacing w:after="0"/>
              <w:rPr>
                <w:sz w:val="23"/>
                <w:szCs w:val="23"/>
                <w:color w:val="auto"/>
              </w:rPr>
            </w:pP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(11,269)</w:t>
            </w:r>
          </w:p>
        </w:tc>
        <w:tc>
          <w:tcPr>
            <w:tcW w:w="10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1440" w:type="dxa"/>
            <w:vAlign w:val="bottom"/>
            <w:tcBorders>
              <w:bottom w:val="single" w:sz="8" w:color="auto"/>
            </w:tcBorders>
            <w:shd w:val="clear" w:color="auto" w:fill="CCEEFF"/>
          </w:tcPr>
          <w:p>
            <w:pPr>
              <w:jc w:val="right"/>
              <w:ind w:right="4"/>
              <w:spacing w:after="0"/>
              <w:rPr>
                <w:sz w:val="20"/>
                <w:szCs w:val="20"/>
                <w:color w:val="auto"/>
              </w:rPr>
            </w:pPr>
            <w:r>
              <w:rPr>
                <w:rFonts w:ascii="Arial" w:cs="Arial" w:eastAsia="Arial" w:hAnsi="Arial"/>
                <w:sz w:val="15"/>
                <w:szCs w:val="15"/>
                <w:color w:val="auto"/>
              </w:rPr>
              <w:t>(17,451)</w:t>
            </w:r>
          </w:p>
        </w:tc>
      </w:tr>
      <w:tr>
        <w:trPr>
          <w:trHeight w:val="250"/>
        </w:trPr>
        <w:tc>
          <w:tcPr>
            <w:tcW w:w="7860" w:type="dxa"/>
            <w:vAlign w:val="bottom"/>
            <w:tcBorders>
              <w:bottom w:val="single" w:sz="8" w:color="CCEEFF"/>
            </w:tcBorders>
          </w:tcPr>
          <w:p>
            <w:pPr>
              <w:ind w:left="280"/>
              <w:spacing w:after="0"/>
              <w:rPr>
                <w:sz w:val="20"/>
                <w:szCs w:val="20"/>
                <w:color w:val="auto"/>
              </w:rPr>
            </w:pPr>
            <w:r>
              <w:rPr>
                <w:rFonts w:ascii="Arial" w:cs="Arial" w:eastAsia="Arial" w:hAnsi="Arial"/>
                <w:sz w:val="15"/>
                <w:szCs w:val="15"/>
                <w:color w:val="auto"/>
              </w:rPr>
              <w:t>Total stockholders' deficit</w:t>
            </w:r>
          </w:p>
        </w:tc>
        <w:tc>
          <w:tcPr>
            <w:tcW w:w="340" w:type="dxa"/>
            <w:vAlign w:val="bottom"/>
            <w:tcBorders>
              <w:bottom w:val="single" w:sz="8" w:color="auto"/>
            </w:tcBorders>
          </w:tcPr>
          <w:p>
            <w:pPr>
              <w:spacing w:after="0"/>
              <w:rPr>
                <w:sz w:val="21"/>
                <w:szCs w:val="21"/>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(91,248)</w:t>
            </w:r>
          </w:p>
        </w:tc>
        <w:tc>
          <w:tcPr>
            <w:tcW w:w="100" w:type="dxa"/>
            <w:vAlign w:val="bottom"/>
            <w:tcBorders>
              <w:bottom w:val="single" w:sz="8" w:color="CCEEFF"/>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1440" w:type="dxa"/>
            <w:vAlign w:val="bottom"/>
            <w:tcBorders>
              <w:bottom w:val="single" w:sz="8" w:color="auto"/>
            </w:tcBorders>
          </w:tcPr>
          <w:p>
            <w:pPr>
              <w:jc w:val="right"/>
              <w:ind w:right="4"/>
              <w:spacing w:after="0"/>
              <w:rPr>
                <w:sz w:val="20"/>
                <w:szCs w:val="20"/>
                <w:color w:val="auto"/>
              </w:rPr>
            </w:pPr>
            <w:r>
              <w:rPr>
                <w:rFonts w:ascii="Arial" w:cs="Arial" w:eastAsia="Arial" w:hAnsi="Arial"/>
                <w:sz w:val="15"/>
                <w:szCs w:val="15"/>
                <w:color w:val="auto"/>
              </w:rPr>
              <w:t>(136,937)</w:t>
            </w:r>
          </w:p>
        </w:tc>
      </w:tr>
      <w:tr>
        <w:trPr>
          <w:trHeight w:val="241"/>
        </w:trPr>
        <w:tc>
          <w:tcPr>
            <w:tcW w:w="78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5"/>
                <w:szCs w:val="15"/>
                <w:color w:val="auto"/>
              </w:rPr>
              <w:t>Total liabilities and stockholders' deficit</w:t>
            </w:r>
          </w:p>
        </w:tc>
        <w:tc>
          <w:tcPr>
            <w:tcW w:w="340" w:type="dxa"/>
            <w:vAlign w:val="bottom"/>
            <w:tcBorders>
              <w:bottom w:val="single" w:sz="8" w:color="auto"/>
            </w:tcBorders>
            <w:shd w:val="clear" w:color="auto" w:fill="CCEEFF"/>
          </w:tcPr>
          <w:p>
            <w:pPr>
              <w:jc w:val="right"/>
              <w:ind w:right="163"/>
              <w:spacing w:after="0"/>
              <w:rPr>
                <w:sz w:val="20"/>
                <w:szCs w:val="20"/>
                <w:color w:val="auto"/>
              </w:rPr>
            </w:pPr>
            <w:r>
              <w:rPr>
                <w:rFonts w:ascii="Arial" w:cs="Arial" w:eastAsia="Arial" w:hAnsi="Arial"/>
                <w:sz w:val="15"/>
                <w:szCs w:val="15"/>
                <w:color w:val="auto"/>
                <w:w w:val="95"/>
              </w:rPr>
              <w:t>$</w:t>
            </w:r>
          </w:p>
        </w:tc>
        <w:tc>
          <w:tcPr>
            <w:tcW w:w="1360" w:type="dxa"/>
            <w:vAlign w:val="bottom"/>
            <w:tcBorders>
              <w:bottom w:val="single" w:sz="8" w:color="auto"/>
            </w:tcBorders>
            <w:shd w:val="clear" w:color="auto" w:fill="CCEEFF"/>
          </w:tcPr>
          <w:p>
            <w:pPr>
              <w:jc w:val="right"/>
              <w:ind w:right="44"/>
              <w:spacing w:after="0"/>
              <w:rPr>
                <w:sz w:val="20"/>
                <w:szCs w:val="20"/>
                <w:color w:val="auto"/>
              </w:rPr>
            </w:pPr>
            <w:r>
              <w:rPr>
                <w:rFonts w:ascii="Arial" w:cs="Arial" w:eastAsia="Arial" w:hAnsi="Arial"/>
                <w:sz w:val="15"/>
                <w:szCs w:val="15"/>
                <w:color w:val="auto"/>
              </w:rPr>
              <w:t>1,124,721</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auto"/>
            </w:tcBorders>
            <w:shd w:val="clear" w:color="auto" w:fill="CCEEFF"/>
          </w:tcPr>
          <w:p>
            <w:pPr>
              <w:jc w:val="right"/>
              <w:ind w:right="83"/>
              <w:spacing w:after="0"/>
              <w:rPr>
                <w:sz w:val="20"/>
                <w:szCs w:val="20"/>
                <w:color w:val="auto"/>
              </w:rPr>
            </w:pPr>
            <w:r>
              <w:rPr>
                <w:rFonts w:ascii="Arial" w:cs="Arial" w:eastAsia="Arial" w:hAnsi="Arial"/>
                <w:sz w:val="15"/>
                <w:szCs w:val="15"/>
                <w:color w:val="auto"/>
                <w:w w:val="95"/>
              </w:rPr>
              <w:t>$</w:t>
            </w:r>
          </w:p>
        </w:tc>
        <w:tc>
          <w:tcPr>
            <w:tcW w:w="1440" w:type="dxa"/>
            <w:vAlign w:val="bottom"/>
            <w:tcBorders>
              <w:bottom w:val="single" w:sz="8" w:color="auto"/>
            </w:tcBorders>
            <w:shd w:val="clear" w:color="auto" w:fill="CCEEFF"/>
          </w:tcPr>
          <w:p>
            <w:pPr>
              <w:jc w:val="right"/>
              <w:ind w:right="44"/>
              <w:spacing w:after="0"/>
              <w:rPr>
                <w:sz w:val="20"/>
                <w:szCs w:val="20"/>
                <w:color w:val="auto"/>
              </w:rPr>
            </w:pPr>
            <w:r>
              <w:rPr>
                <w:rFonts w:ascii="Arial" w:cs="Arial" w:eastAsia="Arial" w:hAnsi="Arial"/>
                <w:sz w:val="15"/>
                <w:szCs w:val="15"/>
                <w:color w:val="auto"/>
              </w:rPr>
              <w:t>1,092,465</w:t>
            </w:r>
          </w:p>
        </w:tc>
      </w:tr>
      <w:tr>
        <w:trPr>
          <w:trHeight w:val="20"/>
        </w:trPr>
        <w:tc>
          <w:tcPr>
            <w:tcW w:w="78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r>
    </w:tbl>
    <w:p>
      <w:pPr>
        <w:jc w:val="center"/>
        <w:ind w:right="-59"/>
        <w:spacing w:after="0"/>
        <w:rPr>
          <w:sz w:val="20"/>
          <w:szCs w:val="20"/>
          <w:color w:val="auto"/>
        </w:rPr>
      </w:pPr>
      <w:r>
        <w:rPr>
          <w:rFonts w:ascii="Arial" w:cs="Arial" w:eastAsia="Arial" w:hAnsi="Arial"/>
          <w:sz w:val="16"/>
          <w:szCs w:val="16"/>
          <w:i w:val="1"/>
          <w:iCs w:val="1"/>
          <w:color w:val="auto"/>
        </w:rPr>
        <w:t>See accompanying notes to condensed consolidated financial statements</w:t>
      </w:r>
    </w:p>
    <w:p>
      <w:pPr>
        <w:sectPr>
          <w:pgSz w:w="11900" w:h="16838" w:orient="portrait"/>
          <w:cols w:equalWidth="0" w:num="1">
            <w:col w:w="11400"/>
          </w:cols>
          <w:pgMar w:left="240" w:top="233" w:right="259" w:bottom="0" w:gutter="0" w:footer="0" w:header="0"/>
        </w:sectPr>
      </w:pPr>
    </w:p>
    <w:p>
      <w:pPr>
        <w:spacing w:after="0" w:line="24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w:t>
      </w:r>
    </w:p>
    <w:p>
      <w:pPr>
        <w:sectPr>
          <w:pgSz w:w="11900" w:h="16838" w:orient="portrait"/>
          <w:cols w:equalWidth="0" w:num="1">
            <w:col w:w="11400"/>
          </w:cols>
          <w:pgMar w:left="240" w:top="233" w:right="259" w:bottom="0" w:gutter="0" w:footer="0" w:header="0"/>
          <w:type w:val="continuous"/>
        </w:sectPr>
      </w:pPr>
    </w:p>
    <w:bookmarkStart w:id="4" w:name="page5"/>
    <w:bookmarkEnd w:id="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per share amounts)</w:t>
      </w:r>
    </w:p>
    <w:p>
      <w:pPr>
        <w:spacing w:after="0" w:line="35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0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440" w:type="dxa"/>
            <w:vAlign w:val="bottom"/>
            <w:gridSpan w:val="5"/>
          </w:tcPr>
          <w:p>
            <w:pPr>
              <w:ind w:left="180"/>
              <w:spacing w:after="0"/>
              <w:rPr>
                <w:sz w:val="20"/>
                <w:szCs w:val="20"/>
                <w:color w:val="auto"/>
              </w:rPr>
            </w:pPr>
            <w:r>
              <w:rPr>
                <w:rFonts w:ascii="Arial" w:cs="Arial" w:eastAsia="Arial" w:hAnsi="Arial"/>
                <w:sz w:val="14"/>
                <w:szCs w:val="14"/>
                <w:b w:val="1"/>
                <w:bCs w:val="1"/>
                <w:color w:val="auto"/>
              </w:rPr>
              <w:t>For the three months ended</w:t>
            </w:r>
          </w:p>
        </w:tc>
        <w:tc>
          <w:tcPr>
            <w:tcW w:w="300" w:type="dxa"/>
            <w:vAlign w:val="bottom"/>
          </w:tcPr>
          <w:p>
            <w:pPr>
              <w:spacing w:after="0"/>
              <w:rPr>
                <w:sz w:val="14"/>
                <w:szCs w:val="14"/>
                <w:color w:val="auto"/>
              </w:rPr>
            </w:pPr>
          </w:p>
        </w:tc>
        <w:tc>
          <w:tcPr>
            <w:tcW w:w="2320" w:type="dxa"/>
            <w:vAlign w:val="bottom"/>
            <w:gridSpan w:val="4"/>
          </w:tcPr>
          <w:p>
            <w:pPr>
              <w:jc w:val="right"/>
              <w:ind w:right="431"/>
              <w:spacing w:after="0"/>
              <w:rPr>
                <w:sz w:val="20"/>
                <w:szCs w:val="20"/>
                <w:color w:val="auto"/>
              </w:rPr>
            </w:pPr>
            <w:r>
              <w:rPr>
                <w:rFonts w:ascii="Arial" w:cs="Arial" w:eastAsia="Arial" w:hAnsi="Arial"/>
                <w:sz w:val="14"/>
                <w:szCs w:val="14"/>
                <w:b w:val="1"/>
                <w:bCs w:val="1"/>
                <w:color w:val="auto"/>
              </w:rPr>
              <w:t>For the six months ended</w:t>
            </w:r>
          </w:p>
        </w:tc>
        <w:tc>
          <w:tcPr>
            <w:tcW w:w="0" w:type="dxa"/>
            <w:vAlign w:val="bottom"/>
          </w:tcPr>
          <w:p>
            <w:pPr>
              <w:spacing w:after="0"/>
              <w:rPr>
                <w:sz w:val="1"/>
                <w:szCs w:val="1"/>
                <w:color w:val="auto"/>
              </w:rPr>
            </w:pPr>
          </w:p>
        </w:tc>
      </w:tr>
      <w:tr>
        <w:trPr>
          <w:trHeight w:val="192"/>
        </w:trPr>
        <w:tc>
          <w:tcPr>
            <w:tcW w:w="608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420" w:type="dxa"/>
            <w:vAlign w:val="bottom"/>
            <w:tcBorders>
              <w:bottom w:val="single" w:sz="8" w:color="auto"/>
            </w:tcBorders>
            <w:gridSpan w:val="3"/>
          </w:tcPr>
          <w:p>
            <w:pPr>
              <w:jc w:val="right"/>
              <w:ind w:right="30"/>
              <w:spacing w:after="0"/>
              <w:rPr>
                <w:sz w:val="20"/>
                <w:szCs w:val="20"/>
                <w:color w:val="auto"/>
              </w:rPr>
            </w:pPr>
            <w:r>
              <w:rPr>
                <w:rFonts w:ascii="Arial" w:cs="Arial" w:eastAsia="Arial" w:hAnsi="Arial"/>
                <w:sz w:val="14"/>
                <w:szCs w:val="14"/>
                <w:b w:val="1"/>
                <w:bCs w:val="1"/>
                <w:color w:val="auto"/>
              </w:rPr>
              <w:t>June 30,</w:t>
            </w:r>
          </w:p>
        </w:tc>
        <w:tc>
          <w:tcPr>
            <w:tcW w:w="9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420" w:type="dxa"/>
            <w:vAlign w:val="bottom"/>
            <w:tcBorders>
              <w:bottom w:val="single" w:sz="8" w:color="auto"/>
            </w:tcBorders>
            <w:gridSpan w:val="3"/>
          </w:tcPr>
          <w:p>
            <w:pPr>
              <w:jc w:val="right"/>
              <w:ind w:right="50"/>
              <w:spacing w:after="0"/>
              <w:rPr>
                <w:sz w:val="20"/>
                <w:szCs w:val="20"/>
                <w:color w:val="auto"/>
              </w:rPr>
            </w:pPr>
            <w:r>
              <w:rPr>
                <w:rFonts w:ascii="Arial" w:cs="Arial" w:eastAsia="Arial" w:hAnsi="Arial"/>
                <w:sz w:val="14"/>
                <w:szCs w:val="14"/>
                <w:b w:val="1"/>
                <w:bCs w:val="1"/>
                <w:color w:val="auto"/>
              </w:rPr>
              <w:t>June 30,</w:t>
            </w:r>
          </w:p>
        </w:tc>
        <w:tc>
          <w:tcPr>
            <w:tcW w:w="9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608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392"/>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411"/>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392"/>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391"/>
              <w:spacing w:after="0"/>
              <w:rPr>
                <w:sz w:val="20"/>
                <w:szCs w:val="20"/>
                <w:color w:val="auto"/>
              </w:rPr>
            </w:pPr>
            <w:r>
              <w:rPr>
                <w:rFonts w:ascii="Arial" w:cs="Arial" w:eastAsia="Arial" w:hAnsi="Arial"/>
                <w:sz w:val="14"/>
                <w:szCs w:val="14"/>
                <w:b w:val="1"/>
                <w:bCs w:val="1"/>
                <w:color w:val="auto"/>
              </w:rPr>
              <w:t>2017</w:t>
            </w:r>
          </w:p>
        </w:tc>
        <w:tc>
          <w:tcPr>
            <w:tcW w:w="0" w:type="dxa"/>
            <w:vAlign w:val="bottom"/>
          </w:tcPr>
          <w:p>
            <w:pPr>
              <w:spacing w:after="0"/>
              <w:rPr>
                <w:sz w:val="1"/>
                <w:szCs w:val="1"/>
                <w:color w:val="auto"/>
              </w:rPr>
            </w:pPr>
          </w:p>
        </w:tc>
      </w:tr>
      <w:tr>
        <w:trPr>
          <w:trHeight w:val="250"/>
        </w:trPr>
        <w:tc>
          <w:tcPr>
            <w:tcW w:w="6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Revenue:</w:t>
            </w: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80" w:type="dxa"/>
            <w:vAlign w:val="bottom"/>
          </w:tcPr>
          <w:p>
            <w:pPr>
              <w:ind w:left="280"/>
              <w:spacing w:after="0"/>
              <w:rPr>
                <w:sz w:val="20"/>
                <w:szCs w:val="20"/>
                <w:color w:val="auto"/>
              </w:rPr>
            </w:pPr>
            <w:r>
              <w:rPr>
                <w:rFonts w:ascii="Arial" w:cs="Arial" w:eastAsia="Arial" w:hAnsi="Arial"/>
                <w:sz w:val="18"/>
                <w:szCs w:val="18"/>
                <w:color w:val="auto"/>
              </w:rPr>
              <w:t>Franchise</w:t>
            </w: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960" w:type="dxa"/>
            <w:vAlign w:val="bottom"/>
          </w:tcPr>
          <w:p>
            <w:pPr>
              <w:jc w:val="right"/>
              <w:ind w:right="12"/>
              <w:spacing w:after="0"/>
              <w:rPr>
                <w:sz w:val="20"/>
                <w:szCs w:val="20"/>
                <w:color w:val="auto"/>
              </w:rPr>
            </w:pPr>
            <w:r>
              <w:rPr>
                <w:rFonts w:ascii="Arial" w:cs="Arial" w:eastAsia="Arial" w:hAnsi="Arial"/>
                <w:sz w:val="18"/>
                <w:szCs w:val="18"/>
                <w:color w:val="auto"/>
              </w:rPr>
              <w:t>45,417</w:t>
            </w:r>
          </w:p>
        </w:tc>
        <w:tc>
          <w:tcPr>
            <w:tcW w:w="120" w:type="dxa"/>
            <w:vAlign w:val="bottom"/>
          </w:tcPr>
          <w:p>
            <w:pPr>
              <w:spacing w:after="0"/>
              <w:rPr>
                <w:sz w:val="21"/>
                <w:szCs w:val="21"/>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920" w:type="dxa"/>
            <w:vAlign w:val="bottom"/>
          </w:tcPr>
          <w:p>
            <w:pPr>
              <w:jc w:val="right"/>
              <w:ind w:right="31"/>
              <w:spacing w:after="0"/>
              <w:rPr>
                <w:sz w:val="20"/>
                <w:szCs w:val="20"/>
                <w:color w:val="auto"/>
              </w:rPr>
            </w:pPr>
            <w:r>
              <w:rPr>
                <w:rFonts w:ascii="Arial" w:cs="Arial" w:eastAsia="Arial" w:hAnsi="Arial"/>
                <w:sz w:val="18"/>
                <w:szCs w:val="18"/>
                <w:color w:val="auto"/>
              </w:rPr>
              <w:t>32,791</w:t>
            </w:r>
          </w:p>
        </w:tc>
        <w:tc>
          <w:tcPr>
            <w:tcW w:w="10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ind w:right="32"/>
              <w:spacing w:after="0"/>
              <w:rPr>
                <w:sz w:val="20"/>
                <w:szCs w:val="20"/>
                <w:color w:val="auto"/>
              </w:rPr>
            </w:pPr>
            <w:r>
              <w:rPr>
                <w:rFonts w:ascii="Arial" w:cs="Arial" w:eastAsia="Arial" w:hAnsi="Arial"/>
                <w:sz w:val="18"/>
                <w:szCs w:val="18"/>
                <w:color w:val="auto"/>
              </w:rPr>
              <w:t>87,579</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900" w:type="dxa"/>
            <w:vAlign w:val="bottom"/>
          </w:tcPr>
          <w:p>
            <w:pPr>
              <w:jc w:val="right"/>
              <w:ind w:right="11"/>
              <w:spacing w:after="0"/>
              <w:rPr>
                <w:sz w:val="20"/>
                <w:szCs w:val="20"/>
                <w:color w:val="auto"/>
              </w:rPr>
            </w:pPr>
            <w:r>
              <w:rPr>
                <w:rFonts w:ascii="Arial" w:cs="Arial" w:eastAsia="Arial" w:hAnsi="Arial"/>
                <w:sz w:val="18"/>
                <w:szCs w:val="18"/>
                <w:color w:val="auto"/>
              </w:rPr>
              <w:t>63,072</w:t>
            </w:r>
          </w:p>
        </w:tc>
        <w:tc>
          <w:tcPr>
            <w:tcW w:w="0" w:type="dxa"/>
            <w:vAlign w:val="bottom"/>
          </w:tcPr>
          <w:p>
            <w:pPr>
              <w:spacing w:after="0"/>
              <w:rPr>
                <w:sz w:val="1"/>
                <w:szCs w:val="1"/>
                <w:color w:val="auto"/>
              </w:rPr>
            </w:pPr>
          </w:p>
        </w:tc>
      </w:tr>
      <w:tr>
        <w:trPr>
          <w:trHeight w:val="27"/>
        </w:trPr>
        <w:tc>
          <w:tcPr>
            <w:tcW w:w="608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Commission income</w:t>
            </w: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1,575</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5,003</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3,563</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11,519</w:t>
            </w:r>
          </w:p>
        </w:tc>
        <w:tc>
          <w:tcPr>
            <w:tcW w:w="0" w:type="dxa"/>
            <w:vAlign w:val="bottom"/>
          </w:tcPr>
          <w:p>
            <w:pPr>
              <w:spacing w:after="0"/>
              <w:rPr>
                <w:sz w:val="1"/>
                <w:szCs w:val="1"/>
                <w:color w:val="auto"/>
              </w:rPr>
            </w:pPr>
          </w:p>
        </w:tc>
      </w:tr>
      <w:tr>
        <w:trPr>
          <w:trHeight w:val="243"/>
        </w:trPr>
        <w:tc>
          <w:tcPr>
            <w:tcW w:w="6080" w:type="dxa"/>
            <w:vAlign w:val="bottom"/>
          </w:tcPr>
          <w:p>
            <w:pPr>
              <w:ind w:left="280"/>
              <w:spacing w:after="0"/>
              <w:rPr>
                <w:sz w:val="20"/>
                <w:szCs w:val="20"/>
                <w:color w:val="auto"/>
              </w:rPr>
            </w:pPr>
            <w:r>
              <w:rPr>
                <w:rFonts w:ascii="Arial" w:cs="Arial" w:eastAsia="Arial" w:hAnsi="Arial"/>
                <w:sz w:val="18"/>
                <w:szCs w:val="18"/>
                <w:color w:val="auto"/>
              </w:rPr>
              <w:t>National advertising fund revenue</w:t>
            </w:r>
          </w:p>
        </w:tc>
        <w:tc>
          <w:tcPr>
            <w:tcW w:w="280" w:type="dxa"/>
            <w:vAlign w:val="bottom"/>
          </w:tcPr>
          <w:p>
            <w:pPr>
              <w:spacing w:after="0"/>
              <w:rPr>
                <w:sz w:val="21"/>
                <w:szCs w:val="21"/>
                <w:color w:val="auto"/>
              </w:rPr>
            </w:pPr>
          </w:p>
        </w:tc>
        <w:tc>
          <w:tcPr>
            <w:tcW w:w="960" w:type="dxa"/>
            <w:vAlign w:val="bottom"/>
          </w:tcPr>
          <w:p>
            <w:pPr>
              <w:jc w:val="right"/>
              <w:ind w:right="12"/>
              <w:spacing w:after="0"/>
              <w:rPr>
                <w:sz w:val="20"/>
                <w:szCs w:val="20"/>
                <w:color w:val="auto"/>
              </w:rPr>
            </w:pPr>
            <w:r>
              <w:rPr>
                <w:rFonts w:ascii="Arial" w:cs="Arial" w:eastAsia="Arial" w:hAnsi="Arial"/>
                <w:sz w:val="18"/>
                <w:szCs w:val="18"/>
                <w:color w:val="auto"/>
              </w:rPr>
              <w:t>11,158</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960" w:type="dxa"/>
            <w:vAlign w:val="bottom"/>
          </w:tcPr>
          <w:p>
            <w:pPr>
              <w:jc w:val="right"/>
              <w:ind w:right="32"/>
              <w:spacing w:after="0"/>
              <w:rPr>
                <w:sz w:val="20"/>
                <w:szCs w:val="20"/>
                <w:color w:val="auto"/>
              </w:rPr>
            </w:pPr>
            <w:r>
              <w:rPr>
                <w:rFonts w:ascii="Arial" w:cs="Arial" w:eastAsia="Arial" w:hAnsi="Arial"/>
                <w:sz w:val="18"/>
                <w:szCs w:val="18"/>
                <w:color w:val="auto"/>
              </w:rPr>
              <w:t>21,620</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0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608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Corporate-owned stores</w:t>
            </w: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34,252</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28,285</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66,959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55,326</w:t>
            </w:r>
          </w:p>
        </w:tc>
        <w:tc>
          <w:tcPr>
            <w:tcW w:w="0" w:type="dxa"/>
            <w:vAlign w:val="bottom"/>
          </w:tcPr>
          <w:p>
            <w:pPr>
              <w:spacing w:after="0"/>
              <w:rPr>
                <w:sz w:val="1"/>
                <w:szCs w:val="1"/>
                <w:color w:val="auto"/>
              </w:rPr>
            </w:pPr>
          </w:p>
        </w:tc>
      </w:tr>
      <w:tr>
        <w:trPr>
          <w:trHeight w:val="243"/>
        </w:trPr>
        <w:tc>
          <w:tcPr>
            <w:tcW w:w="6080" w:type="dxa"/>
            <w:vAlign w:val="bottom"/>
          </w:tcPr>
          <w:p>
            <w:pPr>
              <w:ind w:left="280"/>
              <w:spacing w:after="0"/>
              <w:rPr>
                <w:sz w:val="20"/>
                <w:szCs w:val="20"/>
                <w:color w:val="auto"/>
              </w:rPr>
            </w:pPr>
            <w:r>
              <w:rPr>
                <w:rFonts w:ascii="Arial" w:cs="Arial" w:eastAsia="Arial" w:hAnsi="Arial"/>
                <w:sz w:val="18"/>
                <w:szCs w:val="18"/>
                <w:color w:val="auto"/>
              </w:rPr>
              <w:t>Equipment</w:t>
            </w:r>
          </w:p>
        </w:tc>
        <w:tc>
          <w:tcPr>
            <w:tcW w:w="280" w:type="dxa"/>
            <w:vAlign w:val="bottom"/>
          </w:tcPr>
          <w:p>
            <w:pPr>
              <w:spacing w:after="0"/>
              <w:rPr>
                <w:sz w:val="21"/>
                <w:szCs w:val="21"/>
                <w:color w:val="auto"/>
              </w:rPr>
            </w:pPr>
          </w:p>
        </w:tc>
        <w:tc>
          <w:tcPr>
            <w:tcW w:w="960" w:type="dxa"/>
            <w:vAlign w:val="bottom"/>
          </w:tcPr>
          <w:p>
            <w:pPr>
              <w:jc w:val="right"/>
              <w:ind w:right="12"/>
              <w:spacing w:after="0"/>
              <w:rPr>
                <w:sz w:val="20"/>
                <w:szCs w:val="20"/>
                <w:color w:val="auto"/>
              </w:rPr>
            </w:pPr>
            <w:r>
              <w:rPr>
                <w:rFonts w:ascii="Arial" w:cs="Arial" w:eastAsia="Arial" w:hAnsi="Arial"/>
                <w:sz w:val="18"/>
                <w:szCs w:val="18"/>
                <w:color w:val="auto"/>
              </w:rPr>
              <w:t>48,148</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20" w:type="dxa"/>
            <w:vAlign w:val="bottom"/>
          </w:tcPr>
          <w:p>
            <w:pPr>
              <w:jc w:val="right"/>
              <w:ind w:right="31"/>
              <w:spacing w:after="0"/>
              <w:rPr>
                <w:sz w:val="20"/>
                <w:szCs w:val="20"/>
                <w:color w:val="auto"/>
              </w:rPr>
            </w:pPr>
            <w:r>
              <w:rPr>
                <w:rFonts w:ascii="Arial" w:cs="Arial" w:eastAsia="Arial" w:hAnsi="Arial"/>
                <w:sz w:val="18"/>
                <w:szCs w:val="18"/>
                <w:color w:val="auto"/>
              </w:rPr>
              <w:t>41,237</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ind w:right="32"/>
              <w:spacing w:after="0"/>
              <w:rPr>
                <w:sz w:val="20"/>
                <w:szCs w:val="20"/>
                <w:color w:val="auto"/>
              </w:rPr>
            </w:pPr>
            <w:r>
              <w:rPr>
                <w:rFonts w:ascii="Arial" w:cs="Arial" w:eastAsia="Arial" w:hAnsi="Arial"/>
                <w:sz w:val="18"/>
                <w:szCs w:val="18"/>
                <w:color w:val="auto"/>
              </w:rPr>
              <w:t>82,161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00" w:type="dxa"/>
            <w:vAlign w:val="bottom"/>
          </w:tcPr>
          <w:p>
            <w:pPr>
              <w:jc w:val="right"/>
              <w:ind w:right="11"/>
              <w:spacing w:after="0"/>
              <w:rPr>
                <w:sz w:val="20"/>
                <w:szCs w:val="20"/>
                <w:color w:val="auto"/>
              </w:rPr>
            </w:pPr>
            <w:r>
              <w:rPr>
                <w:rFonts w:ascii="Arial" w:cs="Arial" w:eastAsia="Arial" w:hAnsi="Arial"/>
                <w:sz w:val="18"/>
                <w:szCs w:val="18"/>
                <w:color w:val="auto"/>
              </w:rPr>
              <w:t>68,501</w:t>
            </w:r>
          </w:p>
        </w:tc>
        <w:tc>
          <w:tcPr>
            <w:tcW w:w="0" w:type="dxa"/>
            <w:vAlign w:val="bottom"/>
          </w:tcPr>
          <w:p>
            <w:pPr>
              <w:spacing w:after="0"/>
              <w:rPr>
                <w:sz w:val="1"/>
                <w:szCs w:val="1"/>
                <w:color w:val="auto"/>
              </w:rPr>
            </w:pPr>
          </w:p>
        </w:tc>
      </w:tr>
      <w:tr>
        <w:trPr>
          <w:trHeight w:val="27"/>
        </w:trPr>
        <w:tc>
          <w:tcPr>
            <w:tcW w:w="60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08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revenue</w:t>
            </w:r>
          </w:p>
        </w:tc>
        <w:tc>
          <w:tcPr>
            <w:tcW w:w="28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140,550</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9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107,316</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261,882</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198,418</w:t>
            </w:r>
          </w:p>
        </w:tc>
        <w:tc>
          <w:tcPr>
            <w:tcW w:w="0" w:type="dxa"/>
            <w:vAlign w:val="bottom"/>
          </w:tcPr>
          <w:p>
            <w:pPr>
              <w:spacing w:after="0"/>
              <w:rPr>
                <w:sz w:val="1"/>
                <w:szCs w:val="1"/>
                <w:color w:val="auto"/>
              </w:rPr>
            </w:pPr>
          </w:p>
        </w:tc>
      </w:tr>
      <w:tr>
        <w:trPr>
          <w:trHeight w:val="237"/>
        </w:trPr>
        <w:tc>
          <w:tcPr>
            <w:tcW w:w="6080" w:type="dxa"/>
            <w:vAlign w:val="bottom"/>
          </w:tcPr>
          <w:p>
            <w:pPr>
              <w:ind w:left="40"/>
              <w:spacing w:after="0"/>
              <w:rPr>
                <w:sz w:val="20"/>
                <w:szCs w:val="20"/>
                <w:color w:val="auto"/>
              </w:rPr>
            </w:pPr>
            <w:r>
              <w:rPr>
                <w:rFonts w:ascii="Arial" w:cs="Arial" w:eastAsia="Arial" w:hAnsi="Arial"/>
                <w:sz w:val="18"/>
                <w:szCs w:val="18"/>
                <w:color w:val="auto"/>
              </w:rPr>
              <w:t>Operating costs and expenses:</w:t>
            </w:r>
          </w:p>
        </w:tc>
        <w:tc>
          <w:tcPr>
            <w:tcW w:w="28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92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608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Cost of revenue</w:t>
            </w: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36,744</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31,452</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63,244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52,576</w:t>
            </w:r>
          </w:p>
        </w:tc>
        <w:tc>
          <w:tcPr>
            <w:tcW w:w="0" w:type="dxa"/>
            <w:vAlign w:val="bottom"/>
          </w:tcPr>
          <w:p>
            <w:pPr>
              <w:spacing w:after="0"/>
              <w:rPr>
                <w:sz w:val="1"/>
                <w:szCs w:val="1"/>
                <w:color w:val="auto"/>
              </w:rPr>
            </w:pPr>
          </w:p>
        </w:tc>
      </w:tr>
      <w:tr>
        <w:trPr>
          <w:trHeight w:val="243"/>
        </w:trPr>
        <w:tc>
          <w:tcPr>
            <w:tcW w:w="6080" w:type="dxa"/>
            <w:vAlign w:val="bottom"/>
          </w:tcPr>
          <w:p>
            <w:pPr>
              <w:ind w:left="280"/>
              <w:spacing w:after="0"/>
              <w:rPr>
                <w:sz w:val="20"/>
                <w:szCs w:val="20"/>
                <w:color w:val="auto"/>
              </w:rPr>
            </w:pPr>
            <w:r>
              <w:rPr>
                <w:rFonts w:ascii="Arial" w:cs="Arial" w:eastAsia="Arial" w:hAnsi="Arial"/>
                <w:sz w:val="18"/>
                <w:szCs w:val="18"/>
                <w:color w:val="auto"/>
              </w:rPr>
              <w:t>Store operations</w:t>
            </w:r>
          </w:p>
        </w:tc>
        <w:tc>
          <w:tcPr>
            <w:tcW w:w="280" w:type="dxa"/>
            <w:vAlign w:val="bottom"/>
          </w:tcPr>
          <w:p>
            <w:pPr>
              <w:spacing w:after="0"/>
              <w:rPr>
                <w:sz w:val="21"/>
                <w:szCs w:val="21"/>
                <w:color w:val="auto"/>
              </w:rPr>
            </w:pPr>
          </w:p>
        </w:tc>
        <w:tc>
          <w:tcPr>
            <w:tcW w:w="960" w:type="dxa"/>
            <w:vAlign w:val="bottom"/>
          </w:tcPr>
          <w:p>
            <w:pPr>
              <w:jc w:val="right"/>
              <w:ind w:right="12"/>
              <w:spacing w:after="0"/>
              <w:rPr>
                <w:sz w:val="20"/>
                <w:szCs w:val="20"/>
                <w:color w:val="auto"/>
              </w:rPr>
            </w:pPr>
            <w:r>
              <w:rPr>
                <w:rFonts w:ascii="Arial" w:cs="Arial" w:eastAsia="Arial" w:hAnsi="Arial"/>
                <w:sz w:val="18"/>
                <w:szCs w:val="18"/>
                <w:color w:val="auto"/>
              </w:rPr>
              <w:t>18,047</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20" w:type="dxa"/>
            <w:vAlign w:val="bottom"/>
          </w:tcPr>
          <w:p>
            <w:pPr>
              <w:jc w:val="right"/>
              <w:ind w:right="31"/>
              <w:spacing w:after="0"/>
              <w:rPr>
                <w:sz w:val="20"/>
                <w:szCs w:val="20"/>
                <w:color w:val="auto"/>
              </w:rPr>
            </w:pPr>
            <w:r>
              <w:rPr>
                <w:rFonts w:ascii="Arial" w:cs="Arial" w:eastAsia="Arial" w:hAnsi="Arial"/>
                <w:sz w:val="18"/>
                <w:szCs w:val="18"/>
                <w:color w:val="auto"/>
              </w:rPr>
              <w:t>14,604</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ind w:right="32"/>
              <w:spacing w:after="0"/>
              <w:rPr>
                <w:sz w:val="20"/>
                <w:szCs w:val="20"/>
                <w:color w:val="auto"/>
              </w:rPr>
            </w:pPr>
            <w:r>
              <w:rPr>
                <w:rFonts w:ascii="Arial" w:cs="Arial" w:eastAsia="Arial" w:hAnsi="Arial"/>
                <w:sz w:val="18"/>
                <w:szCs w:val="18"/>
                <w:color w:val="auto"/>
              </w:rPr>
              <w:t>36,403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00" w:type="dxa"/>
            <w:vAlign w:val="bottom"/>
          </w:tcPr>
          <w:p>
            <w:pPr>
              <w:jc w:val="right"/>
              <w:ind w:right="11"/>
              <w:spacing w:after="0"/>
              <w:rPr>
                <w:sz w:val="20"/>
                <w:szCs w:val="20"/>
                <w:color w:val="auto"/>
              </w:rPr>
            </w:pPr>
            <w:r>
              <w:rPr>
                <w:rFonts w:ascii="Arial" w:cs="Arial" w:eastAsia="Arial" w:hAnsi="Arial"/>
                <w:sz w:val="18"/>
                <w:szCs w:val="18"/>
                <w:color w:val="auto"/>
              </w:rPr>
              <w:t>29,788</w:t>
            </w:r>
          </w:p>
        </w:tc>
        <w:tc>
          <w:tcPr>
            <w:tcW w:w="0" w:type="dxa"/>
            <w:vAlign w:val="bottom"/>
          </w:tcPr>
          <w:p>
            <w:pPr>
              <w:spacing w:after="0"/>
              <w:rPr>
                <w:sz w:val="1"/>
                <w:szCs w:val="1"/>
                <w:color w:val="auto"/>
              </w:rPr>
            </w:pPr>
          </w:p>
        </w:tc>
      </w:tr>
      <w:tr>
        <w:trPr>
          <w:trHeight w:val="27"/>
        </w:trPr>
        <w:tc>
          <w:tcPr>
            <w:tcW w:w="608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Selling, general and administrative</w:t>
            </w: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17,210</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14,768</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34,831</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28,588</w:t>
            </w:r>
          </w:p>
        </w:tc>
        <w:tc>
          <w:tcPr>
            <w:tcW w:w="0" w:type="dxa"/>
            <w:vAlign w:val="bottom"/>
          </w:tcPr>
          <w:p>
            <w:pPr>
              <w:spacing w:after="0"/>
              <w:rPr>
                <w:sz w:val="1"/>
                <w:szCs w:val="1"/>
                <w:color w:val="auto"/>
              </w:rPr>
            </w:pPr>
          </w:p>
        </w:tc>
      </w:tr>
      <w:tr>
        <w:trPr>
          <w:trHeight w:val="243"/>
        </w:trPr>
        <w:tc>
          <w:tcPr>
            <w:tcW w:w="6080" w:type="dxa"/>
            <w:vAlign w:val="bottom"/>
          </w:tcPr>
          <w:p>
            <w:pPr>
              <w:ind w:left="280"/>
              <w:spacing w:after="0"/>
              <w:rPr>
                <w:sz w:val="20"/>
                <w:szCs w:val="20"/>
                <w:color w:val="auto"/>
              </w:rPr>
            </w:pPr>
            <w:r>
              <w:rPr>
                <w:rFonts w:ascii="Arial" w:cs="Arial" w:eastAsia="Arial" w:hAnsi="Arial"/>
                <w:sz w:val="18"/>
                <w:szCs w:val="18"/>
                <w:color w:val="auto"/>
              </w:rPr>
              <w:t>National advertising fund expense</w:t>
            </w:r>
          </w:p>
        </w:tc>
        <w:tc>
          <w:tcPr>
            <w:tcW w:w="280" w:type="dxa"/>
            <w:vAlign w:val="bottom"/>
          </w:tcPr>
          <w:p>
            <w:pPr>
              <w:spacing w:after="0"/>
              <w:rPr>
                <w:sz w:val="21"/>
                <w:szCs w:val="21"/>
                <w:color w:val="auto"/>
              </w:rPr>
            </w:pPr>
          </w:p>
        </w:tc>
        <w:tc>
          <w:tcPr>
            <w:tcW w:w="960" w:type="dxa"/>
            <w:vAlign w:val="bottom"/>
          </w:tcPr>
          <w:p>
            <w:pPr>
              <w:jc w:val="right"/>
              <w:ind w:right="12"/>
              <w:spacing w:after="0"/>
              <w:rPr>
                <w:sz w:val="20"/>
                <w:szCs w:val="20"/>
                <w:color w:val="auto"/>
              </w:rPr>
            </w:pPr>
            <w:r>
              <w:rPr>
                <w:rFonts w:ascii="Arial" w:cs="Arial" w:eastAsia="Arial" w:hAnsi="Arial"/>
                <w:sz w:val="18"/>
                <w:szCs w:val="18"/>
                <w:color w:val="auto"/>
              </w:rPr>
              <w:t>11,158</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960" w:type="dxa"/>
            <w:vAlign w:val="bottom"/>
          </w:tcPr>
          <w:p>
            <w:pPr>
              <w:jc w:val="right"/>
              <w:ind w:right="32"/>
              <w:spacing w:after="0"/>
              <w:rPr>
                <w:sz w:val="20"/>
                <w:szCs w:val="20"/>
                <w:color w:val="auto"/>
              </w:rPr>
            </w:pPr>
            <w:r>
              <w:rPr>
                <w:rFonts w:ascii="Arial" w:cs="Arial" w:eastAsia="Arial" w:hAnsi="Arial"/>
                <w:sz w:val="18"/>
                <w:szCs w:val="18"/>
                <w:color w:val="auto"/>
              </w:rPr>
              <w:t>21,620</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0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608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Depreciation and amortization</w:t>
            </w: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8,619</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7,894</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17,084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15,845</w:t>
            </w:r>
          </w:p>
        </w:tc>
        <w:tc>
          <w:tcPr>
            <w:tcW w:w="0" w:type="dxa"/>
            <w:vAlign w:val="bottom"/>
          </w:tcPr>
          <w:p>
            <w:pPr>
              <w:spacing w:after="0"/>
              <w:rPr>
                <w:sz w:val="1"/>
                <w:szCs w:val="1"/>
                <w:color w:val="auto"/>
              </w:rPr>
            </w:pPr>
          </w:p>
        </w:tc>
      </w:tr>
      <w:tr>
        <w:trPr>
          <w:trHeight w:val="243"/>
        </w:trPr>
        <w:tc>
          <w:tcPr>
            <w:tcW w:w="6080" w:type="dxa"/>
            <w:vAlign w:val="bottom"/>
          </w:tcPr>
          <w:p>
            <w:pPr>
              <w:ind w:left="280"/>
              <w:spacing w:after="0"/>
              <w:rPr>
                <w:sz w:val="20"/>
                <w:szCs w:val="20"/>
                <w:color w:val="auto"/>
              </w:rPr>
            </w:pPr>
            <w:r>
              <w:rPr>
                <w:rFonts w:ascii="Arial" w:cs="Arial" w:eastAsia="Arial" w:hAnsi="Arial"/>
                <w:sz w:val="18"/>
                <w:szCs w:val="18"/>
                <w:color w:val="auto"/>
              </w:rPr>
              <w:t>Other loss (gain)</w:t>
            </w:r>
          </w:p>
        </w:tc>
        <w:tc>
          <w:tcPr>
            <w:tcW w:w="2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(39)</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20" w:type="dxa"/>
            <w:vAlign w:val="bottom"/>
          </w:tcPr>
          <w:p>
            <w:pPr>
              <w:jc w:val="right"/>
              <w:ind w:right="31"/>
              <w:spacing w:after="0"/>
              <w:rPr>
                <w:sz w:val="20"/>
                <w:szCs w:val="20"/>
                <w:color w:val="auto"/>
              </w:rPr>
            </w:pPr>
            <w:r>
              <w:rPr>
                <w:rFonts w:ascii="Arial" w:cs="Arial" w:eastAsia="Arial" w:hAnsi="Arial"/>
                <w:sz w:val="18"/>
                <w:szCs w:val="18"/>
                <w:color w:val="auto"/>
              </w:rPr>
              <w:t>348</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ind w:right="32"/>
              <w:spacing w:after="0"/>
              <w:rPr>
                <w:sz w:val="20"/>
                <w:szCs w:val="20"/>
                <w:color w:val="auto"/>
              </w:rPr>
            </w:pPr>
            <w:r>
              <w:rPr>
                <w:rFonts w:ascii="Arial" w:cs="Arial" w:eastAsia="Arial" w:hAnsi="Arial"/>
                <w:sz w:val="18"/>
                <w:szCs w:val="18"/>
                <w:color w:val="auto"/>
              </w:rPr>
              <w:t>971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00" w:type="dxa"/>
            <w:vAlign w:val="bottom"/>
          </w:tcPr>
          <w:p>
            <w:pPr>
              <w:jc w:val="right"/>
              <w:ind w:right="11"/>
              <w:spacing w:after="0"/>
              <w:rPr>
                <w:sz w:val="20"/>
                <w:szCs w:val="20"/>
                <w:color w:val="auto"/>
              </w:rPr>
            </w:pPr>
            <w:r>
              <w:rPr>
                <w:rFonts w:ascii="Arial" w:cs="Arial" w:eastAsia="Arial" w:hAnsi="Arial"/>
                <w:sz w:val="18"/>
                <w:szCs w:val="18"/>
                <w:color w:val="auto"/>
              </w:rPr>
              <w:t>316</w:t>
            </w:r>
          </w:p>
        </w:tc>
        <w:tc>
          <w:tcPr>
            <w:tcW w:w="0" w:type="dxa"/>
            <w:vAlign w:val="bottom"/>
          </w:tcPr>
          <w:p>
            <w:pPr>
              <w:spacing w:after="0"/>
              <w:rPr>
                <w:sz w:val="1"/>
                <w:szCs w:val="1"/>
                <w:color w:val="auto"/>
              </w:rPr>
            </w:pPr>
          </w:p>
        </w:tc>
      </w:tr>
      <w:tr>
        <w:trPr>
          <w:trHeight w:val="27"/>
        </w:trPr>
        <w:tc>
          <w:tcPr>
            <w:tcW w:w="60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08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operating costs and expenses</w:t>
            </w:r>
          </w:p>
        </w:tc>
        <w:tc>
          <w:tcPr>
            <w:tcW w:w="28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91,739</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9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69,066</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174,153</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127,113</w:t>
            </w:r>
          </w:p>
        </w:tc>
        <w:tc>
          <w:tcPr>
            <w:tcW w:w="0" w:type="dxa"/>
            <w:vAlign w:val="bottom"/>
          </w:tcPr>
          <w:p>
            <w:pPr>
              <w:spacing w:after="0"/>
              <w:rPr>
                <w:sz w:val="1"/>
                <w:szCs w:val="1"/>
                <w:color w:val="auto"/>
              </w:rPr>
            </w:pPr>
          </w:p>
        </w:tc>
      </w:tr>
      <w:tr>
        <w:trPr>
          <w:trHeight w:val="237"/>
        </w:trPr>
        <w:tc>
          <w:tcPr>
            <w:tcW w:w="6080" w:type="dxa"/>
            <w:vAlign w:val="bottom"/>
          </w:tcPr>
          <w:p>
            <w:pPr>
              <w:ind w:left="500"/>
              <w:spacing w:after="0"/>
              <w:rPr>
                <w:sz w:val="20"/>
                <w:szCs w:val="20"/>
                <w:color w:val="auto"/>
              </w:rPr>
            </w:pPr>
            <w:r>
              <w:rPr>
                <w:rFonts w:ascii="Arial" w:cs="Arial" w:eastAsia="Arial" w:hAnsi="Arial"/>
                <w:sz w:val="18"/>
                <w:szCs w:val="18"/>
                <w:color w:val="auto"/>
              </w:rPr>
              <w:t>Income from operations</w:t>
            </w:r>
          </w:p>
        </w:tc>
        <w:tc>
          <w:tcPr>
            <w:tcW w:w="28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48,811</w:t>
            </w:r>
          </w:p>
        </w:tc>
        <w:tc>
          <w:tcPr>
            <w:tcW w:w="12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92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38,250</w:t>
            </w: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87,729</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71,305</w:t>
            </w:r>
          </w:p>
        </w:tc>
        <w:tc>
          <w:tcPr>
            <w:tcW w:w="0" w:type="dxa"/>
            <w:vAlign w:val="bottom"/>
          </w:tcPr>
          <w:p>
            <w:pPr>
              <w:spacing w:after="0"/>
              <w:rPr>
                <w:sz w:val="1"/>
                <w:szCs w:val="1"/>
                <w:color w:val="auto"/>
              </w:rPr>
            </w:pPr>
          </w:p>
        </w:tc>
      </w:tr>
      <w:tr>
        <w:trPr>
          <w:trHeight w:val="27"/>
        </w:trPr>
        <w:tc>
          <w:tcPr>
            <w:tcW w:w="60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expense, net:</w:t>
            </w: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80" w:type="dxa"/>
            <w:vAlign w:val="bottom"/>
          </w:tcPr>
          <w:p>
            <w:pPr>
              <w:ind w:left="280"/>
              <w:spacing w:after="0"/>
              <w:rPr>
                <w:sz w:val="20"/>
                <w:szCs w:val="20"/>
                <w:color w:val="auto"/>
              </w:rPr>
            </w:pPr>
            <w:r>
              <w:rPr>
                <w:rFonts w:ascii="Arial" w:cs="Arial" w:eastAsia="Arial" w:hAnsi="Arial"/>
                <w:sz w:val="18"/>
                <w:szCs w:val="18"/>
                <w:color w:val="auto"/>
              </w:rPr>
              <w:t>Interest expense, net</w:t>
            </w:r>
          </w:p>
        </w:tc>
        <w:tc>
          <w:tcPr>
            <w:tcW w:w="2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(8,628)</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(9,028)</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(17,361)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(17,791)</w:t>
            </w:r>
          </w:p>
        </w:tc>
        <w:tc>
          <w:tcPr>
            <w:tcW w:w="0" w:type="dxa"/>
            <w:vAlign w:val="bottom"/>
          </w:tcPr>
          <w:p>
            <w:pPr>
              <w:spacing w:after="0"/>
              <w:rPr>
                <w:sz w:val="1"/>
                <w:szCs w:val="1"/>
                <w:color w:val="auto"/>
              </w:rPr>
            </w:pPr>
          </w:p>
        </w:tc>
      </w:tr>
      <w:tr>
        <w:trPr>
          <w:trHeight w:val="27"/>
        </w:trPr>
        <w:tc>
          <w:tcPr>
            <w:tcW w:w="608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0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 expense</w:t>
            </w:r>
          </w:p>
        </w:tc>
        <w:tc>
          <w:tcPr>
            <w:tcW w:w="28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(502)</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(933)</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(310)</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(251)</w:t>
            </w:r>
          </w:p>
        </w:tc>
        <w:tc>
          <w:tcPr>
            <w:tcW w:w="0" w:type="dxa"/>
            <w:vAlign w:val="bottom"/>
          </w:tcPr>
          <w:p>
            <w:pPr>
              <w:spacing w:after="0"/>
              <w:rPr>
                <w:sz w:val="1"/>
                <w:szCs w:val="1"/>
                <w:color w:val="auto"/>
              </w:rPr>
            </w:pPr>
          </w:p>
        </w:tc>
      </w:tr>
      <w:tr>
        <w:trPr>
          <w:trHeight w:val="237"/>
        </w:trPr>
        <w:tc>
          <w:tcPr>
            <w:tcW w:w="6080" w:type="dxa"/>
            <w:vAlign w:val="bottom"/>
          </w:tcPr>
          <w:p>
            <w:pPr>
              <w:ind w:left="500"/>
              <w:spacing w:after="0"/>
              <w:rPr>
                <w:sz w:val="20"/>
                <w:szCs w:val="20"/>
                <w:color w:val="auto"/>
              </w:rPr>
            </w:pPr>
            <w:r>
              <w:rPr>
                <w:rFonts w:ascii="Arial" w:cs="Arial" w:eastAsia="Arial" w:hAnsi="Arial"/>
                <w:sz w:val="18"/>
                <w:szCs w:val="18"/>
                <w:color w:val="auto"/>
              </w:rPr>
              <w:t>Total other expense, net</w:t>
            </w:r>
          </w:p>
        </w:tc>
        <w:tc>
          <w:tcPr>
            <w:tcW w:w="28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(9,130)</w:t>
            </w:r>
          </w:p>
        </w:tc>
        <w:tc>
          <w:tcPr>
            <w:tcW w:w="12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(9,961)</w:t>
            </w: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(17,671)</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(18,042)</w:t>
            </w:r>
          </w:p>
        </w:tc>
        <w:tc>
          <w:tcPr>
            <w:tcW w:w="0" w:type="dxa"/>
            <w:vAlign w:val="bottom"/>
          </w:tcPr>
          <w:p>
            <w:pPr>
              <w:spacing w:after="0"/>
              <w:rPr>
                <w:sz w:val="1"/>
                <w:szCs w:val="1"/>
                <w:color w:val="auto"/>
              </w:rPr>
            </w:pPr>
          </w:p>
        </w:tc>
      </w:tr>
      <w:tr>
        <w:trPr>
          <w:trHeight w:val="27"/>
        </w:trPr>
        <w:tc>
          <w:tcPr>
            <w:tcW w:w="60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8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Income before income taxes</w:t>
            </w: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39,681</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28,289</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70,058</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53,263</w:t>
            </w:r>
          </w:p>
        </w:tc>
        <w:tc>
          <w:tcPr>
            <w:tcW w:w="0" w:type="dxa"/>
            <w:vAlign w:val="bottom"/>
          </w:tcPr>
          <w:p>
            <w:pPr>
              <w:spacing w:after="0"/>
              <w:rPr>
                <w:sz w:val="1"/>
                <w:szCs w:val="1"/>
                <w:color w:val="auto"/>
              </w:rPr>
            </w:pPr>
          </w:p>
        </w:tc>
      </w:tr>
      <w:tr>
        <w:trPr>
          <w:trHeight w:val="243"/>
        </w:trPr>
        <w:tc>
          <w:tcPr>
            <w:tcW w:w="6080" w:type="dxa"/>
            <w:vAlign w:val="bottom"/>
          </w:tcPr>
          <w:p>
            <w:pPr>
              <w:ind w:left="40"/>
              <w:spacing w:after="0"/>
              <w:rPr>
                <w:sz w:val="20"/>
                <w:szCs w:val="20"/>
                <w:color w:val="auto"/>
              </w:rPr>
            </w:pPr>
            <w:r>
              <w:rPr>
                <w:rFonts w:ascii="Arial" w:cs="Arial" w:eastAsia="Arial" w:hAnsi="Arial"/>
                <w:sz w:val="18"/>
                <w:szCs w:val="18"/>
                <w:color w:val="auto"/>
              </w:rPr>
              <w:t>Provision for income taxes</w:t>
            </w:r>
          </w:p>
        </w:tc>
        <w:tc>
          <w:tcPr>
            <w:tcW w:w="280" w:type="dxa"/>
            <w:vAlign w:val="bottom"/>
          </w:tcPr>
          <w:p>
            <w:pPr>
              <w:spacing w:after="0"/>
              <w:rPr>
                <w:sz w:val="21"/>
                <w:szCs w:val="21"/>
                <w:color w:val="auto"/>
              </w:rPr>
            </w:pPr>
          </w:p>
        </w:tc>
        <w:tc>
          <w:tcPr>
            <w:tcW w:w="960" w:type="dxa"/>
            <w:vAlign w:val="bottom"/>
          </w:tcPr>
          <w:p>
            <w:pPr>
              <w:jc w:val="right"/>
              <w:ind w:right="12"/>
              <w:spacing w:after="0"/>
              <w:rPr>
                <w:sz w:val="20"/>
                <w:szCs w:val="20"/>
                <w:color w:val="auto"/>
              </w:rPr>
            </w:pPr>
            <w:r>
              <w:rPr>
                <w:rFonts w:ascii="Arial" w:cs="Arial" w:eastAsia="Arial" w:hAnsi="Arial"/>
                <w:sz w:val="18"/>
                <w:szCs w:val="18"/>
                <w:color w:val="auto"/>
              </w:rPr>
              <w:t>9,263</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20" w:type="dxa"/>
            <w:vAlign w:val="bottom"/>
          </w:tcPr>
          <w:p>
            <w:pPr>
              <w:jc w:val="right"/>
              <w:ind w:right="31"/>
              <w:spacing w:after="0"/>
              <w:rPr>
                <w:sz w:val="20"/>
                <w:szCs w:val="20"/>
                <w:color w:val="auto"/>
              </w:rPr>
            </w:pPr>
            <w:r>
              <w:rPr>
                <w:rFonts w:ascii="Arial" w:cs="Arial" w:eastAsia="Arial" w:hAnsi="Arial"/>
                <w:sz w:val="18"/>
                <w:szCs w:val="18"/>
                <w:color w:val="auto"/>
              </w:rPr>
              <w:t>10,285</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ind w:right="32"/>
              <w:spacing w:after="0"/>
              <w:rPr>
                <w:sz w:val="20"/>
                <w:szCs w:val="20"/>
                <w:color w:val="auto"/>
              </w:rPr>
            </w:pPr>
            <w:r>
              <w:rPr>
                <w:rFonts w:ascii="Arial" w:cs="Arial" w:eastAsia="Arial" w:hAnsi="Arial"/>
                <w:sz w:val="18"/>
                <w:szCs w:val="18"/>
                <w:color w:val="auto"/>
              </w:rPr>
              <w:t>16,146</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00" w:type="dxa"/>
            <w:vAlign w:val="bottom"/>
          </w:tcPr>
          <w:p>
            <w:pPr>
              <w:jc w:val="right"/>
              <w:ind w:right="11"/>
              <w:spacing w:after="0"/>
              <w:rPr>
                <w:sz w:val="20"/>
                <w:szCs w:val="20"/>
                <w:color w:val="auto"/>
              </w:rPr>
            </w:pPr>
            <w:r>
              <w:rPr>
                <w:rFonts w:ascii="Arial" w:cs="Arial" w:eastAsia="Arial" w:hAnsi="Arial"/>
                <w:sz w:val="18"/>
                <w:szCs w:val="18"/>
                <w:color w:val="auto"/>
              </w:rPr>
              <w:t>17,393</w:t>
            </w:r>
          </w:p>
        </w:tc>
        <w:tc>
          <w:tcPr>
            <w:tcW w:w="0" w:type="dxa"/>
            <w:vAlign w:val="bottom"/>
          </w:tcPr>
          <w:p>
            <w:pPr>
              <w:spacing w:after="0"/>
              <w:rPr>
                <w:sz w:val="1"/>
                <w:szCs w:val="1"/>
                <w:color w:val="auto"/>
              </w:rPr>
            </w:pPr>
          </w:p>
        </w:tc>
      </w:tr>
      <w:tr>
        <w:trPr>
          <w:trHeight w:val="27"/>
        </w:trPr>
        <w:tc>
          <w:tcPr>
            <w:tcW w:w="60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8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Net income</w:t>
            </w: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30,418</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18,004</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53,912</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35,870</w:t>
            </w:r>
          </w:p>
        </w:tc>
        <w:tc>
          <w:tcPr>
            <w:tcW w:w="0" w:type="dxa"/>
            <w:vAlign w:val="bottom"/>
          </w:tcPr>
          <w:p>
            <w:pPr>
              <w:spacing w:after="0"/>
              <w:rPr>
                <w:sz w:val="1"/>
                <w:szCs w:val="1"/>
                <w:color w:val="auto"/>
              </w:rPr>
            </w:pPr>
          </w:p>
        </w:tc>
      </w:tr>
      <w:tr>
        <w:trPr>
          <w:trHeight w:val="243"/>
        </w:trPr>
        <w:tc>
          <w:tcPr>
            <w:tcW w:w="6080" w:type="dxa"/>
            <w:vAlign w:val="bottom"/>
          </w:tcPr>
          <w:p>
            <w:pPr>
              <w:ind w:left="40"/>
              <w:spacing w:after="0"/>
              <w:rPr>
                <w:sz w:val="20"/>
                <w:szCs w:val="20"/>
                <w:color w:val="auto"/>
              </w:rPr>
            </w:pPr>
            <w:r>
              <w:rPr>
                <w:rFonts w:ascii="Arial" w:cs="Arial" w:eastAsia="Arial" w:hAnsi="Arial"/>
                <w:sz w:val="18"/>
                <w:szCs w:val="18"/>
                <w:color w:val="auto"/>
              </w:rPr>
              <w:t>Less net income attributable to non-controlling interests</w:t>
            </w:r>
          </w:p>
        </w:tc>
        <w:tc>
          <w:tcPr>
            <w:tcW w:w="280" w:type="dxa"/>
            <w:vAlign w:val="bottom"/>
          </w:tcPr>
          <w:p>
            <w:pPr>
              <w:spacing w:after="0"/>
              <w:rPr>
                <w:sz w:val="21"/>
                <w:szCs w:val="21"/>
                <w:color w:val="auto"/>
              </w:rPr>
            </w:pPr>
          </w:p>
        </w:tc>
        <w:tc>
          <w:tcPr>
            <w:tcW w:w="960" w:type="dxa"/>
            <w:vAlign w:val="bottom"/>
          </w:tcPr>
          <w:p>
            <w:pPr>
              <w:jc w:val="right"/>
              <w:ind w:right="12"/>
              <w:spacing w:after="0"/>
              <w:rPr>
                <w:sz w:val="20"/>
                <w:szCs w:val="20"/>
                <w:color w:val="auto"/>
              </w:rPr>
            </w:pPr>
            <w:r>
              <w:rPr>
                <w:rFonts w:ascii="Arial" w:cs="Arial" w:eastAsia="Arial" w:hAnsi="Arial"/>
                <w:sz w:val="18"/>
                <w:szCs w:val="18"/>
                <w:color w:val="auto"/>
              </w:rPr>
              <w:t>4,544</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20" w:type="dxa"/>
            <w:vAlign w:val="bottom"/>
          </w:tcPr>
          <w:p>
            <w:pPr>
              <w:jc w:val="right"/>
              <w:ind w:right="31"/>
              <w:spacing w:after="0"/>
              <w:rPr>
                <w:sz w:val="20"/>
                <w:szCs w:val="20"/>
                <w:color w:val="auto"/>
              </w:rPr>
            </w:pPr>
            <w:r>
              <w:rPr>
                <w:rFonts w:ascii="Arial" w:cs="Arial" w:eastAsia="Arial" w:hAnsi="Arial"/>
                <w:sz w:val="18"/>
                <w:szCs w:val="18"/>
                <w:color w:val="auto"/>
              </w:rPr>
              <w:t>5,592</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ind w:right="32"/>
              <w:spacing w:after="0"/>
              <w:rPr>
                <w:sz w:val="20"/>
                <w:szCs w:val="20"/>
                <w:color w:val="auto"/>
              </w:rPr>
            </w:pPr>
            <w:r>
              <w:rPr>
                <w:rFonts w:ascii="Arial" w:cs="Arial" w:eastAsia="Arial" w:hAnsi="Arial"/>
                <w:sz w:val="18"/>
                <w:szCs w:val="18"/>
                <w:color w:val="auto"/>
              </w:rPr>
              <w:t>8,157</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00" w:type="dxa"/>
            <w:vAlign w:val="bottom"/>
          </w:tcPr>
          <w:p>
            <w:pPr>
              <w:jc w:val="right"/>
              <w:ind w:right="11"/>
              <w:spacing w:after="0"/>
              <w:rPr>
                <w:sz w:val="20"/>
                <w:szCs w:val="20"/>
                <w:color w:val="auto"/>
              </w:rPr>
            </w:pPr>
            <w:r>
              <w:rPr>
                <w:rFonts w:ascii="Arial" w:cs="Arial" w:eastAsia="Arial" w:hAnsi="Arial"/>
                <w:sz w:val="18"/>
                <w:szCs w:val="18"/>
                <w:color w:val="auto"/>
              </w:rPr>
              <w:t>14,616</w:t>
            </w:r>
          </w:p>
        </w:tc>
        <w:tc>
          <w:tcPr>
            <w:tcW w:w="0" w:type="dxa"/>
            <w:vAlign w:val="bottom"/>
          </w:tcPr>
          <w:p>
            <w:pPr>
              <w:spacing w:after="0"/>
              <w:rPr>
                <w:sz w:val="1"/>
                <w:szCs w:val="1"/>
                <w:color w:val="auto"/>
              </w:rPr>
            </w:pPr>
          </w:p>
        </w:tc>
      </w:tr>
      <w:tr>
        <w:trPr>
          <w:trHeight w:val="27"/>
        </w:trPr>
        <w:tc>
          <w:tcPr>
            <w:tcW w:w="60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08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Net income attributable to Planet Fitness, Inc.</w:t>
            </w: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25,874</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rPr>
              <w:t>12,412</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auto"/>
            </w:tcBorders>
            <w:shd w:val="clear" w:color="auto" w:fill="CCEEFF"/>
          </w:tcPr>
          <w:p>
            <w:pPr>
              <w:spacing w:after="0"/>
              <w:rPr>
                <w:sz w:val="22"/>
                <w:szCs w:val="22"/>
                <w:color w:val="auto"/>
              </w:rPr>
            </w:pPr>
          </w:p>
        </w:tc>
        <w:tc>
          <w:tcPr>
            <w:tcW w:w="96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rPr>
              <w:t>45,755</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21,254</w:t>
            </w:r>
          </w:p>
        </w:tc>
        <w:tc>
          <w:tcPr>
            <w:tcW w:w="0" w:type="dxa"/>
            <w:vAlign w:val="bottom"/>
          </w:tcPr>
          <w:p>
            <w:pPr>
              <w:spacing w:after="0"/>
              <w:rPr>
                <w:sz w:val="1"/>
                <w:szCs w:val="1"/>
                <w:color w:val="auto"/>
              </w:rPr>
            </w:pPr>
          </w:p>
        </w:tc>
      </w:tr>
      <w:tr>
        <w:trPr>
          <w:trHeight w:val="20"/>
        </w:trPr>
        <w:tc>
          <w:tcPr>
            <w:tcW w:w="6080" w:type="dxa"/>
            <w:vAlign w:val="bottom"/>
            <w:vMerge w:val="restart"/>
          </w:tcPr>
          <w:p>
            <w:pPr>
              <w:ind w:left="40"/>
              <w:spacing w:after="0"/>
              <w:rPr>
                <w:sz w:val="20"/>
                <w:szCs w:val="20"/>
                <w:color w:val="auto"/>
              </w:rPr>
            </w:pPr>
            <w:r>
              <w:rPr>
                <w:rFonts w:ascii="Arial" w:cs="Arial" w:eastAsia="Arial" w:hAnsi="Arial"/>
                <w:sz w:val="18"/>
                <w:szCs w:val="18"/>
                <w:color w:val="auto"/>
              </w:rPr>
              <w:t>Net income per share of Class A common stock:</w:t>
            </w: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6080" w:type="dxa"/>
            <w:vAlign w:val="bottom"/>
            <w:vMerge w:val="continue"/>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608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Basic</w:t>
            </w: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0.30</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0.16</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0.52</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0.30</w:t>
            </w:r>
          </w:p>
        </w:tc>
        <w:tc>
          <w:tcPr>
            <w:tcW w:w="0" w:type="dxa"/>
            <w:vAlign w:val="bottom"/>
          </w:tcPr>
          <w:p>
            <w:pPr>
              <w:spacing w:after="0"/>
              <w:rPr>
                <w:sz w:val="1"/>
                <w:szCs w:val="1"/>
                <w:color w:val="auto"/>
              </w:rPr>
            </w:pPr>
          </w:p>
        </w:tc>
      </w:tr>
      <w:tr>
        <w:trPr>
          <w:trHeight w:val="243"/>
        </w:trPr>
        <w:tc>
          <w:tcPr>
            <w:tcW w:w="6080" w:type="dxa"/>
            <w:vAlign w:val="bottom"/>
          </w:tcPr>
          <w:p>
            <w:pPr>
              <w:ind w:left="280"/>
              <w:spacing w:after="0"/>
              <w:rPr>
                <w:sz w:val="20"/>
                <w:szCs w:val="20"/>
                <w:color w:val="auto"/>
              </w:rPr>
            </w:pPr>
            <w:r>
              <w:rPr>
                <w:rFonts w:ascii="Arial" w:cs="Arial" w:eastAsia="Arial" w:hAnsi="Arial"/>
                <w:sz w:val="18"/>
                <w:szCs w:val="18"/>
                <w:color w:val="auto"/>
              </w:rPr>
              <w:t>Diluted</w:t>
            </w: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960" w:type="dxa"/>
            <w:vAlign w:val="bottom"/>
          </w:tcPr>
          <w:p>
            <w:pPr>
              <w:jc w:val="right"/>
              <w:ind w:right="12"/>
              <w:spacing w:after="0"/>
              <w:rPr>
                <w:sz w:val="20"/>
                <w:szCs w:val="20"/>
                <w:color w:val="auto"/>
              </w:rPr>
            </w:pPr>
            <w:r>
              <w:rPr>
                <w:rFonts w:ascii="Arial" w:cs="Arial" w:eastAsia="Arial" w:hAnsi="Arial"/>
                <w:sz w:val="18"/>
                <w:szCs w:val="18"/>
                <w:color w:val="auto"/>
              </w:rPr>
              <w:t>0.29</w:t>
            </w:r>
          </w:p>
        </w:tc>
        <w:tc>
          <w:tcPr>
            <w:tcW w:w="120" w:type="dxa"/>
            <w:vAlign w:val="bottom"/>
          </w:tcPr>
          <w:p>
            <w:pPr>
              <w:spacing w:after="0"/>
              <w:rPr>
                <w:sz w:val="21"/>
                <w:szCs w:val="21"/>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920" w:type="dxa"/>
            <w:vAlign w:val="bottom"/>
          </w:tcPr>
          <w:p>
            <w:pPr>
              <w:jc w:val="right"/>
              <w:ind w:right="31"/>
              <w:spacing w:after="0"/>
              <w:rPr>
                <w:sz w:val="20"/>
                <w:szCs w:val="20"/>
                <w:color w:val="auto"/>
              </w:rPr>
            </w:pPr>
            <w:r>
              <w:rPr>
                <w:rFonts w:ascii="Arial" w:cs="Arial" w:eastAsia="Arial" w:hAnsi="Arial"/>
                <w:sz w:val="18"/>
                <w:szCs w:val="18"/>
                <w:color w:val="auto"/>
              </w:rPr>
              <w:t>0.16</w:t>
            </w:r>
          </w:p>
        </w:tc>
        <w:tc>
          <w:tcPr>
            <w:tcW w:w="10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ind w:right="32"/>
              <w:spacing w:after="0"/>
              <w:rPr>
                <w:sz w:val="20"/>
                <w:szCs w:val="20"/>
                <w:color w:val="auto"/>
              </w:rPr>
            </w:pPr>
            <w:r>
              <w:rPr>
                <w:rFonts w:ascii="Arial" w:cs="Arial" w:eastAsia="Arial" w:hAnsi="Arial"/>
                <w:sz w:val="18"/>
                <w:szCs w:val="18"/>
                <w:color w:val="auto"/>
              </w:rPr>
              <w:t>0.52</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900" w:type="dxa"/>
            <w:vAlign w:val="bottom"/>
          </w:tcPr>
          <w:p>
            <w:pPr>
              <w:jc w:val="right"/>
              <w:ind w:right="11"/>
              <w:spacing w:after="0"/>
              <w:rPr>
                <w:sz w:val="20"/>
                <w:szCs w:val="20"/>
                <w:color w:val="auto"/>
              </w:rPr>
            </w:pPr>
            <w:r>
              <w:rPr>
                <w:rFonts w:ascii="Arial" w:cs="Arial" w:eastAsia="Arial" w:hAnsi="Arial"/>
                <w:sz w:val="18"/>
                <w:szCs w:val="18"/>
                <w:color w:val="auto"/>
              </w:rPr>
              <w:t>0.30</w:t>
            </w:r>
          </w:p>
        </w:tc>
        <w:tc>
          <w:tcPr>
            <w:tcW w:w="0" w:type="dxa"/>
            <w:vAlign w:val="bottom"/>
          </w:tcPr>
          <w:p>
            <w:pPr>
              <w:spacing w:after="0"/>
              <w:rPr>
                <w:sz w:val="1"/>
                <w:szCs w:val="1"/>
                <w:color w:val="auto"/>
              </w:rPr>
            </w:pPr>
          </w:p>
        </w:tc>
      </w:tr>
      <w:tr>
        <w:trPr>
          <w:trHeight w:val="27"/>
        </w:trPr>
        <w:tc>
          <w:tcPr>
            <w:tcW w:w="608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Weighted-average shares of Class A common stock outstanding:</w:t>
            </w: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80" w:type="dxa"/>
            <w:vAlign w:val="bottom"/>
          </w:tcPr>
          <w:p>
            <w:pPr>
              <w:ind w:left="280"/>
              <w:spacing w:after="0"/>
              <w:rPr>
                <w:sz w:val="20"/>
                <w:szCs w:val="20"/>
                <w:color w:val="auto"/>
              </w:rPr>
            </w:pPr>
            <w:r>
              <w:rPr>
                <w:rFonts w:ascii="Arial" w:cs="Arial" w:eastAsia="Arial" w:hAnsi="Arial"/>
                <w:sz w:val="18"/>
                <w:szCs w:val="18"/>
                <w:color w:val="auto"/>
              </w:rPr>
              <w:t>Basic</w:t>
            </w:r>
          </w:p>
        </w:tc>
        <w:tc>
          <w:tcPr>
            <w:tcW w:w="280" w:type="dxa"/>
            <w:vAlign w:val="bottom"/>
          </w:tcPr>
          <w:p>
            <w:pPr>
              <w:spacing w:after="0"/>
              <w:rPr>
                <w:sz w:val="21"/>
                <w:szCs w:val="21"/>
                <w:color w:val="auto"/>
              </w:rPr>
            </w:pPr>
          </w:p>
        </w:tc>
        <w:tc>
          <w:tcPr>
            <w:tcW w:w="960" w:type="dxa"/>
            <w:vAlign w:val="bottom"/>
          </w:tcPr>
          <w:p>
            <w:pPr>
              <w:jc w:val="right"/>
              <w:ind w:right="12"/>
              <w:spacing w:after="0"/>
              <w:rPr>
                <w:sz w:val="20"/>
                <w:szCs w:val="20"/>
                <w:color w:val="auto"/>
              </w:rPr>
            </w:pPr>
            <w:r>
              <w:rPr>
                <w:rFonts w:ascii="Arial" w:cs="Arial" w:eastAsia="Arial" w:hAnsi="Arial"/>
                <w:sz w:val="18"/>
                <w:szCs w:val="18"/>
                <w:color w:val="auto"/>
              </w:rPr>
              <w:t>87,693</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20" w:type="dxa"/>
            <w:vAlign w:val="bottom"/>
          </w:tcPr>
          <w:p>
            <w:pPr>
              <w:jc w:val="right"/>
              <w:ind w:right="31"/>
              <w:spacing w:after="0"/>
              <w:rPr>
                <w:sz w:val="20"/>
                <w:szCs w:val="20"/>
                <w:color w:val="auto"/>
              </w:rPr>
            </w:pPr>
            <w:r>
              <w:rPr>
                <w:rFonts w:ascii="Arial" w:cs="Arial" w:eastAsia="Arial" w:hAnsi="Arial"/>
                <w:sz w:val="18"/>
                <w:szCs w:val="18"/>
                <w:color w:val="auto"/>
              </w:rPr>
              <w:t>79,154</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ind w:right="32"/>
              <w:spacing w:after="0"/>
              <w:rPr>
                <w:sz w:val="20"/>
                <w:szCs w:val="20"/>
                <w:color w:val="auto"/>
              </w:rPr>
            </w:pPr>
            <w:r>
              <w:rPr>
                <w:rFonts w:ascii="Arial" w:cs="Arial" w:eastAsia="Arial" w:hAnsi="Arial"/>
                <w:sz w:val="18"/>
                <w:szCs w:val="18"/>
                <w:color w:val="auto"/>
              </w:rPr>
              <w:t>87,565</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00" w:type="dxa"/>
            <w:vAlign w:val="bottom"/>
          </w:tcPr>
          <w:p>
            <w:pPr>
              <w:jc w:val="right"/>
              <w:ind w:right="11"/>
              <w:spacing w:after="0"/>
              <w:rPr>
                <w:sz w:val="20"/>
                <w:szCs w:val="20"/>
                <w:color w:val="auto"/>
              </w:rPr>
            </w:pPr>
            <w:r>
              <w:rPr>
                <w:rFonts w:ascii="Arial" w:cs="Arial" w:eastAsia="Arial" w:hAnsi="Arial"/>
                <w:sz w:val="18"/>
                <w:szCs w:val="18"/>
                <w:color w:val="auto"/>
              </w:rPr>
              <w:t>71,679</w:t>
            </w:r>
          </w:p>
        </w:tc>
        <w:tc>
          <w:tcPr>
            <w:tcW w:w="0" w:type="dxa"/>
            <w:vAlign w:val="bottom"/>
          </w:tcPr>
          <w:p>
            <w:pPr>
              <w:spacing w:after="0"/>
              <w:rPr>
                <w:sz w:val="1"/>
                <w:szCs w:val="1"/>
                <w:color w:val="auto"/>
              </w:rPr>
            </w:pPr>
          </w:p>
        </w:tc>
      </w:tr>
      <w:tr>
        <w:trPr>
          <w:trHeight w:val="27"/>
        </w:trPr>
        <w:tc>
          <w:tcPr>
            <w:tcW w:w="608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3"/>
        </w:trPr>
        <w:tc>
          <w:tcPr>
            <w:tcW w:w="6080" w:type="dxa"/>
            <w:vAlign w:val="bottom"/>
            <w:shd w:val="clear" w:color="auto" w:fill="CCEEFF"/>
          </w:tcPr>
          <w:p>
            <w:pPr>
              <w:ind w:left="280"/>
              <w:spacing w:after="0"/>
              <w:rPr>
                <w:sz w:val="20"/>
                <w:szCs w:val="20"/>
                <w:color w:val="auto"/>
              </w:rPr>
            </w:pPr>
            <w:r>
              <w:rPr>
                <w:rFonts w:ascii="Arial" w:cs="Arial" w:eastAsia="Arial" w:hAnsi="Arial"/>
                <w:sz w:val="18"/>
                <w:szCs w:val="18"/>
                <w:color w:val="auto"/>
              </w:rPr>
              <w:t>Diluted</w:t>
            </w:r>
          </w:p>
        </w:tc>
        <w:tc>
          <w:tcPr>
            <w:tcW w:w="280" w:type="dxa"/>
            <w:vAlign w:val="bottom"/>
            <w:shd w:val="clear" w:color="auto" w:fill="CCEEFF"/>
          </w:tcPr>
          <w:p>
            <w:pPr>
              <w:spacing w:after="0"/>
              <w:rPr>
                <w:sz w:val="21"/>
                <w:szCs w:val="21"/>
                <w:color w:val="auto"/>
              </w:rPr>
            </w:pPr>
          </w:p>
        </w:tc>
        <w:tc>
          <w:tcPr>
            <w:tcW w:w="96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88,105</w:t>
            </w:r>
          </w:p>
        </w:tc>
        <w:tc>
          <w:tcPr>
            <w:tcW w:w="12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92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79,193</w:t>
            </w:r>
          </w:p>
        </w:tc>
        <w:tc>
          <w:tcPr>
            <w:tcW w:w="100" w:type="dxa"/>
            <w:vAlign w:val="bottom"/>
            <w:shd w:val="clear" w:color="auto" w:fill="CCEEFF"/>
          </w:tcPr>
          <w:p>
            <w:pPr>
              <w:spacing w:after="0"/>
              <w:rPr>
                <w:sz w:val="21"/>
                <w:szCs w:val="21"/>
                <w:color w:val="auto"/>
              </w:rPr>
            </w:pPr>
          </w:p>
        </w:tc>
        <w:tc>
          <w:tcPr>
            <w:tcW w:w="300" w:type="dxa"/>
            <w:vAlign w:val="bottom"/>
            <w:shd w:val="clear" w:color="auto" w:fill="CCEEFF"/>
          </w:tcPr>
          <w:p>
            <w:pPr>
              <w:spacing w:after="0"/>
              <w:rPr>
                <w:sz w:val="21"/>
                <w:szCs w:val="21"/>
                <w:color w:val="auto"/>
              </w:rPr>
            </w:pPr>
          </w:p>
        </w:tc>
        <w:tc>
          <w:tcPr>
            <w:tcW w:w="96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rPr>
              <w:t>87,931</w:t>
            </w:r>
          </w:p>
        </w:tc>
        <w:tc>
          <w:tcPr>
            <w:tcW w:w="100" w:type="dxa"/>
            <w:vAlign w:val="bottom"/>
            <w:shd w:val="clear" w:color="auto" w:fill="CCEEFF"/>
          </w:tcPr>
          <w:p>
            <w:pPr>
              <w:spacing w:after="0"/>
              <w:rPr>
                <w:sz w:val="21"/>
                <w:szCs w:val="21"/>
                <w:color w:val="auto"/>
              </w:rPr>
            </w:pPr>
          </w:p>
        </w:tc>
        <w:tc>
          <w:tcPr>
            <w:tcW w:w="360" w:type="dxa"/>
            <w:vAlign w:val="bottom"/>
            <w:shd w:val="clear" w:color="auto" w:fill="CCEEFF"/>
          </w:tcPr>
          <w:p>
            <w:pPr>
              <w:spacing w:after="0"/>
              <w:rPr>
                <w:sz w:val="21"/>
                <w:szCs w:val="21"/>
                <w:color w:val="auto"/>
              </w:rPr>
            </w:pPr>
          </w:p>
        </w:tc>
        <w:tc>
          <w:tcPr>
            <w:tcW w:w="90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71,713</w:t>
            </w:r>
          </w:p>
        </w:tc>
        <w:tc>
          <w:tcPr>
            <w:tcW w:w="0" w:type="dxa"/>
            <w:vAlign w:val="bottom"/>
          </w:tcPr>
          <w:p>
            <w:pPr>
              <w:spacing w:after="0"/>
              <w:rPr>
                <w:sz w:val="1"/>
                <w:szCs w:val="1"/>
                <w:color w:val="auto"/>
              </w:rPr>
            </w:pPr>
          </w:p>
        </w:tc>
      </w:tr>
      <w:tr>
        <w:trPr>
          <w:trHeight w:val="27"/>
        </w:trPr>
        <w:tc>
          <w:tcPr>
            <w:tcW w:w="6080" w:type="dxa"/>
            <w:vAlign w:val="bottom"/>
            <w:shd w:val="clear" w:color="auto" w:fill="CCEEFF"/>
          </w:tcPr>
          <w:p>
            <w:pPr>
              <w:spacing w:after="0"/>
              <w:rPr>
                <w:sz w:val="2"/>
                <w:szCs w:val="2"/>
                <w:color w:val="auto"/>
              </w:rPr>
            </w:pPr>
          </w:p>
        </w:tc>
        <w:tc>
          <w:tcPr>
            <w:tcW w:w="280" w:type="dxa"/>
            <w:vAlign w:val="bottom"/>
            <w:shd w:val="clear" w:color="auto" w:fill="CCEEFF"/>
          </w:tcPr>
          <w:p>
            <w:pPr>
              <w:spacing w:after="0"/>
              <w:rPr>
                <w:sz w:val="2"/>
                <w:szCs w:val="2"/>
                <w:color w:val="auto"/>
              </w:rPr>
            </w:pPr>
          </w:p>
        </w:tc>
        <w:tc>
          <w:tcPr>
            <w:tcW w:w="96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9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00" w:type="dxa"/>
            <w:vAlign w:val="bottom"/>
            <w:shd w:val="clear" w:color="auto" w:fill="CCEEFF"/>
          </w:tcPr>
          <w:p>
            <w:pPr>
              <w:spacing w:after="0"/>
              <w:rPr>
                <w:sz w:val="2"/>
                <w:szCs w:val="2"/>
                <w:color w:val="auto"/>
              </w:rPr>
            </w:pPr>
          </w:p>
        </w:tc>
        <w:tc>
          <w:tcPr>
            <w:tcW w:w="9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9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6" w:lineRule="exact"/>
        <w:rPr>
          <w:sz w:val="20"/>
          <w:szCs w:val="20"/>
          <w:color w:val="auto"/>
        </w:rPr>
      </w:pPr>
    </w:p>
    <w:p>
      <w:pPr>
        <w:jc w:val="center"/>
        <w:spacing w:after="0"/>
        <w:rPr>
          <w:sz w:val="20"/>
          <w:szCs w:val="20"/>
          <w:color w:val="auto"/>
        </w:rPr>
      </w:pPr>
      <w:r>
        <w:rPr>
          <w:rFonts w:ascii="Arial" w:cs="Arial" w:eastAsia="Arial" w:hAnsi="Arial"/>
          <w:sz w:val="16"/>
          <w:szCs w:val="16"/>
          <w:i w:val="1"/>
          <w:iCs w:val="1"/>
          <w:color w:val="auto"/>
        </w:rPr>
        <w:t>See accompanying notes to condensed consolidated financial statements.</w:t>
      </w:r>
    </w:p>
    <w:p>
      <w:pPr>
        <w:spacing w:after="0" w:line="24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233" w:right="239" w:bottom="1440" w:gutter="0" w:footer="0" w:header="0"/>
        </w:sectPr>
      </w:pPr>
    </w:p>
    <w:bookmarkStart w:id="5" w:name="page6"/>
    <w:bookmarkEnd w:id="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comprehensive income (loss)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w:t>
      </w:r>
    </w:p>
    <w:p>
      <w:pPr>
        <w:spacing w:after="0" w:line="35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0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440" w:type="dxa"/>
            <w:vAlign w:val="bottom"/>
            <w:gridSpan w:val="5"/>
          </w:tcPr>
          <w:p>
            <w:pPr>
              <w:ind w:left="180"/>
              <w:spacing w:after="0"/>
              <w:rPr>
                <w:sz w:val="20"/>
                <w:szCs w:val="20"/>
                <w:color w:val="auto"/>
              </w:rPr>
            </w:pPr>
            <w:r>
              <w:rPr>
                <w:rFonts w:ascii="Arial" w:cs="Arial" w:eastAsia="Arial" w:hAnsi="Arial"/>
                <w:sz w:val="14"/>
                <w:szCs w:val="14"/>
                <w:b w:val="1"/>
                <w:bCs w:val="1"/>
                <w:color w:val="auto"/>
              </w:rPr>
              <w:t>For the three months ended</w:t>
            </w:r>
          </w:p>
        </w:tc>
        <w:tc>
          <w:tcPr>
            <w:tcW w:w="300" w:type="dxa"/>
            <w:vAlign w:val="bottom"/>
          </w:tcPr>
          <w:p>
            <w:pPr>
              <w:spacing w:after="0"/>
              <w:rPr>
                <w:sz w:val="14"/>
                <w:szCs w:val="14"/>
                <w:color w:val="auto"/>
              </w:rPr>
            </w:pPr>
          </w:p>
        </w:tc>
        <w:tc>
          <w:tcPr>
            <w:tcW w:w="2320" w:type="dxa"/>
            <w:vAlign w:val="bottom"/>
            <w:gridSpan w:val="4"/>
          </w:tcPr>
          <w:p>
            <w:pPr>
              <w:jc w:val="right"/>
              <w:ind w:right="432"/>
              <w:spacing w:after="0"/>
              <w:rPr>
                <w:sz w:val="20"/>
                <w:szCs w:val="20"/>
                <w:color w:val="auto"/>
              </w:rPr>
            </w:pPr>
            <w:r>
              <w:rPr>
                <w:rFonts w:ascii="Arial" w:cs="Arial" w:eastAsia="Arial" w:hAnsi="Arial"/>
                <w:sz w:val="14"/>
                <w:szCs w:val="14"/>
                <w:b w:val="1"/>
                <w:bCs w:val="1"/>
                <w:color w:val="auto"/>
              </w:rPr>
              <w:t>For the six months ended</w:t>
            </w:r>
          </w:p>
        </w:tc>
      </w:tr>
      <w:tr>
        <w:trPr>
          <w:trHeight w:val="192"/>
        </w:trPr>
        <w:tc>
          <w:tcPr>
            <w:tcW w:w="608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420" w:type="dxa"/>
            <w:vAlign w:val="bottom"/>
            <w:tcBorders>
              <w:bottom w:val="single" w:sz="8" w:color="auto"/>
            </w:tcBorders>
            <w:gridSpan w:val="3"/>
          </w:tcPr>
          <w:p>
            <w:pPr>
              <w:jc w:val="right"/>
              <w:ind w:right="30"/>
              <w:spacing w:after="0"/>
              <w:rPr>
                <w:sz w:val="20"/>
                <w:szCs w:val="20"/>
                <w:color w:val="auto"/>
              </w:rPr>
            </w:pPr>
            <w:r>
              <w:rPr>
                <w:rFonts w:ascii="Arial" w:cs="Arial" w:eastAsia="Arial" w:hAnsi="Arial"/>
                <w:sz w:val="14"/>
                <w:szCs w:val="14"/>
                <w:b w:val="1"/>
                <w:bCs w:val="1"/>
                <w:color w:val="auto"/>
              </w:rPr>
              <w:t>June 30,</w:t>
            </w:r>
          </w:p>
        </w:tc>
        <w:tc>
          <w:tcPr>
            <w:tcW w:w="9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420" w:type="dxa"/>
            <w:vAlign w:val="bottom"/>
            <w:tcBorders>
              <w:bottom w:val="single" w:sz="8" w:color="auto"/>
            </w:tcBorders>
            <w:gridSpan w:val="3"/>
          </w:tcPr>
          <w:p>
            <w:pPr>
              <w:jc w:val="right"/>
              <w:ind w:right="50"/>
              <w:spacing w:after="0"/>
              <w:rPr>
                <w:sz w:val="20"/>
                <w:szCs w:val="20"/>
                <w:color w:val="auto"/>
              </w:rPr>
            </w:pPr>
            <w:r>
              <w:rPr>
                <w:rFonts w:ascii="Arial" w:cs="Arial" w:eastAsia="Arial" w:hAnsi="Arial"/>
                <w:sz w:val="14"/>
                <w:szCs w:val="14"/>
                <w:b w:val="1"/>
                <w:bCs w:val="1"/>
                <w:color w:val="auto"/>
              </w:rPr>
              <w:t>June 30,</w:t>
            </w:r>
          </w:p>
        </w:tc>
        <w:tc>
          <w:tcPr>
            <w:tcW w:w="900" w:type="dxa"/>
            <w:vAlign w:val="bottom"/>
            <w:tcBorders>
              <w:bottom w:val="single" w:sz="8" w:color="auto"/>
            </w:tcBorders>
          </w:tcPr>
          <w:p>
            <w:pPr>
              <w:spacing w:after="0"/>
              <w:rPr>
                <w:sz w:val="16"/>
                <w:szCs w:val="16"/>
                <w:color w:val="auto"/>
              </w:rPr>
            </w:pPr>
          </w:p>
        </w:tc>
      </w:tr>
      <w:tr>
        <w:trPr>
          <w:trHeight w:val="264"/>
        </w:trPr>
        <w:tc>
          <w:tcPr>
            <w:tcW w:w="608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395"/>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412"/>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395"/>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392"/>
              <w:spacing w:after="0"/>
              <w:rPr>
                <w:sz w:val="20"/>
                <w:szCs w:val="20"/>
                <w:color w:val="auto"/>
              </w:rPr>
            </w:pPr>
            <w:r>
              <w:rPr>
                <w:rFonts w:ascii="Arial" w:cs="Arial" w:eastAsia="Arial" w:hAnsi="Arial"/>
                <w:sz w:val="14"/>
                <w:szCs w:val="14"/>
                <w:b w:val="1"/>
                <w:bCs w:val="1"/>
                <w:color w:val="auto"/>
              </w:rPr>
              <w:t>2017</w:t>
            </w:r>
          </w:p>
        </w:tc>
      </w:tr>
      <w:tr>
        <w:trPr>
          <w:trHeight w:val="250"/>
        </w:trPr>
        <w:tc>
          <w:tcPr>
            <w:tcW w:w="6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including non-controlling interests</w:t>
            </w: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30,418</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18,004</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53,912</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35,870</w:t>
            </w:r>
          </w:p>
        </w:tc>
      </w:tr>
      <w:tr>
        <w:trPr>
          <w:trHeight w:val="243"/>
        </w:trPr>
        <w:tc>
          <w:tcPr>
            <w:tcW w:w="6080" w:type="dxa"/>
            <w:vAlign w:val="bottom"/>
          </w:tcPr>
          <w:p>
            <w:pPr>
              <w:ind w:left="40"/>
              <w:spacing w:after="0"/>
              <w:rPr>
                <w:sz w:val="20"/>
                <w:szCs w:val="20"/>
                <w:color w:val="auto"/>
              </w:rPr>
            </w:pPr>
            <w:r>
              <w:rPr>
                <w:rFonts w:ascii="Arial" w:cs="Arial" w:eastAsia="Arial" w:hAnsi="Arial"/>
                <w:sz w:val="18"/>
                <w:szCs w:val="18"/>
                <w:color w:val="auto"/>
              </w:rPr>
              <w:t>Other comprehensive income (loss), net:</w:t>
            </w:r>
          </w:p>
        </w:tc>
        <w:tc>
          <w:tcPr>
            <w:tcW w:w="28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00" w:type="dxa"/>
            <w:vAlign w:val="bottom"/>
          </w:tcPr>
          <w:p>
            <w:pPr>
              <w:spacing w:after="0"/>
              <w:rPr>
                <w:sz w:val="21"/>
                <w:szCs w:val="21"/>
                <w:color w:val="auto"/>
              </w:rPr>
            </w:pPr>
          </w:p>
        </w:tc>
      </w:tr>
      <w:tr>
        <w:trPr>
          <w:trHeight w:val="27"/>
        </w:trPr>
        <w:tc>
          <w:tcPr>
            <w:tcW w:w="608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00" w:type="dxa"/>
            <w:vAlign w:val="bottom"/>
          </w:tcPr>
          <w:p>
            <w:pPr>
              <w:spacing w:after="0"/>
              <w:rPr>
                <w:sz w:val="2"/>
                <w:szCs w:val="2"/>
                <w:color w:val="auto"/>
              </w:rPr>
            </w:pPr>
          </w:p>
        </w:tc>
      </w:tr>
      <w:tr>
        <w:trPr>
          <w:trHeight w:val="250"/>
        </w:trPr>
        <w:tc>
          <w:tcPr>
            <w:tcW w:w="60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Unrealized gain on interest rate caps, net of tax</w:t>
            </w: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17</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179</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383</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356</w:t>
            </w:r>
          </w:p>
        </w:tc>
      </w:tr>
      <w:tr>
        <w:trPr>
          <w:trHeight w:val="243"/>
        </w:trPr>
        <w:tc>
          <w:tcPr>
            <w:tcW w:w="6080" w:type="dxa"/>
            <w:vAlign w:val="bottom"/>
          </w:tcPr>
          <w:p>
            <w:pPr>
              <w:ind w:left="280"/>
              <w:spacing w:after="0"/>
              <w:rPr>
                <w:sz w:val="20"/>
                <w:szCs w:val="20"/>
                <w:color w:val="auto"/>
              </w:rPr>
            </w:pPr>
            <w:r>
              <w:rPr>
                <w:rFonts w:ascii="Arial" w:cs="Arial" w:eastAsia="Arial" w:hAnsi="Arial"/>
                <w:sz w:val="18"/>
                <w:szCs w:val="18"/>
                <w:color w:val="auto"/>
              </w:rPr>
              <w:t>Foreign currency translation adjustments</w:t>
            </w:r>
          </w:p>
        </w:tc>
        <w:tc>
          <w:tcPr>
            <w:tcW w:w="2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(34)</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20" w:type="dxa"/>
            <w:vAlign w:val="bottom"/>
          </w:tcPr>
          <w:p>
            <w:pPr>
              <w:jc w:val="right"/>
              <w:ind w:right="32"/>
              <w:spacing w:after="0"/>
              <w:rPr>
                <w:sz w:val="20"/>
                <w:szCs w:val="20"/>
                <w:color w:val="auto"/>
              </w:rPr>
            </w:pPr>
            <w:r>
              <w:rPr>
                <w:rFonts w:ascii="Arial" w:cs="Arial" w:eastAsia="Arial" w:hAnsi="Arial"/>
                <w:sz w:val="18"/>
                <w:szCs w:val="18"/>
                <w:color w:val="auto"/>
              </w:rPr>
              <w:t>13</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(63)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00" w:type="dxa"/>
            <w:vAlign w:val="bottom"/>
          </w:tcPr>
          <w:p>
            <w:pPr>
              <w:jc w:val="right"/>
              <w:ind w:right="12"/>
              <w:spacing w:after="0"/>
              <w:rPr>
                <w:sz w:val="20"/>
                <w:szCs w:val="20"/>
                <w:color w:val="auto"/>
              </w:rPr>
            </w:pPr>
            <w:r>
              <w:rPr>
                <w:rFonts w:ascii="Arial" w:cs="Arial" w:eastAsia="Arial" w:hAnsi="Arial"/>
                <w:sz w:val="18"/>
                <w:szCs w:val="18"/>
                <w:color w:val="auto"/>
              </w:rPr>
              <w:t>5</w:t>
            </w:r>
          </w:p>
        </w:tc>
      </w:tr>
      <w:tr>
        <w:trPr>
          <w:trHeight w:val="27"/>
        </w:trPr>
        <w:tc>
          <w:tcPr>
            <w:tcW w:w="60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r>
      <w:tr>
        <w:trPr>
          <w:trHeight w:val="264"/>
        </w:trPr>
        <w:tc>
          <w:tcPr>
            <w:tcW w:w="608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other comprehensive (loss) income, net</w:t>
            </w:r>
          </w:p>
        </w:tc>
        <w:tc>
          <w:tcPr>
            <w:tcW w:w="28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9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192</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320</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361</w:t>
            </w:r>
          </w:p>
        </w:tc>
      </w:tr>
      <w:tr>
        <w:trPr>
          <w:trHeight w:val="209"/>
        </w:trPr>
        <w:tc>
          <w:tcPr>
            <w:tcW w:w="6080" w:type="dxa"/>
            <w:vAlign w:val="bottom"/>
          </w:tcPr>
          <w:p>
            <w:pPr>
              <w:ind w:left="760"/>
              <w:spacing w:after="0"/>
              <w:rPr>
                <w:sz w:val="20"/>
                <w:szCs w:val="20"/>
                <w:color w:val="auto"/>
              </w:rPr>
            </w:pPr>
            <w:r>
              <w:rPr>
                <w:rFonts w:ascii="Arial" w:cs="Arial" w:eastAsia="Arial" w:hAnsi="Arial"/>
                <w:sz w:val="18"/>
                <w:szCs w:val="18"/>
                <w:color w:val="auto"/>
              </w:rPr>
              <w:t>Total comprehensive income including non-controlling</w:t>
            </w:r>
          </w:p>
        </w:tc>
        <w:tc>
          <w:tcPr>
            <w:tcW w:w="28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r>
      <w:tr>
        <w:trPr>
          <w:trHeight w:val="230"/>
        </w:trPr>
        <w:tc>
          <w:tcPr>
            <w:tcW w:w="6080" w:type="dxa"/>
            <w:vAlign w:val="bottom"/>
          </w:tcPr>
          <w:p>
            <w:pPr>
              <w:ind w:left="900"/>
              <w:spacing w:after="0"/>
              <w:rPr>
                <w:sz w:val="20"/>
                <w:szCs w:val="20"/>
                <w:color w:val="auto"/>
              </w:rPr>
            </w:pPr>
            <w:r>
              <w:rPr>
                <w:rFonts w:ascii="Arial" w:cs="Arial" w:eastAsia="Arial" w:hAnsi="Arial"/>
                <w:sz w:val="18"/>
                <w:szCs w:val="18"/>
                <w:color w:val="auto"/>
              </w:rPr>
              <w:t>interests</w:t>
            </w:r>
          </w:p>
        </w:tc>
        <w:tc>
          <w:tcPr>
            <w:tcW w:w="280" w:type="dxa"/>
            <w:vAlign w:val="bottom"/>
          </w:tcPr>
          <w:p>
            <w:pPr>
              <w:spacing w:after="0"/>
              <w:rPr>
                <w:sz w:val="20"/>
                <w:szCs w:val="20"/>
                <w:color w:val="auto"/>
              </w:rPr>
            </w:pPr>
          </w:p>
        </w:tc>
        <w:tc>
          <w:tcPr>
            <w:tcW w:w="960" w:type="dxa"/>
            <w:vAlign w:val="bottom"/>
          </w:tcPr>
          <w:p>
            <w:pPr>
              <w:jc w:val="right"/>
              <w:ind w:right="15"/>
              <w:spacing w:after="0"/>
              <w:rPr>
                <w:sz w:val="20"/>
                <w:szCs w:val="20"/>
                <w:color w:val="auto"/>
              </w:rPr>
            </w:pPr>
            <w:r>
              <w:rPr>
                <w:rFonts w:ascii="Arial" w:cs="Arial" w:eastAsia="Arial" w:hAnsi="Arial"/>
                <w:sz w:val="18"/>
                <w:szCs w:val="18"/>
                <w:color w:val="auto"/>
              </w:rPr>
              <w:t>30,401</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20" w:type="dxa"/>
            <w:vAlign w:val="bottom"/>
          </w:tcPr>
          <w:p>
            <w:pPr>
              <w:jc w:val="right"/>
              <w:ind w:right="32"/>
              <w:spacing w:after="0"/>
              <w:rPr>
                <w:sz w:val="20"/>
                <w:szCs w:val="20"/>
                <w:color w:val="auto"/>
              </w:rPr>
            </w:pPr>
            <w:r>
              <w:rPr>
                <w:rFonts w:ascii="Arial" w:cs="Arial" w:eastAsia="Arial" w:hAnsi="Arial"/>
                <w:sz w:val="18"/>
                <w:szCs w:val="18"/>
                <w:color w:val="auto"/>
              </w:rPr>
              <w:t>18,196</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60" w:type="dxa"/>
            <w:vAlign w:val="bottom"/>
          </w:tcPr>
          <w:p>
            <w:pPr>
              <w:jc w:val="right"/>
              <w:ind w:right="35"/>
              <w:spacing w:after="0"/>
              <w:rPr>
                <w:sz w:val="20"/>
                <w:szCs w:val="20"/>
                <w:color w:val="auto"/>
              </w:rPr>
            </w:pPr>
            <w:r>
              <w:rPr>
                <w:rFonts w:ascii="Arial" w:cs="Arial" w:eastAsia="Arial" w:hAnsi="Arial"/>
                <w:sz w:val="18"/>
                <w:szCs w:val="18"/>
                <w:color w:val="auto"/>
              </w:rPr>
              <w:t>54,232</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900" w:type="dxa"/>
            <w:vAlign w:val="bottom"/>
          </w:tcPr>
          <w:p>
            <w:pPr>
              <w:jc w:val="right"/>
              <w:ind w:right="12"/>
              <w:spacing w:after="0"/>
              <w:rPr>
                <w:sz w:val="20"/>
                <w:szCs w:val="20"/>
                <w:color w:val="auto"/>
              </w:rPr>
            </w:pPr>
            <w:r>
              <w:rPr>
                <w:rFonts w:ascii="Arial" w:cs="Arial" w:eastAsia="Arial" w:hAnsi="Arial"/>
                <w:sz w:val="18"/>
                <w:szCs w:val="18"/>
                <w:color w:val="auto"/>
              </w:rPr>
              <w:t>36,231</w:t>
            </w:r>
          </w:p>
        </w:tc>
      </w:tr>
      <w:tr>
        <w:trPr>
          <w:trHeight w:val="27"/>
        </w:trPr>
        <w:tc>
          <w:tcPr>
            <w:tcW w:w="608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00" w:type="dxa"/>
            <w:vAlign w:val="bottom"/>
          </w:tcPr>
          <w:p>
            <w:pPr>
              <w:spacing w:after="0"/>
              <w:rPr>
                <w:sz w:val="2"/>
                <w:szCs w:val="2"/>
                <w:color w:val="auto"/>
              </w:rPr>
            </w:pPr>
          </w:p>
        </w:tc>
      </w:tr>
      <w:tr>
        <w:trPr>
          <w:trHeight w:val="270"/>
        </w:trPr>
        <w:tc>
          <w:tcPr>
            <w:tcW w:w="6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Less: total comprehensive income attributable to non-controlling interests</w:t>
            </w:r>
          </w:p>
        </w:tc>
        <w:tc>
          <w:tcPr>
            <w:tcW w:w="28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4,543</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5,639</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8,214</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14,753</w:t>
            </w:r>
          </w:p>
        </w:tc>
      </w:tr>
      <w:tr>
        <w:trPr>
          <w:trHeight w:val="257"/>
        </w:trPr>
        <w:tc>
          <w:tcPr>
            <w:tcW w:w="6080" w:type="dxa"/>
            <w:vAlign w:val="bottom"/>
          </w:tcPr>
          <w:p>
            <w:pPr>
              <w:ind w:left="760"/>
              <w:spacing w:after="0"/>
              <w:rPr>
                <w:sz w:val="20"/>
                <w:szCs w:val="20"/>
                <w:color w:val="auto"/>
              </w:rPr>
            </w:pPr>
            <w:r>
              <w:rPr>
                <w:rFonts w:ascii="Arial" w:cs="Arial" w:eastAsia="Arial" w:hAnsi="Arial"/>
                <w:sz w:val="18"/>
                <w:szCs w:val="18"/>
                <w:color w:val="auto"/>
              </w:rPr>
              <w:t>Total comprehensive income attributable to Planet Fitness, Inc.</w:t>
            </w:r>
          </w:p>
        </w:tc>
        <w:tc>
          <w:tcPr>
            <w:tcW w:w="28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tcPr>
          <w:p>
            <w:pPr>
              <w:jc w:val="right"/>
              <w:ind w:right="15"/>
              <w:spacing w:after="0"/>
              <w:rPr>
                <w:sz w:val="20"/>
                <w:szCs w:val="20"/>
                <w:color w:val="auto"/>
              </w:rPr>
            </w:pPr>
            <w:r>
              <w:rPr>
                <w:rFonts w:ascii="Arial" w:cs="Arial" w:eastAsia="Arial" w:hAnsi="Arial"/>
                <w:sz w:val="18"/>
                <w:szCs w:val="18"/>
                <w:color w:val="auto"/>
              </w:rPr>
              <w:t>25,858</w:t>
            </w:r>
          </w:p>
        </w:tc>
        <w:tc>
          <w:tcPr>
            <w:tcW w:w="120" w:type="dxa"/>
            <w:vAlign w:val="bottom"/>
          </w:tcPr>
          <w:p>
            <w:pPr>
              <w:spacing w:after="0"/>
              <w:rPr>
                <w:sz w:val="22"/>
                <w:szCs w:val="22"/>
                <w:color w:val="auto"/>
              </w:rPr>
            </w:pPr>
          </w:p>
        </w:tc>
        <w:tc>
          <w:tcPr>
            <w:tcW w:w="34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920" w:type="dxa"/>
            <w:vAlign w:val="bottom"/>
            <w:tcBorders>
              <w:top w:val="single" w:sz="8" w:color="auto"/>
              <w:bottom w:val="single" w:sz="8" w:color="auto"/>
            </w:tcBorders>
          </w:tcPr>
          <w:p>
            <w:pPr>
              <w:jc w:val="right"/>
              <w:ind w:right="32"/>
              <w:spacing w:after="0"/>
              <w:rPr>
                <w:sz w:val="20"/>
                <w:szCs w:val="20"/>
                <w:color w:val="auto"/>
              </w:rPr>
            </w:pPr>
            <w:r>
              <w:rPr>
                <w:rFonts w:ascii="Arial" w:cs="Arial" w:eastAsia="Arial" w:hAnsi="Arial"/>
                <w:sz w:val="18"/>
                <w:szCs w:val="18"/>
                <w:color w:val="auto"/>
              </w:rPr>
              <w:t>12,557</w:t>
            </w:r>
          </w:p>
        </w:tc>
        <w:tc>
          <w:tcPr>
            <w:tcW w:w="100" w:type="dxa"/>
            <w:vAlign w:val="bottom"/>
          </w:tcPr>
          <w:p>
            <w:pPr>
              <w:spacing w:after="0"/>
              <w:rPr>
                <w:sz w:val="22"/>
                <w:szCs w:val="22"/>
                <w:color w:val="auto"/>
              </w:rPr>
            </w:pPr>
          </w:p>
        </w:tc>
        <w:tc>
          <w:tcPr>
            <w:tcW w:w="30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top w:val="single" w:sz="8" w:color="auto"/>
              <w:bottom w:val="single" w:sz="8" w:color="auto"/>
            </w:tcBorders>
          </w:tcPr>
          <w:p>
            <w:pPr>
              <w:jc w:val="right"/>
              <w:ind w:right="35"/>
              <w:spacing w:after="0"/>
              <w:rPr>
                <w:sz w:val="20"/>
                <w:szCs w:val="20"/>
                <w:color w:val="auto"/>
              </w:rPr>
            </w:pPr>
            <w:r>
              <w:rPr>
                <w:rFonts w:ascii="Arial" w:cs="Arial" w:eastAsia="Arial" w:hAnsi="Arial"/>
                <w:sz w:val="18"/>
                <w:szCs w:val="18"/>
                <w:color w:val="auto"/>
              </w:rPr>
              <w:t>46,018</w:t>
            </w:r>
          </w:p>
        </w:tc>
        <w:tc>
          <w:tcPr>
            <w:tcW w:w="100" w:type="dxa"/>
            <w:vAlign w:val="bottom"/>
          </w:tcPr>
          <w:p>
            <w:pPr>
              <w:spacing w:after="0"/>
              <w:rPr>
                <w:sz w:val="22"/>
                <w:szCs w:val="22"/>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900" w:type="dxa"/>
            <w:vAlign w:val="bottom"/>
            <w:tcBorders>
              <w:top w:val="single" w:sz="8" w:color="auto"/>
              <w:bottom w:val="single" w:sz="8" w:color="auto"/>
            </w:tcBorders>
          </w:tcPr>
          <w:p>
            <w:pPr>
              <w:jc w:val="right"/>
              <w:ind w:right="12"/>
              <w:spacing w:after="0"/>
              <w:rPr>
                <w:sz w:val="20"/>
                <w:szCs w:val="20"/>
                <w:color w:val="auto"/>
              </w:rPr>
            </w:pPr>
            <w:r>
              <w:rPr>
                <w:rFonts w:ascii="Arial" w:cs="Arial" w:eastAsia="Arial" w:hAnsi="Arial"/>
                <w:sz w:val="18"/>
                <w:szCs w:val="18"/>
                <w:color w:val="auto"/>
              </w:rPr>
              <w:t>21,478</w:t>
            </w:r>
          </w:p>
        </w:tc>
      </w:tr>
      <w:tr>
        <w:trPr>
          <w:trHeight w:val="20"/>
        </w:trPr>
        <w:tc>
          <w:tcPr>
            <w:tcW w:w="60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r>
    </w:tbl>
    <w:p>
      <w:pPr>
        <w:spacing w:after="0" w:line="233" w:lineRule="exact"/>
        <w:rPr>
          <w:sz w:val="20"/>
          <w:szCs w:val="20"/>
          <w:color w:val="auto"/>
        </w:rPr>
      </w:pPr>
    </w:p>
    <w:p>
      <w:pPr>
        <w:jc w:val="center"/>
        <w:spacing w:after="0"/>
        <w:rPr>
          <w:sz w:val="20"/>
          <w:szCs w:val="20"/>
          <w:color w:val="auto"/>
        </w:rPr>
      </w:pPr>
      <w:r>
        <w:rPr>
          <w:rFonts w:ascii="Arial" w:cs="Arial" w:eastAsia="Arial" w:hAnsi="Arial"/>
          <w:sz w:val="16"/>
          <w:szCs w:val="16"/>
          <w:i w:val="1"/>
          <w:iCs w:val="1"/>
          <w:color w:val="auto"/>
        </w:rPr>
        <w:t>See accompanying notes to condensed consolidated financial statements.</w:t>
      </w:r>
    </w:p>
    <w:p>
      <w:pPr>
        <w:spacing w:after="0" w:line="24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233" w:right="239" w:bottom="1440" w:gutter="0" w:footer="0" w:header="0"/>
        </w:sectPr>
      </w:pPr>
    </w:p>
    <w:bookmarkStart w:id="6" w:name="page7"/>
    <w:bookmarkEnd w:id="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Condensed consolidated statements of cash flows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(Amounts in thousands)</w:t>
      </w:r>
    </w:p>
    <w:p>
      <w:pPr>
        <w:spacing w:after="0" w:line="171" w:lineRule="exact"/>
        <w:rPr>
          <w:sz w:val="20"/>
          <w:szCs w:val="20"/>
          <w:color w:val="auto"/>
        </w:rPr>
      </w:pPr>
    </w:p>
    <w:tbl>
      <w:tblPr>
        <w:tblLayout w:type="fixed"/>
        <w:tblInd w:w="40" w:type="dxa"/>
        <w:tblCellMar>
          <w:top w:w="0" w:type="dxa"/>
          <w:left w:w="0" w:type="dxa"/>
          <w:bottom w:w="0" w:type="dxa"/>
          <w:right w:w="0" w:type="dxa"/>
        </w:tblCellMar>
      </w:tblPr>
      <w:tr>
        <w:trPr>
          <w:trHeight w:val="210"/>
        </w:trPr>
        <w:tc>
          <w:tcPr>
            <w:tcW w:w="7860" w:type="dxa"/>
            <w:vAlign w:val="bottom"/>
          </w:tcPr>
          <w:p>
            <w:pPr>
              <w:spacing w:after="0"/>
              <w:rPr>
                <w:sz w:val="18"/>
                <w:szCs w:val="18"/>
                <w:color w:val="auto"/>
              </w:rPr>
            </w:pPr>
          </w:p>
        </w:tc>
        <w:tc>
          <w:tcPr>
            <w:tcW w:w="3500" w:type="dxa"/>
            <w:vAlign w:val="bottom"/>
            <w:gridSpan w:val="5"/>
          </w:tcPr>
          <w:p>
            <w:pPr>
              <w:jc w:val="right"/>
              <w:ind w:right="479"/>
              <w:spacing w:after="0"/>
              <w:rPr>
                <w:sz w:val="20"/>
                <w:szCs w:val="20"/>
                <w:color w:val="auto"/>
              </w:rPr>
            </w:pPr>
            <w:r>
              <w:rPr>
                <w:rFonts w:ascii="Arial" w:cs="Arial" w:eastAsia="Arial" w:hAnsi="Arial"/>
                <w:sz w:val="16"/>
                <w:szCs w:val="16"/>
                <w:b w:val="1"/>
                <w:bCs w:val="1"/>
                <w:color w:val="auto"/>
              </w:rPr>
              <w:t>For the six months ended June 30,</w:t>
            </w:r>
          </w:p>
        </w:tc>
        <w:tc>
          <w:tcPr>
            <w:tcW w:w="0" w:type="dxa"/>
            <w:vAlign w:val="bottom"/>
          </w:tcPr>
          <w:p>
            <w:pPr>
              <w:spacing w:after="0"/>
              <w:rPr>
                <w:sz w:val="1"/>
                <w:szCs w:val="1"/>
                <w:color w:val="auto"/>
              </w:rPr>
            </w:pPr>
          </w:p>
        </w:tc>
      </w:tr>
      <w:tr>
        <w:trPr>
          <w:trHeight w:val="33"/>
        </w:trPr>
        <w:tc>
          <w:tcPr>
            <w:tcW w:w="7860" w:type="dxa"/>
            <w:vAlign w:val="bottom"/>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1"/>
        </w:trPr>
        <w:tc>
          <w:tcPr>
            <w:tcW w:w="786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6"/>
                <w:szCs w:val="16"/>
                <w:b w:val="1"/>
                <w:bCs w:val="1"/>
                <w:color w:val="auto"/>
              </w:rPr>
              <w:t>2018</w:t>
            </w:r>
          </w:p>
        </w:tc>
        <w:tc>
          <w:tcPr>
            <w:tcW w:w="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00" w:type="dxa"/>
            <w:vAlign w:val="bottom"/>
          </w:tcPr>
          <w:p>
            <w:pPr>
              <w:jc w:val="right"/>
              <w:ind w:right="619"/>
              <w:spacing w:after="0"/>
              <w:rPr>
                <w:sz w:val="20"/>
                <w:szCs w:val="20"/>
                <w:color w:val="auto"/>
              </w:rPr>
            </w:pPr>
            <w:r>
              <w:rPr>
                <w:rFonts w:ascii="Arial" w:cs="Arial" w:eastAsia="Arial" w:hAnsi="Arial"/>
                <w:sz w:val="16"/>
                <w:szCs w:val="16"/>
                <w:b w:val="1"/>
                <w:bCs w:val="1"/>
                <w:color w:val="auto"/>
              </w:rPr>
              <w:t>2017</w:t>
            </w:r>
          </w:p>
        </w:tc>
        <w:tc>
          <w:tcPr>
            <w:tcW w:w="0" w:type="dxa"/>
            <w:vAlign w:val="bottom"/>
          </w:tcPr>
          <w:p>
            <w:pPr>
              <w:spacing w:after="0"/>
              <w:rPr>
                <w:sz w:val="1"/>
                <w:szCs w:val="1"/>
                <w:color w:val="auto"/>
              </w:rPr>
            </w:pPr>
          </w:p>
        </w:tc>
      </w:tr>
      <w:tr>
        <w:trPr>
          <w:trHeight w:val="33"/>
        </w:trPr>
        <w:tc>
          <w:tcPr>
            <w:tcW w:w="786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78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Cash flows from operating activities:</w:t>
            </w:r>
          </w:p>
        </w:tc>
        <w:tc>
          <w:tcPr>
            <w:tcW w:w="1020" w:type="dxa"/>
            <w:vAlign w:val="bottom"/>
            <w:tcBorders>
              <w:bottom w:val="single" w:sz="8" w:color="CCEEFF"/>
            </w:tcBorders>
            <w:shd w:val="clear" w:color="auto" w:fill="CCEEFF"/>
          </w:tcPr>
          <w:p>
            <w:pPr>
              <w:spacing w:after="0"/>
              <w:rPr>
                <w:sz w:val="20"/>
                <w:szCs w:val="20"/>
                <w:color w:val="auto"/>
              </w:rPr>
            </w:pPr>
          </w:p>
        </w:tc>
        <w:tc>
          <w:tcPr>
            <w:tcW w:w="68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7860" w:type="dxa"/>
            <w:vAlign w:val="bottom"/>
          </w:tcPr>
          <w:p>
            <w:pPr>
              <w:ind w:left="280"/>
              <w:spacing w:after="0"/>
              <w:rPr>
                <w:sz w:val="20"/>
                <w:szCs w:val="20"/>
                <w:color w:val="auto"/>
              </w:rPr>
            </w:pPr>
            <w:r>
              <w:rPr>
                <w:rFonts w:ascii="Arial" w:cs="Arial" w:eastAsia="Arial" w:hAnsi="Arial"/>
                <w:sz w:val="16"/>
                <w:szCs w:val="16"/>
                <w:color w:val="auto"/>
              </w:rPr>
              <w:t>Net income</w:t>
            </w:r>
          </w:p>
        </w:tc>
        <w:tc>
          <w:tcPr>
            <w:tcW w:w="1020" w:type="dxa"/>
            <w:vAlign w:val="bottom"/>
          </w:tcPr>
          <w:p>
            <w:pPr>
              <w:jc w:val="right"/>
              <w:ind w:right="839"/>
              <w:spacing w:after="0"/>
              <w:rPr>
                <w:sz w:val="20"/>
                <w:szCs w:val="20"/>
                <w:color w:val="auto"/>
              </w:rPr>
            </w:pPr>
            <w:r>
              <w:rPr>
                <w:rFonts w:ascii="Arial" w:cs="Arial" w:eastAsia="Arial" w:hAnsi="Arial"/>
                <w:sz w:val="16"/>
                <w:szCs w:val="16"/>
                <w:color w:val="auto"/>
                <w:w w:val="89"/>
              </w:rPr>
              <w:t>$</w:t>
            </w:r>
          </w:p>
        </w:tc>
        <w:tc>
          <w:tcPr>
            <w:tcW w:w="680" w:type="dxa"/>
            <w:vAlign w:val="bottom"/>
          </w:tcPr>
          <w:p>
            <w:pPr>
              <w:jc w:val="right"/>
              <w:ind w:right="39"/>
              <w:spacing w:after="0"/>
              <w:rPr>
                <w:sz w:val="20"/>
                <w:szCs w:val="20"/>
                <w:color w:val="auto"/>
              </w:rPr>
            </w:pPr>
            <w:r>
              <w:rPr>
                <w:rFonts w:ascii="Arial" w:cs="Arial" w:eastAsia="Arial" w:hAnsi="Arial"/>
                <w:sz w:val="16"/>
                <w:szCs w:val="16"/>
                <w:color w:val="auto"/>
              </w:rPr>
              <w:t>53,912</w:t>
            </w:r>
          </w:p>
        </w:tc>
        <w:tc>
          <w:tcPr>
            <w:tcW w:w="100" w:type="dxa"/>
            <w:vAlign w:val="bottom"/>
          </w:tcPr>
          <w:p>
            <w:pPr>
              <w:spacing w:after="0"/>
              <w:rPr>
                <w:sz w:val="20"/>
                <w:szCs w:val="20"/>
                <w:color w:val="auto"/>
              </w:rPr>
            </w:pPr>
          </w:p>
        </w:tc>
        <w:tc>
          <w:tcPr>
            <w:tcW w:w="400" w:type="dxa"/>
            <w:vAlign w:val="bottom"/>
          </w:tcPr>
          <w:p>
            <w:pPr>
              <w:jc w:val="right"/>
              <w:ind w:right="219"/>
              <w:spacing w:after="0"/>
              <w:rPr>
                <w:sz w:val="20"/>
                <w:szCs w:val="20"/>
                <w:color w:val="auto"/>
              </w:rPr>
            </w:pPr>
            <w:r>
              <w:rPr>
                <w:rFonts w:ascii="Arial" w:cs="Arial" w:eastAsia="Arial" w:hAnsi="Arial"/>
                <w:sz w:val="16"/>
                <w:szCs w:val="16"/>
                <w:color w:val="auto"/>
                <w:w w:val="89"/>
              </w:rPr>
              <w:t>$</w:t>
            </w:r>
          </w:p>
        </w:tc>
        <w:tc>
          <w:tcPr>
            <w:tcW w:w="1300" w:type="dxa"/>
            <w:vAlign w:val="bottom"/>
          </w:tcPr>
          <w:p>
            <w:pPr>
              <w:jc w:val="right"/>
              <w:ind w:right="39"/>
              <w:spacing w:after="0"/>
              <w:rPr>
                <w:sz w:val="20"/>
                <w:szCs w:val="20"/>
                <w:color w:val="auto"/>
              </w:rPr>
            </w:pPr>
            <w:r>
              <w:rPr>
                <w:rFonts w:ascii="Arial" w:cs="Arial" w:eastAsia="Arial" w:hAnsi="Arial"/>
                <w:sz w:val="16"/>
                <w:szCs w:val="16"/>
                <w:color w:val="auto"/>
              </w:rPr>
              <w:t>35,870</w:t>
            </w:r>
          </w:p>
        </w:tc>
        <w:tc>
          <w:tcPr>
            <w:tcW w:w="0" w:type="dxa"/>
            <w:vAlign w:val="bottom"/>
          </w:tcPr>
          <w:p>
            <w:pPr>
              <w:spacing w:after="0"/>
              <w:rPr>
                <w:sz w:val="1"/>
                <w:szCs w:val="1"/>
                <w:color w:val="auto"/>
              </w:rPr>
            </w:pPr>
          </w:p>
        </w:tc>
      </w:tr>
      <w:tr>
        <w:trPr>
          <w:trHeight w:val="33"/>
        </w:trPr>
        <w:tc>
          <w:tcPr>
            <w:tcW w:w="78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8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Adjustments to reconcile net income to net cash provided by operating activities:</w:t>
            </w:r>
          </w:p>
        </w:tc>
        <w:tc>
          <w:tcPr>
            <w:tcW w:w="10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7860" w:type="dxa"/>
            <w:vAlign w:val="bottom"/>
          </w:tcPr>
          <w:p>
            <w:pPr>
              <w:ind w:left="480"/>
              <w:spacing w:after="0"/>
              <w:rPr>
                <w:sz w:val="20"/>
                <w:szCs w:val="20"/>
                <w:color w:val="auto"/>
              </w:rPr>
            </w:pPr>
            <w:r>
              <w:rPr>
                <w:rFonts w:ascii="Arial" w:cs="Arial" w:eastAsia="Arial" w:hAnsi="Arial"/>
                <w:sz w:val="16"/>
                <w:szCs w:val="16"/>
                <w:color w:val="auto"/>
              </w:rPr>
              <w:t>Depreciation and amortization</w:t>
            </w:r>
          </w:p>
        </w:tc>
        <w:tc>
          <w:tcPr>
            <w:tcW w:w="1020" w:type="dxa"/>
            <w:vAlign w:val="bottom"/>
          </w:tcPr>
          <w:p>
            <w:pPr>
              <w:spacing w:after="0"/>
              <w:rPr>
                <w:sz w:val="20"/>
                <w:szCs w:val="20"/>
                <w:color w:val="auto"/>
              </w:rPr>
            </w:pPr>
          </w:p>
        </w:tc>
        <w:tc>
          <w:tcPr>
            <w:tcW w:w="680" w:type="dxa"/>
            <w:vAlign w:val="bottom"/>
          </w:tcPr>
          <w:p>
            <w:pPr>
              <w:jc w:val="right"/>
              <w:ind w:right="39"/>
              <w:spacing w:after="0"/>
              <w:rPr>
                <w:sz w:val="20"/>
                <w:szCs w:val="20"/>
                <w:color w:val="auto"/>
              </w:rPr>
            </w:pPr>
            <w:r>
              <w:rPr>
                <w:rFonts w:ascii="Arial" w:cs="Arial" w:eastAsia="Arial" w:hAnsi="Arial"/>
                <w:sz w:val="16"/>
                <w:szCs w:val="16"/>
                <w:color w:val="auto"/>
              </w:rPr>
              <w:t>17,084</w:t>
            </w: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00" w:type="dxa"/>
            <w:vAlign w:val="bottom"/>
          </w:tcPr>
          <w:p>
            <w:pPr>
              <w:jc w:val="right"/>
              <w:ind w:right="39"/>
              <w:spacing w:after="0"/>
              <w:rPr>
                <w:sz w:val="20"/>
                <w:szCs w:val="20"/>
                <w:color w:val="auto"/>
              </w:rPr>
            </w:pPr>
            <w:r>
              <w:rPr>
                <w:rFonts w:ascii="Arial" w:cs="Arial" w:eastAsia="Arial" w:hAnsi="Arial"/>
                <w:sz w:val="16"/>
                <w:szCs w:val="16"/>
                <w:color w:val="auto"/>
              </w:rPr>
              <w:t>15,845</w:t>
            </w:r>
          </w:p>
        </w:tc>
        <w:tc>
          <w:tcPr>
            <w:tcW w:w="0" w:type="dxa"/>
            <w:vAlign w:val="bottom"/>
          </w:tcPr>
          <w:p>
            <w:pPr>
              <w:spacing w:after="0"/>
              <w:rPr>
                <w:sz w:val="1"/>
                <w:szCs w:val="1"/>
                <w:color w:val="auto"/>
              </w:rPr>
            </w:pPr>
          </w:p>
        </w:tc>
      </w:tr>
      <w:tr>
        <w:trPr>
          <w:trHeight w:val="33"/>
        </w:trPr>
        <w:tc>
          <w:tcPr>
            <w:tcW w:w="78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86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6"/>
                <w:szCs w:val="16"/>
                <w:color w:val="auto"/>
              </w:rPr>
              <w:t>Amortization of deferred financing costs</w:t>
            </w:r>
          </w:p>
        </w:tc>
        <w:tc>
          <w:tcPr>
            <w:tcW w:w="10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973</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942</w:t>
            </w:r>
          </w:p>
        </w:tc>
        <w:tc>
          <w:tcPr>
            <w:tcW w:w="0" w:type="dxa"/>
            <w:vAlign w:val="bottom"/>
          </w:tcPr>
          <w:p>
            <w:pPr>
              <w:spacing w:after="0"/>
              <w:rPr>
                <w:sz w:val="1"/>
                <w:szCs w:val="1"/>
                <w:color w:val="auto"/>
              </w:rPr>
            </w:pPr>
          </w:p>
        </w:tc>
      </w:tr>
      <w:tr>
        <w:trPr>
          <w:trHeight w:val="237"/>
        </w:trPr>
        <w:tc>
          <w:tcPr>
            <w:tcW w:w="7860" w:type="dxa"/>
            <w:vAlign w:val="bottom"/>
          </w:tcPr>
          <w:p>
            <w:pPr>
              <w:ind w:left="480"/>
              <w:spacing w:after="0"/>
              <w:rPr>
                <w:sz w:val="20"/>
                <w:szCs w:val="20"/>
                <w:color w:val="auto"/>
              </w:rPr>
            </w:pPr>
            <w:r>
              <w:rPr>
                <w:rFonts w:ascii="Arial" w:cs="Arial" w:eastAsia="Arial" w:hAnsi="Arial"/>
                <w:sz w:val="16"/>
                <w:szCs w:val="16"/>
                <w:color w:val="auto"/>
              </w:rPr>
              <w:t>Amortization of favorable leases and asset retirement obligations</w:t>
            </w:r>
          </w:p>
        </w:tc>
        <w:tc>
          <w:tcPr>
            <w:tcW w:w="1020" w:type="dxa"/>
            <w:vAlign w:val="bottom"/>
          </w:tcPr>
          <w:p>
            <w:pPr>
              <w:spacing w:after="0"/>
              <w:rPr>
                <w:sz w:val="20"/>
                <w:szCs w:val="20"/>
                <w:color w:val="auto"/>
              </w:rPr>
            </w:pPr>
          </w:p>
        </w:tc>
        <w:tc>
          <w:tcPr>
            <w:tcW w:w="680" w:type="dxa"/>
            <w:vAlign w:val="bottom"/>
          </w:tcPr>
          <w:p>
            <w:pPr>
              <w:jc w:val="right"/>
              <w:ind w:right="39"/>
              <w:spacing w:after="0"/>
              <w:rPr>
                <w:sz w:val="20"/>
                <w:szCs w:val="20"/>
                <w:color w:val="auto"/>
              </w:rPr>
            </w:pPr>
            <w:r>
              <w:rPr>
                <w:rFonts w:ascii="Arial" w:cs="Arial" w:eastAsia="Arial" w:hAnsi="Arial"/>
                <w:sz w:val="16"/>
                <w:szCs w:val="16"/>
                <w:color w:val="auto"/>
              </w:rPr>
              <w:t>186</w:t>
            </w: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00" w:type="dxa"/>
            <w:vAlign w:val="bottom"/>
          </w:tcPr>
          <w:p>
            <w:pPr>
              <w:jc w:val="right"/>
              <w:ind w:right="39"/>
              <w:spacing w:after="0"/>
              <w:rPr>
                <w:sz w:val="20"/>
                <w:szCs w:val="20"/>
                <w:color w:val="auto"/>
              </w:rPr>
            </w:pPr>
            <w:r>
              <w:rPr>
                <w:rFonts w:ascii="Arial" w:cs="Arial" w:eastAsia="Arial" w:hAnsi="Arial"/>
                <w:sz w:val="16"/>
                <w:szCs w:val="16"/>
                <w:color w:val="auto"/>
              </w:rPr>
              <w:t>184</w:t>
            </w:r>
          </w:p>
        </w:tc>
        <w:tc>
          <w:tcPr>
            <w:tcW w:w="0" w:type="dxa"/>
            <w:vAlign w:val="bottom"/>
          </w:tcPr>
          <w:p>
            <w:pPr>
              <w:spacing w:after="0"/>
              <w:rPr>
                <w:sz w:val="1"/>
                <w:szCs w:val="1"/>
                <w:color w:val="auto"/>
              </w:rPr>
            </w:pPr>
          </w:p>
        </w:tc>
      </w:tr>
      <w:tr>
        <w:trPr>
          <w:trHeight w:val="33"/>
        </w:trPr>
        <w:tc>
          <w:tcPr>
            <w:tcW w:w="78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86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6"/>
                <w:szCs w:val="16"/>
                <w:color w:val="auto"/>
              </w:rPr>
              <w:t>Amortization of interest rate caps</w:t>
            </w:r>
          </w:p>
        </w:tc>
        <w:tc>
          <w:tcPr>
            <w:tcW w:w="10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446</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954</w:t>
            </w:r>
          </w:p>
        </w:tc>
        <w:tc>
          <w:tcPr>
            <w:tcW w:w="0" w:type="dxa"/>
            <w:vAlign w:val="bottom"/>
          </w:tcPr>
          <w:p>
            <w:pPr>
              <w:spacing w:after="0"/>
              <w:rPr>
                <w:sz w:val="1"/>
                <w:szCs w:val="1"/>
                <w:color w:val="auto"/>
              </w:rPr>
            </w:pPr>
          </w:p>
        </w:tc>
      </w:tr>
      <w:tr>
        <w:trPr>
          <w:trHeight w:val="237"/>
        </w:trPr>
        <w:tc>
          <w:tcPr>
            <w:tcW w:w="7860" w:type="dxa"/>
            <w:vAlign w:val="bottom"/>
          </w:tcPr>
          <w:p>
            <w:pPr>
              <w:ind w:left="480"/>
              <w:spacing w:after="0"/>
              <w:rPr>
                <w:sz w:val="20"/>
                <w:szCs w:val="20"/>
                <w:color w:val="auto"/>
              </w:rPr>
            </w:pPr>
            <w:r>
              <w:rPr>
                <w:rFonts w:ascii="Arial" w:cs="Arial" w:eastAsia="Arial" w:hAnsi="Arial"/>
                <w:sz w:val="16"/>
                <w:szCs w:val="16"/>
                <w:color w:val="auto"/>
              </w:rPr>
              <w:t>Deferred tax expense</w:t>
            </w:r>
          </w:p>
        </w:tc>
        <w:tc>
          <w:tcPr>
            <w:tcW w:w="1020" w:type="dxa"/>
            <w:vAlign w:val="bottom"/>
          </w:tcPr>
          <w:p>
            <w:pPr>
              <w:spacing w:after="0"/>
              <w:rPr>
                <w:sz w:val="20"/>
                <w:szCs w:val="20"/>
                <w:color w:val="auto"/>
              </w:rPr>
            </w:pPr>
          </w:p>
        </w:tc>
        <w:tc>
          <w:tcPr>
            <w:tcW w:w="680" w:type="dxa"/>
            <w:vAlign w:val="bottom"/>
          </w:tcPr>
          <w:p>
            <w:pPr>
              <w:jc w:val="right"/>
              <w:ind w:right="39"/>
              <w:spacing w:after="0"/>
              <w:rPr>
                <w:sz w:val="20"/>
                <w:szCs w:val="20"/>
                <w:color w:val="auto"/>
              </w:rPr>
            </w:pPr>
            <w:r>
              <w:rPr>
                <w:rFonts w:ascii="Arial" w:cs="Arial" w:eastAsia="Arial" w:hAnsi="Arial"/>
                <w:sz w:val="16"/>
                <w:szCs w:val="16"/>
                <w:color w:val="auto"/>
              </w:rPr>
              <w:t>13,300</w:t>
            </w: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00" w:type="dxa"/>
            <w:vAlign w:val="bottom"/>
          </w:tcPr>
          <w:p>
            <w:pPr>
              <w:jc w:val="right"/>
              <w:ind w:right="39"/>
              <w:spacing w:after="0"/>
              <w:rPr>
                <w:sz w:val="20"/>
                <w:szCs w:val="20"/>
                <w:color w:val="auto"/>
              </w:rPr>
            </w:pPr>
            <w:r>
              <w:rPr>
                <w:rFonts w:ascii="Arial" w:cs="Arial" w:eastAsia="Arial" w:hAnsi="Arial"/>
                <w:sz w:val="16"/>
                <w:szCs w:val="16"/>
                <w:color w:val="auto"/>
              </w:rPr>
              <w:t>14,589</w:t>
            </w:r>
          </w:p>
        </w:tc>
        <w:tc>
          <w:tcPr>
            <w:tcW w:w="0" w:type="dxa"/>
            <w:vAlign w:val="bottom"/>
          </w:tcPr>
          <w:p>
            <w:pPr>
              <w:spacing w:after="0"/>
              <w:rPr>
                <w:sz w:val="1"/>
                <w:szCs w:val="1"/>
                <w:color w:val="auto"/>
              </w:rPr>
            </w:pPr>
          </w:p>
        </w:tc>
      </w:tr>
      <w:tr>
        <w:trPr>
          <w:trHeight w:val="33"/>
        </w:trPr>
        <w:tc>
          <w:tcPr>
            <w:tcW w:w="78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86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6"/>
                <w:szCs w:val="16"/>
                <w:color w:val="auto"/>
              </w:rPr>
              <w:t>Loss on extinguishment of debt</w:t>
            </w:r>
          </w:p>
        </w:tc>
        <w:tc>
          <w:tcPr>
            <w:tcW w:w="10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4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79</w:t>
            </w:r>
          </w:p>
        </w:tc>
        <w:tc>
          <w:tcPr>
            <w:tcW w:w="0" w:type="dxa"/>
            <w:vAlign w:val="bottom"/>
          </w:tcPr>
          <w:p>
            <w:pPr>
              <w:spacing w:after="0"/>
              <w:rPr>
                <w:sz w:val="1"/>
                <w:szCs w:val="1"/>
                <w:color w:val="auto"/>
              </w:rPr>
            </w:pPr>
          </w:p>
        </w:tc>
      </w:tr>
      <w:tr>
        <w:trPr>
          <w:trHeight w:val="237"/>
        </w:trPr>
        <w:tc>
          <w:tcPr>
            <w:tcW w:w="7860" w:type="dxa"/>
            <w:vAlign w:val="bottom"/>
          </w:tcPr>
          <w:p>
            <w:pPr>
              <w:ind w:left="480"/>
              <w:spacing w:after="0"/>
              <w:rPr>
                <w:sz w:val="20"/>
                <w:szCs w:val="20"/>
                <w:color w:val="auto"/>
              </w:rPr>
            </w:pPr>
            <w:r>
              <w:rPr>
                <w:rFonts w:ascii="Arial" w:cs="Arial" w:eastAsia="Arial" w:hAnsi="Arial"/>
                <w:sz w:val="16"/>
                <w:szCs w:val="16"/>
                <w:color w:val="auto"/>
              </w:rPr>
              <w:t>Third party debt refinancing expense</w:t>
            </w:r>
          </w:p>
        </w:tc>
        <w:tc>
          <w:tcPr>
            <w:tcW w:w="1020" w:type="dxa"/>
            <w:vAlign w:val="bottom"/>
          </w:tcPr>
          <w:p>
            <w:pPr>
              <w:spacing w:after="0"/>
              <w:rPr>
                <w:sz w:val="20"/>
                <w:szCs w:val="20"/>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20"/>
                <w:szCs w:val="20"/>
                <w:color w:val="auto"/>
              </w:rPr>
            </w:pPr>
          </w:p>
        </w:tc>
        <w:tc>
          <w:tcPr>
            <w:tcW w:w="1300" w:type="dxa"/>
            <w:vAlign w:val="bottom"/>
          </w:tcPr>
          <w:p>
            <w:pPr>
              <w:jc w:val="right"/>
              <w:ind w:right="39"/>
              <w:spacing w:after="0"/>
              <w:rPr>
                <w:sz w:val="20"/>
                <w:szCs w:val="20"/>
                <w:color w:val="auto"/>
              </w:rPr>
            </w:pPr>
            <w:r>
              <w:rPr>
                <w:rFonts w:ascii="Arial" w:cs="Arial" w:eastAsia="Arial" w:hAnsi="Arial"/>
                <w:sz w:val="16"/>
                <w:szCs w:val="16"/>
                <w:color w:val="auto"/>
              </w:rPr>
              <w:t>1,021</w:t>
            </w:r>
          </w:p>
        </w:tc>
        <w:tc>
          <w:tcPr>
            <w:tcW w:w="0" w:type="dxa"/>
            <w:vAlign w:val="bottom"/>
          </w:tcPr>
          <w:p>
            <w:pPr>
              <w:spacing w:after="0"/>
              <w:rPr>
                <w:sz w:val="1"/>
                <w:szCs w:val="1"/>
                <w:color w:val="auto"/>
              </w:rPr>
            </w:pPr>
          </w:p>
        </w:tc>
      </w:tr>
      <w:tr>
        <w:trPr>
          <w:trHeight w:val="33"/>
        </w:trPr>
        <w:tc>
          <w:tcPr>
            <w:tcW w:w="78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86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6"/>
                <w:szCs w:val="16"/>
                <w:color w:val="auto"/>
              </w:rPr>
              <w:t>Gain on re-measurement of tax benefit arrangement</w:t>
            </w:r>
          </w:p>
        </w:tc>
        <w:tc>
          <w:tcPr>
            <w:tcW w:w="10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(354)</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(541)</w:t>
            </w:r>
          </w:p>
        </w:tc>
        <w:tc>
          <w:tcPr>
            <w:tcW w:w="0" w:type="dxa"/>
            <w:vAlign w:val="bottom"/>
          </w:tcPr>
          <w:p>
            <w:pPr>
              <w:spacing w:after="0"/>
              <w:rPr>
                <w:sz w:val="1"/>
                <w:szCs w:val="1"/>
                <w:color w:val="auto"/>
              </w:rPr>
            </w:pPr>
          </w:p>
        </w:tc>
      </w:tr>
      <w:tr>
        <w:trPr>
          <w:trHeight w:val="237"/>
        </w:trPr>
        <w:tc>
          <w:tcPr>
            <w:tcW w:w="7860" w:type="dxa"/>
            <w:vAlign w:val="bottom"/>
          </w:tcPr>
          <w:p>
            <w:pPr>
              <w:ind w:left="480"/>
              <w:spacing w:after="0"/>
              <w:rPr>
                <w:sz w:val="20"/>
                <w:szCs w:val="20"/>
                <w:color w:val="auto"/>
              </w:rPr>
            </w:pPr>
            <w:r>
              <w:rPr>
                <w:rFonts w:ascii="Arial" w:cs="Arial" w:eastAsia="Arial" w:hAnsi="Arial"/>
                <w:sz w:val="16"/>
                <w:szCs w:val="16"/>
                <w:color w:val="auto"/>
              </w:rPr>
              <w:t>Provision for bad debts</w:t>
            </w:r>
          </w:p>
        </w:tc>
        <w:tc>
          <w:tcPr>
            <w:tcW w:w="102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(8)</w:t>
            </w: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00" w:type="dxa"/>
            <w:vAlign w:val="bottom"/>
          </w:tcPr>
          <w:p>
            <w:pPr>
              <w:jc w:val="right"/>
              <w:ind w:right="39"/>
              <w:spacing w:after="0"/>
              <w:rPr>
                <w:sz w:val="20"/>
                <w:szCs w:val="20"/>
                <w:color w:val="auto"/>
              </w:rPr>
            </w:pPr>
            <w:r>
              <w:rPr>
                <w:rFonts w:ascii="Arial" w:cs="Arial" w:eastAsia="Arial" w:hAnsi="Arial"/>
                <w:sz w:val="16"/>
                <w:szCs w:val="16"/>
                <w:color w:val="auto"/>
              </w:rPr>
              <w:t>28</w:t>
            </w:r>
          </w:p>
        </w:tc>
        <w:tc>
          <w:tcPr>
            <w:tcW w:w="0" w:type="dxa"/>
            <w:vAlign w:val="bottom"/>
          </w:tcPr>
          <w:p>
            <w:pPr>
              <w:spacing w:after="0"/>
              <w:rPr>
                <w:sz w:val="1"/>
                <w:szCs w:val="1"/>
                <w:color w:val="auto"/>
              </w:rPr>
            </w:pPr>
          </w:p>
        </w:tc>
      </w:tr>
      <w:tr>
        <w:trPr>
          <w:trHeight w:val="33"/>
        </w:trPr>
        <w:tc>
          <w:tcPr>
            <w:tcW w:w="78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86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6"/>
                <w:szCs w:val="16"/>
                <w:color w:val="auto"/>
              </w:rPr>
              <w:t>Loss on reacquired franchise rights</w:t>
            </w:r>
          </w:p>
        </w:tc>
        <w:tc>
          <w:tcPr>
            <w:tcW w:w="10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350</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7"/>
        </w:trPr>
        <w:tc>
          <w:tcPr>
            <w:tcW w:w="7860" w:type="dxa"/>
            <w:vAlign w:val="bottom"/>
          </w:tcPr>
          <w:p>
            <w:pPr>
              <w:ind w:left="480"/>
              <w:spacing w:after="0"/>
              <w:rPr>
                <w:sz w:val="20"/>
                <w:szCs w:val="20"/>
                <w:color w:val="auto"/>
              </w:rPr>
            </w:pPr>
            <w:r>
              <w:rPr>
                <w:rFonts w:ascii="Arial" w:cs="Arial" w:eastAsia="Arial" w:hAnsi="Arial"/>
                <w:sz w:val="16"/>
                <w:szCs w:val="16"/>
                <w:color w:val="auto"/>
              </w:rPr>
              <w:t>Loss (gain) on disposal of property and equipment</w:t>
            </w:r>
          </w:p>
        </w:tc>
        <w:tc>
          <w:tcPr>
            <w:tcW w:w="1020" w:type="dxa"/>
            <w:vAlign w:val="bottom"/>
          </w:tcPr>
          <w:p>
            <w:pPr>
              <w:spacing w:after="0"/>
              <w:rPr>
                <w:sz w:val="20"/>
                <w:szCs w:val="20"/>
                <w:color w:val="auto"/>
              </w:rPr>
            </w:pPr>
          </w:p>
        </w:tc>
        <w:tc>
          <w:tcPr>
            <w:tcW w:w="680" w:type="dxa"/>
            <w:vAlign w:val="bottom"/>
          </w:tcPr>
          <w:p>
            <w:pPr>
              <w:jc w:val="right"/>
              <w:ind w:right="39"/>
              <w:spacing w:after="0"/>
              <w:rPr>
                <w:sz w:val="20"/>
                <w:szCs w:val="20"/>
                <w:color w:val="auto"/>
              </w:rPr>
            </w:pPr>
            <w:r>
              <w:rPr>
                <w:rFonts w:ascii="Arial" w:cs="Arial" w:eastAsia="Arial" w:hAnsi="Arial"/>
                <w:sz w:val="16"/>
                <w:szCs w:val="16"/>
                <w:color w:val="auto"/>
              </w:rPr>
              <w:t>547</w:t>
            </w: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(323)</w:t>
            </w:r>
          </w:p>
        </w:tc>
        <w:tc>
          <w:tcPr>
            <w:tcW w:w="0" w:type="dxa"/>
            <w:vAlign w:val="bottom"/>
          </w:tcPr>
          <w:p>
            <w:pPr>
              <w:spacing w:after="0"/>
              <w:rPr>
                <w:sz w:val="1"/>
                <w:szCs w:val="1"/>
                <w:color w:val="auto"/>
              </w:rPr>
            </w:pPr>
          </w:p>
        </w:tc>
      </w:tr>
      <w:tr>
        <w:trPr>
          <w:trHeight w:val="33"/>
        </w:trPr>
        <w:tc>
          <w:tcPr>
            <w:tcW w:w="78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86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6"/>
                <w:szCs w:val="16"/>
                <w:color w:val="auto"/>
              </w:rPr>
              <w:t>Equity-based compensation</w:t>
            </w:r>
          </w:p>
        </w:tc>
        <w:tc>
          <w:tcPr>
            <w:tcW w:w="10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2,687</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1,012</w:t>
            </w:r>
          </w:p>
        </w:tc>
        <w:tc>
          <w:tcPr>
            <w:tcW w:w="0" w:type="dxa"/>
            <w:vAlign w:val="bottom"/>
          </w:tcPr>
          <w:p>
            <w:pPr>
              <w:spacing w:after="0"/>
              <w:rPr>
                <w:sz w:val="1"/>
                <w:szCs w:val="1"/>
                <w:color w:val="auto"/>
              </w:rPr>
            </w:pPr>
          </w:p>
        </w:tc>
      </w:tr>
      <w:tr>
        <w:trPr>
          <w:trHeight w:val="237"/>
        </w:trPr>
        <w:tc>
          <w:tcPr>
            <w:tcW w:w="7860" w:type="dxa"/>
            <w:vAlign w:val="bottom"/>
          </w:tcPr>
          <w:p>
            <w:pPr>
              <w:ind w:left="480"/>
              <w:spacing w:after="0"/>
              <w:rPr>
                <w:sz w:val="20"/>
                <w:szCs w:val="20"/>
                <w:color w:val="auto"/>
              </w:rPr>
            </w:pPr>
            <w:r>
              <w:rPr>
                <w:rFonts w:ascii="Arial" w:cs="Arial" w:eastAsia="Arial" w:hAnsi="Arial"/>
                <w:sz w:val="16"/>
                <w:szCs w:val="16"/>
                <w:color w:val="auto"/>
              </w:rPr>
              <w:t>Changes in operating assets and liabilities, excluding effects of acquisitions:</w:t>
            </w:r>
          </w:p>
        </w:tc>
        <w:tc>
          <w:tcPr>
            <w:tcW w:w="102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78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860" w:type="dxa"/>
            <w:vAlign w:val="bottom"/>
            <w:tcBorders>
              <w:bottom w:val="single" w:sz="8" w:color="CCEEFF"/>
            </w:tcBorders>
            <w:shd w:val="clear" w:color="auto" w:fill="CCEEFF"/>
          </w:tcPr>
          <w:p>
            <w:pPr>
              <w:ind w:left="700"/>
              <w:spacing w:after="0"/>
              <w:rPr>
                <w:sz w:val="20"/>
                <w:szCs w:val="20"/>
                <w:color w:val="auto"/>
              </w:rPr>
            </w:pPr>
            <w:r>
              <w:rPr>
                <w:rFonts w:ascii="Arial" w:cs="Arial" w:eastAsia="Arial" w:hAnsi="Arial"/>
                <w:sz w:val="16"/>
                <w:szCs w:val="16"/>
                <w:color w:val="auto"/>
              </w:rPr>
              <w:t>Accounts receivable</w:t>
            </w:r>
          </w:p>
        </w:tc>
        <w:tc>
          <w:tcPr>
            <w:tcW w:w="10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22,281</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11,542</w:t>
            </w:r>
          </w:p>
        </w:tc>
        <w:tc>
          <w:tcPr>
            <w:tcW w:w="0" w:type="dxa"/>
            <w:vAlign w:val="bottom"/>
          </w:tcPr>
          <w:p>
            <w:pPr>
              <w:spacing w:after="0"/>
              <w:rPr>
                <w:sz w:val="1"/>
                <w:szCs w:val="1"/>
                <w:color w:val="auto"/>
              </w:rPr>
            </w:pPr>
          </w:p>
        </w:tc>
      </w:tr>
      <w:tr>
        <w:trPr>
          <w:trHeight w:val="237"/>
        </w:trPr>
        <w:tc>
          <w:tcPr>
            <w:tcW w:w="7860" w:type="dxa"/>
            <w:vAlign w:val="bottom"/>
          </w:tcPr>
          <w:p>
            <w:pPr>
              <w:ind w:left="700"/>
              <w:spacing w:after="0"/>
              <w:rPr>
                <w:sz w:val="20"/>
                <w:szCs w:val="20"/>
                <w:color w:val="auto"/>
              </w:rPr>
            </w:pPr>
            <w:r>
              <w:rPr>
                <w:rFonts w:ascii="Arial" w:cs="Arial" w:eastAsia="Arial" w:hAnsi="Arial"/>
                <w:sz w:val="16"/>
                <w:szCs w:val="16"/>
                <w:color w:val="auto"/>
              </w:rPr>
              <w:t>Due to and due from related parties</w:t>
            </w:r>
          </w:p>
        </w:tc>
        <w:tc>
          <w:tcPr>
            <w:tcW w:w="1020" w:type="dxa"/>
            <w:vAlign w:val="bottom"/>
          </w:tcPr>
          <w:p>
            <w:pPr>
              <w:spacing w:after="0"/>
              <w:rPr>
                <w:sz w:val="20"/>
                <w:szCs w:val="20"/>
                <w:color w:val="auto"/>
              </w:rPr>
            </w:pPr>
          </w:p>
        </w:tc>
        <w:tc>
          <w:tcPr>
            <w:tcW w:w="680" w:type="dxa"/>
            <w:vAlign w:val="bottom"/>
          </w:tcPr>
          <w:p>
            <w:pPr>
              <w:jc w:val="right"/>
              <w:ind w:right="39"/>
              <w:spacing w:after="0"/>
              <w:rPr>
                <w:sz w:val="20"/>
                <w:szCs w:val="20"/>
                <w:color w:val="auto"/>
              </w:rPr>
            </w:pPr>
            <w:r>
              <w:rPr>
                <w:rFonts w:ascii="Arial" w:cs="Arial" w:eastAsia="Arial" w:hAnsi="Arial"/>
                <w:sz w:val="16"/>
                <w:szCs w:val="16"/>
                <w:color w:val="auto"/>
              </w:rPr>
              <w:t>3,375</w:t>
            </w: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(289)</w:t>
            </w:r>
          </w:p>
        </w:tc>
        <w:tc>
          <w:tcPr>
            <w:tcW w:w="0" w:type="dxa"/>
            <w:vAlign w:val="bottom"/>
          </w:tcPr>
          <w:p>
            <w:pPr>
              <w:spacing w:after="0"/>
              <w:rPr>
                <w:sz w:val="1"/>
                <w:szCs w:val="1"/>
                <w:color w:val="auto"/>
              </w:rPr>
            </w:pPr>
          </w:p>
        </w:tc>
      </w:tr>
      <w:tr>
        <w:trPr>
          <w:trHeight w:val="33"/>
        </w:trPr>
        <w:tc>
          <w:tcPr>
            <w:tcW w:w="78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860" w:type="dxa"/>
            <w:vAlign w:val="bottom"/>
            <w:tcBorders>
              <w:bottom w:val="single" w:sz="8" w:color="CCEEFF"/>
            </w:tcBorders>
            <w:shd w:val="clear" w:color="auto" w:fill="CCEEFF"/>
          </w:tcPr>
          <w:p>
            <w:pPr>
              <w:ind w:left="700"/>
              <w:spacing w:after="0"/>
              <w:rPr>
                <w:sz w:val="20"/>
                <w:szCs w:val="20"/>
                <w:color w:val="auto"/>
              </w:rPr>
            </w:pPr>
            <w:r>
              <w:rPr>
                <w:rFonts w:ascii="Arial" w:cs="Arial" w:eastAsia="Arial" w:hAnsi="Arial"/>
                <w:sz w:val="16"/>
                <w:szCs w:val="16"/>
                <w:color w:val="auto"/>
              </w:rPr>
              <w:t>Inventory</w:t>
            </w:r>
          </w:p>
        </w:tc>
        <w:tc>
          <w:tcPr>
            <w:tcW w:w="10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(501)</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355</w:t>
            </w:r>
          </w:p>
        </w:tc>
        <w:tc>
          <w:tcPr>
            <w:tcW w:w="0" w:type="dxa"/>
            <w:vAlign w:val="bottom"/>
          </w:tcPr>
          <w:p>
            <w:pPr>
              <w:spacing w:after="0"/>
              <w:rPr>
                <w:sz w:val="1"/>
                <w:szCs w:val="1"/>
                <w:color w:val="auto"/>
              </w:rPr>
            </w:pPr>
          </w:p>
        </w:tc>
      </w:tr>
      <w:tr>
        <w:trPr>
          <w:trHeight w:val="237"/>
        </w:trPr>
        <w:tc>
          <w:tcPr>
            <w:tcW w:w="7860" w:type="dxa"/>
            <w:vAlign w:val="bottom"/>
          </w:tcPr>
          <w:p>
            <w:pPr>
              <w:ind w:left="700"/>
              <w:spacing w:after="0"/>
              <w:rPr>
                <w:sz w:val="20"/>
                <w:szCs w:val="20"/>
                <w:color w:val="auto"/>
              </w:rPr>
            </w:pPr>
            <w:r>
              <w:rPr>
                <w:rFonts w:ascii="Arial" w:cs="Arial" w:eastAsia="Arial" w:hAnsi="Arial"/>
                <w:sz w:val="16"/>
                <w:szCs w:val="16"/>
                <w:color w:val="auto"/>
              </w:rPr>
              <w:t>Other assets and other current assets</w:t>
            </w:r>
          </w:p>
        </w:tc>
        <w:tc>
          <w:tcPr>
            <w:tcW w:w="102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(3,109)</w:t>
            </w: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(3,239)</w:t>
            </w:r>
          </w:p>
        </w:tc>
        <w:tc>
          <w:tcPr>
            <w:tcW w:w="0" w:type="dxa"/>
            <w:vAlign w:val="bottom"/>
          </w:tcPr>
          <w:p>
            <w:pPr>
              <w:spacing w:after="0"/>
              <w:rPr>
                <w:sz w:val="1"/>
                <w:szCs w:val="1"/>
                <w:color w:val="auto"/>
              </w:rPr>
            </w:pPr>
          </w:p>
        </w:tc>
      </w:tr>
      <w:tr>
        <w:trPr>
          <w:trHeight w:val="33"/>
        </w:trPr>
        <w:tc>
          <w:tcPr>
            <w:tcW w:w="78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860" w:type="dxa"/>
            <w:vAlign w:val="bottom"/>
            <w:tcBorders>
              <w:bottom w:val="single" w:sz="8" w:color="CCEEFF"/>
            </w:tcBorders>
            <w:shd w:val="clear" w:color="auto" w:fill="CCEEFF"/>
          </w:tcPr>
          <w:p>
            <w:pPr>
              <w:ind w:left="700"/>
              <w:spacing w:after="0"/>
              <w:rPr>
                <w:sz w:val="20"/>
                <w:szCs w:val="20"/>
                <w:color w:val="auto"/>
              </w:rPr>
            </w:pPr>
            <w:r>
              <w:rPr>
                <w:rFonts w:ascii="Arial" w:cs="Arial" w:eastAsia="Arial" w:hAnsi="Arial"/>
                <w:sz w:val="16"/>
                <w:szCs w:val="16"/>
                <w:color w:val="auto"/>
              </w:rPr>
              <w:t>National advertising fund</w:t>
            </w:r>
          </w:p>
        </w:tc>
        <w:tc>
          <w:tcPr>
            <w:tcW w:w="10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(1,634)</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7"/>
        </w:trPr>
        <w:tc>
          <w:tcPr>
            <w:tcW w:w="7860" w:type="dxa"/>
            <w:vAlign w:val="bottom"/>
          </w:tcPr>
          <w:p>
            <w:pPr>
              <w:ind w:left="700"/>
              <w:spacing w:after="0"/>
              <w:rPr>
                <w:sz w:val="20"/>
                <w:szCs w:val="20"/>
                <w:color w:val="auto"/>
              </w:rPr>
            </w:pPr>
            <w:r>
              <w:rPr>
                <w:rFonts w:ascii="Arial" w:cs="Arial" w:eastAsia="Arial" w:hAnsi="Arial"/>
                <w:sz w:val="16"/>
                <w:szCs w:val="16"/>
                <w:color w:val="auto"/>
              </w:rPr>
              <w:t>Accounts payable and accrued expenses</w:t>
            </w:r>
          </w:p>
        </w:tc>
        <w:tc>
          <w:tcPr>
            <w:tcW w:w="102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(16,884)</w:t>
            </w: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(14,144)</w:t>
            </w:r>
          </w:p>
        </w:tc>
        <w:tc>
          <w:tcPr>
            <w:tcW w:w="0" w:type="dxa"/>
            <w:vAlign w:val="bottom"/>
          </w:tcPr>
          <w:p>
            <w:pPr>
              <w:spacing w:after="0"/>
              <w:rPr>
                <w:sz w:val="1"/>
                <w:szCs w:val="1"/>
                <w:color w:val="auto"/>
              </w:rPr>
            </w:pPr>
          </w:p>
        </w:tc>
      </w:tr>
      <w:tr>
        <w:trPr>
          <w:trHeight w:val="33"/>
        </w:trPr>
        <w:tc>
          <w:tcPr>
            <w:tcW w:w="78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860" w:type="dxa"/>
            <w:vAlign w:val="bottom"/>
            <w:tcBorders>
              <w:bottom w:val="single" w:sz="8" w:color="CCEEFF"/>
            </w:tcBorders>
            <w:shd w:val="clear" w:color="auto" w:fill="CCEEFF"/>
          </w:tcPr>
          <w:p>
            <w:pPr>
              <w:ind w:left="700"/>
              <w:spacing w:after="0"/>
              <w:rPr>
                <w:sz w:val="20"/>
                <w:szCs w:val="20"/>
                <w:color w:val="auto"/>
              </w:rPr>
            </w:pPr>
            <w:r>
              <w:rPr>
                <w:rFonts w:ascii="Arial" w:cs="Arial" w:eastAsia="Arial" w:hAnsi="Arial"/>
                <w:sz w:val="16"/>
                <w:szCs w:val="16"/>
                <w:color w:val="auto"/>
              </w:rPr>
              <w:t>Other liabilities and other current liabilities</w:t>
            </w:r>
          </w:p>
        </w:tc>
        <w:tc>
          <w:tcPr>
            <w:tcW w:w="10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(2,908)</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(33)</w:t>
            </w:r>
          </w:p>
        </w:tc>
        <w:tc>
          <w:tcPr>
            <w:tcW w:w="0" w:type="dxa"/>
            <w:vAlign w:val="bottom"/>
          </w:tcPr>
          <w:p>
            <w:pPr>
              <w:spacing w:after="0"/>
              <w:rPr>
                <w:sz w:val="1"/>
                <w:szCs w:val="1"/>
                <w:color w:val="auto"/>
              </w:rPr>
            </w:pPr>
          </w:p>
        </w:tc>
      </w:tr>
      <w:tr>
        <w:trPr>
          <w:trHeight w:val="237"/>
        </w:trPr>
        <w:tc>
          <w:tcPr>
            <w:tcW w:w="7860" w:type="dxa"/>
            <w:vAlign w:val="bottom"/>
          </w:tcPr>
          <w:p>
            <w:pPr>
              <w:ind w:left="700"/>
              <w:spacing w:after="0"/>
              <w:rPr>
                <w:sz w:val="20"/>
                <w:szCs w:val="20"/>
                <w:color w:val="auto"/>
              </w:rPr>
            </w:pPr>
            <w:r>
              <w:rPr>
                <w:rFonts w:ascii="Arial" w:cs="Arial" w:eastAsia="Arial" w:hAnsi="Arial"/>
                <w:sz w:val="16"/>
                <w:szCs w:val="16"/>
                <w:color w:val="auto"/>
              </w:rPr>
              <w:t>Income taxes</w:t>
            </w:r>
          </w:p>
        </w:tc>
        <w:tc>
          <w:tcPr>
            <w:tcW w:w="1020" w:type="dxa"/>
            <w:vAlign w:val="bottom"/>
          </w:tcPr>
          <w:p>
            <w:pPr>
              <w:spacing w:after="0"/>
              <w:rPr>
                <w:sz w:val="20"/>
                <w:szCs w:val="20"/>
                <w:color w:val="auto"/>
              </w:rPr>
            </w:pPr>
          </w:p>
        </w:tc>
        <w:tc>
          <w:tcPr>
            <w:tcW w:w="680" w:type="dxa"/>
            <w:vAlign w:val="bottom"/>
          </w:tcPr>
          <w:p>
            <w:pPr>
              <w:jc w:val="right"/>
              <w:ind w:right="39"/>
              <w:spacing w:after="0"/>
              <w:rPr>
                <w:sz w:val="20"/>
                <w:szCs w:val="20"/>
                <w:color w:val="auto"/>
              </w:rPr>
            </w:pPr>
            <w:r>
              <w:rPr>
                <w:rFonts w:ascii="Arial" w:cs="Arial" w:eastAsia="Arial" w:hAnsi="Arial"/>
                <w:sz w:val="16"/>
                <w:szCs w:val="16"/>
                <w:color w:val="auto"/>
              </w:rPr>
              <w:t>131</w:t>
            </w: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(406)</w:t>
            </w:r>
          </w:p>
        </w:tc>
        <w:tc>
          <w:tcPr>
            <w:tcW w:w="0" w:type="dxa"/>
            <w:vAlign w:val="bottom"/>
          </w:tcPr>
          <w:p>
            <w:pPr>
              <w:spacing w:after="0"/>
              <w:rPr>
                <w:sz w:val="1"/>
                <w:szCs w:val="1"/>
                <w:color w:val="auto"/>
              </w:rPr>
            </w:pPr>
          </w:p>
        </w:tc>
      </w:tr>
      <w:tr>
        <w:trPr>
          <w:trHeight w:val="33"/>
        </w:trPr>
        <w:tc>
          <w:tcPr>
            <w:tcW w:w="78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860" w:type="dxa"/>
            <w:vAlign w:val="bottom"/>
            <w:tcBorders>
              <w:bottom w:val="single" w:sz="8" w:color="CCEEFF"/>
            </w:tcBorders>
            <w:shd w:val="clear" w:color="auto" w:fill="CCEEFF"/>
          </w:tcPr>
          <w:p>
            <w:pPr>
              <w:ind w:left="700"/>
              <w:spacing w:after="0"/>
              <w:rPr>
                <w:sz w:val="20"/>
                <w:szCs w:val="20"/>
                <w:color w:val="auto"/>
              </w:rPr>
            </w:pPr>
            <w:r>
              <w:rPr>
                <w:rFonts w:ascii="Arial" w:cs="Arial" w:eastAsia="Arial" w:hAnsi="Arial"/>
                <w:sz w:val="16"/>
                <w:szCs w:val="16"/>
                <w:color w:val="auto"/>
              </w:rPr>
              <w:t>Payable to related parties pursuant to tax benefit arrangements</w:t>
            </w:r>
          </w:p>
        </w:tc>
        <w:tc>
          <w:tcPr>
            <w:tcW w:w="10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(21,706)</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(7,909)</w:t>
            </w:r>
          </w:p>
        </w:tc>
        <w:tc>
          <w:tcPr>
            <w:tcW w:w="0" w:type="dxa"/>
            <w:vAlign w:val="bottom"/>
          </w:tcPr>
          <w:p>
            <w:pPr>
              <w:spacing w:after="0"/>
              <w:rPr>
                <w:sz w:val="1"/>
                <w:szCs w:val="1"/>
                <w:color w:val="auto"/>
              </w:rPr>
            </w:pPr>
          </w:p>
        </w:tc>
      </w:tr>
      <w:tr>
        <w:trPr>
          <w:trHeight w:val="237"/>
        </w:trPr>
        <w:tc>
          <w:tcPr>
            <w:tcW w:w="7860" w:type="dxa"/>
            <w:vAlign w:val="bottom"/>
          </w:tcPr>
          <w:p>
            <w:pPr>
              <w:ind w:left="700"/>
              <w:spacing w:after="0"/>
              <w:rPr>
                <w:sz w:val="20"/>
                <w:szCs w:val="20"/>
                <w:color w:val="auto"/>
              </w:rPr>
            </w:pPr>
            <w:r>
              <w:rPr>
                <w:rFonts w:ascii="Arial" w:cs="Arial" w:eastAsia="Arial" w:hAnsi="Arial"/>
                <w:sz w:val="16"/>
                <w:szCs w:val="16"/>
                <w:color w:val="auto"/>
              </w:rPr>
              <w:t>Equipment deposits</w:t>
            </w:r>
          </w:p>
        </w:tc>
        <w:tc>
          <w:tcPr>
            <w:tcW w:w="1020" w:type="dxa"/>
            <w:vAlign w:val="bottom"/>
          </w:tcPr>
          <w:p>
            <w:pPr>
              <w:spacing w:after="0"/>
              <w:rPr>
                <w:sz w:val="20"/>
                <w:szCs w:val="20"/>
                <w:color w:val="auto"/>
              </w:rPr>
            </w:pPr>
          </w:p>
        </w:tc>
        <w:tc>
          <w:tcPr>
            <w:tcW w:w="680" w:type="dxa"/>
            <w:vAlign w:val="bottom"/>
          </w:tcPr>
          <w:p>
            <w:pPr>
              <w:jc w:val="right"/>
              <w:ind w:right="39"/>
              <w:spacing w:after="0"/>
              <w:rPr>
                <w:sz w:val="20"/>
                <w:szCs w:val="20"/>
                <w:color w:val="auto"/>
              </w:rPr>
            </w:pPr>
            <w:r>
              <w:rPr>
                <w:rFonts w:ascii="Arial" w:cs="Arial" w:eastAsia="Arial" w:hAnsi="Arial"/>
                <w:sz w:val="16"/>
                <w:szCs w:val="16"/>
                <w:color w:val="auto"/>
              </w:rPr>
              <w:t>2,503</w:t>
            </w: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00" w:type="dxa"/>
            <w:vAlign w:val="bottom"/>
          </w:tcPr>
          <w:p>
            <w:pPr>
              <w:jc w:val="right"/>
              <w:ind w:right="39"/>
              <w:spacing w:after="0"/>
              <w:rPr>
                <w:sz w:val="20"/>
                <w:szCs w:val="20"/>
                <w:color w:val="auto"/>
              </w:rPr>
            </w:pPr>
            <w:r>
              <w:rPr>
                <w:rFonts w:ascii="Arial" w:cs="Arial" w:eastAsia="Arial" w:hAnsi="Arial"/>
                <w:sz w:val="16"/>
                <w:szCs w:val="16"/>
                <w:color w:val="auto"/>
              </w:rPr>
              <w:t>5,390</w:t>
            </w:r>
          </w:p>
        </w:tc>
        <w:tc>
          <w:tcPr>
            <w:tcW w:w="0" w:type="dxa"/>
            <w:vAlign w:val="bottom"/>
          </w:tcPr>
          <w:p>
            <w:pPr>
              <w:spacing w:after="0"/>
              <w:rPr>
                <w:sz w:val="1"/>
                <w:szCs w:val="1"/>
                <w:color w:val="auto"/>
              </w:rPr>
            </w:pPr>
          </w:p>
        </w:tc>
      </w:tr>
      <w:tr>
        <w:trPr>
          <w:trHeight w:val="33"/>
        </w:trPr>
        <w:tc>
          <w:tcPr>
            <w:tcW w:w="78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860" w:type="dxa"/>
            <w:vAlign w:val="bottom"/>
            <w:tcBorders>
              <w:bottom w:val="single" w:sz="8" w:color="CCEEFF"/>
            </w:tcBorders>
            <w:shd w:val="clear" w:color="auto" w:fill="CCEEFF"/>
          </w:tcPr>
          <w:p>
            <w:pPr>
              <w:ind w:left="700"/>
              <w:spacing w:after="0"/>
              <w:rPr>
                <w:sz w:val="20"/>
                <w:szCs w:val="20"/>
                <w:color w:val="auto"/>
              </w:rPr>
            </w:pPr>
            <w:r>
              <w:rPr>
                <w:rFonts w:ascii="Arial" w:cs="Arial" w:eastAsia="Arial" w:hAnsi="Arial"/>
                <w:sz w:val="16"/>
                <w:szCs w:val="16"/>
                <w:color w:val="auto"/>
              </w:rPr>
              <w:t>Deferred revenue</w:t>
            </w:r>
          </w:p>
        </w:tc>
        <w:tc>
          <w:tcPr>
            <w:tcW w:w="10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6,229</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1,826</w:t>
            </w:r>
          </w:p>
        </w:tc>
        <w:tc>
          <w:tcPr>
            <w:tcW w:w="0" w:type="dxa"/>
            <w:vAlign w:val="bottom"/>
          </w:tcPr>
          <w:p>
            <w:pPr>
              <w:spacing w:after="0"/>
              <w:rPr>
                <w:sz w:val="1"/>
                <w:szCs w:val="1"/>
                <w:color w:val="auto"/>
              </w:rPr>
            </w:pPr>
          </w:p>
        </w:tc>
      </w:tr>
      <w:tr>
        <w:trPr>
          <w:trHeight w:val="237"/>
        </w:trPr>
        <w:tc>
          <w:tcPr>
            <w:tcW w:w="7860" w:type="dxa"/>
            <w:vAlign w:val="bottom"/>
          </w:tcPr>
          <w:p>
            <w:pPr>
              <w:ind w:left="700"/>
              <w:spacing w:after="0"/>
              <w:rPr>
                <w:sz w:val="20"/>
                <w:szCs w:val="20"/>
                <w:color w:val="auto"/>
              </w:rPr>
            </w:pPr>
            <w:r>
              <w:rPr>
                <w:rFonts w:ascii="Arial" w:cs="Arial" w:eastAsia="Arial" w:hAnsi="Arial"/>
                <w:sz w:val="16"/>
                <w:szCs w:val="16"/>
                <w:color w:val="auto"/>
              </w:rPr>
              <w:t>Deferred rent</w:t>
            </w:r>
          </w:p>
        </w:tc>
        <w:tc>
          <w:tcPr>
            <w:tcW w:w="1020" w:type="dxa"/>
            <w:vAlign w:val="bottom"/>
          </w:tcPr>
          <w:p>
            <w:pPr>
              <w:spacing w:after="0"/>
              <w:rPr>
                <w:sz w:val="20"/>
                <w:szCs w:val="20"/>
                <w:color w:val="auto"/>
              </w:rPr>
            </w:pPr>
          </w:p>
        </w:tc>
        <w:tc>
          <w:tcPr>
            <w:tcW w:w="680" w:type="dxa"/>
            <w:vAlign w:val="bottom"/>
          </w:tcPr>
          <w:p>
            <w:pPr>
              <w:jc w:val="right"/>
              <w:ind w:right="39"/>
              <w:spacing w:after="0"/>
              <w:rPr>
                <w:sz w:val="20"/>
                <w:szCs w:val="20"/>
                <w:color w:val="auto"/>
              </w:rPr>
            </w:pPr>
            <w:r>
              <w:rPr>
                <w:rFonts w:ascii="Arial" w:cs="Arial" w:eastAsia="Arial" w:hAnsi="Arial"/>
                <w:sz w:val="16"/>
                <w:szCs w:val="16"/>
                <w:color w:val="auto"/>
              </w:rPr>
              <w:t>1,594</w:t>
            </w: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00" w:type="dxa"/>
            <w:vAlign w:val="bottom"/>
          </w:tcPr>
          <w:p>
            <w:pPr>
              <w:jc w:val="right"/>
              <w:ind w:right="39"/>
              <w:spacing w:after="0"/>
              <w:rPr>
                <w:sz w:val="20"/>
                <w:szCs w:val="20"/>
                <w:color w:val="auto"/>
              </w:rPr>
            </w:pPr>
            <w:r>
              <w:rPr>
                <w:rFonts w:ascii="Arial" w:cs="Arial" w:eastAsia="Arial" w:hAnsi="Arial"/>
                <w:sz w:val="16"/>
                <w:szCs w:val="16"/>
                <w:color w:val="auto"/>
              </w:rPr>
              <w:t>245</w:t>
            </w:r>
          </w:p>
        </w:tc>
        <w:tc>
          <w:tcPr>
            <w:tcW w:w="0" w:type="dxa"/>
            <w:vAlign w:val="bottom"/>
          </w:tcPr>
          <w:p>
            <w:pPr>
              <w:spacing w:after="0"/>
              <w:rPr>
                <w:sz w:val="1"/>
                <w:szCs w:val="1"/>
                <w:color w:val="auto"/>
              </w:rPr>
            </w:pPr>
          </w:p>
        </w:tc>
      </w:tr>
      <w:tr>
        <w:trPr>
          <w:trHeight w:val="33"/>
        </w:trPr>
        <w:tc>
          <w:tcPr>
            <w:tcW w:w="786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7860" w:type="dxa"/>
            <w:vAlign w:val="bottom"/>
            <w:tcBorders>
              <w:bottom w:val="single" w:sz="8" w:color="CCEEFF"/>
            </w:tcBorders>
            <w:shd w:val="clear" w:color="auto" w:fill="CCEEFF"/>
          </w:tcPr>
          <w:p>
            <w:pPr>
              <w:ind w:left="1020"/>
              <w:spacing w:after="0"/>
              <w:rPr>
                <w:sz w:val="20"/>
                <w:szCs w:val="20"/>
                <w:color w:val="auto"/>
              </w:rPr>
            </w:pPr>
            <w:r>
              <w:rPr>
                <w:rFonts w:ascii="Arial" w:cs="Arial" w:eastAsia="Arial" w:hAnsi="Arial"/>
                <w:sz w:val="16"/>
                <w:szCs w:val="16"/>
                <w:color w:val="auto"/>
              </w:rPr>
              <w:t>Net cash provided by operating activities</w:t>
            </w:r>
          </w:p>
        </w:tc>
        <w:tc>
          <w:tcPr>
            <w:tcW w:w="10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78,494</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62,998</w:t>
            </w:r>
          </w:p>
        </w:tc>
        <w:tc>
          <w:tcPr>
            <w:tcW w:w="0" w:type="dxa"/>
            <w:vAlign w:val="bottom"/>
          </w:tcPr>
          <w:p>
            <w:pPr>
              <w:spacing w:after="0"/>
              <w:rPr>
                <w:sz w:val="1"/>
                <w:szCs w:val="1"/>
                <w:color w:val="auto"/>
              </w:rPr>
            </w:pPr>
          </w:p>
        </w:tc>
      </w:tr>
      <w:tr>
        <w:trPr>
          <w:trHeight w:val="231"/>
        </w:trPr>
        <w:tc>
          <w:tcPr>
            <w:tcW w:w="7860" w:type="dxa"/>
            <w:vAlign w:val="bottom"/>
          </w:tcPr>
          <w:p>
            <w:pPr>
              <w:ind w:left="20"/>
              <w:spacing w:after="0"/>
              <w:rPr>
                <w:sz w:val="20"/>
                <w:szCs w:val="20"/>
                <w:color w:val="auto"/>
              </w:rPr>
            </w:pPr>
            <w:r>
              <w:rPr>
                <w:rFonts w:ascii="Arial" w:cs="Arial" w:eastAsia="Arial" w:hAnsi="Arial"/>
                <w:sz w:val="16"/>
                <w:szCs w:val="16"/>
                <w:color w:val="auto"/>
              </w:rPr>
              <w:t>Cash flows from investing activities:</w:t>
            </w:r>
          </w:p>
        </w:tc>
        <w:tc>
          <w:tcPr>
            <w:tcW w:w="1020" w:type="dxa"/>
            <w:vAlign w:val="bottom"/>
            <w:tcBorders>
              <w:top w:val="single" w:sz="8" w:color="auto"/>
            </w:tcBorders>
          </w:tcPr>
          <w:p>
            <w:pPr>
              <w:spacing w:after="0"/>
              <w:rPr>
                <w:sz w:val="20"/>
                <w:szCs w:val="20"/>
                <w:color w:val="auto"/>
              </w:rPr>
            </w:pPr>
          </w:p>
        </w:tc>
        <w:tc>
          <w:tcPr>
            <w:tcW w:w="68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40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78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86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6"/>
                <w:szCs w:val="16"/>
                <w:color w:val="auto"/>
              </w:rPr>
              <w:t>Additions to property and equipment</w:t>
            </w:r>
          </w:p>
        </w:tc>
        <w:tc>
          <w:tcPr>
            <w:tcW w:w="10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(8,136)</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(14,127)</w:t>
            </w:r>
          </w:p>
        </w:tc>
        <w:tc>
          <w:tcPr>
            <w:tcW w:w="0" w:type="dxa"/>
            <w:vAlign w:val="bottom"/>
          </w:tcPr>
          <w:p>
            <w:pPr>
              <w:spacing w:after="0"/>
              <w:rPr>
                <w:sz w:val="1"/>
                <w:szCs w:val="1"/>
                <w:color w:val="auto"/>
              </w:rPr>
            </w:pPr>
          </w:p>
        </w:tc>
      </w:tr>
      <w:tr>
        <w:trPr>
          <w:trHeight w:val="237"/>
        </w:trPr>
        <w:tc>
          <w:tcPr>
            <w:tcW w:w="7860" w:type="dxa"/>
            <w:vAlign w:val="bottom"/>
          </w:tcPr>
          <w:p>
            <w:pPr>
              <w:ind w:left="480"/>
              <w:spacing w:after="0"/>
              <w:rPr>
                <w:sz w:val="20"/>
                <w:szCs w:val="20"/>
                <w:color w:val="auto"/>
              </w:rPr>
            </w:pPr>
            <w:r>
              <w:rPr>
                <w:rFonts w:ascii="Arial" w:cs="Arial" w:eastAsia="Arial" w:hAnsi="Arial"/>
                <w:sz w:val="16"/>
                <w:szCs w:val="16"/>
                <w:color w:val="auto"/>
              </w:rPr>
              <w:t>Acquisition of franchises</w:t>
            </w:r>
          </w:p>
        </w:tc>
        <w:tc>
          <w:tcPr>
            <w:tcW w:w="102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(28,503)</w:t>
            </w: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78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86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6"/>
                <w:szCs w:val="16"/>
                <w:color w:val="auto"/>
              </w:rPr>
              <w:t>Proceeds from sale of property and equipment</w:t>
            </w:r>
          </w:p>
        </w:tc>
        <w:tc>
          <w:tcPr>
            <w:tcW w:w="1020" w:type="dxa"/>
            <w:vAlign w:val="bottom"/>
            <w:tcBorders>
              <w:bottom w:val="single" w:sz="8" w:color="CCEEFF"/>
            </w:tcBorders>
            <w:shd w:val="clear" w:color="auto" w:fill="CCEEFF"/>
          </w:tcPr>
          <w:p>
            <w:pPr>
              <w:spacing w:after="0"/>
              <w:rPr>
                <w:sz w:val="23"/>
                <w:szCs w:val="23"/>
                <w:color w:val="auto"/>
              </w:rPr>
            </w:pPr>
          </w:p>
        </w:tc>
        <w:tc>
          <w:tcPr>
            <w:tcW w:w="6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134</w:t>
            </w:r>
          </w:p>
        </w:tc>
        <w:tc>
          <w:tcPr>
            <w:tcW w:w="10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7"/>
        </w:trPr>
        <w:tc>
          <w:tcPr>
            <w:tcW w:w="7860" w:type="dxa"/>
            <w:vAlign w:val="bottom"/>
          </w:tcPr>
          <w:p>
            <w:pPr>
              <w:ind w:left="1020"/>
              <w:spacing w:after="0"/>
              <w:rPr>
                <w:sz w:val="20"/>
                <w:szCs w:val="20"/>
                <w:color w:val="auto"/>
              </w:rPr>
            </w:pPr>
            <w:r>
              <w:rPr>
                <w:rFonts w:ascii="Arial" w:cs="Arial" w:eastAsia="Arial" w:hAnsi="Arial"/>
                <w:sz w:val="16"/>
                <w:szCs w:val="16"/>
                <w:color w:val="auto"/>
              </w:rPr>
              <w:t>Net cash used in investing activities</w:t>
            </w:r>
          </w:p>
        </w:tc>
        <w:tc>
          <w:tcPr>
            <w:tcW w:w="102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(36,505)</w:t>
            </w:r>
          </w:p>
        </w:tc>
        <w:tc>
          <w:tcPr>
            <w:tcW w:w="100" w:type="dxa"/>
            <w:vAlign w:val="bottom"/>
          </w:tcPr>
          <w:p>
            <w:pPr>
              <w:spacing w:after="0"/>
              <w:rPr>
                <w:sz w:val="18"/>
                <w:szCs w:val="18"/>
                <w:color w:val="auto"/>
              </w:rPr>
            </w:pPr>
          </w:p>
        </w:tc>
        <w:tc>
          <w:tcPr>
            <w:tcW w:w="40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(14,127)</w:t>
            </w:r>
          </w:p>
        </w:tc>
        <w:tc>
          <w:tcPr>
            <w:tcW w:w="0" w:type="dxa"/>
            <w:vAlign w:val="bottom"/>
          </w:tcPr>
          <w:p>
            <w:pPr>
              <w:spacing w:after="0"/>
              <w:rPr>
                <w:sz w:val="1"/>
                <w:szCs w:val="1"/>
                <w:color w:val="auto"/>
              </w:rPr>
            </w:pPr>
          </w:p>
        </w:tc>
      </w:tr>
      <w:tr>
        <w:trPr>
          <w:trHeight w:val="33"/>
        </w:trPr>
        <w:tc>
          <w:tcPr>
            <w:tcW w:w="786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8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Cash flows from financing activities:</w:t>
            </w:r>
          </w:p>
        </w:tc>
        <w:tc>
          <w:tcPr>
            <w:tcW w:w="10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7860" w:type="dxa"/>
            <w:vAlign w:val="bottom"/>
          </w:tcPr>
          <w:p>
            <w:pPr>
              <w:ind w:left="280"/>
              <w:spacing w:after="0"/>
              <w:rPr>
                <w:sz w:val="20"/>
                <w:szCs w:val="20"/>
                <w:color w:val="auto"/>
              </w:rPr>
            </w:pPr>
            <w:r>
              <w:rPr>
                <w:rFonts w:ascii="Arial" w:cs="Arial" w:eastAsia="Arial" w:hAnsi="Arial"/>
                <w:sz w:val="16"/>
                <w:szCs w:val="16"/>
                <w:color w:val="auto"/>
              </w:rPr>
              <w:t>Principal payments on capital lease obligations</w:t>
            </w:r>
          </w:p>
        </w:tc>
        <w:tc>
          <w:tcPr>
            <w:tcW w:w="102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(23)</w:t>
            </w: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78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8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Repayment of long-term debt</w:t>
            </w:r>
          </w:p>
        </w:tc>
        <w:tc>
          <w:tcPr>
            <w:tcW w:w="10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(3,592)</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(3,592)</w:t>
            </w:r>
          </w:p>
        </w:tc>
        <w:tc>
          <w:tcPr>
            <w:tcW w:w="0" w:type="dxa"/>
            <w:vAlign w:val="bottom"/>
          </w:tcPr>
          <w:p>
            <w:pPr>
              <w:spacing w:after="0"/>
              <w:rPr>
                <w:sz w:val="1"/>
                <w:szCs w:val="1"/>
                <w:color w:val="auto"/>
              </w:rPr>
            </w:pPr>
          </w:p>
        </w:tc>
      </w:tr>
      <w:tr>
        <w:trPr>
          <w:trHeight w:val="237"/>
        </w:trPr>
        <w:tc>
          <w:tcPr>
            <w:tcW w:w="7860" w:type="dxa"/>
            <w:vAlign w:val="bottom"/>
          </w:tcPr>
          <w:p>
            <w:pPr>
              <w:ind w:left="280"/>
              <w:spacing w:after="0"/>
              <w:rPr>
                <w:sz w:val="20"/>
                <w:szCs w:val="20"/>
                <w:color w:val="auto"/>
              </w:rPr>
            </w:pPr>
            <w:r>
              <w:rPr>
                <w:rFonts w:ascii="Arial" w:cs="Arial" w:eastAsia="Arial" w:hAnsi="Arial"/>
                <w:sz w:val="16"/>
                <w:szCs w:val="16"/>
                <w:color w:val="auto"/>
              </w:rPr>
              <w:t>Payment of deferred financing and other debt-related costs</w:t>
            </w:r>
          </w:p>
        </w:tc>
        <w:tc>
          <w:tcPr>
            <w:tcW w:w="1020" w:type="dxa"/>
            <w:vAlign w:val="bottom"/>
          </w:tcPr>
          <w:p>
            <w:pPr>
              <w:spacing w:after="0"/>
              <w:rPr>
                <w:sz w:val="20"/>
                <w:szCs w:val="20"/>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20"/>
                <w:szCs w:val="20"/>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(1,278)</w:t>
            </w:r>
          </w:p>
        </w:tc>
        <w:tc>
          <w:tcPr>
            <w:tcW w:w="0" w:type="dxa"/>
            <w:vAlign w:val="bottom"/>
          </w:tcPr>
          <w:p>
            <w:pPr>
              <w:spacing w:after="0"/>
              <w:rPr>
                <w:sz w:val="1"/>
                <w:szCs w:val="1"/>
                <w:color w:val="auto"/>
              </w:rPr>
            </w:pPr>
          </w:p>
        </w:tc>
      </w:tr>
      <w:tr>
        <w:trPr>
          <w:trHeight w:val="33"/>
        </w:trPr>
        <w:tc>
          <w:tcPr>
            <w:tcW w:w="78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8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Premiums paid for interest rate caps</w:t>
            </w:r>
          </w:p>
        </w:tc>
        <w:tc>
          <w:tcPr>
            <w:tcW w:w="10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4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(366)</w:t>
            </w:r>
          </w:p>
        </w:tc>
        <w:tc>
          <w:tcPr>
            <w:tcW w:w="0" w:type="dxa"/>
            <w:vAlign w:val="bottom"/>
          </w:tcPr>
          <w:p>
            <w:pPr>
              <w:spacing w:after="0"/>
              <w:rPr>
                <w:sz w:val="1"/>
                <w:szCs w:val="1"/>
                <w:color w:val="auto"/>
              </w:rPr>
            </w:pPr>
          </w:p>
        </w:tc>
      </w:tr>
      <w:tr>
        <w:trPr>
          <w:trHeight w:val="237"/>
        </w:trPr>
        <w:tc>
          <w:tcPr>
            <w:tcW w:w="7860" w:type="dxa"/>
            <w:vAlign w:val="bottom"/>
          </w:tcPr>
          <w:p>
            <w:pPr>
              <w:ind w:left="280"/>
              <w:spacing w:after="0"/>
              <w:rPr>
                <w:sz w:val="20"/>
                <w:szCs w:val="20"/>
                <w:color w:val="auto"/>
              </w:rPr>
            </w:pPr>
            <w:r>
              <w:rPr>
                <w:rFonts w:ascii="Arial" w:cs="Arial" w:eastAsia="Arial" w:hAnsi="Arial"/>
                <w:sz w:val="16"/>
                <w:szCs w:val="16"/>
                <w:color w:val="auto"/>
              </w:rPr>
              <w:t>Exercise of stock options</w:t>
            </w:r>
          </w:p>
        </w:tc>
        <w:tc>
          <w:tcPr>
            <w:tcW w:w="1020" w:type="dxa"/>
            <w:vAlign w:val="bottom"/>
          </w:tcPr>
          <w:p>
            <w:pPr>
              <w:spacing w:after="0"/>
              <w:rPr>
                <w:sz w:val="20"/>
                <w:szCs w:val="20"/>
                <w:color w:val="auto"/>
              </w:rPr>
            </w:pPr>
          </w:p>
        </w:tc>
        <w:tc>
          <w:tcPr>
            <w:tcW w:w="680" w:type="dxa"/>
            <w:vAlign w:val="bottom"/>
          </w:tcPr>
          <w:p>
            <w:pPr>
              <w:jc w:val="right"/>
              <w:ind w:right="39"/>
              <w:spacing w:after="0"/>
              <w:rPr>
                <w:sz w:val="20"/>
                <w:szCs w:val="20"/>
                <w:color w:val="auto"/>
              </w:rPr>
            </w:pPr>
            <w:r>
              <w:rPr>
                <w:rFonts w:ascii="Arial" w:cs="Arial" w:eastAsia="Arial" w:hAnsi="Arial"/>
                <w:sz w:val="16"/>
                <w:szCs w:val="16"/>
                <w:color w:val="auto"/>
              </w:rPr>
              <w:t>400</w:t>
            </w: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00" w:type="dxa"/>
            <w:vAlign w:val="bottom"/>
          </w:tcPr>
          <w:p>
            <w:pPr>
              <w:jc w:val="right"/>
              <w:ind w:right="39"/>
              <w:spacing w:after="0"/>
              <w:rPr>
                <w:sz w:val="20"/>
                <w:szCs w:val="20"/>
                <w:color w:val="auto"/>
              </w:rPr>
            </w:pPr>
            <w:r>
              <w:rPr>
                <w:rFonts w:ascii="Arial" w:cs="Arial" w:eastAsia="Arial" w:hAnsi="Arial"/>
                <w:sz w:val="16"/>
                <w:szCs w:val="16"/>
                <w:color w:val="auto"/>
              </w:rPr>
              <w:t>26</w:t>
            </w:r>
          </w:p>
        </w:tc>
        <w:tc>
          <w:tcPr>
            <w:tcW w:w="0" w:type="dxa"/>
            <w:vAlign w:val="bottom"/>
          </w:tcPr>
          <w:p>
            <w:pPr>
              <w:spacing w:after="0"/>
              <w:rPr>
                <w:sz w:val="1"/>
                <w:szCs w:val="1"/>
                <w:color w:val="auto"/>
              </w:rPr>
            </w:pPr>
          </w:p>
        </w:tc>
      </w:tr>
      <w:tr>
        <w:trPr>
          <w:trHeight w:val="33"/>
        </w:trPr>
        <w:tc>
          <w:tcPr>
            <w:tcW w:w="78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8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Dividend equivalent payments</w:t>
            </w:r>
          </w:p>
        </w:tc>
        <w:tc>
          <w:tcPr>
            <w:tcW w:w="10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(138)</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(139)</w:t>
            </w:r>
          </w:p>
        </w:tc>
        <w:tc>
          <w:tcPr>
            <w:tcW w:w="0" w:type="dxa"/>
            <w:vAlign w:val="bottom"/>
          </w:tcPr>
          <w:p>
            <w:pPr>
              <w:spacing w:after="0"/>
              <w:rPr>
                <w:sz w:val="1"/>
                <w:szCs w:val="1"/>
                <w:color w:val="auto"/>
              </w:rPr>
            </w:pPr>
          </w:p>
        </w:tc>
      </w:tr>
      <w:tr>
        <w:trPr>
          <w:trHeight w:val="237"/>
        </w:trPr>
        <w:tc>
          <w:tcPr>
            <w:tcW w:w="7860" w:type="dxa"/>
            <w:vAlign w:val="bottom"/>
          </w:tcPr>
          <w:p>
            <w:pPr>
              <w:ind w:left="280"/>
              <w:spacing w:after="0"/>
              <w:rPr>
                <w:sz w:val="20"/>
                <w:szCs w:val="20"/>
                <w:color w:val="auto"/>
              </w:rPr>
            </w:pPr>
            <w:r>
              <w:rPr>
                <w:rFonts w:ascii="Arial" w:cs="Arial" w:eastAsia="Arial" w:hAnsi="Arial"/>
                <w:sz w:val="16"/>
                <w:szCs w:val="16"/>
                <w:color w:val="auto"/>
              </w:rPr>
              <w:t>Distributions to Continuing LLC Members</w:t>
            </w:r>
          </w:p>
        </w:tc>
        <w:tc>
          <w:tcPr>
            <w:tcW w:w="102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(3,503)</w:t>
            </w: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(5,592)</w:t>
            </w:r>
          </w:p>
        </w:tc>
        <w:tc>
          <w:tcPr>
            <w:tcW w:w="0" w:type="dxa"/>
            <w:vAlign w:val="bottom"/>
          </w:tcPr>
          <w:p>
            <w:pPr>
              <w:spacing w:after="0"/>
              <w:rPr>
                <w:sz w:val="1"/>
                <w:szCs w:val="1"/>
                <w:color w:val="auto"/>
              </w:rPr>
            </w:pPr>
          </w:p>
        </w:tc>
      </w:tr>
      <w:tr>
        <w:trPr>
          <w:trHeight w:val="33"/>
        </w:trPr>
        <w:tc>
          <w:tcPr>
            <w:tcW w:w="786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7860" w:type="dxa"/>
            <w:vAlign w:val="bottom"/>
            <w:tcBorders>
              <w:bottom w:val="single" w:sz="8" w:color="CCEEFF"/>
            </w:tcBorders>
            <w:shd w:val="clear" w:color="auto" w:fill="CCEEFF"/>
          </w:tcPr>
          <w:p>
            <w:pPr>
              <w:ind w:left="1020"/>
              <w:spacing w:after="0"/>
              <w:rPr>
                <w:sz w:val="20"/>
                <w:szCs w:val="20"/>
                <w:color w:val="auto"/>
              </w:rPr>
            </w:pPr>
            <w:r>
              <w:rPr>
                <w:rFonts w:ascii="Arial" w:cs="Arial" w:eastAsia="Arial" w:hAnsi="Arial"/>
                <w:sz w:val="16"/>
                <w:szCs w:val="16"/>
                <w:color w:val="auto"/>
              </w:rPr>
              <w:t>Net cash used in financing activities</w:t>
            </w:r>
          </w:p>
        </w:tc>
        <w:tc>
          <w:tcPr>
            <w:tcW w:w="10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(6,856)</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(10,941)</w:t>
            </w:r>
          </w:p>
        </w:tc>
        <w:tc>
          <w:tcPr>
            <w:tcW w:w="0" w:type="dxa"/>
            <w:vAlign w:val="bottom"/>
          </w:tcPr>
          <w:p>
            <w:pPr>
              <w:spacing w:after="0"/>
              <w:rPr>
                <w:sz w:val="1"/>
                <w:szCs w:val="1"/>
                <w:color w:val="auto"/>
              </w:rPr>
            </w:pPr>
          </w:p>
        </w:tc>
      </w:tr>
      <w:tr>
        <w:trPr>
          <w:trHeight w:val="217"/>
        </w:trPr>
        <w:tc>
          <w:tcPr>
            <w:tcW w:w="7860" w:type="dxa"/>
            <w:vAlign w:val="bottom"/>
          </w:tcPr>
          <w:p>
            <w:pPr>
              <w:ind w:left="280"/>
              <w:spacing w:after="0"/>
              <w:rPr>
                <w:sz w:val="20"/>
                <w:szCs w:val="20"/>
                <w:color w:val="auto"/>
              </w:rPr>
            </w:pPr>
            <w:r>
              <w:rPr>
                <w:rFonts w:ascii="Arial" w:cs="Arial" w:eastAsia="Arial" w:hAnsi="Arial"/>
                <w:sz w:val="16"/>
                <w:szCs w:val="16"/>
                <w:color w:val="auto"/>
              </w:rPr>
              <w:t>Effects of exchange rate changes on cash and cash equivalents</w:t>
            </w:r>
          </w:p>
        </w:tc>
        <w:tc>
          <w:tcPr>
            <w:tcW w:w="102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(429)</w:t>
            </w:r>
          </w:p>
        </w:tc>
        <w:tc>
          <w:tcPr>
            <w:tcW w:w="100" w:type="dxa"/>
            <w:vAlign w:val="bottom"/>
          </w:tcPr>
          <w:p>
            <w:pPr>
              <w:spacing w:after="0"/>
              <w:rPr>
                <w:sz w:val="18"/>
                <w:szCs w:val="18"/>
                <w:color w:val="auto"/>
              </w:rPr>
            </w:pPr>
          </w:p>
        </w:tc>
        <w:tc>
          <w:tcPr>
            <w:tcW w:w="40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198</w:t>
            </w:r>
          </w:p>
        </w:tc>
        <w:tc>
          <w:tcPr>
            <w:tcW w:w="0" w:type="dxa"/>
            <w:vAlign w:val="bottom"/>
          </w:tcPr>
          <w:p>
            <w:pPr>
              <w:spacing w:after="0"/>
              <w:rPr>
                <w:sz w:val="1"/>
                <w:szCs w:val="1"/>
                <w:color w:val="auto"/>
              </w:rPr>
            </w:pPr>
          </w:p>
        </w:tc>
      </w:tr>
      <w:tr>
        <w:trPr>
          <w:trHeight w:val="33"/>
        </w:trPr>
        <w:tc>
          <w:tcPr>
            <w:tcW w:w="786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7860" w:type="dxa"/>
            <w:vAlign w:val="bottom"/>
            <w:tcBorders>
              <w:bottom w:val="single" w:sz="8" w:color="CCEEFF"/>
            </w:tcBorders>
            <w:shd w:val="clear" w:color="auto" w:fill="CCEEFF"/>
          </w:tcPr>
          <w:p>
            <w:pPr>
              <w:ind w:left="1240"/>
              <w:spacing w:after="0"/>
              <w:rPr>
                <w:sz w:val="20"/>
                <w:szCs w:val="20"/>
                <w:color w:val="auto"/>
              </w:rPr>
            </w:pPr>
            <w:r>
              <w:rPr>
                <w:rFonts w:ascii="Arial" w:cs="Arial" w:eastAsia="Arial" w:hAnsi="Arial"/>
                <w:sz w:val="16"/>
                <w:szCs w:val="16"/>
                <w:color w:val="auto"/>
              </w:rPr>
              <w:t>Net increase in cash and cash equivalents</w:t>
            </w:r>
          </w:p>
        </w:tc>
        <w:tc>
          <w:tcPr>
            <w:tcW w:w="1020" w:type="dxa"/>
            <w:vAlign w:val="bottom"/>
            <w:tcBorders>
              <w:bottom w:val="single" w:sz="8" w:color="CCEEFF"/>
            </w:tcBorders>
            <w:shd w:val="clear" w:color="auto" w:fill="CCEEFF"/>
          </w:tcPr>
          <w:p>
            <w:pPr>
              <w:spacing w:after="0"/>
              <w:rPr>
                <w:sz w:val="20"/>
                <w:szCs w:val="20"/>
                <w:color w:val="auto"/>
              </w:rPr>
            </w:pPr>
          </w:p>
        </w:tc>
        <w:tc>
          <w:tcPr>
            <w:tcW w:w="6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34,704</w:t>
            </w:r>
          </w:p>
        </w:tc>
        <w:tc>
          <w:tcPr>
            <w:tcW w:w="10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38,128</w:t>
            </w:r>
          </w:p>
        </w:tc>
        <w:tc>
          <w:tcPr>
            <w:tcW w:w="0" w:type="dxa"/>
            <w:vAlign w:val="bottom"/>
          </w:tcPr>
          <w:p>
            <w:pPr>
              <w:spacing w:after="0"/>
              <w:rPr>
                <w:sz w:val="1"/>
                <w:szCs w:val="1"/>
                <w:color w:val="auto"/>
              </w:rPr>
            </w:pPr>
          </w:p>
        </w:tc>
      </w:tr>
      <w:tr>
        <w:trPr>
          <w:trHeight w:val="237"/>
        </w:trPr>
        <w:tc>
          <w:tcPr>
            <w:tcW w:w="7860" w:type="dxa"/>
            <w:vAlign w:val="bottom"/>
          </w:tcPr>
          <w:p>
            <w:pPr>
              <w:ind w:left="20"/>
              <w:spacing w:after="0"/>
              <w:rPr>
                <w:sz w:val="20"/>
                <w:szCs w:val="20"/>
                <w:color w:val="auto"/>
              </w:rPr>
            </w:pPr>
            <w:r>
              <w:rPr>
                <w:rFonts w:ascii="Arial" w:cs="Arial" w:eastAsia="Arial" w:hAnsi="Arial"/>
                <w:sz w:val="16"/>
                <w:szCs w:val="16"/>
                <w:color w:val="auto"/>
              </w:rPr>
              <w:t>Cash and cash equivalents, beginning of period</w:t>
            </w:r>
          </w:p>
        </w:tc>
        <w:tc>
          <w:tcPr>
            <w:tcW w:w="1020" w:type="dxa"/>
            <w:vAlign w:val="bottom"/>
          </w:tcPr>
          <w:p>
            <w:pPr>
              <w:spacing w:after="0"/>
              <w:rPr>
                <w:sz w:val="20"/>
                <w:szCs w:val="20"/>
                <w:color w:val="auto"/>
              </w:rPr>
            </w:pPr>
          </w:p>
        </w:tc>
        <w:tc>
          <w:tcPr>
            <w:tcW w:w="680" w:type="dxa"/>
            <w:vAlign w:val="bottom"/>
          </w:tcPr>
          <w:p>
            <w:pPr>
              <w:jc w:val="right"/>
              <w:ind w:right="39"/>
              <w:spacing w:after="0"/>
              <w:rPr>
                <w:sz w:val="20"/>
                <w:szCs w:val="20"/>
                <w:color w:val="auto"/>
              </w:rPr>
            </w:pPr>
            <w:r>
              <w:rPr>
                <w:rFonts w:ascii="Arial" w:cs="Arial" w:eastAsia="Arial" w:hAnsi="Arial"/>
                <w:sz w:val="16"/>
                <w:szCs w:val="16"/>
                <w:color w:val="auto"/>
                <w:w w:val="93"/>
              </w:rPr>
              <w:t>113,080</w:t>
            </w: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00" w:type="dxa"/>
            <w:vAlign w:val="bottom"/>
          </w:tcPr>
          <w:p>
            <w:pPr>
              <w:jc w:val="right"/>
              <w:ind w:right="39"/>
              <w:spacing w:after="0"/>
              <w:rPr>
                <w:sz w:val="20"/>
                <w:szCs w:val="20"/>
                <w:color w:val="auto"/>
              </w:rPr>
            </w:pPr>
            <w:r>
              <w:rPr>
                <w:rFonts w:ascii="Arial" w:cs="Arial" w:eastAsia="Arial" w:hAnsi="Arial"/>
                <w:sz w:val="16"/>
                <w:szCs w:val="16"/>
                <w:color w:val="auto"/>
              </w:rPr>
              <w:t>40,393</w:t>
            </w:r>
          </w:p>
        </w:tc>
        <w:tc>
          <w:tcPr>
            <w:tcW w:w="0" w:type="dxa"/>
            <w:vAlign w:val="bottom"/>
          </w:tcPr>
          <w:p>
            <w:pPr>
              <w:spacing w:after="0"/>
              <w:rPr>
                <w:sz w:val="1"/>
                <w:szCs w:val="1"/>
                <w:color w:val="auto"/>
              </w:rPr>
            </w:pPr>
          </w:p>
        </w:tc>
      </w:tr>
      <w:tr>
        <w:trPr>
          <w:trHeight w:val="33"/>
        </w:trPr>
        <w:tc>
          <w:tcPr>
            <w:tcW w:w="786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8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Cash and cash equivalents, end of period</w:t>
            </w:r>
          </w:p>
        </w:tc>
        <w:tc>
          <w:tcPr>
            <w:tcW w:w="1020" w:type="dxa"/>
            <w:vAlign w:val="bottom"/>
            <w:tcBorders>
              <w:bottom w:val="single" w:sz="8" w:color="auto"/>
            </w:tcBorders>
            <w:shd w:val="clear" w:color="auto" w:fill="CCEEFF"/>
          </w:tcPr>
          <w:p>
            <w:pPr>
              <w:jc w:val="right"/>
              <w:ind w:right="839"/>
              <w:spacing w:after="0"/>
              <w:rPr>
                <w:sz w:val="20"/>
                <w:szCs w:val="20"/>
                <w:color w:val="auto"/>
              </w:rPr>
            </w:pPr>
            <w:r>
              <w:rPr>
                <w:rFonts w:ascii="Arial" w:cs="Arial" w:eastAsia="Arial" w:hAnsi="Arial"/>
                <w:sz w:val="16"/>
                <w:szCs w:val="16"/>
                <w:color w:val="auto"/>
                <w:w w:val="89"/>
              </w:rPr>
              <w:t>$</w:t>
            </w:r>
          </w:p>
        </w:tc>
        <w:tc>
          <w:tcPr>
            <w:tcW w:w="68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w w:val="93"/>
              </w:rPr>
              <w:t>147,784</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auto"/>
            </w:tcBorders>
            <w:shd w:val="clear" w:color="auto" w:fill="CCEEFF"/>
          </w:tcPr>
          <w:p>
            <w:pPr>
              <w:jc w:val="right"/>
              <w:ind w:right="219"/>
              <w:spacing w:after="0"/>
              <w:rPr>
                <w:sz w:val="20"/>
                <w:szCs w:val="20"/>
                <w:color w:val="auto"/>
              </w:rPr>
            </w:pPr>
            <w:r>
              <w:rPr>
                <w:rFonts w:ascii="Arial" w:cs="Arial" w:eastAsia="Arial" w:hAnsi="Arial"/>
                <w:sz w:val="16"/>
                <w:szCs w:val="16"/>
                <w:color w:val="auto"/>
                <w:w w:val="89"/>
              </w:rPr>
              <w:t>$</w:t>
            </w:r>
          </w:p>
        </w:tc>
        <w:tc>
          <w:tcPr>
            <w:tcW w:w="130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78,521</w:t>
            </w:r>
          </w:p>
        </w:tc>
        <w:tc>
          <w:tcPr>
            <w:tcW w:w="0" w:type="dxa"/>
            <w:vAlign w:val="bottom"/>
          </w:tcPr>
          <w:p>
            <w:pPr>
              <w:spacing w:after="0"/>
              <w:rPr>
                <w:sz w:val="1"/>
                <w:szCs w:val="1"/>
                <w:color w:val="auto"/>
              </w:rPr>
            </w:pPr>
          </w:p>
        </w:tc>
      </w:tr>
      <w:tr>
        <w:trPr>
          <w:trHeight w:val="20"/>
        </w:trPr>
        <w:tc>
          <w:tcPr>
            <w:tcW w:w="7860" w:type="dxa"/>
            <w:vAlign w:val="bottom"/>
            <w:vMerge w:val="restart"/>
          </w:tcPr>
          <w:p>
            <w:pPr>
              <w:ind w:left="20"/>
              <w:spacing w:after="0"/>
              <w:rPr>
                <w:sz w:val="20"/>
                <w:szCs w:val="20"/>
                <w:color w:val="auto"/>
              </w:rPr>
            </w:pPr>
            <w:r>
              <w:rPr>
                <w:rFonts w:ascii="Arial" w:cs="Arial" w:eastAsia="Arial" w:hAnsi="Arial"/>
                <w:sz w:val="16"/>
                <w:szCs w:val="16"/>
                <w:color w:val="auto"/>
              </w:rPr>
              <w:t>Supplemental cash flow information:</w:t>
            </w:r>
          </w:p>
        </w:tc>
        <w:tc>
          <w:tcPr>
            <w:tcW w:w="10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7860" w:type="dxa"/>
            <w:vAlign w:val="bottom"/>
            <w:vMerge w:val="continue"/>
          </w:tcPr>
          <w:p>
            <w:pPr>
              <w:spacing w:after="0"/>
              <w:rPr>
                <w:sz w:val="19"/>
                <w:szCs w:val="19"/>
                <w:color w:val="auto"/>
              </w:rPr>
            </w:pPr>
          </w:p>
        </w:tc>
        <w:tc>
          <w:tcPr>
            <w:tcW w:w="10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3"/>
        </w:trPr>
        <w:tc>
          <w:tcPr>
            <w:tcW w:w="78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8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Net cash paid for income taxes</w:t>
            </w:r>
          </w:p>
        </w:tc>
        <w:tc>
          <w:tcPr>
            <w:tcW w:w="1020" w:type="dxa"/>
            <w:vAlign w:val="bottom"/>
            <w:tcBorders>
              <w:bottom w:val="single" w:sz="8" w:color="CCEEFF"/>
            </w:tcBorders>
            <w:shd w:val="clear" w:color="auto" w:fill="CCEEFF"/>
          </w:tcPr>
          <w:p>
            <w:pPr>
              <w:jc w:val="right"/>
              <w:ind w:right="839"/>
              <w:spacing w:after="0"/>
              <w:rPr>
                <w:sz w:val="20"/>
                <w:szCs w:val="20"/>
                <w:color w:val="auto"/>
              </w:rPr>
            </w:pPr>
            <w:r>
              <w:rPr>
                <w:rFonts w:ascii="Arial" w:cs="Arial" w:eastAsia="Arial" w:hAnsi="Arial"/>
                <w:sz w:val="16"/>
                <w:szCs w:val="16"/>
                <w:color w:val="auto"/>
                <w:w w:val="89"/>
              </w:rPr>
              <w:t>$</w:t>
            </w:r>
          </w:p>
        </w:tc>
        <w:tc>
          <w:tcPr>
            <w:tcW w:w="6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2,929</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jc w:val="right"/>
              <w:ind w:right="219"/>
              <w:spacing w:after="0"/>
              <w:rPr>
                <w:sz w:val="20"/>
                <w:szCs w:val="20"/>
                <w:color w:val="auto"/>
              </w:rPr>
            </w:pPr>
            <w:r>
              <w:rPr>
                <w:rFonts w:ascii="Arial" w:cs="Arial" w:eastAsia="Arial" w:hAnsi="Arial"/>
                <w:sz w:val="16"/>
                <w:szCs w:val="16"/>
                <w:color w:val="auto"/>
                <w:w w:val="89"/>
              </w:rPr>
              <w:t>$</w:t>
            </w:r>
          </w:p>
        </w:tc>
        <w:tc>
          <w:tcPr>
            <w:tcW w:w="13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2,914</w:t>
            </w:r>
          </w:p>
        </w:tc>
        <w:tc>
          <w:tcPr>
            <w:tcW w:w="0" w:type="dxa"/>
            <w:vAlign w:val="bottom"/>
          </w:tcPr>
          <w:p>
            <w:pPr>
              <w:spacing w:after="0"/>
              <w:rPr>
                <w:sz w:val="1"/>
                <w:szCs w:val="1"/>
                <w:color w:val="auto"/>
              </w:rPr>
            </w:pPr>
          </w:p>
        </w:tc>
      </w:tr>
      <w:tr>
        <w:trPr>
          <w:trHeight w:val="237"/>
        </w:trPr>
        <w:tc>
          <w:tcPr>
            <w:tcW w:w="7860" w:type="dxa"/>
            <w:vAlign w:val="bottom"/>
          </w:tcPr>
          <w:p>
            <w:pPr>
              <w:ind w:left="280"/>
              <w:spacing w:after="0"/>
              <w:rPr>
                <w:sz w:val="20"/>
                <w:szCs w:val="20"/>
                <w:color w:val="auto"/>
              </w:rPr>
            </w:pPr>
            <w:r>
              <w:rPr>
                <w:rFonts w:ascii="Arial" w:cs="Arial" w:eastAsia="Arial" w:hAnsi="Arial"/>
                <w:sz w:val="16"/>
                <w:szCs w:val="16"/>
                <w:color w:val="auto"/>
              </w:rPr>
              <w:t>Cash paid for interest</w:t>
            </w:r>
          </w:p>
        </w:tc>
        <w:tc>
          <w:tcPr>
            <w:tcW w:w="1020" w:type="dxa"/>
            <w:vAlign w:val="bottom"/>
          </w:tcPr>
          <w:p>
            <w:pPr>
              <w:jc w:val="right"/>
              <w:ind w:right="839"/>
              <w:spacing w:after="0"/>
              <w:rPr>
                <w:sz w:val="20"/>
                <w:szCs w:val="20"/>
                <w:color w:val="auto"/>
              </w:rPr>
            </w:pPr>
            <w:r>
              <w:rPr>
                <w:rFonts w:ascii="Arial" w:cs="Arial" w:eastAsia="Arial" w:hAnsi="Arial"/>
                <w:sz w:val="16"/>
                <w:szCs w:val="16"/>
                <w:color w:val="auto"/>
                <w:w w:val="89"/>
              </w:rPr>
              <w:t>$</w:t>
            </w:r>
          </w:p>
        </w:tc>
        <w:tc>
          <w:tcPr>
            <w:tcW w:w="680" w:type="dxa"/>
            <w:vAlign w:val="bottom"/>
          </w:tcPr>
          <w:p>
            <w:pPr>
              <w:jc w:val="right"/>
              <w:ind w:right="39"/>
              <w:spacing w:after="0"/>
              <w:rPr>
                <w:sz w:val="20"/>
                <w:szCs w:val="20"/>
                <w:color w:val="auto"/>
              </w:rPr>
            </w:pPr>
            <w:r>
              <w:rPr>
                <w:rFonts w:ascii="Arial" w:cs="Arial" w:eastAsia="Arial" w:hAnsi="Arial"/>
                <w:sz w:val="16"/>
                <w:szCs w:val="16"/>
                <w:color w:val="auto"/>
              </w:rPr>
              <w:t>16,795</w:t>
            </w:r>
          </w:p>
        </w:tc>
        <w:tc>
          <w:tcPr>
            <w:tcW w:w="100" w:type="dxa"/>
            <w:vAlign w:val="bottom"/>
          </w:tcPr>
          <w:p>
            <w:pPr>
              <w:spacing w:after="0"/>
              <w:rPr>
                <w:sz w:val="20"/>
                <w:szCs w:val="20"/>
                <w:color w:val="auto"/>
              </w:rPr>
            </w:pPr>
          </w:p>
        </w:tc>
        <w:tc>
          <w:tcPr>
            <w:tcW w:w="400" w:type="dxa"/>
            <w:vAlign w:val="bottom"/>
          </w:tcPr>
          <w:p>
            <w:pPr>
              <w:jc w:val="right"/>
              <w:ind w:right="219"/>
              <w:spacing w:after="0"/>
              <w:rPr>
                <w:sz w:val="20"/>
                <w:szCs w:val="20"/>
                <w:color w:val="auto"/>
              </w:rPr>
            </w:pPr>
            <w:r>
              <w:rPr>
                <w:rFonts w:ascii="Arial" w:cs="Arial" w:eastAsia="Arial" w:hAnsi="Arial"/>
                <w:sz w:val="16"/>
                <w:szCs w:val="16"/>
                <w:color w:val="auto"/>
                <w:w w:val="89"/>
              </w:rPr>
              <w:t>$</w:t>
            </w:r>
          </w:p>
        </w:tc>
        <w:tc>
          <w:tcPr>
            <w:tcW w:w="1300" w:type="dxa"/>
            <w:vAlign w:val="bottom"/>
          </w:tcPr>
          <w:p>
            <w:pPr>
              <w:jc w:val="right"/>
              <w:ind w:right="39"/>
              <w:spacing w:after="0"/>
              <w:rPr>
                <w:sz w:val="20"/>
                <w:szCs w:val="20"/>
                <w:color w:val="auto"/>
              </w:rPr>
            </w:pPr>
            <w:r>
              <w:rPr>
                <w:rFonts w:ascii="Arial" w:cs="Arial" w:eastAsia="Arial" w:hAnsi="Arial"/>
                <w:sz w:val="16"/>
                <w:szCs w:val="16"/>
                <w:color w:val="auto"/>
              </w:rPr>
              <w:t>15,890</w:t>
            </w:r>
          </w:p>
        </w:tc>
        <w:tc>
          <w:tcPr>
            <w:tcW w:w="0" w:type="dxa"/>
            <w:vAlign w:val="bottom"/>
          </w:tcPr>
          <w:p>
            <w:pPr>
              <w:spacing w:after="0"/>
              <w:rPr>
                <w:sz w:val="1"/>
                <w:szCs w:val="1"/>
                <w:color w:val="auto"/>
              </w:rPr>
            </w:pPr>
          </w:p>
        </w:tc>
      </w:tr>
      <w:tr>
        <w:trPr>
          <w:trHeight w:val="33"/>
        </w:trPr>
        <w:tc>
          <w:tcPr>
            <w:tcW w:w="78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8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Non-cash investing activities:</w:t>
            </w:r>
          </w:p>
        </w:tc>
        <w:tc>
          <w:tcPr>
            <w:tcW w:w="10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7860" w:type="dxa"/>
            <w:vAlign w:val="bottom"/>
          </w:tcPr>
          <w:p>
            <w:pPr>
              <w:ind w:left="280"/>
              <w:spacing w:after="0"/>
              <w:rPr>
                <w:sz w:val="20"/>
                <w:szCs w:val="20"/>
                <w:color w:val="auto"/>
              </w:rPr>
            </w:pPr>
            <w:r>
              <w:rPr>
                <w:rFonts w:ascii="Arial" w:cs="Arial" w:eastAsia="Arial" w:hAnsi="Arial"/>
                <w:sz w:val="16"/>
                <w:szCs w:val="16"/>
                <w:color w:val="auto"/>
              </w:rPr>
              <w:t>Non-cash additions to property and equipment</w:t>
            </w:r>
          </w:p>
        </w:tc>
        <w:tc>
          <w:tcPr>
            <w:tcW w:w="1020" w:type="dxa"/>
            <w:vAlign w:val="bottom"/>
          </w:tcPr>
          <w:p>
            <w:pPr>
              <w:jc w:val="right"/>
              <w:ind w:right="839"/>
              <w:spacing w:after="0"/>
              <w:rPr>
                <w:sz w:val="20"/>
                <w:szCs w:val="20"/>
                <w:color w:val="auto"/>
              </w:rPr>
            </w:pPr>
            <w:r>
              <w:rPr>
                <w:rFonts w:ascii="Arial" w:cs="Arial" w:eastAsia="Arial" w:hAnsi="Arial"/>
                <w:sz w:val="16"/>
                <w:szCs w:val="16"/>
                <w:color w:val="auto"/>
                <w:w w:val="89"/>
              </w:rPr>
              <w:t>$</w:t>
            </w:r>
          </w:p>
        </w:tc>
        <w:tc>
          <w:tcPr>
            <w:tcW w:w="680" w:type="dxa"/>
            <w:vAlign w:val="bottom"/>
          </w:tcPr>
          <w:p>
            <w:pPr>
              <w:jc w:val="right"/>
              <w:ind w:right="39"/>
              <w:spacing w:after="0"/>
              <w:rPr>
                <w:sz w:val="20"/>
                <w:szCs w:val="20"/>
                <w:color w:val="auto"/>
              </w:rPr>
            </w:pPr>
            <w:r>
              <w:rPr>
                <w:rFonts w:ascii="Arial" w:cs="Arial" w:eastAsia="Arial" w:hAnsi="Arial"/>
                <w:sz w:val="16"/>
                <w:szCs w:val="16"/>
                <w:color w:val="auto"/>
              </w:rPr>
              <w:t>2,072</w:t>
            </w:r>
          </w:p>
        </w:tc>
        <w:tc>
          <w:tcPr>
            <w:tcW w:w="100" w:type="dxa"/>
            <w:vAlign w:val="bottom"/>
          </w:tcPr>
          <w:p>
            <w:pPr>
              <w:spacing w:after="0"/>
              <w:rPr>
                <w:sz w:val="20"/>
                <w:szCs w:val="20"/>
                <w:color w:val="auto"/>
              </w:rPr>
            </w:pPr>
          </w:p>
        </w:tc>
        <w:tc>
          <w:tcPr>
            <w:tcW w:w="400" w:type="dxa"/>
            <w:vAlign w:val="bottom"/>
          </w:tcPr>
          <w:p>
            <w:pPr>
              <w:jc w:val="right"/>
              <w:ind w:right="219"/>
              <w:spacing w:after="0"/>
              <w:rPr>
                <w:sz w:val="20"/>
                <w:szCs w:val="20"/>
                <w:color w:val="auto"/>
              </w:rPr>
            </w:pPr>
            <w:r>
              <w:rPr>
                <w:rFonts w:ascii="Arial" w:cs="Arial" w:eastAsia="Arial" w:hAnsi="Arial"/>
                <w:sz w:val="16"/>
                <w:szCs w:val="16"/>
                <w:color w:val="auto"/>
                <w:w w:val="89"/>
              </w:rPr>
              <w:t>$</w:t>
            </w:r>
          </w:p>
        </w:tc>
        <w:tc>
          <w:tcPr>
            <w:tcW w:w="1300" w:type="dxa"/>
            <w:vAlign w:val="bottom"/>
          </w:tcPr>
          <w:p>
            <w:pPr>
              <w:jc w:val="right"/>
              <w:ind w:right="39"/>
              <w:spacing w:after="0"/>
              <w:rPr>
                <w:sz w:val="20"/>
                <w:szCs w:val="20"/>
                <w:color w:val="auto"/>
              </w:rPr>
            </w:pPr>
            <w:r>
              <w:rPr>
                <w:rFonts w:ascii="Arial" w:cs="Arial" w:eastAsia="Arial" w:hAnsi="Arial"/>
                <w:sz w:val="16"/>
                <w:szCs w:val="16"/>
                <w:color w:val="auto"/>
              </w:rPr>
              <w:t>988</w:t>
            </w:r>
          </w:p>
        </w:tc>
        <w:tc>
          <w:tcPr>
            <w:tcW w:w="0" w:type="dxa"/>
            <w:vAlign w:val="bottom"/>
          </w:tcPr>
          <w:p>
            <w:pPr>
              <w:spacing w:after="0"/>
              <w:rPr>
                <w:sz w:val="1"/>
                <w:szCs w:val="1"/>
                <w:color w:val="auto"/>
              </w:rPr>
            </w:pPr>
          </w:p>
        </w:tc>
      </w:tr>
    </w:tbl>
    <w:p>
      <w:pPr>
        <w:sectPr>
          <w:pgSz w:w="11900" w:h="16838" w:orient="portrait"/>
          <w:cols w:equalWidth="0" w:num="1">
            <w:col w:w="11400"/>
          </w:cols>
          <w:pgMar w:left="240" w:top="233" w:right="259" w:bottom="0" w:gutter="0" w:footer="0" w:header="0"/>
        </w:sectPr>
      </w:pPr>
    </w:p>
    <w:bookmarkStart w:id="7" w:name="page8"/>
    <w:bookmarkEnd w:id="7"/>
    <w:p>
      <w:pPr>
        <w:jc w:val="center"/>
        <w:spacing w:after="0"/>
        <w:rPr>
          <w:sz w:val="20"/>
          <w:szCs w:val="20"/>
          <w:color w:val="auto"/>
        </w:rPr>
      </w:pPr>
      <w:r>
        <w:rPr>
          <w:rFonts w:ascii="Arial" w:cs="Arial" w:eastAsia="Arial" w:hAnsi="Arial"/>
          <w:sz w:val="14"/>
          <w:szCs w:val="14"/>
          <w:i w:val="1"/>
          <w:iCs w:val="1"/>
          <w:color w:val="auto"/>
        </w:rPr>
        <w:t>See accompanying notes to condensed consolidated financial statements.</w:t>
      </w:r>
    </w:p>
    <w:p>
      <w:pPr>
        <w:sectPr>
          <w:pgSz w:w="11900" w:h="16838" w:orient="portrait"/>
          <w:cols w:equalWidth="0" w:num="1">
            <w:col w:w="9019"/>
          </w:cols>
          <w:pgMar w:left="1440" w:top="130" w:right="1440" w:bottom="1440" w:gutter="0" w:footer="0" w:header="0"/>
        </w:sectPr>
      </w:pPr>
    </w:p>
    <w:p>
      <w:pPr>
        <w:spacing w:after="0" w:line="26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w:t>
      </w:r>
    </w:p>
    <w:p>
      <w:pPr>
        <w:sectPr>
          <w:pgSz w:w="11900" w:h="16838" w:orient="portrait"/>
          <w:cols w:equalWidth="0" w:num="1">
            <w:col w:w="9019"/>
          </w:cols>
          <w:pgMar w:left="1440" w:top="130" w:right="1440" w:bottom="1440" w:gutter="0" w:footer="0" w:header="0"/>
          <w:type w:val="continuous"/>
        </w:sectPr>
      </w:pPr>
    </w:p>
    <w:bookmarkStart w:id="8" w:name="page9"/>
    <w:bookmarkEnd w:id="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5"/>
          <w:szCs w:val="15"/>
          <w:b w:val="1"/>
          <w:bCs w:val="1"/>
          <w:color w:val="auto"/>
        </w:rPr>
        <w:t>Condensed consolidated statements of changes in equity (deficit)</w:t>
      </w:r>
    </w:p>
    <w:p>
      <w:pPr>
        <w:spacing w:after="0" w:line="4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(Amounts in thousands)</w:t>
      </w:r>
    </w:p>
    <w:p>
      <w:pPr>
        <w:sectPr>
          <w:pgSz w:w="11900" w:h="16838" w:orient="portrait"/>
          <w:cols w:equalWidth="0" w:num="1">
            <w:col w:w="11420"/>
          </w:cols>
          <w:pgMar w:left="240" w:top="233"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ind w:left="40" w:right="120"/>
        <w:spacing w:after="0" w:line="352" w:lineRule="auto"/>
        <w:rPr>
          <w:sz w:val="20"/>
          <w:szCs w:val="20"/>
          <w:color w:val="auto"/>
        </w:rPr>
      </w:pPr>
      <w:r>
        <w:rPr>
          <w:rFonts w:ascii="Arial" w:cs="Arial" w:eastAsia="Arial" w:hAnsi="Arial"/>
          <w:sz w:val="14"/>
          <w:szCs w:val="14"/>
          <w:color w:val="auto"/>
        </w:rPr>
        <w:t>Balance at December 31, 2017 Net income</w:t>
      </w:r>
    </w:p>
    <w:p>
      <w:pPr>
        <w:ind w:left="120" w:right="300" w:hanging="80"/>
        <w:spacing w:after="0" w:line="253" w:lineRule="auto"/>
        <w:rPr>
          <w:sz w:val="20"/>
          <w:szCs w:val="20"/>
          <w:color w:val="auto"/>
        </w:rPr>
      </w:pPr>
      <w:r>
        <w:rPr>
          <w:rFonts w:ascii="Arial" w:cs="Arial" w:eastAsia="Arial" w:hAnsi="Arial"/>
          <w:sz w:val="14"/>
          <w:szCs w:val="14"/>
          <w:color w:val="auto"/>
        </w:rPr>
        <w:t>Equity-based compensation expense</w:t>
      </w:r>
    </w:p>
    <w:p>
      <w:pPr>
        <w:spacing w:after="0" w:line="12" w:lineRule="exact"/>
        <w:rPr>
          <w:sz w:val="20"/>
          <w:szCs w:val="20"/>
          <w:color w:val="auto"/>
        </w:rPr>
      </w:pPr>
    </w:p>
    <w:p>
      <w:pPr>
        <w:ind w:left="120" w:right="80" w:hanging="80"/>
        <w:spacing w:after="0" w:line="253" w:lineRule="auto"/>
        <w:rPr>
          <w:sz w:val="20"/>
          <w:szCs w:val="20"/>
          <w:color w:val="auto"/>
        </w:rPr>
      </w:pPr>
      <w:r>
        <w:rPr>
          <w:rFonts w:ascii="Arial" w:cs="Arial" w:eastAsia="Arial" w:hAnsi="Arial"/>
          <w:sz w:val="14"/>
          <w:szCs w:val="14"/>
          <w:color w:val="auto"/>
        </w:rPr>
        <w:t>Exchanges of Class B common stock</w:t>
      </w:r>
    </w:p>
    <w:p>
      <w:pPr>
        <w:spacing w:after="0" w:line="12" w:lineRule="exact"/>
        <w:rPr>
          <w:sz w:val="20"/>
          <w:szCs w:val="20"/>
          <w:color w:val="auto"/>
        </w:rPr>
      </w:pPr>
    </w:p>
    <w:p>
      <w:pPr>
        <w:ind w:left="120" w:right="80" w:hanging="80"/>
        <w:spacing w:after="0" w:line="253" w:lineRule="auto"/>
        <w:rPr>
          <w:sz w:val="20"/>
          <w:szCs w:val="20"/>
          <w:color w:val="auto"/>
        </w:rPr>
      </w:pPr>
      <w:r>
        <w:rPr>
          <w:rFonts w:ascii="Arial" w:cs="Arial" w:eastAsia="Arial" w:hAnsi="Arial"/>
          <w:sz w:val="14"/>
          <w:szCs w:val="14"/>
          <w:color w:val="auto"/>
        </w:rPr>
        <w:t>Retirement of Class B common stock</w:t>
      </w:r>
    </w:p>
    <w:p>
      <w:pPr>
        <w:spacing w:after="0" w:line="12" w:lineRule="exact"/>
        <w:rPr>
          <w:sz w:val="20"/>
          <w:szCs w:val="20"/>
          <w:color w:val="auto"/>
        </w:rPr>
      </w:pPr>
    </w:p>
    <w:p>
      <w:pPr>
        <w:jc w:val="both"/>
        <w:ind w:left="120" w:hanging="80"/>
        <w:spacing w:after="0" w:line="281" w:lineRule="auto"/>
        <w:rPr>
          <w:sz w:val="20"/>
          <w:szCs w:val="20"/>
          <w:color w:val="auto"/>
        </w:rPr>
      </w:pPr>
      <w:r>
        <w:rPr>
          <w:rFonts w:ascii="Arial" w:cs="Arial" w:eastAsia="Arial" w:hAnsi="Arial"/>
          <w:sz w:val="13"/>
          <w:szCs w:val="13"/>
          <w:color w:val="auto"/>
        </w:rPr>
        <w:t>Exercise of stock options and vesting of restricted share units</w:t>
      </w:r>
    </w:p>
    <w:p>
      <w:pPr>
        <w:spacing w:after="0" w:line="1" w:lineRule="exact"/>
        <w:rPr>
          <w:sz w:val="20"/>
          <w:szCs w:val="20"/>
          <w:color w:val="auto"/>
        </w:rPr>
      </w:pPr>
    </w:p>
    <w:p>
      <w:pPr>
        <w:jc w:val="both"/>
        <w:ind w:left="120" w:hanging="80"/>
        <w:spacing w:after="0" w:line="234" w:lineRule="auto"/>
        <w:rPr>
          <w:sz w:val="20"/>
          <w:szCs w:val="20"/>
          <w:color w:val="auto"/>
        </w:rPr>
      </w:pPr>
      <w:r>
        <w:rPr>
          <w:rFonts w:ascii="Arial" w:cs="Arial" w:eastAsia="Arial" w:hAnsi="Arial"/>
          <w:sz w:val="14"/>
          <w:szCs w:val="14"/>
          <w:color w:val="auto"/>
        </w:rPr>
        <w:t>Tax benefit arrangement liability and deferred taxes arising from exchanges of Class B common stock</w:t>
      </w:r>
    </w:p>
    <w:p>
      <w:pPr>
        <w:spacing w:after="0" w:line="20" w:lineRule="exact"/>
        <w:rPr>
          <w:sz w:val="20"/>
          <w:szCs w:val="20"/>
          <w:color w:val="auto"/>
        </w:rPr>
      </w:pPr>
    </w:p>
    <w:p>
      <w:pPr>
        <w:ind w:left="120" w:right="620" w:hanging="80"/>
        <w:spacing w:after="0" w:line="281" w:lineRule="auto"/>
        <w:rPr>
          <w:sz w:val="20"/>
          <w:szCs w:val="20"/>
          <w:color w:val="auto"/>
        </w:rPr>
      </w:pPr>
      <w:r>
        <w:rPr>
          <w:rFonts w:ascii="Arial" w:cs="Arial" w:eastAsia="Arial" w:hAnsi="Arial"/>
          <w:sz w:val="13"/>
          <w:szCs w:val="13"/>
          <w:color w:val="auto"/>
        </w:rPr>
        <w:t>Forfeiture of dividend equivalents</w:t>
      </w:r>
    </w:p>
    <w:p>
      <w:pPr>
        <w:spacing w:after="0" w:line="1" w:lineRule="exact"/>
        <w:rPr>
          <w:sz w:val="20"/>
          <w:szCs w:val="20"/>
          <w:color w:val="auto"/>
        </w:rPr>
      </w:pPr>
    </w:p>
    <w:p>
      <w:pPr>
        <w:ind w:left="120" w:right="140" w:hanging="80"/>
        <w:spacing w:after="0" w:line="281" w:lineRule="auto"/>
        <w:rPr>
          <w:sz w:val="20"/>
          <w:szCs w:val="20"/>
          <w:color w:val="auto"/>
        </w:rPr>
      </w:pPr>
      <w:r>
        <w:rPr>
          <w:rFonts w:ascii="Arial" w:cs="Arial" w:eastAsia="Arial" w:hAnsi="Arial"/>
          <w:sz w:val="13"/>
          <w:szCs w:val="13"/>
          <w:color w:val="auto"/>
        </w:rPr>
        <w:t>Distributions paid to members of Pla-Fit Holdings</w:t>
      </w:r>
    </w:p>
    <w:p>
      <w:pPr>
        <w:spacing w:after="0" w:line="1" w:lineRule="exact"/>
        <w:rPr>
          <w:sz w:val="20"/>
          <w:szCs w:val="20"/>
          <w:color w:val="auto"/>
        </w:rPr>
      </w:pPr>
    </w:p>
    <w:p>
      <w:pPr>
        <w:ind w:left="120" w:right="180" w:hanging="80"/>
        <w:spacing w:after="0" w:line="253" w:lineRule="auto"/>
        <w:rPr>
          <w:sz w:val="20"/>
          <w:szCs w:val="20"/>
          <w:color w:val="auto"/>
        </w:rPr>
      </w:pPr>
      <w:r>
        <w:rPr>
          <w:rFonts w:ascii="Arial" w:cs="Arial" w:eastAsia="Arial" w:hAnsi="Arial"/>
          <w:sz w:val="14"/>
          <w:szCs w:val="14"/>
          <w:color w:val="auto"/>
        </w:rPr>
        <w:t>Cumulative effect adjustment (Note 15)</w:t>
      </w:r>
    </w:p>
    <w:p>
      <w:pPr>
        <w:spacing w:after="0" w:line="79" w:lineRule="exact"/>
        <w:rPr>
          <w:sz w:val="20"/>
          <w:szCs w:val="20"/>
          <w:color w:val="auto"/>
        </w:rPr>
      </w:pPr>
    </w:p>
    <w:p>
      <w:pPr>
        <w:ind w:left="40" w:right="200"/>
        <w:spacing w:after="0" w:line="570" w:lineRule="auto"/>
        <w:rPr>
          <w:sz w:val="20"/>
          <w:szCs w:val="20"/>
          <w:color w:val="auto"/>
        </w:rPr>
      </w:pPr>
      <w:r>
        <w:rPr>
          <w:rFonts w:ascii="Arial" w:cs="Arial" w:eastAsia="Arial" w:hAnsi="Arial"/>
          <w:sz w:val="12"/>
          <w:szCs w:val="12"/>
          <w:color w:val="auto"/>
        </w:rPr>
        <w:t>Other comprehensive income Balance at June 30, 2018</w:t>
      </w:r>
    </w:p>
    <w:p>
      <w:pPr>
        <w:spacing w:after="0" w:line="20" w:lineRule="exact"/>
        <w:rPr>
          <w:sz w:val="20"/>
          <w:szCs w:val="20"/>
          <w:color w:val="auto"/>
        </w:rPr>
      </w:pPr>
      <w:r>
        <w:rPr>
          <w:sz w:val="20"/>
          <w:szCs w:val="20"/>
          <w:color w:val="auto"/>
        </w:rPr>
        <w:br w:type="column"/>
      </w:r>
    </w:p>
    <w:p>
      <w:pPr>
        <w:spacing w:after="0" w:line="36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600" w:type="dxa"/>
            <w:vAlign w:val="bottom"/>
          </w:tcPr>
          <w:p>
            <w:pPr>
              <w:spacing w:after="0"/>
              <w:rPr>
                <w:sz w:val="14"/>
                <w:szCs w:val="14"/>
                <w:color w:val="auto"/>
              </w:rPr>
            </w:pPr>
          </w:p>
        </w:tc>
        <w:tc>
          <w:tcPr>
            <w:tcW w:w="700" w:type="dxa"/>
            <w:vAlign w:val="bottom"/>
            <w:gridSpan w:val="3"/>
          </w:tcPr>
          <w:p>
            <w:pPr>
              <w:jc w:val="right"/>
              <w:ind w:right="172"/>
              <w:spacing w:after="0"/>
              <w:rPr>
                <w:sz w:val="20"/>
                <w:szCs w:val="20"/>
                <w:color w:val="auto"/>
              </w:rPr>
            </w:pPr>
            <w:r>
              <w:rPr>
                <w:rFonts w:ascii="Arial" w:cs="Arial" w:eastAsia="Arial" w:hAnsi="Arial"/>
                <w:sz w:val="14"/>
                <w:szCs w:val="14"/>
                <w:b w:val="1"/>
                <w:bCs w:val="1"/>
                <w:color w:val="auto"/>
                <w:w w:val="85"/>
              </w:rPr>
              <w:t>Class A</w:t>
            </w: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740" w:type="dxa"/>
            <w:vAlign w:val="bottom"/>
            <w:gridSpan w:val="5"/>
          </w:tcPr>
          <w:p>
            <w:pPr>
              <w:jc w:val="center"/>
              <w:ind w:right="80"/>
              <w:spacing w:after="0"/>
              <w:rPr>
                <w:sz w:val="20"/>
                <w:szCs w:val="20"/>
                <w:color w:val="auto"/>
              </w:rPr>
            </w:pPr>
            <w:r>
              <w:rPr>
                <w:rFonts w:ascii="Arial" w:cs="Arial" w:eastAsia="Arial" w:hAnsi="Arial"/>
                <w:sz w:val="14"/>
                <w:szCs w:val="14"/>
                <w:b w:val="1"/>
                <w:bCs w:val="1"/>
                <w:color w:val="auto"/>
                <w:w w:val="81"/>
              </w:rPr>
              <w:t>Class B</w:t>
            </w:r>
          </w:p>
        </w:tc>
        <w:tc>
          <w:tcPr>
            <w:tcW w:w="160" w:type="dxa"/>
            <w:vAlign w:val="bottom"/>
          </w:tcPr>
          <w:p>
            <w:pPr>
              <w:spacing w:after="0"/>
              <w:rPr>
                <w:sz w:val="14"/>
                <w:szCs w:val="14"/>
                <w:color w:val="auto"/>
              </w:rPr>
            </w:pPr>
          </w:p>
        </w:tc>
        <w:tc>
          <w:tcPr>
            <w:tcW w:w="12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6"/>
              </w:rPr>
              <w:t>Accumulated</w:t>
            </w:r>
          </w:p>
        </w:tc>
        <w:tc>
          <w:tcPr>
            <w:tcW w:w="16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1300" w:type="dxa"/>
            <w:vAlign w:val="bottom"/>
            <w:gridSpan w:val="4"/>
          </w:tcPr>
          <w:p>
            <w:pPr>
              <w:jc w:val="right"/>
              <w:spacing w:after="0" w:line="149" w:lineRule="exact"/>
              <w:rPr>
                <w:sz w:val="20"/>
                <w:szCs w:val="20"/>
                <w:color w:val="auto"/>
              </w:rPr>
            </w:pPr>
            <w:r>
              <w:rPr>
                <w:rFonts w:ascii="Arial" w:cs="Arial" w:eastAsia="Arial" w:hAnsi="Arial"/>
                <w:sz w:val="14"/>
                <w:szCs w:val="14"/>
                <w:b w:val="1"/>
                <w:bCs w:val="1"/>
                <w:color w:val="auto"/>
              </w:rPr>
              <w:t>common stock</w:t>
            </w:r>
          </w:p>
        </w:tc>
        <w:tc>
          <w:tcPr>
            <w:tcW w:w="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740" w:type="dxa"/>
            <w:vAlign w:val="bottom"/>
            <w:gridSpan w:val="5"/>
          </w:tcPr>
          <w:p>
            <w:pPr>
              <w:jc w:val="center"/>
              <w:ind w:right="80"/>
              <w:spacing w:after="0" w:line="149" w:lineRule="exact"/>
              <w:rPr>
                <w:sz w:val="20"/>
                <w:szCs w:val="20"/>
                <w:color w:val="auto"/>
              </w:rPr>
            </w:pPr>
            <w:r>
              <w:rPr>
                <w:rFonts w:ascii="Arial" w:cs="Arial" w:eastAsia="Arial" w:hAnsi="Arial"/>
                <w:sz w:val="14"/>
                <w:szCs w:val="14"/>
                <w:b w:val="1"/>
                <w:bCs w:val="1"/>
                <w:color w:val="auto"/>
                <w:w w:val="82"/>
              </w:rPr>
              <w:t>common stock</w:t>
            </w:r>
          </w:p>
        </w:tc>
        <w:tc>
          <w:tcPr>
            <w:tcW w:w="160" w:type="dxa"/>
            <w:vAlign w:val="bottom"/>
          </w:tcPr>
          <w:p>
            <w:pPr>
              <w:spacing w:after="0"/>
              <w:rPr>
                <w:sz w:val="12"/>
                <w:szCs w:val="12"/>
                <w:color w:val="auto"/>
              </w:rPr>
            </w:pPr>
          </w:p>
        </w:tc>
        <w:tc>
          <w:tcPr>
            <w:tcW w:w="120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5"/>
              </w:rPr>
              <w:t>other</w:t>
            </w:r>
          </w:p>
        </w:tc>
        <w:tc>
          <w:tcPr>
            <w:tcW w:w="16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60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480" w:type="dxa"/>
            <w:vAlign w:val="bottom"/>
            <w:tcBorders>
              <w:bottom w:val="single" w:sz="8" w:color="auto"/>
            </w:tcBorders>
          </w:tcPr>
          <w:p>
            <w:pPr>
              <w:spacing w:after="0"/>
              <w:rPr>
                <w:sz w:val="3"/>
                <w:szCs w:val="3"/>
                <w:color w:val="auto"/>
              </w:rPr>
            </w:pPr>
          </w:p>
        </w:tc>
        <w:tc>
          <w:tcPr>
            <w:tcW w:w="340" w:type="dxa"/>
            <w:vAlign w:val="bottom"/>
            <w:tcBorders>
              <w:bottom w:val="single" w:sz="8" w:color="auto"/>
            </w:tcBorders>
          </w:tcPr>
          <w:p>
            <w:pPr>
              <w:spacing w:after="0"/>
              <w:rPr>
                <w:sz w:val="3"/>
                <w:szCs w:val="3"/>
                <w:color w:val="auto"/>
              </w:rPr>
            </w:pPr>
          </w:p>
        </w:tc>
        <w:tc>
          <w:tcPr>
            <w:tcW w:w="120" w:type="dxa"/>
            <w:vAlign w:val="bottom"/>
          </w:tcPr>
          <w:p>
            <w:pPr>
              <w:spacing w:after="0"/>
              <w:rPr>
                <w:sz w:val="3"/>
                <w:szCs w:val="3"/>
                <w:color w:val="auto"/>
              </w:rPr>
            </w:pPr>
          </w:p>
        </w:tc>
        <w:tc>
          <w:tcPr>
            <w:tcW w:w="70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100" w:type="dxa"/>
            <w:vAlign w:val="bottom"/>
          </w:tcPr>
          <w:p>
            <w:pPr>
              <w:spacing w:after="0"/>
              <w:rPr>
                <w:sz w:val="3"/>
                <w:szCs w:val="3"/>
                <w:color w:val="auto"/>
              </w:rPr>
            </w:pPr>
          </w:p>
        </w:tc>
        <w:tc>
          <w:tcPr>
            <w:tcW w:w="160" w:type="dxa"/>
            <w:vAlign w:val="bottom"/>
          </w:tcPr>
          <w:p>
            <w:pPr>
              <w:spacing w:after="0"/>
              <w:rPr>
                <w:sz w:val="3"/>
                <w:szCs w:val="3"/>
                <w:color w:val="auto"/>
              </w:rPr>
            </w:pPr>
          </w:p>
        </w:tc>
        <w:tc>
          <w:tcPr>
            <w:tcW w:w="1200" w:type="dxa"/>
            <w:vAlign w:val="bottom"/>
            <w:gridSpan w:val="2"/>
            <w:vMerge w:val="restart"/>
          </w:tcPr>
          <w:p>
            <w:pPr>
              <w:jc w:val="center"/>
              <w:ind w:right="260"/>
              <w:spacing w:after="0" w:line="149" w:lineRule="exact"/>
              <w:rPr>
                <w:sz w:val="20"/>
                <w:szCs w:val="20"/>
                <w:color w:val="auto"/>
              </w:rPr>
            </w:pPr>
            <w:r>
              <w:rPr>
                <w:rFonts w:ascii="Arial" w:cs="Arial" w:eastAsia="Arial" w:hAnsi="Arial"/>
                <w:sz w:val="14"/>
                <w:szCs w:val="14"/>
                <w:b w:val="1"/>
                <w:bCs w:val="1"/>
                <w:color w:val="auto"/>
                <w:w w:val="83"/>
              </w:rPr>
              <w:t>comprehensive</w:t>
            </w:r>
          </w:p>
        </w:tc>
        <w:tc>
          <w:tcPr>
            <w:tcW w:w="1120" w:type="dxa"/>
            <w:vAlign w:val="bottom"/>
            <w:gridSpan w:val="3"/>
            <w:vMerge w:val="restart"/>
          </w:tcPr>
          <w:p>
            <w:pPr>
              <w:ind w:left="20"/>
              <w:spacing w:after="0" w:line="149" w:lineRule="exact"/>
              <w:rPr>
                <w:sz w:val="20"/>
                <w:szCs w:val="20"/>
                <w:color w:val="auto"/>
              </w:rPr>
            </w:pPr>
            <w:r>
              <w:rPr>
                <w:rFonts w:ascii="Arial" w:cs="Arial" w:eastAsia="Arial" w:hAnsi="Arial"/>
                <w:sz w:val="14"/>
                <w:szCs w:val="14"/>
                <w:b w:val="1"/>
                <w:bCs w:val="1"/>
                <w:color w:val="auto"/>
              </w:rPr>
              <w:t>Additional paid-</w:t>
            </w:r>
          </w:p>
        </w:tc>
        <w:tc>
          <w:tcPr>
            <w:tcW w:w="140" w:type="dxa"/>
            <w:vAlign w:val="bottom"/>
          </w:tcPr>
          <w:p>
            <w:pPr>
              <w:spacing w:after="0"/>
              <w:rPr>
                <w:sz w:val="3"/>
                <w:szCs w:val="3"/>
                <w:color w:val="auto"/>
              </w:rPr>
            </w:pPr>
          </w:p>
        </w:tc>
        <w:tc>
          <w:tcPr>
            <w:tcW w:w="1080" w:type="dxa"/>
            <w:vAlign w:val="bottom"/>
            <w:gridSpan w:val="2"/>
            <w:vMerge w:val="restart"/>
          </w:tcPr>
          <w:p>
            <w:pPr>
              <w:ind w:left="40"/>
              <w:spacing w:after="0" w:line="149" w:lineRule="exact"/>
              <w:rPr>
                <w:sz w:val="20"/>
                <w:szCs w:val="20"/>
                <w:color w:val="auto"/>
              </w:rPr>
            </w:pPr>
            <w:r>
              <w:rPr>
                <w:rFonts w:ascii="Arial" w:cs="Arial" w:eastAsia="Arial" w:hAnsi="Arial"/>
                <w:sz w:val="14"/>
                <w:szCs w:val="14"/>
                <w:b w:val="1"/>
                <w:bCs w:val="1"/>
                <w:color w:val="auto"/>
              </w:rPr>
              <w:t>Accumulated</w:t>
            </w:r>
          </w:p>
        </w:tc>
        <w:tc>
          <w:tcPr>
            <w:tcW w:w="1120" w:type="dxa"/>
            <w:vAlign w:val="bottom"/>
            <w:gridSpan w:val="3"/>
            <w:vMerge w:val="restart"/>
          </w:tcPr>
          <w:p>
            <w:pPr>
              <w:ind w:left="60"/>
              <w:spacing w:after="0" w:line="149" w:lineRule="exact"/>
              <w:rPr>
                <w:sz w:val="20"/>
                <w:szCs w:val="20"/>
                <w:color w:val="auto"/>
              </w:rPr>
            </w:pPr>
            <w:r>
              <w:rPr>
                <w:rFonts w:ascii="Arial" w:cs="Arial" w:eastAsia="Arial" w:hAnsi="Arial"/>
                <w:sz w:val="14"/>
                <w:szCs w:val="14"/>
                <w:b w:val="1"/>
                <w:bCs w:val="1"/>
                <w:color w:val="auto"/>
                <w:w w:val="99"/>
              </w:rPr>
              <w:t>Non-controlling</w:t>
            </w:r>
          </w:p>
        </w:tc>
        <w:tc>
          <w:tcPr>
            <w:tcW w:w="120" w:type="dxa"/>
            <w:vAlign w:val="bottom"/>
          </w:tcPr>
          <w:p>
            <w:pPr>
              <w:spacing w:after="0"/>
              <w:rPr>
                <w:sz w:val="3"/>
                <w:szCs w:val="3"/>
                <w:color w:val="auto"/>
              </w:rPr>
            </w:pPr>
          </w:p>
        </w:tc>
        <w:tc>
          <w:tcPr>
            <w:tcW w:w="900" w:type="dxa"/>
            <w:vAlign w:val="bottom"/>
            <w:vMerge w:val="restart"/>
          </w:tcPr>
          <w:p>
            <w:pPr>
              <w:jc w:val="right"/>
              <w:ind w:right="41"/>
              <w:spacing w:after="0" w:line="149" w:lineRule="exact"/>
              <w:rPr>
                <w:sz w:val="20"/>
                <w:szCs w:val="20"/>
                <w:color w:val="auto"/>
              </w:rPr>
            </w:pPr>
            <w:r>
              <w:rPr>
                <w:rFonts w:ascii="Arial" w:cs="Arial" w:eastAsia="Arial" w:hAnsi="Arial"/>
                <w:sz w:val="14"/>
                <w:szCs w:val="14"/>
                <w:b w:val="1"/>
                <w:bCs w:val="1"/>
                <w:color w:val="auto"/>
                <w:w w:val="86"/>
              </w:rPr>
              <w:t>Total (deficit)</w:t>
            </w:r>
          </w:p>
        </w:tc>
        <w:tc>
          <w:tcPr>
            <w:tcW w:w="0" w:type="dxa"/>
            <w:vAlign w:val="bottom"/>
          </w:tcPr>
          <w:p>
            <w:pPr>
              <w:spacing w:after="0"/>
              <w:rPr>
                <w:sz w:val="1"/>
                <w:szCs w:val="1"/>
                <w:color w:val="auto"/>
              </w:rPr>
            </w:pPr>
          </w:p>
        </w:tc>
      </w:tr>
      <w:tr>
        <w:trPr>
          <w:trHeight w:val="89"/>
        </w:trPr>
        <w:tc>
          <w:tcPr>
            <w:tcW w:w="60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480" w:type="dxa"/>
            <w:vAlign w:val="bottom"/>
          </w:tcPr>
          <w:p>
            <w:pPr>
              <w:spacing w:after="0"/>
              <w:rPr>
                <w:sz w:val="7"/>
                <w:szCs w:val="7"/>
                <w:color w:val="auto"/>
              </w:rPr>
            </w:pPr>
          </w:p>
        </w:tc>
        <w:tc>
          <w:tcPr>
            <w:tcW w:w="340" w:type="dxa"/>
            <w:vAlign w:val="bottom"/>
          </w:tcPr>
          <w:p>
            <w:pPr>
              <w:spacing w:after="0"/>
              <w:rPr>
                <w:sz w:val="7"/>
                <w:szCs w:val="7"/>
                <w:color w:val="auto"/>
              </w:rPr>
            </w:pPr>
          </w:p>
        </w:tc>
        <w:tc>
          <w:tcPr>
            <w:tcW w:w="120" w:type="dxa"/>
            <w:vAlign w:val="bottom"/>
          </w:tcPr>
          <w:p>
            <w:pPr>
              <w:spacing w:after="0"/>
              <w:rPr>
                <w:sz w:val="7"/>
                <w:szCs w:val="7"/>
                <w:color w:val="auto"/>
              </w:rPr>
            </w:pPr>
          </w:p>
        </w:tc>
        <w:tc>
          <w:tcPr>
            <w:tcW w:w="7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40" w:type="dxa"/>
            <w:vAlign w:val="bottom"/>
          </w:tcPr>
          <w:p>
            <w:pPr>
              <w:spacing w:after="0"/>
              <w:rPr>
                <w:sz w:val="7"/>
                <w:szCs w:val="7"/>
                <w:color w:val="auto"/>
              </w:rPr>
            </w:pPr>
          </w:p>
        </w:tc>
        <w:tc>
          <w:tcPr>
            <w:tcW w:w="6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60" w:type="dxa"/>
            <w:vAlign w:val="bottom"/>
          </w:tcPr>
          <w:p>
            <w:pPr>
              <w:spacing w:after="0"/>
              <w:rPr>
                <w:sz w:val="7"/>
                <w:szCs w:val="7"/>
                <w:color w:val="auto"/>
              </w:rPr>
            </w:pPr>
          </w:p>
        </w:tc>
        <w:tc>
          <w:tcPr>
            <w:tcW w:w="1200" w:type="dxa"/>
            <w:vAlign w:val="bottom"/>
            <w:gridSpan w:val="2"/>
            <w:vMerge w:val="continue"/>
          </w:tcPr>
          <w:p>
            <w:pPr>
              <w:spacing w:after="0"/>
              <w:rPr>
                <w:sz w:val="7"/>
                <w:szCs w:val="7"/>
                <w:color w:val="auto"/>
              </w:rPr>
            </w:pPr>
          </w:p>
        </w:tc>
        <w:tc>
          <w:tcPr>
            <w:tcW w:w="1120" w:type="dxa"/>
            <w:vAlign w:val="bottom"/>
            <w:gridSpan w:val="3"/>
            <w:vMerge w:val="continue"/>
          </w:tcPr>
          <w:p>
            <w:pPr>
              <w:spacing w:after="0"/>
              <w:rPr>
                <w:sz w:val="7"/>
                <w:szCs w:val="7"/>
                <w:color w:val="auto"/>
              </w:rPr>
            </w:pPr>
          </w:p>
        </w:tc>
        <w:tc>
          <w:tcPr>
            <w:tcW w:w="140" w:type="dxa"/>
            <w:vAlign w:val="bottom"/>
          </w:tcPr>
          <w:p>
            <w:pPr>
              <w:spacing w:after="0"/>
              <w:rPr>
                <w:sz w:val="7"/>
                <w:szCs w:val="7"/>
                <w:color w:val="auto"/>
              </w:rPr>
            </w:pPr>
          </w:p>
        </w:tc>
        <w:tc>
          <w:tcPr>
            <w:tcW w:w="1080" w:type="dxa"/>
            <w:vAlign w:val="bottom"/>
            <w:gridSpan w:val="2"/>
            <w:vMerge w:val="continue"/>
          </w:tcPr>
          <w:p>
            <w:pPr>
              <w:spacing w:after="0"/>
              <w:rPr>
                <w:sz w:val="7"/>
                <w:szCs w:val="7"/>
                <w:color w:val="auto"/>
              </w:rPr>
            </w:pPr>
          </w:p>
        </w:tc>
        <w:tc>
          <w:tcPr>
            <w:tcW w:w="1120" w:type="dxa"/>
            <w:vAlign w:val="bottom"/>
            <w:gridSpan w:val="3"/>
            <w:vMerge w:val="continue"/>
          </w:tcPr>
          <w:p>
            <w:pPr>
              <w:spacing w:after="0"/>
              <w:rPr>
                <w:sz w:val="7"/>
                <w:szCs w:val="7"/>
                <w:color w:val="auto"/>
              </w:rPr>
            </w:pPr>
          </w:p>
        </w:tc>
        <w:tc>
          <w:tcPr>
            <w:tcW w:w="120" w:type="dxa"/>
            <w:vAlign w:val="bottom"/>
          </w:tcPr>
          <w:p>
            <w:pPr>
              <w:spacing w:after="0"/>
              <w:rPr>
                <w:sz w:val="7"/>
                <w:szCs w:val="7"/>
                <w:color w:val="auto"/>
              </w:rPr>
            </w:pPr>
          </w:p>
        </w:tc>
        <w:tc>
          <w:tcPr>
            <w:tcW w:w="9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82"/>
        </w:trPr>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Shares</w:t>
            </w:r>
          </w:p>
        </w:tc>
        <w:tc>
          <w:tcPr>
            <w:tcW w:w="100" w:type="dxa"/>
            <w:vAlign w:val="bottom"/>
            <w:tcBorders>
              <w:bottom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tcBorders>
              <w:bottom w:val="single" w:sz="8" w:color="auto"/>
            </w:tcBorders>
            <w:gridSpan w:val="2"/>
          </w:tcPr>
          <w:p>
            <w:pPr>
              <w:jc w:val="right"/>
              <w:ind w:right="99"/>
              <w:spacing w:after="0"/>
              <w:rPr>
                <w:sz w:val="20"/>
                <w:szCs w:val="20"/>
                <w:color w:val="auto"/>
              </w:rPr>
            </w:pPr>
            <w:r>
              <w:rPr>
                <w:rFonts w:ascii="Arial" w:cs="Arial" w:eastAsia="Arial" w:hAnsi="Arial"/>
                <w:sz w:val="14"/>
                <w:szCs w:val="14"/>
                <w:b w:val="1"/>
                <w:bCs w:val="1"/>
                <w:color w:val="auto"/>
              </w:rPr>
              <w:t>Amount</w:t>
            </w:r>
          </w:p>
        </w:tc>
        <w:tc>
          <w:tcPr>
            <w:tcW w:w="120" w:type="dxa"/>
            <w:vAlign w:val="bottom"/>
          </w:tcPr>
          <w:p>
            <w:pPr>
              <w:spacing w:after="0"/>
              <w:rPr>
                <w:sz w:val="15"/>
                <w:szCs w:val="15"/>
                <w:color w:val="auto"/>
              </w:rPr>
            </w:pPr>
          </w:p>
        </w:tc>
        <w:tc>
          <w:tcPr>
            <w:tcW w:w="700" w:type="dxa"/>
            <w:vAlign w:val="bottom"/>
            <w:tcBorders>
              <w:bottom w:val="single" w:sz="8" w:color="auto"/>
            </w:tcBorders>
          </w:tcPr>
          <w:p>
            <w:pPr>
              <w:jc w:val="right"/>
              <w:ind w:right="82"/>
              <w:spacing w:after="0"/>
              <w:rPr>
                <w:sz w:val="20"/>
                <w:szCs w:val="20"/>
                <w:color w:val="auto"/>
              </w:rPr>
            </w:pPr>
            <w:r>
              <w:rPr>
                <w:rFonts w:ascii="Arial" w:cs="Arial" w:eastAsia="Arial" w:hAnsi="Arial"/>
                <w:sz w:val="14"/>
                <w:szCs w:val="14"/>
                <w:b w:val="1"/>
                <w:bCs w:val="1"/>
                <w:color w:val="auto"/>
              </w:rPr>
              <w:t>Shares</w:t>
            </w:r>
          </w:p>
        </w:tc>
        <w:tc>
          <w:tcPr>
            <w:tcW w:w="12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jc w:val="right"/>
              <w:ind w:right="100"/>
              <w:spacing w:after="0"/>
              <w:rPr>
                <w:sz w:val="20"/>
                <w:szCs w:val="20"/>
                <w:color w:val="auto"/>
              </w:rPr>
            </w:pPr>
            <w:r>
              <w:rPr>
                <w:rFonts w:ascii="Arial" w:cs="Arial" w:eastAsia="Arial" w:hAnsi="Arial"/>
                <w:sz w:val="14"/>
                <w:szCs w:val="14"/>
                <w:b w:val="1"/>
                <w:bCs w:val="1"/>
                <w:color w:val="auto"/>
                <w:w w:val="90"/>
              </w:rPr>
              <w:t>Amount</w:t>
            </w:r>
          </w:p>
        </w:tc>
        <w:tc>
          <w:tcPr>
            <w:tcW w:w="10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jc w:val="center"/>
              <w:ind w:right="62"/>
              <w:spacing w:after="0"/>
              <w:rPr>
                <w:sz w:val="20"/>
                <w:szCs w:val="20"/>
                <w:color w:val="auto"/>
              </w:rPr>
            </w:pPr>
            <w:r>
              <w:rPr>
                <w:rFonts w:ascii="Arial" w:cs="Arial" w:eastAsia="Arial" w:hAnsi="Arial"/>
                <w:sz w:val="14"/>
                <w:szCs w:val="14"/>
                <w:b w:val="1"/>
                <w:bCs w:val="1"/>
                <w:color w:val="auto"/>
                <w:w w:val="81"/>
              </w:rPr>
              <w:t>(loss) income</w:t>
            </w:r>
          </w:p>
        </w:tc>
        <w:tc>
          <w:tcPr>
            <w:tcW w:w="12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right"/>
              <w:ind w:right="140"/>
              <w:spacing w:after="0"/>
              <w:rPr>
                <w:sz w:val="20"/>
                <w:szCs w:val="20"/>
                <w:color w:val="auto"/>
              </w:rPr>
            </w:pPr>
            <w:r>
              <w:rPr>
                <w:rFonts w:ascii="Arial" w:cs="Arial" w:eastAsia="Arial" w:hAnsi="Arial"/>
                <w:sz w:val="14"/>
                <w:szCs w:val="14"/>
                <w:b w:val="1"/>
                <w:bCs w:val="1"/>
                <w:color w:val="auto"/>
                <w:w w:val="98"/>
              </w:rPr>
              <w:t>in capital</w:t>
            </w:r>
          </w:p>
        </w:tc>
        <w:tc>
          <w:tcPr>
            <w:tcW w:w="12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right"/>
              <w:ind w:right="301"/>
              <w:spacing w:after="0"/>
              <w:rPr>
                <w:sz w:val="20"/>
                <w:szCs w:val="20"/>
                <w:color w:val="auto"/>
              </w:rPr>
            </w:pPr>
            <w:r>
              <w:rPr>
                <w:rFonts w:ascii="Arial" w:cs="Arial" w:eastAsia="Arial" w:hAnsi="Arial"/>
                <w:sz w:val="14"/>
                <w:szCs w:val="14"/>
                <w:b w:val="1"/>
                <w:bCs w:val="1"/>
                <w:color w:val="auto"/>
              </w:rPr>
              <w:t>deficit</w:t>
            </w:r>
          </w:p>
        </w:tc>
        <w:tc>
          <w:tcPr>
            <w:tcW w:w="100" w:type="dxa"/>
            <w:vAlign w:val="bottom"/>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jc w:val="right"/>
              <w:ind w:right="180"/>
              <w:spacing w:after="0"/>
              <w:rPr>
                <w:sz w:val="20"/>
                <w:szCs w:val="20"/>
                <w:color w:val="auto"/>
              </w:rPr>
            </w:pPr>
            <w:r>
              <w:rPr>
                <w:rFonts w:ascii="Arial" w:cs="Arial" w:eastAsia="Arial" w:hAnsi="Arial"/>
                <w:sz w:val="14"/>
                <w:szCs w:val="14"/>
                <w:b w:val="1"/>
                <w:bCs w:val="1"/>
                <w:color w:val="auto"/>
                <w:w w:val="92"/>
              </w:rPr>
              <w:t>interests</w:t>
            </w:r>
          </w:p>
        </w:tc>
        <w:tc>
          <w:tcPr>
            <w:tcW w:w="10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ind w:right="241"/>
              <w:spacing w:after="0"/>
              <w:rPr>
                <w:sz w:val="20"/>
                <w:szCs w:val="20"/>
                <w:color w:val="auto"/>
              </w:rPr>
            </w:pPr>
            <w:r>
              <w:rPr>
                <w:rFonts w:ascii="Arial" w:cs="Arial" w:eastAsia="Arial" w:hAnsi="Arial"/>
                <w:sz w:val="14"/>
                <w:szCs w:val="14"/>
                <w:b w:val="1"/>
                <w:bCs w:val="1"/>
                <w:color w:val="auto"/>
              </w:rPr>
              <w:t>equity</w:t>
            </w:r>
          </w:p>
        </w:tc>
        <w:tc>
          <w:tcPr>
            <w:tcW w:w="0" w:type="dxa"/>
            <w:vAlign w:val="bottom"/>
          </w:tcPr>
          <w:p>
            <w:pPr>
              <w:spacing w:after="0"/>
              <w:rPr>
                <w:sz w:val="1"/>
                <w:szCs w:val="1"/>
                <w:color w:val="auto"/>
              </w:rPr>
            </w:pPr>
          </w:p>
        </w:tc>
      </w:tr>
      <w:tr>
        <w:trPr>
          <w:trHeight w:val="224"/>
        </w:trPr>
        <w:tc>
          <w:tcPr>
            <w:tcW w:w="600" w:type="dxa"/>
            <w:vAlign w:val="bottom"/>
          </w:tcPr>
          <w:p>
            <w:pPr>
              <w:jc w:val="right"/>
              <w:spacing w:after="0"/>
              <w:rPr>
                <w:sz w:val="20"/>
                <w:szCs w:val="20"/>
                <w:color w:val="auto"/>
              </w:rPr>
            </w:pPr>
            <w:r>
              <w:rPr>
                <w:rFonts w:ascii="Arial" w:cs="Arial" w:eastAsia="Arial" w:hAnsi="Arial"/>
                <w:sz w:val="16"/>
                <w:szCs w:val="16"/>
                <w:color w:val="auto"/>
              </w:rPr>
              <w:t>87,188</w:t>
            </w:r>
          </w:p>
        </w:tc>
        <w:tc>
          <w:tcPr>
            <w:tcW w:w="700" w:type="dxa"/>
            <w:vAlign w:val="bottom"/>
            <w:gridSpan w:val="3"/>
          </w:tcPr>
          <w:p>
            <w:pPr>
              <w:jc w:val="right"/>
              <w:ind w:right="312"/>
              <w:spacing w:after="0"/>
              <w:rPr>
                <w:sz w:val="20"/>
                <w:szCs w:val="20"/>
                <w:color w:val="auto"/>
              </w:rPr>
            </w:pPr>
            <w:r>
              <w:rPr>
                <w:rFonts w:ascii="Arial" w:cs="Arial" w:eastAsia="Arial" w:hAnsi="Arial"/>
                <w:sz w:val="16"/>
                <w:szCs w:val="16"/>
                <w:color w:val="auto"/>
              </w:rPr>
              <w:t>$</w:t>
            </w:r>
          </w:p>
        </w:tc>
        <w:tc>
          <w:tcPr>
            <w:tcW w:w="340" w:type="dxa"/>
            <w:vAlign w:val="bottom"/>
          </w:tcPr>
          <w:p>
            <w:pPr>
              <w:jc w:val="right"/>
              <w:ind w:right="39"/>
              <w:spacing w:after="0"/>
              <w:rPr>
                <w:sz w:val="20"/>
                <w:szCs w:val="20"/>
                <w:color w:val="auto"/>
              </w:rPr>
            </w:pPr>
            <w:r>
              <w:rPr>
                <w:rFonts w:ascii="Arial" w:cs="Arial" w:eastAsia="Arial" w:hAnsi="Arial"/>
                <w:sz w:val="16"/>
                <w:szCs w:val="16"/>
                <w:color w:val="auto"/>
              </w:rPr>
              <w:t>9</w:t>
            </w:r>
          </w:p>
        </w:tc>
        <w:tc>
          <w:tcPr>
            <w:tcW w:w="120" w:type="dxa"/>
            <w:vAlign w:val="bottom"/>
          </w:tcPr>
          <w:p>
            <w:pPr>
              <w:spacing w:after="0"/>
              <w:rPr>
                <w:sz w:val="19"/>
                <w:szCs w:val="19"/>
                <w:color w:val="auto"/>
              </w:rPr>
            </w:pPr>
          </w:p>
        </w:tc>
        <w:tc>
          <w:tcPr>
            <w:tcW w:w="700" w:type="dxa"/>
            <w:vAlign w:val="bottom"/>
          </w:tcPr>
          <w:p>
            <w:pPr>
              <w:jc w:val="right"/>
              <w:ind w:right="42"/>
              <w:spacing w:after="0"/>
              <w:rPr>
                <w:sz w:val="20"/>
                <w:szCs w:val="20"/>
                <w:color w:val="auto"/>
              </w:rPr>
            </w:pPr>
            <w:r>
              <w:rPr>
                <w:rFonts w:ascii="Arial" w:cs="Arial" w:eastAsia="Arial" w:hAnsi="Arial"/>
                <w:sz w:val="16"/>
                <w:szCs w:val="16"/>
                <w:color w:val="auto"/>
              </w:rPr>
              <w:t>11,193</w:t>
            </w:r>
          </w:p>
        </w:tc>
        <w:tc>
          <w:tcPr>
            <w:tcW w:w="12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680" w:type="dxa"/>
            <w:vAlign w:val="bottom"/>
          </w:tcPr>
          <w:p>
            <w:pPr>
              <w:jc w:val="right"/>
              <w:ind w:right="40"/>
              <w:spacing w:after="0"/>
              <w:rPr>
                <w:sz w:val="20"/>
                <w:szCs w:val="20"/>
                <w:color w:val="auto"/>
              </w:rPr>
            </w:pPr>
            <w:r>
              <w:rPr>
                <w:rFonts w:ascii="Arial" w:cs="Arial" w:eastAsia="Arial" w:hAnsi="Arial"/>
                <w:sz w:val="16"/>
                <w:szCs w:val="16"/>
                <w:color w:val="auto"/>
              </w:rPr>
              <w:t>1</w:t>
            </w:r>
          </w:p>
        </w:tc>
        <w:tc>
          <w:tcPr>
            <w:tcW w:w="10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080" w:type="dxa"/>
            <w:vAlign w:val="bottom"/>
          </w:tcPr>
          <w:p>
            <w:pPr>
              <w:jc w:val="right"/>
              <w:spacing w:after="0"/>
              <w:rPr>
                <w:sz w:val="20"/>
                <w:szCs w:val="20"/>
                <w:color w:val="auto"/>
              </w:rPr>
            </w:pPr>
            <w:r>
              <w:rPr>
                <w:rFonts w:ascii="Arial" w:cs="Arial" w:eastAsia="Arial" w:hAnsi="Arial"/>
                <w:sz w:val="16"/>
                <w:szCs w:val="16"/>
                <w:color w:val="auto"/>
              </w:rPr>
              <w:t>(648)</w:t>
            </w:r>
          </w:p>
        </w:tc>
        <w:tc>
          <w:tcPr>
            <w:tcW w:w="120" w:type="dxa"/>
            <w:vAlign w:val="bottom"/>
          </w:tcPr>
          <w:p>
            <w:pPr>
              <w:spacing w:after="0"/>
              <w:rPr>
                <w:sz w:val="19"/>
                <w:szCs w:val="19"/>
                <w:color w:val="auto"/>
              </w:rPr>
            </w:pPr>
          </w:p>
        </w:tc>
        <w:tc>
          <w:tcPr>
            <w:tcW w:w="160" w:type="dxa"/>
            <w:vAlign w:val="bottom"/>
          </w:tcPr>
          <w:p>
            <w:pPr>
              <w:ind w:left="20"/>
              <w:spacing w:after="0"/>
              <w:rPr>
                <w:sz w:val="20"/>
                <w:szCs w:val="20"/>
                <w:color w:val="auto"/>
              </w:rPr>
            </w:pPr>
            <w:r>
              <w:rPr>
                <w:rFonts w:ascii="Arial" w:cs="Arial" w:eastAsia="Arial" w:hAnsi="Arial"/>
                <w:sz w:val="16"/>
                <w:szCs w:val="16"/>
                <w:color w:val="auto"/>
              </w:rPr>
              <w:t>$</w:t>
            </w:r>
          </w:p>
        </w:tc>
        <w:tc>
          <w:tcPr>
            <w:tcW w:w="840" w:type="dxa"/>
            <w:vAlign w:val="bottom"/>
          </w:tcPr>
          <w:p>
            <w:pPr>
              <w:jc w:val="right"/>
              <w:ind w:right="20"/>
              <w:spacing w:after="0"/>
              <w:rPr>
                <w:sz w:val="20"/>
                <w:szCs w:val="20"/>
                <w:color w:val="auto"/>
              </w:rPr>
            </w:pPr>
            <w:r>
              <w:rPr>
                <w:rFonts w:ascii="Arial" w:cs="Arial" w:eastAsia="Arial" w:hAnsi="Arial"/>
                <w:sz w:val="16"/>
                <w:szCs w:val="16"/>
                <w:color w:val="auto"/>
              </w:rPr>
              <w:t>12,118</w:t>
            </w:r>
          </w:p>
        </w:tc>
        <w:tc>
          <w:tcPr>
            <w:tcW w:w="12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spacing w:after="0"/>
              <w:rPr>
                <w:sz w:val="20"/>
                <w:szCs w:val="20"/>
                <w:color w:val="auto"/>
              </w:rPr>
            </w:pPr>
            <w:r>
              <w:rPr>
                <w:rFonts w:ascii="Arial" w:cs="Arial" w:eastAsia="Arial" w:hAnsi="Arial"/>
                <w:sz w:val="16"/>
                <w:szCs w:val="16"/>
                <w:color w:val="auto"/>
              </w:rPr>
              <w:t>(130,966)</w:t>
            </w:r>
          </w:p>
        </w:tc>
        <w:tc>
          <w:tcPr>
            <w:tcW w:w="100" w:type="dxa"/>
            <w:vAlign w:val="bottom"/>
          </w:tcPr>
          <w:p>
            <w:pPr>
              <w:spacing w:after="0"/>
              <w:rPr>
                <w:sz w:val="19"/>
                <w:szCs w:val="19"/>
                <w:color w:val="auto"/>
              </w:rPr>
            </w:pPr>
          </w:p>
        </w:tc>
        <w:tc>
          <w:tcPr>
            <w:tcW w:w="200" w:type="dxa"/>
            <w:vAlign w:val="bottom"/>
          </w:tcPr>
          <w:p>
            <w:pPr>
              <w:ind w:left="40"/>
              <w:spacing w:after="0"/>
              <w:rPr>
                <w:sz w:val="20"/>
                <w:szCs w:val="20"/>
                <w:color w:val="auto"/>
              </w:rPr>
            </w:pPr>
            <w:r>
              <w:rPr>
                <w:rFonts w:ascii="Arial" w:cs="Arial" w:eastAsia="Arial" w:hAnsi="Arial"/>
                <w:sz w:val="16"/>
                <w:szCs w:val="16"/>
                <w:color w:val="auto"/>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(17,451)</w:t>
            </w:r>
          </w:p>
        </w:tc>
        <w:tc>
          <w:tcPr>
            <w:tcW w:w="100" w:type="dxa"/>
            <w:vAlign w:val="bottom"/>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(136,937)</w:t>
            </w:r>
          </w:p>
        </w:tc>
        <w:tc>
          <w:tcPr>
            <w:tcW w:w="0" w:type="dxa"/>
            <w:vAlign w:val="bottom"/>
          </w:tcPr>
          <w:p>
            <w:pPr>
              <w:spacing w:after="0"/>
              <w:rPr>
                <w:sz w:val="1"/>
                <w:szCs w:val="1"/>
                <w:color w:val="auto"/>
              </w:rPr>
            </w:pPr>
          </w:p>
        </w:tc>
      </w:tr>
      <w:tr>
        <w:trPr>
          <w:trHeight w:val="270"/>
        </w:trPr>
        <w:tc>
          <w:tcPr>
            <w:tcW w:w="600" w:type="dxa"/>
            <w:vAlign w:val="bottom"/>
          </w:tcPr>
          <w:p>
            <w:pPr>
              <w:jc w:val="right"/>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4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8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3"/>
                <w:szCs w:val="23"/>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3"/>
                <w:szCs w:val="23"/>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3"/>
                <w:szCs w:val="23"/>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3"/>
                <w:szCs w:val="23"/>
                <w:color w:val="auto"/>
              </w:rPr>
            </w:pPr>
          </w:p>
        </w:tc>
        <w:tc>
          <w:tcPr>
            <w:tcW w:w="980" w:type="dxa"/>
            <w:vAlign w:val="bottom"/>
          </w:tcPr>
          <w:p>
            <w:pPr>
              <w:jc w:val="right"/>
              <w:ind w:right="21"/>
              <w:spacing w:after="0"/>
              <w:rPr>
                <w:sz w:val="20"/>
                <w:szCs w:val="20"/>
                <w:color w:val="auto"/>
              </w:rPr>
            </w:pPr>
            <w:r>
              <w:rPr>
                <w:rFonts w:ascii="Arial" w:cs="Arial" w:eastAsia="Arial" w:hAnsi="Arial"/>
                <w:sz w:val="16"/>
                <w:szCs w:val="16"/>
                <w:color w:val="auto"/>
              </w:rPr>
              <w:t>45,755</w:t>
            </w: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820" w:type="dxa"/>
            <w:vAlign w:val="bottom"/>
          </w:tcPr>
          <w:p>
            <w:pPr>
              <w:jc w:val="right"/>
              <w:ind w:right="20"/>
              <w:spacing w:after="0"/>
              <w:rPr>
                <w:sz w:val="20"/>
                <w:szCs w:val="20"/>
                <w:color w:val="auto"/>
              </w:rPr>
            </w:pPr>
            <w:r>
              <w:rPr>
                <w:rFonts w:ascii="Arial" w:cs="Arial" w:eastAsia="Arial" w:hAnsi="Arial"/>
                <w:sz w:val="16"/>
                <w:szCs w:val="16"/>
                <w:color w:val="auto"/>
              </w:rPr>
              <w:t>8,157</w:t>
            </w: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900" w:type="dxa"/>
            <w:vAlign w:val="bottom"/>
          </w:tcPr>
          <w:p>
            <w:pPr>
              <w:jc w:val="right"/>
              <w:ind w:right="21"/>
              <w:spacing w:after="0"/>
              <w:rPr>
                <w:sz w:val="20"/>
                <w:szCs w:val="20"/>
                <w:color w:val="auto"/>
              </w:rPr>
            </w:pPr>
            <w:r>
              <w:rPr>
                <w:rFonts w:ascii="Arial" w:cs="Arial" w:eastAsia="Arial" w:hAnsi="Arial"/>
                <w:sz w:val="16"/>
                <w:szCs w:val="16"/>
                <w:color w:val="auto"/>
              </w:rPr>
              <w:t>53,912</w:t>
            </w:r>
          </w:p>
        </w:tc>
        <w:tc>
          <w:tcPr>
            <w:tcW w:w="0" w:type="dxa"/>
            <w:vAlign w:val="bottom"/>
          </w:tcPr>
          <w:p>
            <w:pPr>
              <w:spacing w:after="0"/>
              <w:rPr>
                <w:sz w:val="1"/>
                <w:szCs w:val="1"/>
                <w:color w:val="auto"/>
              </w:rPr>
            </w:pPr>
          </w:p>
        </w:tc>
      </w:tr>
      <w:tr>
        <w:trPr>
          <w:trHeight w:val="351"/>
        </w:trPr>
        <w:tc>
          <w:tcPr>
            <w:tcW w:w="600" w:type="dxa"/>
            <w:vAlign w:val="bottom"/>
          </w:tcPr>
          <w:p>
            <w:pPr>
              <w:jc w:val="right"/>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4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8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4"/>
                <w:szCs w:val="24"/>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4"/>
                <w:szCs w:val="24"/>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4"/>
                <w:szCs w:val="24"/>
                <w:color w:val="auto"/>
              </w:rPr>
            </w:pPr>
          </w:p>
        </w:tc>
        <w:tc>
          <w:tcPr>
            <w:tcW w:w="840" w:type="dxa"/>
            <w:vAlign w:val="bottom"/>
          </w:tcPr>
          <w:p>
            <w:pPr>
              <w:jc w:val="right"/>
              <w:ind w:right="20"/>
              <w:spacing w:after="0"/>
              <w:rPr>
                <w:sz w:val="20"/>
                <w:szCs w:val="20"/>
                <w:color w:val="auto"/>
              </w:rPr>
            </w:pPr>
            <w:r>
              <w:rPr>
                <w:rFonts w:ascii="Arial" w:cs="Arial" w:eastAsia="Arial" w:hAnsi="Arial"/>
                <w:sz w:val="16"/>
                <w:szCs w:val="16"/>
                <w:color w:val="auto"/>
              </w:rPr>
              <w:t>2,690</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(3)</w:t>
            </w: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4"/>
                <w:szCs w:val="24"/>
                <w:color w:val="auto"/>
              </w:rPr>
            </w:pPr>
          </w:p>
        </w:tc>
        <w:tc>
          <w:tcPr>
            <w:tcW w:w="900" w:type="dxa"/>
            <w:vAlign w:val="bottom"/>
          </w:tcPr>
          <w:p>
            <w:pPr>
              <w:jc w:val="right"/>
              <w:ind w:right="21"/>
              <w:spacing w:after="0"/>
              <w:rPr>
                <w:sz w:val="20"/>
                <w:szCs w:val="20"/>
                <w:color w:val="auto"/>
              </w:rPr>
            </w:pPr>
            <w:r>
              <w:rPr>
                <w:rFonts w:ascii="Arial" w:cs="Arial" w:eastAsia="Arial" w:hAnsi="Arial"/>
                <w:sz w:val="16"/>
                <w:szCs w:val="16"/>
                <w:color w:val="auto"/>
              </w:rPr>
              <w:t>2,687</w:t>
            </w:r>
          </w:p>
        </w:tc>
        <w:tc>
          <w:tcPr>
            <w:tcW w:w="0" w:type="dxa"/>
            <w:vAlign w:val="bottom"/>
          </w:tcPr>
          <w:p>
            <w:pPr>
              <w:spacing w:after="0"/>
              <w:rPr>
                <w:sz w:val="1"/>
                <w:szCs w:val="1"/>
                <w:color w:val="auto"/>
              </w:rPr>
            </w:pPr>
          </w:p>
        </w:tc>
      </w:tr>
      <w:tr>
        <w:trPr>
          <w:trHeight w:val="351"/>
        </w:trPr>
        <w:tc>
          <w:tcPr>
            <w:tcW w:w="600" w:type="dxa"/>
            <w:vAlign w:val="bottom"/>
          </w:tcPr>
          <w:p>
            <w:pPr>
              <w:jc w:val="right"/>
              <w:spacing w:after="0"/>
              <w:rPr>
                <w:sz w:val="20"/>
                <w:szCs w:val="20"/>
                <w:color w:val="auto"/>
              </w:rPr>
            </w:pPr>
            <w:r>
              <w:rPr>
                <w:rFonts w:ascii="Arial" w:cs="Arial" w:eastAsia="Arial" w:hAnsi="Arial"/>
                <w:sz w:val="16"/>
                <w:szCs w:val="16"/>
                <w:color w:val="auto"/>
              </w:rPr>
              <w:t>713</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4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(713)</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4"/>
                <w:szCs w:val="24"/>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4"/>
                <w:szCs w:val="24"/>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(1,471)</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8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4"/>
                <w:szCs w:val="24"/>
                <w:color w:val="auto"/>
              </w:rPr>
            </w:pPr>
          </w:p>
        </w:tc>
        <w:tc>
          <w:tcPr>
            <w:tcW w:w="820" w:type="dxa"/>
            <w:vAlign w:val="bottom"/>
          </w:tcPr>
          <w:p>
            <w:pPr>
              <w:jc w:val="right"/>
              <w:ind w:right="20"/>
              <w:spacing w:after="0"/>
              <w:rPr>
                <w:sz w:val="20"/>
                <w:szCs w:val="20"/>
                <w:color w:val="auto"/>
              </w:rPr>
            </w:pPr>
            <w:r>
              <w:rPr>
                <w:rFonts w:ascii="Arial" w:cs="Arial" w:eastAsia="Arial" w:hAnsi="Arial"/>
                <w:sz w:val="16"/>
                <w:szCs w:val="16"/>
                <w:color w:val="auto"/>
              </w:rPr>
              <w:t>1,471</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00" w:type="dxa"/>
            <w:vAlign w:val="bottom"/>
          </w:tcPr>
          <w:p>
            <w:pPr>
              <w:jc w:val="right"/>
              <w:ind w:right="21"/>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51"/>
        </w:trPr>
        <w:tc>
          <w:tcPr>
            <w:tcW w:w="600" w:type="dxa"/>
            <w:vAlign w:val="bottom"/>
          </w:tcPr>
          <w:p>
            <w:pPr>
              <w:jc w:val="right"/>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4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(9)</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4"/>
                <w:szCs w:val="24"/>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4"/>
                <w:szCs w:val="24"/>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4"/>
                <w:szCs w:val="24"/>
                <w:color w:val="auto"/>
              </w:rPr>
            </w:pPr>
          </w:p>
        </w:tc>
        <w:tc>
          <w:tcPr>
            <w:tcW w:w="108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4"/>
                <w:szCs w:val="24"/>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4"/>
                <w:szCs w:val="24"/>
                <w:color w:val="auto"/>
              </w:rPr>
            </w:pPr>
          </w:p>
        </w:tc>
        <w:tc>
          <w:tcPr>
            <w:tcW w:w="900" w:type="dxa"/>
            <w:vAlign w:val="bottom"/>
          </w:tcPr>
          <w:p>
            <w:pPr>
              <w:jc w:val="right"/>
              <w:ind w:right="21"/>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51"/>
        </w:trPr>
        <w:tc>
          <w:tcPr>
            <w:tcW w:w="600" w:type="dxa"/>
            <w:vAlign w:val="bottom"/>
          </w:tcPr>
          <w:p>
            <w:pPr>
              <w:jc w:val="right"/>
              <w:spacing w:after="0"/>
              <w:rPr>
                <w:sz w:val="20"/>
                <w:szCs w:val="20"/>
                <w:color w:val="auto"/>
              </w:rPr>
            </w:pPr>
            <w:r>
              <w:rPr>
                <w:rFonts w:ascii="Arial" w:cs="Arial" w:eastAsia="Arial" w:hAnsi="Arial"/>
                <w:sz w:val="16"/>
                <w:szCs w:val="16"/>
                <w:color w:val="auto"/>
              </w:rPr>
              <w:t>31</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4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8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4"/>
                <w:szCs w:val="24"/>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4"/>
                <w:szCs w:val="24"/>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4"/>
                <w:szCs w:val="24"/>
                <w:color w:val="auto"/>
              </w:rPr>
            </w:pPr>
          </w:p>
        </w:tc>
        <w:tc>
          <w:tcPr>
            <w:tcW w:w="840" w:type="dxa"/>
            <w:vAlign w:val="bottom"/>
          </w:tcPr>
          <w:p>
            <w:pPr>
              <w:jc w:val="right"/>
              <w:ind w:right="20"/>
              <w:spacing w:after="0"/>
              <w:rPr>
                <w:sz w:val="20"/>
                <w:szCs w:val="20"/>
                <w:color w:val="auto"/>
              </w:rPr>
            </w:pPr>
            <w:r>
              <w:rPr>
                <w:rFonts w:ascii="Arial" w:cs="Arial" w:eastAsia="Arial" w:hAnsi="Arial"/>
                <w:sz w:val="16"/>
                <w:szCs w:val="16"/>
                <w:color w:val="auto"/>
              </w:rPr>
              <w:t>400</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8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4"/>
                <w:szCs w:val="24"/>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4"/>
                <w:szCs w:val="24"/>
                <w:color w:val="auto"/>
              </w:rPr>
            </w:pPr>
          </w:p>
        </w:tc>
        <w:tc>
          <w:tcPr>
            <w:tcW w:w="900" w:type="dxa"/>
            <w:vAlign w:val="bottom"/>
          </w:tcPr>
          <w:p>
            <w:pPr>
              <w:jc w:val="right"/>
              <w:ind w:right="21"/>
              <w:spacing w:after="0"/>
              <w:rPr>
                <w:sz w:val="20"/>
                <w:szCs w:val="20"/>
                <w:color w:val="auto"/>
              </w:rPr>
            </w:pPr>
            <w:r>
              <w:rPr>
                <w:rFonts w:ascii="Arial" w:cs="Arial" w:eastAsia="Arial" w:hAnsi="Arial"/>
                <w:sz w:val="16"/>
                <w:szCs w:val="16"/>
                <w:color w:val="auto"/>
              </w:rPr>
              <w:t>400</w:t>
            </w:r>
          </w:p>
        </w:tc>
        <w:tc>
          <w:tcPr>
            <w:tcW w:w="0" w:type="dxa"/>
            <w:vAlign w:val="bottom"/>
          </w:tcPr>
          <w:p>
            <w:pPr>
              <w:spacing w:after="0"/>
              <w:rPr>
                <w:sz w:val="1"/>
                <w:szCs w:val="1"/>
                <w:color w:val="auto"/>
              </w:rPr>
            </w:pPr>
          </w:p>
        </w:tc>
      </w:tr>
      <w:tr>
        <w:trPr>
          <w:trHeight w:val="648"/>
        </w:trPr>
        <w:tc>
          <w:tcPr>
            <w:tcW w:w="600" w:type="dxa"/>
            <w:vAlign w:val="bottom"/>
          </w:tcPr>
          <w:p>
            <w:pPr>
              <w:jc w:val="right"/>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4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8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4"/>
                <w:szCs w:val="24"/>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4"/>
                <w:szCs w:val="24"/>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4"/>
                <w:szCs w:val="24"/>
                <w:color w:val="auto"/>
              </w:rPr>
            </w:pPr>
          </w:p>
        </w:tc>
        <w:tc>
          <w:tcPr>
            <w:tcW w:w="840" w:type="dxa"/>
            <w:vAlign w:val="bottom"/>
          </w:tcPr>
          <w:p>
            <w:pPr>
              <w:jc w:val="right"/>
              <w:ind w:right="20"/>
              <w:spacing w:after="0"/>
              <w:rPr>
                <w:sz w:val="20"/>
                <w:szCs w:val="20"/>
                <w:color w:val="auto"/>
              </w:rPr>
            </w:pPr>
            <w:r>
              <w:rPr>
                <w:rFonts w:ascii="Arial" w:cs="Arial" w:eastAsia="Arial" w:hAnsi="Arial"/>
                <w:sz w:val="16"/>
                <w:szCs w:val="16"/>
                <w:color w:val="auto"/>
              </w:rPr>
              <w:t>1,007</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8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4"/>
                <w:szCs w:val="24"/>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4"/>
                <w:szCs w:val="24"/>
                <w:color w:val="auto"/>
              </w:rPr>
            </w:pPr>
          </w:p>
        </w:tc>
        <w:tc>
          <w:tcPr>
            <w:tcW w:w="900" w:type="dxa"/>
            <w:vAlign w:val="bottom"/>
          </w:tcPr>
          <w:p>
            <w:pPr>
              <w:jc w:val="right"/>
              <w:ind w:right="21"/>
              <w:spacing w:after="0"/>
              <w:rPr>
                <w:sz w:val="20"/>
                <w:szCs w:val="20"/>
                <w:color w:val="auto"/>
              </w:rPr>
            </w:pPr>
            <w:r>
              <w:rPr>
                <w:rFonts w:ascii="Arial" w:cs="Arial" w:eastAsia="Arial" w:hAnsi="Arial"/>
                <w:sz w:val="16"/>
                <w:szCs w:val="16"/>
                <w:color w:val="auto"/>
              </w:rPr>
              <w:t>1,007</w:t>
            </w:r>
          </w:p>
        </w:tc>
        <w:tc>
          <w:tcPr>
            <w:tcW w:w="0" w:type="dxa"/>
            <w:vAlign w:val="bottom"/>
          </w:tcPr>
          <w:p>
            <w:pPr>
              <w:spacing w:after="0"/>
              <w:rPr>
                <w:sz w:val="1"/>
                <w:szCs w:val="1"/>
                <w:color w:val="auto"/>
              </w:rPr>
            </w:pPr>
          </w:p>
        </w:tc>
      </w:tr>
      <w:tr>
        <w:trPr>
          <w:trHeight w:val="351"/>
        </w:trPr>
        <w:tc>
          <w:tcPr>
            <w:tcW w:w="600" w:type="dxa"/>
            <w:vAlign w:val="bottom"/>
          </w:tcPr>
          <w:p>
            <w:pPr>
              <w:jc w:val="right"/>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4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8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4"/>
                <w:szCs w:val="24"/>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4"/>
                <w:szCs w:val="24"/>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4"/>
                <w:szCs w:val="24"/>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4"/>
                <w:szCs w:val="24"/>
                <w:color w:val="auto"/>
              </w:rPr>
            </w:pPr>
          </w:p>
        </w:tc>
        <w:tc>
          <w:tcPr>
            <w:tcW w:w="980" w:type="dxa"/>
            <w:vAlign w:val="bottom"/>
          </w:tcPr>
          <w:p>
            <w:pPr>
              <w:jc w:val="right"/>
              <w:ind w:right="21"/>
              <w:spacing w:after="0"/>
              <w:rPr>
                <w:sz w:val="20"/>
                <w:szCs w:val="20"/>
                <w:color w:val="auto"/>
              </w:rPr>
            </w:pPr>
            <w:r>
              <w:rPr>
                <w:rFonts w:ascii="Arial" w:cs="Arial" w:eastAsia="Arial" w:hAnsi="Arial"/>
                <w:sz w:val="16"/>
                <w:szCs w:val="16"/>
                <w:color w:val="auto"/>
              </w:rPr>
              <w:t>58</w:t>
            </w: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4"/>
                <w:szCs w:val="24"/>
                <w:color w:val="auto"/>
              </w:rPr>
            </w:pPr>
          </w:p>
        </w:tc>
        <w:tc>
          <w:tcPr>
            <w:tcW w:w="900" w:type="dxa"/>
            <w:vAlign w:val="bottom"/>
          </w:tcPr>
          <w:p>
            <w:pPr>
              <w:jc w:val="right"/>
              <w:ind w:right="21"/>
              <w:spacing w:after="0"/>
              <w:rPr>
                <w:sz w:val="20"/>
                <w:szCs w:val="20"/>
                <w:color w:val="auto"/>
              </w:rPr>
            </w:pPr>
            <w:r>
              <w:rPr>
                <w:rFonts w:ascii="Arial" w:cs="Arial" w:eastAsia="Arial" w:hAnsi="Arial"/>
                <w:sz w:val="16"/>
                <w:szCs w:val="16"/>
                <w:color w:val="auto"/>
              </w:rPr>
              <w:t>58</w:t>
            </w:r>
          </w:p>
        </w:tc>
        <w:tc>
          <w:tcPr>
            <w:tcW w:w="0" w:type="dxa"/>
            <w:vAlign w:val="bottom"/>
          </w:tcPr>
          <w:p>
            <w:pPr>
              <w:spacing w:after="0"/>
              <w:rPr>
                <w:sz w:val="1"/>
                <w:szCs w:val="1"/>
                <w:color w:val="auto"/>
              </w:rPr>
            </w:pPr>
          </w:p>
        </w:tc>
      </w:tr>
      <w:tr>
        <w:trPr>
          <w:trHeight w:val="351"/>
        </w:trPr>
        <w:tc>
          <w:tcPr>
            <w:tcW w:w="600" w:type="dxa"/>
            <w:vAlign w:val="bottom"/>
          </w:tcPr>
          <w:p>
            <w:pPr>
              <w:jc w:val="right"/>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4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8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4"/>
                <w:szCs w:val="24"/>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4"/>
                <w:szCs w:val="24"/>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4"/>
                <w:szCs w:val="24"/>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4"/>
                <w:szCs w:val="24"/>
                <w:color w:val="auto"/>
              </w:rPr>
            </w:pPr>
          </w:p>
        </w:tc>
        <w:tc>
          <w:tcPr>
            <w:tcW w:w="108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4"/>
                <w:szCs w:val="24"/>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(3,503)</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(3,503)</w:t>
            </w:r>
          </w:p>
        </w:tc>
        <w:tc>
          <w:tcPr>
            <w:tcW w:w="0" w:type="dxa"/>
            <w:vAlign w:val="bottom"/>
          </w:tcPr>
          <w:p>
            <w:pPr>
              <w:spacing w:after="0"/>
              <w:rPr>
                <w:sz w:val="1"/>
                <w:szCs w:val="1"/>
                <w:color w:val="auto"/>
              </w:rPr>
            </w:pPr>
          </w:p>
        </w:tc>
      </w:tr>
      <w:tr>
        <w:trPr>
          <w:trHeight w:val="351"/>
        </w:trPr>
        <w:tc>
          <w:tcPr>
            <w:tcW w:w="600" w:type="dxa"/>
            <w:vAlign w:val="bottom"/>
          </w:tcPr>
          <w:p>
            <w:pPr>
              <w:jc w:val="right"/>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4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8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4"/>
                <w:szCs w:val="24"/>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4"/>
                <w:szCs w:val="24"/>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4"/>
                <w:szCs w:val="24"/>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(9,192)</w:t>
            </w: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4"/>
                <w:szCs w:val="24"/>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(9,192)</w:t>
            </w:r>
          </w:p>
        </w:tc>
        <w:tc>
          <w:tcPr>
            <w:tcW w:w="0" w:type="dxa"/>
            <w:vAlign w:val="bottom"/>
          </w:tcPr>
          <w:p>
            <w:pPr>
              <w:spacing w:after="0"/>
              <w:rPr>
                <w:sz w:val="1"/>
                <w:szCs w:val="1"/>
                <w:color w:val="auto"/>
              </w:rPr>
            </w:pPr>
          </w:p>
        </w:tc>
      </w:tr>
      <w:tr>
        <w:trPr>
          <w:trHeight w:val="270"/>
        </w:trPr>
        <w:tc>
          <w:tcPr>
            <w:tcW w:w="600" w:type="dxa"/>
            <w:vAlign w:val="bottom"/>
          </w:tcPr>
          <w:p>
            <w:pPr>
              <w:jc w:val="right"/>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4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8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3"/>
                <w:szCs w:val="23"/>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3"/>
                <w:szCs w:val="23"/>
                <w:color w:val="auto"/>
              </w:rPr>
            </w:pPr>
          </w:p>
        </w:tc>
        <w:tc>
          <w:tcPr>
            <w:tcW w:w="1080" w:type="dxa"/>
            <w:vAlign w:val="bottom"/>
          </w:tcPr>
          <w:p>
            <w:pPr>
              <w:jc w:val="right"/>
              <w:ind w:right="22"/>
              <w:spacing w:after="0"/>
              <w:rPr>
                <w:sz w:val="20"/>
                <w:szCs w:val="20"/>
                <w:color w:val="auto"/>
              </w:rPr>
            </w:pPr>
            <w:r>
              <w:rPr>
                <w:rFonts w:ascii="Arial" w:cs="Arial" w:eastAsia="Arial" w:hAnsi="Arial"/>
                <w:sz w:val="16"/>
                <w:szCs w:val="16"/>
                <w:color w:val="auto"/>
              </w:rPr>
              <w:t>263</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3"/>
                <w:szCs w:val="23"/>
                <w:color w:val="auto"/>
              </w:rPr>
            </w:pPr>
          </w:p>
        </w:tc>
        <w:tc>
          <w:tcPr>
            <w:tcW w:w="108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3"/>
                <w:szCs w:val="23"/>
                <w:color w:val="auto"/>
              </w:rPr>
            </w:pPr>
          </w:p>
        </w:tc>
        <w:tc>
          <w:tcPr>
            <w:tcW w:w="820" w:type="dxa"/>
            <w:vAlign w:val="bottom"/>
          </w:tcPr>
          <w:p>
            <w:pPr>
              <w:jc w:val="right"/>
              <w:ind w:right="20"/>
              <w:spacing w:after="0"/>
              <w:rPr>
                <w:sz w:val="20"/>
                <w:szCs w:val="20"/>
                <w:color w:val="auto"/>
              </w:rPr>
            </w:pPr>
            <w:r>
              <w:rPr>
                <w:rFonts w:ascii="Arial" w:cs="Arial" w:eastAsia="Arial" w:hAnsi="Arial"/>
                <w:sz w:val="16"/>
                <w:szCs w:val="16"/>
                <w:color w:val="auto"/>
              </w:rPr>
              <w:t>57</w:t>
            </w: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900" w:type="dxa"/>
            <w:vAlign w:val="bottom"/>
          </w:tcPr>
          <w:p>
            <w:pPr>
              <w:jc w:val="right"/>
              <w:ind w:right="21"/>
              <w:spacing w:after="0"/>
              <w:rPr>
                <w:sz w:val="20"/>
                <w:szCs w:val="20"/>
                <w:color w:val="auto"/>
              </w:rPr>
            </w:pPr>
            <w:r>
              <w:rPr>
                <w:rFonts w:ascii="Arial" w:cs="Arial" w:eastAsia="Arial" w:hAnsi="Arial"/>
                <w:sz w:val="16"/>
                <w:szCs w:val="16"/>
                <w:color w:val="auto"/>
              </w:rPr>
              <w:t>320</w:t>
            </w:r>
          </w:p>
        </w:tc>
        <w:tc>
          <w:tcPr>
            <w:tcW w:w="0" w:type="dxa"/>
            <w:vAlign w:val="bottom"/>
          </w:tcPr>
          <w:p>
            <w:pPr>
              <w:spacing w:after="0"/>
              <w:rPr>
                <w:sz w:val="1"/>
                <w:szCs w:val="1"/>
                <w:color w:val="auto"/>
              </w:rPr>
            </w:pPr>
          </w:p>
        </w:tc>
      </w:tr>
      <w:tr>
        <w:trPr>
          <w:trHeight w:val="33"/>
        </w:trPr>
        <w:tc>
          <w:tcPr>
            <w:tcW w:w="6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600" w:type="dxa"/>
            <w:vAlign w:val="bottom"/>
          </w:tcPr>
          <w:p>
            <w:pPr>
              <w:jc w:val="right"/>
              <w:spacing w:after="0"/>
              <w:rPr>
                <w:sz w:val="20"/>
                <w:szCs w:val="20"/>
                <w:color w:val="auto"/>
              </w:rPr>
            </w:pPr>
            <w:r>
              <w:rPr>
                <w:rFonts w:ascii="Arial" w:cs="Arial" w:eastAsia="Arial" w:hAnsi="Arial"/>
                <w:sz w:val="16"/>
                <w:szCs w:val="16"/>
                <w:color w:val="auto"/>
              </w:rPr>
              <w:t>87,932</w:t>
            </w:r>
          </w:p>
        </w:tc>
        <w:tc>
          <w:tcPr>
            <w:tcW w:w="700" w:type="dxa"/>
            <w:vAlign w:val="bottom"/>
            <w:gridSpan w:val="3"/>
          </w:tcPr>
          <w:p>
            <w:pPr>
              <w:jc w:val="right"/>
              <w:ind w:right="312"/>
              <w:spacing w:after="0"/>
              <w:rPr>
                <w:sz w:val="20"/>
                <w:szCs w:val="20"/>
                <w:color w:val="auto"/>
              </w:rPr>
            </w:pPr>
            <w:r>
              <w:rPr>
                <w:rFonts w:ascii="Arial" w:cs="Arial" w:eastAsia="Arial" w:hAnsi="Arial"/>
                <w:sz w:val="16"/>
                <w:szCs w:val="16"/>
                <w:color w:val="auto"/>
              </w:rPr>
              <w:t>$</w:t>
            </w:r>
          </w:p>
        </w:tc>
        <w:tc>
          <w:tcPr>
            <w:tcW w:w="340" w:type="dxa"/>
            <w:vAlign w:val="bottom"/>
          </w:tcPr>
          <w:p>
            <w:pPr>
              <w:jc w:val="right"/>
              <w:ind w:right="39"/>
              <w:spacing w:after="0"/>
              <w:rPr>
                <w:sz w:val="20"/>
                <w:szCs w:val="20"/>
                <w:color w:val="auto"/>
              </w:rPr>
            </w:pPr>
            <w:r>
              <w:rPr>
                <w:rFonts w:ascii="Arial" w:cs="Arial" w:eastAsia="Arial" w:hAnsi="Arial"/>
                <w:sz w:val="16"/>
                <w:szCs w:val="16"/>
                <w:color w:val="auto"/>
              </w:rPr>
              <w:t>9</w:t>
            </w:r>
          </w:p>
        </w:tc>
        <w:tc>
          <w:tcPr>
            <w:tcW w:w="120" w:type="dxa"/>
            <w:vAlign w:val="bottom"/>
          </w:tcPr>
          <w:p>
            <w:pPr>
              <w:spacing w:after="0"/>
              <w:rPr>
                <w:sz w:val="18"/>
                <w:szCs w:val="18"/>
                <w:color w:val="auto"/>
              </w:rPr>
            </w:pPr>
          </w:p>
        </w:tc>
        <w:tc>
          <w:tcPr>
            <w:tcW w:w="700" w:type="dxa"/>
            <w:vAlign w:val="bottom"/>
          </w:tcPr>
          <w:p>
            <w:pPr>
              <w:jc w:val="right"/>
              <w:ind w:right="42"/>
              <w:spacing w:after="0"/>
              <w:rPr>
                <w:sz w:val="20"/>
                <w:szCs w:val="20"/>
                <w:color w:val="auto"/>
              </w:rPr>
            </w:pPr>
            <w:r>
              <w:rPr>
                <w:rFonts w:ascii="Arial" w:cs="Arial" w:eastAsia="Arial" w:hAnsi="Arial"/>
                <w:sz w:val="16"/>
                <w:szCs w:val="16"/>
                <w:color w:val="auto"/>
              </w:rPr>
              <w:t>10,471</w:t>
            </w:r>
          </w:p>
        </w:tc>
        <w:tc>
          <w:tcPr>
            <w:tcW w:w="12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680" w:type="dxa"/>
            <w:vAlign w:val="bottom"/>
          </w:tcPr>
          <w:p>
            <w:pPr>
              <w:jc w:val="right"/>
              <w:ind w:right="40"/>
              <w:spacing w:after="0"/>
              <w:rPr>
                <w:sz w:val="20"/>
                <w:szCs w:val="20"/>
                <w:color w:val="auto"/>
              </w:rPr>
            </w:pPr>
            <w:r>
              <w:rPr>
                <w:rFonts w:ascii="Arial" w:cs="Arial" w:eastAsia="Arial" w:hAnsi="Arial"/>
                <w:sz w:val="16"/>
                <w:szCs w:val="16"/>
                <w:color w:val="auto"/>
              </w:rPr>
              <w:t>1</w:t>
            </w:r>
          </w:p>
        </w:tc>
        <w:tc>
          <w:tcPr>
            <w:tcW w:w="10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080" w:type="dxa"/>
            <w:vAlign w:val="bottom"/>
          </w:tcPr>
          <w:p>
            <w:pPr>
              <w:jc w:val="right"/>
              <w:spacing w:after="0"/>
              <w:rPr>
                <w:sz w:val="20"/>
                <w:szCs w:val="20"/>
                <w:color w:val="auto"/>
              </w:rPr>
            </w:pPr>
            <w:r>
              <w:rPr>
                <w:rFonts w:ascii="Arial" w:cs="Arial" w:eastAsia="Arial" w:hAnsi="Arial"/>
                <w:sz w:val="16"/>
                <w:szCs w:val="16"/>
                <w:color w:val="auto"/>
              </w:rPr>
              <w:t>(385)</w:t>
            </w:r>
          </w:p>
        </w:tc>
        <w:tc>
          <w:tcPr>
            <w:tcW w:w="120" w:type="dxa"/>
            <w:vAlign w:val="bottom"/>
          </w:tcPr>
          <w:p>
            <w:pPr>
              <w:spacing w:after="0"/>
              <w:rPr>
                <w:sz w:val="18"/>
                <w:szCs w:val="18"/>
                <w:color w:val="auto"/>
              </w:rPr>
            </w:pPr>
          </w:p>
        </w:tc>
        <w:tc>
          <w:tcPr>
            <w:tcW w:w="160" w:type="dxa"/>
            <w:vAlign w:val="bottom"/>
          </w:tcPr>
          <w:p>
            <w:pPr>
              <w:ind w:left="20"/>
              <w:spacing w:after="0"/>
              <w:rPr>
                <w:sz w:val="20"/>
                <w:szCs w:val="20"/>
                <w:color w:val="auto"/>
              </w:rPr>
            </w:pPr>
            <w:r>
              <w:rPr>
                <w:rFonts w:ascii="Arial" w:cs="Arial" w:eastAsia="Arial" w:hAnsi="Arial"/>
                <w:sz w:val="16"/>
                <w:szCs w:val="16"/>
                <w:color w:val="auto"/>
              </w:rPr>
              <w:t>$</w:t>
            </w:r>
          </w:p>
        </w:tc>
        <w:tc>
          <w:tcPr>
            <w:tcW w:w="840" w:type="dxa"/>
            <w:vAlign w:val="bottom"/>
          </w:tcPr>
          <w:p>
            <w:pPr>
              <w:jc w:val="right"/>
              <w:ind w:right="20"/>
              <w:spacing w:after="0"/>
              <w:rPr>
                <w:sz w:val="20"/>
                <w:szCs w:val="20"/>
                <w:color w:val="auto"/>
              </w:rPr>
            </w:pPr>
            <w:r>
              <w:rPr>
                <w:rFonts w:ascii="Arial" w:cs="Arial" w:eastAsia="Arial" w:hAnsi="Arial"/>
                <w:sz w:val="16"/>
                <w:szCs w:val="16"/>
                <w:color w:val="auto"/>
              </w:rPr>
              <w:t>14,744</w:t>
            </w:r>
          </w:p>
        </w:tc>
        <w:tc>
          <w:tcPr>
            <w:tcW w:w="12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spacing w:after="0"/>
              <w:rPr>
                <w:sz w:val="20"/>
                <w:szCs w:val="20"/>
                <w:color w:val="auto"/>
              </w:rPr>
            </w:pPr>
            <w:r>
              <w:rPr>
                <w:rFonts w:ascii="Arial" w:cs="Arial" w:eastAsia="Arial" w:hAnsi="Arial"/>
                <w:sz w:val="16"/>
                <w:szCs w:val="16"/>
                <w:color w:val="auto"/>
              </w:rPr>
              <w:t>(94,348)</w:t>
            </w:r>
          </w:p>
        </w:tc>
        <w:tc>
          <w:tcPr>
            <w:tcW w:w="100" w:type="dxa"/>
            <w:vAlign w:val="bottom"/>
          </w:tcPr>
          <w:p>
            <w:pPr>
              <w:spacing w:after="0"/>
              <w:rPr>
                <w:sz w:val="18"/>
                <w:szCs w:val="18"/>
                <w:color w:val="auto"/>
              </w:rPr>
            </w:pPr>
          </w:p>
        </w:tc>
        <w:tc>
          <w:tcPr>
            <w:tcW w:w="200" w:type="dxa"/>
            <w:vAlign w:val="bottom"/>
          </w:tcPr>
          <w:p>
            <w:pPr>
              <w:ind w:left="40"/>
              <w:spacing w:after="0"/>
              <w:rPr>
                <w:sz w:val="20"/>
                <w:szCs w:val="20"/>
                <w:color w:val="auto"/>
              </w:rPr>
            </w:pPr>
            <w:r>
              <w:rPr>
                <w:rFonts w:ascii="Arial" w:cs="Arial" w:eastAsia="Arial" w:hAnsi="Arial"/>
                <w:sz w:val="16"/>
                <w:szCs w:val="16"/>
                <w:color w:val="auto"/>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(11,269)</w:t>
            </w:r>
          </w:p>
        </w:tc>
        <w:tc>
          <w:tcPr>
            <w:tcW w:w="10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(91,248)</w:t>
            </w:r>
          </w:p>
        </w:tc>
        <w:tc>
          <w:tcPr>
            <w:tcW w:w="0" w:type="dxa"/>
            <w:vAlign w:val="bottom"/>
          </w:tcPr>
          <w:p>
            <w:pPr>
              <w:spacing w:after="0"/>
              <w:rPr>
                <w:sz w:val="1"/>
                <w:szCs w:val="1"/>
                <w:color w:val="auto"/>
              </w:rPr>
            </w:pPr>
          </w:p>
        </w:tc>
      </w:tr>
      <w:tr>
        <w:trPr>
          <w:trHeight w:val="33"/>
        </w:trPr>
        <w:tc>
          <w:tcPr>
            <w:tcW w:w="6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6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-1315085</wp:posOffset>
            </wp:positionH>
            <wp:positionV relativeFrom="paragraph">
              <wp:posOffset>-2683510</wp:posOffset>
            </wp:positionV>
            <wp:extent cx="7246620" cy="1714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-1315085</wp:posOffset>
            </wp:positionH>
            <wp:positionV relativeFrom="paragraph">
              <wp:posOffset>-2340610</wp:posOffset>
            </wp:positionV>
            <wp:extent cx="7246620" cy="2228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222885"/>
                    </a:xfrm>
                    <a:prstGeom prst="rect">
                      <a:avLst/>
                    </a:prstGeom>
                    <a:noFill/>
                  </pic:spPr>
                </pic:pic>
              </a:graphicData>
            </a:graphic>
          </wp:anchor>
        </w:drawing>
        <w:drawing>
          <wp:anchor simplePos="0" relativeHeight="251657728" behindDoc="1" locked="0" layoutInCell="0" allowOverlap="1">
            <wp:simplePos x="0" y="0"/>
            <wp:positionH relativeFrom="column">
              <wp:posOffset>-1315085</wp:posOffset>
            </wp:positionH>
            <wp:positionV relativeFrom="paragraph">
              <wp:posOffset>-1894840</wp:posOffset>
            </wp:positionV>
            <wp:extent cx="7246620" cy="2228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222885"/>
                    </a:xfrm>
                    <a:prstGeom prst="rect">
                      <a:avLst/>
                    </a:prstGeom>
                    <a:noFill/>
                  </pic:spPr>
                </pic:pic>
              </a:graphicData>
            </a:graphic>
          </wp:anchor>
        </w:drawing>
        <w:drawing>
          <wp:anchor simplePos="0" relativeHeight="251657728" behindDoc="1" locked="0" layoutInCell="0" allowOverlap="1">
            <wp:simplePos x="0" y="0"/>
            <wp:positionH relativeFrom="column">
              <wp:posOffset>-1315085</wp:posOffset>
            </wp:positionH>
            <wp:positionV relativeFrom="paragraph">
              <wp:posOffset>-1448435</wp:posOffset>
            </wp:positionV>
            <wp:extent cx="7246620" cy="4114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411480"/>
                    </a:xfrm>
                    <a:prstGeom prst="rect">
                      <a:avLst/>
                    </a:prstGeom>
                    <a:noFill/>
                  </pic:spPr>
                </pic:pic>
              </a:graphicData>
            </a:graphic>
          </wp:anchor>
        </w:drawing>
        <w:drawing>
          <wp:anchor simplePos="0" relativeHeight="251657728" behindDoc="1" locked="0" layoutInCell="0" allowOverlap="1">
            <wp:simplePos x="0" y="0"/>
            <wp:positionH relativeFrom="column">
              <wp:posOffset>-1315085</wp:posOffset>
            </wp:positionH>
            <wp:positionV relativeFrom="paragraph">
              <wp:posOffset>-814070</wp:posOffset>
            </wp:positionV>
            <wp:extent cx="7246620" cy="2228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222885"/>
                    </a:xfrm>
                    <a:prstGeom prst="rect">
                      <a:avLst/>
                    </a:prstGeom>
                    <a:noFill/>
                  </pic:spPr>
                </pic:pic>
              </a:graphicData>
            </a:graphic>
          </wp:anchor>
        </w:drawing>
        <w:drawing>
          <wp:anchor simplePos="0" relativeHeight="251657728" behindDoc="1" locked="0" layoutInCell="0" allowOverlap="1">
            <wp:simplePos x="0" y="0"/>
            <wp:positionH relativeFrom="column">
              <wp:posOffset>-1315085</wp:posOffset>
            </wp:positionH>
            <wp:positionV relativeFrom="paragraph">
              <wp:posOffset>-368300</wp:posOffset>
            </wp:positionV>
            <wp:extent cx="7246620" cy="1714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227" w:lineRule="exact"/>
        <w:rPr>
          <w:sz w:val="20"/>
          <w:szCs w:val="20"/>
          <w:color w:val="auto"/>
        </w:rPr>
      </w:pPr>
    </w:p>
    <w:p>
      <w:pPr>
        <w:jc w:val="center"/>
        <w:ind w:right="2080"/>
        <w:spacing w:after="0"/>
        <w:rPr>
          <w:sz w:val="20"/>
          <w:szCs w:val="20"/>
          <w:color w:val="auto"/>
        </w:rPr>
      </w:pPr>
      <w:r>
        <w:rPr>
          <w:rFonts w:ascii="Arial" w:cs="Arial" w:eastAsia="Arial" w:hAnsi="Arial"/>
          <w:sz w:val="16"/>
          <w:szCs w:val="16"/>
          <w:i w:val="1"/>
          <w:iCs w:val="1"/>
          <w:color w:val="auto"/>
        </w:rPr>
        <w:t>See accompanying notes to condensed consolidated financial statements.</w:t>
      </w:r>
    </w:p>
    <w:p>
      <w:pPr>
        <w:spacing w:after="0" w:line="244" w:lineRule="exact"/>
        <w:rPr>
          <w:sz w:val="20"/>
          <w:szCs w:val="20"/>
          <w:color w:val="auto"/>
        </w:rPr>
      </w:pPr>
    </w:p>
    <w:p>
      <w:pPr>
        <w:ind w:left="3580"/>
        <w:spacing w:after="0"/>
        <w:rPr>
          <w:sz w:val="20"/>
          <w:szCs w:val="20"/>
          <w:color w:val="auto"/>
        </w:rPr>
      </w:pPr>
      <w:r>
        <w:rPr>
          <w:rFonts w:ascii="Arial" w:cs="Arial" w:eastAsia="Arial" w:hAnsi="Arial"/>
          <w:sz w:val="18"/>
          <w:szCs w:val="18"/>
          <w:color w:val="auto"/>
        </w:rPr>
        <w:t>8</w:t>
      </w:r>
    </w:p>
    <w:p>
      <w:pPr>
        <w:sectPr>
          <w:pgSz w:w="11900" w:h="16838" w:orient="portrait"/>
          <w:cols w:equalWidth="0" w:num="2">
            <w:col w:w="1920" w:space="160"/>
            <w:col w:w="9340"/>
          </w:cols>
          <w:pgMar w:left="240" w:top="233" w:right="239" w:bottom="1440" w:gutter="0" w:footer="0" w:header="0"/>
          <w:type w:val="continuous"/>
        </w:sectPr>
      </w:pPr>
    </w:p>
    <w:bookmarkStart w:id="9" w:name="page10"/>
    <w:bookmarkEnd w:id="9"/>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Business Organization</w:t>
      </w:r>
    </w:p>
    <w:p>
      <w:pPr>
        <w:spacing w:after="0" w:line="121" w:lineRule="exact"/>
        <w:rPr>
          <w:sz w:val="20"/>
          <w:szCs w:val="20"/>
          <w:color w:val="auto"/>
        </w:rPr>
      </w:pPr>
    </w:p>
    <w:p>
      <w:pPr>
        <w:jc w:val="both"/>
        <w:ind w:right="20"/>
        <w:spacing w:after="0" w:line="264" w:lineRule="auto"/>
        <w:rPr>
          <w:sz w:val="20"/>
          <w:szCs w:val="20"/>
          <w:color w:val="auto"/>
        </w:rPr>
      </w:pPr>
      <w:r>
        <w:rPr>
          <w:rFonts w:ascii="Arial" w:cs="Arial" w:eastAsia="Arial" w:hAnsi="Arial"/>
          <w:sz w:val="18"/>
          <w:szCs w:val="18"/>
          <w:color w:val="auto"/>
        </w:rPr>
        <w:t>Planet Fitness, Inc. (the “Company”), through its subsidiaries, is a franchisor and operator of fitness centers, with more than 12.1 million members and 1,608 owned and franchised locations (referred to as stores) in 50 states, the District of Columbia, Puerto Rico, Canada, the Dominican Republic, Panama and Mexico as of June 30, 2018.</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The Company serves as the reporting entity for its various subsidiaries that operate three distinct lines of business:</w:t>
      </w:r>
    </w:p>
    <w:p>
      <w:pPr>
        <w:spacing w:after="0" w:line="23" w:lineRule="exact"/>
        <w:rPr>
          <w:sz w:val="20"/>
          <w:szCs w:val="20"/>
          <w:color w:val="auto"/>
        </w:rPr>
      </w:pPr>
    </w:p>
    <w:p>
      <w:pPr>
        <w:ind w:left="580" w:hanging="315"/>
        <w:spacing w:after="0"/>
        <w:tabs>
          <w:tab w:leader="none" w:pos="580" w:val="left"/>
        </w:tabs>
        <w:numPr>
          <w:ilvl w:val="0"/>
          <w:numId w:val="5"/>
        </w:numPr>
        <w:rPr>
          <w:rFonts w:ascii="Arial" w:cs="Arial" w:eastAsia="Arial" w:hAnsi="Arial"/>
          <w:sz w:val="18"/>
          <w:szCs w:val="18"/>
          <w:color w:val="auto"/>
        </w:rPr>
      </w:pPr>
      <w:r>
        <w:rPr>
          <w:rFonts w:ascii="Arial" w:cs="Arial" w:eastAsia="Arial" w:hAnsi="Arial"/>
          <w:sz w:val="18"/>
          <w:szCs w:val="18"/>
          <w:color w:val="auto"/>
        </w:rPr>
        <w:t>Licensing and selling franchises under the Planet Fitness trade name.</w:t>
      </w:r>
    </w:p>
    <w:p>
      <w:pPr>
        <w:spacing w:after="0" w:line="9" w:lineRule="exact"/>
        <w:rPr>
          <w:rFonts w:ascii="Arial" w:cs="Arial" w:eastAsia="Arial" w:hAnsi="Arial"/>
          <w:sz w:val="18"/>
          <w:szCs w:val="18"/>
          <w:color w:val="auto"/>
        </w:rPr>
      </w:pPr>
    </w:p>
    <w:p>
      <w:pPr>
        <w:ind w:left="580" w:hanging="315"/>
        <w:spacing w:after="0"/>
        <w:tabs>
          <w:tab w:leader="none" w:pos="580" w:val="left"/>
        </w:tabs>
        <w:numPr>
          <w:ilvl w:val="0"/>
          <w:numId w:val="5"/>
        </w:numPr>
        <w:rPr>
          <w:rFonts w:ascii="Arial" w:cs="Arial" w:eastAsia="Arial" w:hAnsi="Arial"/>
          <w:sz w:val="18"/>
          <w:szCs w:val="18"/>
          <w:color w:val="auto"/>
        </w:rPr>
      </w:pPr>
      <w:r>
        <w:rPr>
          <w:rFonts w:ascii="Arial" w:cs="Arial" w:eastAsia="Arial" w:hAnsi="Arial"/>
          <w:sz w:val="18"/>
          <w:szCs w:val="18"/>
          <w:color w:val="auto"/>
        </w:rPr>
        <w:t>Owning and operating fitness centers under the Planet Fitness trade name.</w:t>
      </w:r>
    </w:p>
    <w:p>
      <w:pPr>
        <w:spacing w:after="0" w:line="9" w:lineRule="exact"/>
        <w:rPr>
          <w:rFonts w:ascii="Arial" w:cs="Arial" w:eastAsia="Arial" w:hAnsi="Arial"/>
          <w:sz w:val="18"/>
          <w:szCs w:val="18"/>
          <w:color w:val="auto"/>
        </w:rPr>
      </w:pPr>
    </w:p>
    <w:p>
      <w:pPr>
        <w:ind w:left="580" w:hanging="315"/>
        <w:spacing w:after="0"/>
        <w:tabs>
          <w:tab w:leader="none" w:pos="580" w:val="left"/>
        </w:tabs>
        <w:numPr>
          <w:ilvl w:val="0"/>
          <w:numId w:val="5"/>
        </w:numPr>
        <w:rPr>
          <w:rFonts w:ascii="Arial" w:cs="Arial" w:eastAsia="Arial" w:hAnsi="Arial"/>
          <w:sz w:val="18"/>
          <w:szCs w:val="18"/>
          <w:color w:val="auto"/>
        </w:rPr>
      </w:pPr>
      <w:r>
        <w:rPr>
          <w:rFonts w:ascii="Arial" w:cs="Arial" w:eastAsia="Arial" w:hAnsi="Arial"/>
          <w:sz w:val="18"/>
          <w:szCs w:val="18"/>
          <w:color w:val="auto"/>
        </w:rPr>
        <w:t>Selling fitness-related equipment to franchisee-owned stores.</w:t>
      </w:r>
    </w:p>
    <w:p>
      <w:pPr>
        <w:spacing w:after="0" w:line="211"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The Company was formed as a Delaware corporation on March 16, 2015 for the purpose of facilitating an initial public offering (the “IPO”) which was completed on August 11, 2015 and related transactions in order to carry on the business of Pla-Fit Holdings, LLC and its subsidiaries (“Pla-Fit Holdings”). As of August 5, 2015, in connection with the recapitalization transactions that occurred prior to the IPO, the Company became the sole managing member and holder of 100% of the voting power of Pla-Fit Holdings. Pla-Fit Holdings owns 100% of Planet Intermediate, LLC which has no operations but is the 100% owner of Planet Fitness Holdings, LLC, a franchisor and operator of fitness centers. With respect to the Company, Pla-Fit Holdings and Planet Intermediate, LLC, each entity owns nothing other than the respective entity below it in the corporate structure and each entity has no other material operations.</w:t>
      </w:r>
    </w:p>
    <w:p>
      <w:pPr>
        <w:spacing w:after="0" w:line="165"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Subsequent to the IPO and the related recapitalization transactions, the Company is a holding company whose principal asset is a controlling equity interest in Pla-Fit Holdings. As the sole managing member of Pla-Fit Holdings, the Company operates and controls all of the business and affairs of Pla-Fit Holdings, and through Pla-Fit Holdings, conducts its business. As a result, the Company consolidates Pla-Fit Holdings’ financial results and reports a non-controlling interest related to the portion of limited liability company units of Pla-Fit Holdings (“Holdings Units”) not owned by the Company. Unless otherwise specified, “the Company” refers to both Planet Fitness, Inc. and Pla-Fit Holdings throughout the remainder of these notes.</w:t>
      </w:r>
    </w:p>
    <w:p>
      <w:pPr>
        <w:spacing w:after="0" w:line="17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As of June 30, 2018, Planet Fitness, Inc. held 100.0% of the voting interest and 89.4% of the economic interest of Pla-Fit Holdings and the holders of Holdings Units of Pla-Fit Holdings (the “Continuing LLC Owners”) held the remaining 10.6% economic interest in Pla-Fit Holdings.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 Basis of presentation and consolidation</w:t>
      </w:r>
    </w:p>
    <w:p>
      <w:pPr>
        <w:spacing w:after="0" w:line="11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accompanying unaudited interim condensed consolidated financial statements have been prepared in accordance with accounting principles generally accepted in the United States of America (U.S. GAAP) for interim financial information and pursuant to the rules and regulations of the Securities and Exchange Commission (the “SEC”). Accordingly, these interim financial statements do not include all of the information and footnotes required by U.S. GAAP for complete financial statements. In the opinion of management, all adjustments (consisting of normal recurring adjustments) necessary for a fair presentation of the results of operations, financial position and cash flows for the periods presented have been reflected. All significant intercompany balances and transactions have been eliminated in consolidation.</w:t>
      </w:r>
    </w:p>
    <w:p>
      <w:pPr>
        <w:spacing w:after="0" w:line="193"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condensed consolidated financial statements as of and for the three and six months ended June 30, 2018 and 2017 are unaudited. The condensed consolidated balance sheet as of December 31, 2017 has been derived from the audited financial statements at that date but does not include all of the disclosures required by U.S. GAAP. These interim condensed consolidated financial statements should be read in conjunction with the Company’s Annual Report on Form 10-K for the year ended December 31, 2017 (the “Annual Report”) filed with the SEC on March 1, 2018</w:t>
      </w:r>
      <w:r>
        <w:rPr>
          <w:rFonts w:ascii="Arial" w:cs="Arial" w:eastAsia="Arial" w:hAnsi="Arial"/>
          <w:sz w:val="18"/>
          <w:szCs w:val="18"/>
          <w:i w:val="1"/>
          <w:iCs w:val="1"/>
          <w:color w:val="231F20"/>
        </w:rPr>
        <w:t>.</w:t>
      </w:r>
      <w:r>
        <w:rPr>
          <w:rFonts w:ascii="Arial" w:cs="Arial" w:eastAsia="Arial" w:hAnsi="Arial"/>
          <w:sz w:val="18"/>
          <w:szCs w:val="18"/>
          <w:color w:val="auto"/>
        </w:rPr>
        <w:t xml:space="preserve"> Operating results for the interim periods are not necessarily indicative of the results that may be expected for the full year.</w:t>
      </w:r>
    </w:p>
    <w:p>
      <w:pPr>
        <w:spacing w:after="0" w:line="188"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As discussed in Note 1, as a result of the recapitalization transactions, Planet Fitness, Inc. consolidates Pla-Fit Holdings. The Company also consolidates entities in which it has a controlling financial interest, the usual condition of which is ownership of a majority voting interest. The Company also considers for consolidation certain interests where the controlling financial interest may be achieved through arrangements that do not involve voting interests. Such an entity, known as a variable interest entity (“VIE”), is required to be consolidated by its primary beneficiary. The primary beneficiary of a VIE is considered to possess the</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229" w:right="23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power to direct the activities of the VIE that most significantly impact its economic performance and has the obligation to absorb losses or the rights to receive benefits from the VIE that are significant to it. The principal entities in which the Company possesses a variable interest include franchise entities and certain other entities. The Company is not deemed to be the primary beneficiary for Planet Fitness franchise entities. Therefore, these entities are not consolidated.</w:t>
      </w:r>
    </w:p>
    <w:p>
      <w:pPr>
        <w:spacing w:after="0" w:line="79"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The results of the Company have been consolidated with Matthew Michael Realty LLC (“MMR”) and PF Melville LLC (“PF Melville”) based on the determination that the Company is the primary beneficiary with respect to these VIEs. These entities are real estate holding companies that derive a majority of their financial support from the Company through lease agreements for corporate stores. See Note 3 for further information related to the Company’s VIEs.</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 Use of estimates</w:t>
      </w:r>
    </w:p>
    <w:p>
      <w:pPr>
        <w:spacing w:after="0" w:line="11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preparation of financial statements in conformity with U.S. GAAP requires management to make estimates and assumptions that affect the amounts reported in the consolidated financial statements and accompanying notes. Although these estimates are based on management’s knowledge of current events and actions it may undertake in the future, they may ultimately differ from actual results. Significant areas where estimates and judgments are relied upon by management in the preparation of the consolidated financial statements include revenue recognition, valuation of assets and liabilities in connection with acquisitions, valuation of equity-based compensation awards, the evaluation of the recoverability of goodwill and long-lived assets, including intangible assets, income taxes, including deferred tax assets and liabilities and reserves for unrecognized tax benefits, and the liability for the Company’s tax benefit arrangements.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 Fair Value</w:t>
      </w:r>
    </w:p>
    <w:p>
      <w:pPr>
        <w:spacing w:after="0" w:line="117"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 xml:space="preserve">ASC 820, </w:t>
      </w:r>
      <w:r>
        <w:rPr>
          <w:rFonts w:ascii="Arial" w:cs="Arial" w:eastAsia="Arial" w:hAnsi="Arial"/>
          <w:sz w:val="17"/>
          <w:szCs w:val="17"/>
          <w:i w:val="1"/>
          <w:iCs w:val="1"/>
          <w:color w:val="auto"/>
        </w:rPr>
        <w:t>Fair Value Measurements and Disclosures</w:t>
      </w:r>
      <w:r>
        <w:rPr>
          <w:rFonts w:ascii="Arial" w:cs="Arial" w:eastAsia="Arial" w:hAnsi="Arial"/>
          <w:sz w:val="17"/>
          <w:szCs w:val="17"/>
          <w:color w:val="auto"/>
        </w:rPr>
        <w:t>, establishes a three-level valuation hierarchy for disclosure of fair value measurements. The valuation hierarchy is based upon the transparency of inputs to the valuation of an asset or liability as of the measurement date. Categorization within the valuation hierarchy is based upon the lowest level of input that is significant to the fair value measurement. The three levels are defined as follows:</w:t>
      </w:r>
    </w:p>
    <w:p>
      <w:pPr>
        <w:spacing w:after="0" w:line="57" w:lineRule="exact"/>
        <w:rPr>
          <w:sz w:val="20"/>
          <w:szCs w:val="20"/>
          <w:color w:val="auto"/>
        </w:rPr>
      </w:pPr>
    </w:p>
    <w:p>
      <w:pPr>
        <w:spacing w:after="0"/>
        <w:rPr>
          <w:sz w:val="20"/>
          <w:szCs w:val="20"/>
          <w:color w:val="auto"/>
        </w:rPr>
      </w:pPr>
      <w:r>
        <w:rPr>
          <w:rFonts w:ascii="Arial" w:cs="Arial" w:eastAsia="Arial" w:hAnsi="Arial"/>
          <w:sz w:val="18"/>
          <w:szCs w:val="18"/>
          <w:color w:val="auto"/>
        </w:rPr>
        <w:t>Level 1—Inputs to the valuation methodology are quoted prices (unadjusted) for identical assets or liabilities in active markets.</w:t>
      </w:r>
    </w:p>
    <w:p>
      <w:pPr>
        <w:spacing w:after="0" w:line="117"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Level 2—Inputs to the valuation methodology include quoted prices for similar assets and liabilities in active markets, and inputs that are observable for the asset or liability, either directly or indirectly, for substantially the full term of the financial instrument.</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color w:val="auto"/>
        </w:rPr>
        <w:t>Level 3—Inputs to the valuation methodology are unobservable and significant to the fair value measurement.</w:t>
      </w:r>
    </w:p>
    <w:p>
      <w:pPr>
        <w:spacing w:after="0" w:line="117" w:lineRule="exact"/>
        <w:rPr>
          <w:sz w:val="20"/>
          <w:szCs w:val="20"/>
          <w:color w:val="auto"/>
        </w:rPr>
      </w:pPr>
    </w:p>
    <w:p>
      <w:pPr>
        <w:spacing w:after="0"/>
        <w:rPr>
          <w:sz w:val="20"/>
          <w:szCs w:val="20"/>
          <w:color w:val="auto"/>
        </w:rPr>
      </w:pPr>
      <w:r>
        <w:rPr>
          <w:rFonts w:ascii="Arial" w:cs="Arial" w:eastAsia="Arial" w:hAnsi="Arial"/>
          <w:sz w:val="16"/>
          <w:szCs w:val="16"/>
          <w:color w:val="auto"/>
        </w:rPr>
        <w:t>The table below presents information about the Company’s assets and liabilities that are measured at fair value on a recurring basis as of June 30, 2018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December 31, 2017:</w:t>
      </w:r>
    </w:p>
    <w:p>
      <w:pPr>
        <w:spacing w:after="0" w:line="35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780" w:type="dxa"/>
            <w:vAlign w:val="bottom"/>
          </w:tcPr>
          <w:p>
            <w:pPr>
              <w:spacing w:after="0"/>
              <w:rPr>
                <w:sz w:val="14"/>
                <w:szCs w:val="14"/>
                <w:color w:val="auto"/>
              </w:rPr>
            </w:pPr>
          </w:p>
        </w:tc>
        <w:tc>
          <w:tcPr>
            <w:tcW w:w="1960" w:type="dxa"/>
            <w:vAlign w:val="bottom"/>
            <w:gridSpan w:val="3"/>
            <w:vMerge w:val="restart"/>
          </w:tcPr>
          <w:p>
            <w:pPr>
              <w:jc w:val="center"/>
              <w:ind w:right="140"/>
              <w:spacing w:after="0"/>
              <w:rPr>
                <w:sz w:val="20"/>
                <w:szCs w:val="20"/>
                <w:color w:val="auto"/>
              </w:rPr>
            </w:pPr>
            <w:r>
              <w:rPr>
                <w:rFonts w:ascii="Arial" w:cs="Arial" w:eastAsia="Arial" w:hAnsi="Arial"/>
                <w:sz w:val="14"/>
                <w:szCs w:val="14"/>
                <w:b w:val="1"/>
                <w:bCs w:val="1"/>
                <w:color w:val="auto"/>
                <w:w w:val="94"/>
              </w:rPr>
              <w:t>Total fair value at June 30,</w:t>
            </w:r>
          </w:p>
        </w:tc>
        <w:tc>
          <w:tcPr>
            <w:tcW w:w="300" w:type="dxa"/>
            <w:vAlign w:val="bottom"/>
          </w:tcPr>
          <w:p>
            <w:pPr>
              <w:spacing w:after="0"/>
              <w:rPr>
                <w:sz w:val="14"/>
                <w:szCs w:val="14"/>
                <w:color w:val="auto"/>
              </w:rPr>
            </w:pPr>
          </w:p>
        </w:tc>
        <w:tc>
          <w:tcPr>
            <w:tcW w:w="1620" w:type="dxa"/>
            <w:vAlign w:val="bottom"/>
            <w:gridSpan w:val="2"/>
            <w:vMerge w:val="restart"/>
          </w:tcPr>
          <w:p>
            <w:pPr>
              <w:jc w:val="center"/>
              <w:ind w:right="400"/>
              <w:spacing w:after="0"/>
              <w:rPr>
                <w:sz w:val="20"/>
                <w:szCs w:val="20"/>
                <w:color w:val="auto"/>
              </w:rPr>
            </w:pPr>
            <w:r>
              <w:rPr>
                <w:rFonts w:ascii="Arial" w:cs="Arial" w:eastAsia="Arial" w:hAnsi="Arial"/>
                <w:sz w:val="14"/>
                <w:szCs w:val="14"/>
                <w:b w:val="1"/>
                <w:bCs w:val="1"/>
                <w:color w:val="auto"/>
                <w:w w:val="91"/>
              </w:rPr>
              <w:t>Quoted prices</w:t>
            </w:r>
          </w:p>
        </w:tc>
        <w:tc>
          <w:tcPr>
            <w:tcW w:w="240" w:type="dxa"/>
            <w:vAlign w:val="bottom"/>
          </w:tcPr>
          <w:p>
            <w:pPr>
              <w:spacing w:after="0"/>
              <w:rPr>
                <w:sz w:val="14"/>
                <w:szCs w:val="14"/>
                <w:color w:val="auto"/>
              </w:rPr>
            </w:pPr>
          </w:p>
        </w:tc>
        <w:tc>
          <w:tcPr>
            <w:tcW w:w="170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4"/>
              </w:rPr>
              <w:t>Significant other</w:t>
            </w:r>
          </w:p>
        </w:tc>
        <w:tc>
          <w:tcPr>
            <w:tcW w:w="200" w:type="dxa"/>
            <w:vAlign w:val="bottom"/>
          </w:tcPr>
          <w:p>
            <w:pPr>
              <w:spacing w:after="0"/>
              <w:rPr>
                <w:sz w:val="14"/>
                <w:szCs w:val="14"/>
                <w:color w:val="auto"/>
              </w:rPr>
            </w:pPr>
          </w:p>
        </w:tc>
        <w:tc>
          <w:tcPr>
            <w:tcW w:w="1620" w:type="dxa"/>
            <w:vAlign w:val="bottom"/>
          </w:tcPr>
          <w:p>
            <w:pPr>
              <w:jc w:val="center"/>
              <w:ind w:right="124"/>
              <w:spacing w:after="0"/>
              <w:rPr>
                <w:sz w:val="20"/>
                <w:szCs w:val="20"/>
                <w:color w:val="auto"/>
              </w:rPr>
            </w:pPr>
            <w:r>
              <w:rPr>
                <w:rFonts w:ascii="Arial" w:cs="Arial" w:eastAsia="Arial" w:hAnsi="Arial"/>
                <w:sz w:val="14"/>
                <w:szCs w:val="14"/>
                <w:b w:val="1"/>
                <w:bCs w:val="1"/>
                <w:color w:val="auto"/>
                <w:w w:val="92"/>
              </w:rPr>
              <w:t>Significant</w:t>
            </w:r>
          </w:p>
        </w:tc>
        <w:tc>
          <w:tcPr>
            <w:tcW w:w="0" w:type="dxa"/>
            <w:vAlign w:val="bottom"/>
          </w:tcPr>
          <w:p>
            <w:pPr>
              <w:spacing w:after="0"/>
              <w:rPr>
                <w:sz w:val="1"/>
                <w:szCs w:val="1"/>
                <w:color w:val="auto"/>
              </w:rPr>
            </w:pPr>
          </w:p>
        </w:tc>
      </w:tr>
      <w:tr>
        <w:trPr>
          <w:trHeight w:val="149"/>
        </w:trPr>
        <w:tc>
          <w:tcPr>
            <w:tcW w:w="3780" w:type="dxa"/>
            <w:vAlign w:val="bottom"/>
          </w:tcPr>
          <w:p>
            <w:pPr>
              <w:spacing w:after="0"/>
              <w:rPr>
                <w:sz w:val="12"/>
                <w:szCs w:val="12"/>
                <w:color w:val="auto"/>
              </w:rPr>
            </w:pPr>
          </w:p>
        </w:tc>
        <w:tc>
          <w:tcPr>
            <w:tcW w:w="1960" w:type="dxa"/>
            <w:vAlign w:val="bottom"/>
            <w:gridSpan w:val="3"/>
            <w:vMerge w:val="continue"/>
          </w:tcPr>
          <w:p>
            <w:pPr>
              <w:spacing w:after="0"/>
              <w:rPr>
                <w:sz w:val="12"/>
                <w:szCs w:val="12"/>
                <w:color w:val="auto"/>
              </w:rPr>
            </w:pPr>
          </w:p>
        </w:tc>
        <w:tc>
          <w:tcPr>
            <w:tcW w:w="300" w:type="dxa"/>
            <w:vAlign w:val="bottom"/>
          </w:tcPr>
          <w:p>
            <w:pPr>
              <w:spacing w:after="0"/>
              <w:rPr>
                <w:sz w:val="12"/>
                <w:szCs w:val="12"/>
                <w:color w:val="auto"/>
              </w:rPr>
            </w:pPr>
          </w:p>
        </w:tc>
        <w:tc>
          <w:tcPr>
            <w:tcW w:w="1620" w:type="dxa"/>
            <w:vAlign w:val="bottom"/>
            <w:gridSpan w:val="2"/>
            <w:vMerge w:val="continue"/>
          </w:tcPr>
          <w:p>
            <w:pPr>
              <w:spacing w:after="0"/>
              <w:rPr>
                <w:sz w:val="12"/>
                <w:szCs w:val="12"/>
                <w:color w:val="auto"/>
              </w:rPr>
            </w:pPr>
          </w:p>
        </w:tc>
        <w:tc>
          <w:tcPr>
            <w:tcW w:w="240" w:type="dxa"/>
            <w:vAlign w:val="bottom"/>
          </w:tcPr>
          <w:p>
            <w:pPr>
              <w:spacing w:after="0"/>
              <w:rPr>
                <w:sz w:val="12"/>
                <w:szCs w:val="12"/>
                <w:color w:val="auto"/>
              </w:rPr>
            </w:pPr>
          </w:p>
        </w:tc>
        <w:tc>
          <w:tcPr>
            <w:tcW w:w="170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0"/>
              </w:rPr>
              <w:t>observable inputs</w:t>
            </w:r>
          </w:p>
        </w:tc>
        <w:tc>
          <w:tcPr>
            <w:tcW w:w="200" w:type="dxa"/>
            <w:vAlign w:val="bottom"/>
          </w:tcPr>
          <w:p>
            <w:pPr>
              <w:spacing w:after="0"/>
              <w:rPr>
                <w:sz w:val="12"/>
                <w:szCs w:val="12"/>
                <w:color w:val="auto"/>
              </w:rPr>
            </w:pPr>
          </w:p>
        </w:tc>
        <w:tc>
          <w:tcPr>
            <w:tcW w:w="1620" w:type="dxa"/>
            <w:vAlign w:val="bottom"/>
          </w:tcPr>
          <w:p>
            <w:pPr>
              <w:jc w:val="center"/>
              <w:ind w:right="124"/>
              <w:spacing w:after="0" w:line="149" w:lineRule="exact"/>
              <w:rPr>
                <w:sz w:val="20"/>
                <w:szCs w:val="20"/>
                <w:color w:val="auto"/>
              </w:rPr>
            </w:pPr>
            <w:r>
              <w:rPr>
                <w:rFonts w:ascii="Arial" w:cs="Arial" w:eastAsia="Arial" w:hAnsi="Arial"/>
                <w:sz w:val="14"/>
                <w:szCs w:val="14"/>
                <w:b w:val="1"/>
                <w:bCs w:val="1"/>
                <w:color w:val="auto"/>
                <w:w w:val="91"/>
              </w:rPr>
              <w:t>unobservable inputs</w:t>
            </w:r>
          </w:p>
        </w:tc>
        <w:tc>
          <w:tcPr>
            <w:tcW w:w="0" w:type="dxa"/>
            <w:vAlign w:val="bottom"/>
          </w:tcPr>
          <w:p>
            <w:pPr>
              <w:spacing w:after="0"/>
              <w:rPr>
                <w:sz w:val="1"/>
                <w:szCs w:val="1"/>
                <w:color w:val="auto"/>
              </w:rPr>
            </w:pPr>
          </w:p>
        </w:tc>
      </w:tr>
      <w:tr>
        <w:trPr>
          <w:trHeight w:val="192"/>
        </w:trPr>
        <w:tc>
          <w:tcPr>
            <w:tcW w:w="3780" w:type="dxa"/>
            <w:vAlign w:val="bottom"/>
            <w:tcBorders>
              <w:bottom w:val="single" w:sz="8" w:color="CFF0FC"/>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580" w:type="dxa"/>
            <w:vAlign w:val="bottom"/>
            <w:tcBorders>
              <w:bottom w:val="single" w:sz="8" w:color="auto"/>
            </w:tcBorders>
          </w:tcPr>
          <w:p>
            <w:pPr>
              <w:jc w:val="center"/>
              <w:ind w:right="162"/>
              <w:spacing w:after="0"/>
              <w:rPr>
                <w:sz w:val="20"/>
                <w:szCs w:val="20"/>
                <w:color w:val="auto"/>
              </w:rPr>
            </w:pPr>
            <w:r>
              <w:rPr>
                <w:rFonts w:ascii="Arial" w:cs="Arial" w:eastAsia="Arial" w:hAnsi="Arial"/>
                <w:sz w:val="14"/>
                <w:szCs w:val="14"/>
                <w:b w:val="1"/>
                <w:bCs w:val="1"/>
                <w:color w:val="auto"/>
                <w:w w:val="96"/>
              </w:rPr>
              <w:t>2018</w:t>
            </w:r>
          </w:p>
        </w:tc>
        <w:tc>
          <w:tcPr>
            <w:tcW w:w="120" w:type="dxa"/>
            <w:vAlign w:val="bottom"/>
            <w:tcBorders>
              <w:bottom w:val="single" w:sz="8" w:color="CFF0FC"/>
            </w:tcBorders>
          </w:tcPr>
          <w:p>
            <w:pPr>
              <w:spacing w:after="0"/>
              <w:rPr>
                <w:sz w:val="16"/>
                <w:szCs w:val="16"/>
                <w:color w:val="auto"/>
              </w:rPr>
            </w:pPr>
          </w:p>
        </w:tc>
        <w:tc>
          <w:tcPr>
            <w:tcW w:w="182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2"/>
              </w:rPr>
              <w:t>in active markets (Level 1)</w:t>
            </w:r>
          </w:p>
        </w:tc>
        <w:tc>
          <w:tcPr>
            <w:tcW w:w="100" w:type="dxa"/>
            <w:vAlign w:val="bottom"/>
            <w:tcBorders>
              <w:bottom w:val="single" w:sz="8" w:color="CFF0FC"/>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580" w:type="dxa"/>
            <w:vAlign w:val="bottom"/>
            <w:tcBorders>
              <w:bottom w:val="single" w:sz="8" w:color="auto"/>
            </w:tcBorders>
          </w:tcPr>
          <w:p>
            <w:pPr>
              <w:jc w:val="center"/>
              <w:ind w:right="164"/>
              <w:spacing w:after="0"/>
              <w:rPr>
                <w:sz w:val="20"/>
                <w:szCs w:val="20"/>
                <w:color w:val="auto"/>
              </w:rPr>
            </w:pPr>
            <w:r>
              <w:rPr>
                <w:rFonts w:ascii="Arial" w:cs="Arial" w:eastAsia="Arial" w:hAnsi="Arial"/>
                <w:sz w:val="14"/>
                <w:szCs w:val="14"/>
                <w:b w:val="1"/>
                <w:bCs w:val="1"/>
                <w:color w:val="auto"/>
                <w:w w:val="94"/>
              </w:rPr>
              <w:t>(Level 2)</w:t>
            </w:r>
          </w:p>
        </w:tc>
        <w:tc>
          <w:tcPr>
            <w:tcW w:w="120" w:type="dxa"/>
            <w:vAlign w:val="bottom"/>
            <w:tcBorders>
              <w:bottom w:val="single" w:sz="8" w:color="CFF0FC"/>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620" w:type="dxa"/>
            <w:vAlign w:val="bottom"/>
            <w:tcBorders>
              <w:bottom w:val="single" w:sz="8" w:color="auto"/>
            </w:tcBorders>
          </w:tcPr>
          <w:p>
            <w:pPr>
              <w:jc w:val="center"/>
              <w:ind w:right="124"/>
              <w:spacing w:after="0"/>
              <w:rPr>
                <w:sz w:val="20"/>
                <w:szCs w:val="20"/>
                <w:color w:val="auto"/>
              </w:rPr>
            </w:pPr>
            <w:r>
              <w:rPr>
                <w:rFonts w:ascii="Arial" w:cs="Arial" w:eastAsia="Arial" w:hAnsi="Arial"/>
                <w:sz w:val="14"/>
                <w:szCs w:val="14"/>
                <w:b w:val="1"/>
                <w:bCs w:val="1"/>
                <w:color w:val="auto"/>
                <w:w w:val="94"/>
              </w:rPr>
              <w:t>(Level 3)</w:t>
            </w:r>
          </w:p>
        </w:tc>
        <w:tc>
          <w:tcPr>
            <w:tcW w:w="0" w:type="dxa"/>
            <w:vAlign w:val="bottom"/>
          </w:tcPr>
          <w:p>
            <w:pPr>
              <w:spacing w:after="0"/>
              <w:rPr>
                <w:sz w:val="1"/>
                <w:szCs w:val="1"/>
                <w:color w:val="auto"/>
              </w:rPr>
            </w:pPr>
          </w:p>
        </w:tc>
      </w:tr>
      <w:tr>
        <w:trPr>
          <w:trHeight w:val="250"/>
        </w:trPr>
        <w:tc>
          <w:tcPr>
            <w:tcW w:w="378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Interest rate caps</w:t>
            </w:r>
          </w:p>
        </w:tc>
        <w:tc>
          <w:tcPr>
            <w:tcW w:w="260" w:type="dxa"/>
            <w:vAlign w:val="bottom"/>
            <w:tcBorders>
              <w:bottom w:val="single" w:sz="8" w:color="CFF0FC"/>
            </w:tcBorders>
            <w:shd w:val="clear" w:color="auto" w:fill="CFF0FC"/>
          </w:tcPr>
          <w:p>
            <w:pPr>
              <w:jc w:val="right"/>
              <w:ind w:right="56"/>
              <w:spacing w:after="0"/>
              <w:rPr>
                <w:sz w:val="20"/>
                <w:szCs w:val="20"/>
                <w:color w:val="auto"/>
              </w:rPr>
            </w:pPr>
            <w:r>
              <w:rPr>
                <w:rFonts w:ascii="Arial" w:cs="Arial" w:eastAsia="Arial" w:hAnsi="Arial"/>
                <w:sz w:val="18"/>
                <w:szCs w:val="18"/>
                <w:color w:val="auto"/>
                <w:w w:val="99"/>
              </w:rPr>
              <w:t>$</w:t>
            </w:r>
          </w:p>
        </w:tc>
        <w:tc>
          <w:tcPr>
            <w:tcW w:w="1580" w:type="dxa"/>
            <w:vAlign w:val="bottom"/>
            <w:tcBorders>
              <w:bottom w:val="single" w:sz="8" w:color="CFF0FC"/>
            </w:tcBorders>
            <w:shd w:val="clear" w:color="auto" w:fill="CFF0FC"/>
          </w:tcPr>
          <w:p>
            <w:pPr>
              <w:jc w:val="right"/>
              <w:ind w:right="22"/>
              <w:spacing w:after="0"/>
              <w:rPr>
                <w:sz w:val="20"/>
                <w:szCs w:val="20"/>
                <w:color w:val="auto"/>
              </w:rPr>
            </w:pPr>
            <w:r>
              <w:rPr>
                <w:rFonts w:ascii="Arial" w:cs="Arial" w:eastAsia="Arial" w:hAnsi="Arial"/>
                <w:sz w:val="18"/>
                <w:szCs w:val="18"/>
                <w:color w:val="auto"/>
              </w:rPr>
              <w:t>404</w:t>
            </w:r>
          </w:p>
        </w:tc>
        <w:tc>
          <w:tcPr>
            <w:tcW w:w="12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CFF0FC"/>
            </w:tcBorders>
            <w:shd w:val="clear" w:color="auto" w:fill="CFF0FC"/>
          </w:tcPr>
          <w:p>
            <w:pPr>
              <w:jc w:val="right"/>
              <w:ind w:right="99"/>
              <w:spacing w:after="0"/>
              <w:rPr>
                <w:sz w:val="20"/>
                <w:szCs w:val="20"/>
                <w:color w:val="auto"/>
              </w:rPr>
            </w:pPr>
            <w:r>
              <w:rPr>
                <w:rFonts w:ascii="Arial" w:cs="Arial" w:eastAsia="Arial" w:hAnsi="Arial"/>
                <w:sz w:val="18"/>
                <w:szCs w:val="18"/>
                <w:color w:val="auto"/>
                <w:w w:val="99"/>
              </w:rPr>
              <w:t>$</w:t>
            </w:r>
          </w:p>
        </w:tc>
        <w:tc>
          <w:tcPr>
            <w:tcW w:w="1620" w:type="dxa"/>
            <w:vAlign w:val="bottom"/>
            <w:tcBorders>
              <w:bottom w:val="single" w:sz="8" w:color="CFF0FC"/>
            </w:tcBorders>
            <w:gridSpan w:val="2"/>
            <w:shd w:val="clear" w:color="auto" w:fill="CFF0FC"/>
          </w:tcPr>
          <w:p>
            <w:pPr>
              <w:ind w:left="1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FF0FC"/>
            </w:tcBorders>
            <w:shd w:val="clear" w:color="auto" w:fill="CFF0FC"/>
          </w:tcPr>
          <w:p>
            <w:pPr>
              <w:jc w:val="right"/>
              <w:ind w:right="30"/>
              <w:spacing w:after="0"/>
              <w:rPr>
                <w:sz w:val="20"/>
                <w:szCs w:val="20"/>
                <w:color w:val="auto"/>
              </w:rPr>
            </w:pPr>
            <w:r>
              <w:rPr>
                <w:rFonts w:ascii="Arial" w:cs="Arial" w:eastAsia="Arial" w:hAnsi="Arial"/>
                <w:sz w:val="18"/>
                <w:szCs w:val="18"/>
                <w:color w:val="auto"/>
                <w:w w:val="99"/>
              </w:rPr>
              <w:t>$</w:t>
            </w:r>
          </w:p>
        </w:tc>
        <w:tc>
          <w:tcPr>
            <w:tcW w:w="1580" w:type="dxa"/>
            <w:vAlign w:val="bottom"/>
            <w:tcBorders>
              <w:bottom w:val="single" w:sz="8" w:color="CFF0FC"/>
            </w:tcBorders>
            <w:shd w:val="clear" w:color="auto" w:fill="CFF0FC"/>
          </w:tcPr>
          <w:p>
            <w:pPr>
              <w:jc w:val="right"/>
              <w:ind w:right="24"/>
              <w:spacing w:after="0"/>
              <w:rPr>
                <w:sz w:val="20"/>
                <w:szCs w:val="20"/>
                <w:color w:val="auto"/>
              </w:rPr>
            </w:pPr>
            <w:r>
              <w:rPr>
                <w:rFonts w:ascii="Arial" w:cs="Arial" w:eastAsia="Arial" w:hAnsi="Arial"/>
                <w:sz w:val="18"/>
                <w:szCs w:val="18"/>
                <w:color w:val="auto"/>
              </w:rPr>
              <w:t>404</w:t>
            </w:r>
          </w:p>
        </w:tc>
        <w:tc>
          <w:tcPr>
            <w:tcW w:w="120" w:type="dxa"/>
            <w:vAlign w:val="bottom"/>
            <w:tcBorders>
              <w:bottom w:val="single" w:sz="8" w:color="CFF0FC"/>
            </w:tcBorders>
            <w:shd w:val="clear" w:color="auto" w:fill="CFF0FC"/>
          </w:tcPr>
          <w:p>
            <w:pPr>
              <w:spacing w:after="0"/>
              <w:rPr>
                <w:sz w:val="21"/>
                <w:szCs w:val="21"/>
                <w:color w:val="auto"/>
              </w:rPr>
            </w:pPr>
          </w:p>
        </w:tc>
        <w:tc>
          <w:tcPr>
            <w:tcW w:w="20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1620" w:type="dxa"/>
            <w:vAlign w:val="bottom"/>
            <w:tcBorders>
              <w:bottom w:val="single" w:sz="8" w:color="CFF0FC"/>
            </w:tcBorders>
            <w:shd w:val="clear" w:color="auto" w:fill="CFF0FC"/>
          </w:tcPr>
          <w:p>
            <w:pPr>
              <w:ind w:left="13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153"/>
        </w:trPr>
        <w:tc>
          <w:tcPr>
            <w:tcW w:w="37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700" w:type="dxa"/>
            <w:vAlign w:val="bottom"/>
            <w:gridSpan w:val="2"/>
          </w:tcPr>
          <w:p>
            <w:pPr>
              <w:jc w:val="center"/>
              <w:ind w:right="360"/>
              <w:spacing w:after="0" w:line="153" w:lineRule="exact"/>
              <w:rPr>
                <w:sz w:val="20"/>
                <w:szCs w:val="20"/>
                <w:color w:val="auto"/>
              </w:rPr>
            </w:pPr>
            <w:r>
              <w:rPr>
                <w:rFonts w:ascii="Arial" w:cs="Arial" w:eastAsia="Arial" w:hAnsi="Arial"/>
                <w:sz w:val="14"/>
                <w:szCs w:val="14"/>
                <w:b w:val="1"/>
                <w:bCs w:val="1"/>
                <w:color w:val="auto"/>
                <w:w w:val="95"/>
              </w:rPr>
              <w:t>Total fair value at</w:t>
            </w:r>
          </w:p>
        </w:tc>
        <w:tc>
          <w:tcPr>
            <w:tcW w:w="300" w:type="dxa"/>
            <w:vAlign w:val="bottom"/>
          </w:tcPr>
          <w:p>
            <w:pPr>
              <w:spacing w:after="0"/>
              <w:rPr>
                <w:sz w:val="13"/>
                <w:szCs w:val="13"/>
                <w:color w:val="auto"/>
              </w:rPr>
            </w:pPr>
          </w:p>
        </w:tc>
        <w:tc>
          <w:tcPr>
            <w:tcW w:w="1620" w:type="dxa"/>
            <w:vAlign w:val="bottom"/>
            <w:gridSpan w:val="2"/>
            <w:vMerge w:val="restart"/>
          </w:tcPr>
          <w:p>
            <w:pPr>
              <w:jc w:val="center"/>
              <w:ind w:right="400"/>
              <w:spacing w:after="0"/>
              <w:rPr>
                <w:sz w:val="20"/>
                <w:szCs w:val="20"/>
                <w:color w:val="auto"/>
              </w:rPr>
            </w:pPr>
            <w:r>
              <w:rPr>
                <w:rFonts w:ascii="Arial" w:cs="Arial" w:eastAsia="Arial" w:hAnsi="Arial"/>
                <w:sz w:val="14"/>
                <w:szCs w:val="14"/>
                <w:b w:val="1"/>
                <w:bCs w:val="1"/>
                <w:color w:val="auto"/>
                <w:w w:val="91"/>
              </w:rPr>
              <w:t>Quoted prices</w:t>
            </w:r>
          </w:p>
        </w:tc>
        <w:tc>
          <w:tcPr>
            <w:tcW w:w="240" w:type="dxa"/>
            <w:vAlign w:val="bottom"/>
          </w:tcPr>
          <w:p>
            <w:pPr>
              <w:spacing w:after="0"/>
              <w:rPr>
                <w:sz w:val="13"/>
                <w:szCs w:val="13"/>
                <w:color w:val="auto"/>
              </w:rPr>
            </w:pPr>
          </w:p>
        </w:tc>
        <w:tc>
          <w:tcPr>
            <w:tcW w:w="1700" w:type="dxa"/>
            <w:vAlign w:val="bottom"/>
            <w:gridSpan w:val="2"/>
          </w:tcPr>
          <w:p>
            <w:pPr>
              <w:jc w:val="center"/>
              <w:ind w:right="340"/>
              <w:spacing w:after="0" w:line="153" w:lineRule="exact"/>
              <w:rPr>
                <w:sz w:val="20"/>
                <w:szCs w:val="20"/>
                <w:color w:val="auto"/>
              </w:rPr>
            </w:pPr>
            <w:r>
              <w:rPr>
                <w:rFonts w:ascii="Arial" w:cs="Arial" w:eastAsia="Arial" w:hAnsi="Arial"/>
                <w:sz w:val="14"/>
                <w:szCs w:val="14"/>
                <w:b w:val="1"/>
                <w:bCs w:val="1"/>
                <w:color w:val="auto"/>
                <w:w w:val="94"/>
              </w:rPr>
              <w:t>Significant other</w:t>
            </w:r>
          </w:p>
        </w:tc>
        <w:tc>
          <w:tcPr>
            <w:tcW w:w="200" w:type="dxa"/>
            <w:vAlign w:val="bottom"/>
          </w:tcPr>
          <w:p>
            <w:pPr>
              <w:spacing w:after="0"/>
              <w:rPr>
                <w:sz w:val="13"/>
                <w:szCs w:val="13"/>
                <w:color w:val="auto"/>
              </w:rPr>
            </w:pPr>
          </w:p>
        </w:tc>
        <w:tc>
          <w:tcPr>
            <w:tcW w:w="1620" w:type="dxa"/>
            <w:vAlign w:val="bottom"/>
          </w:tcPr>
          <w:p>
            <w:pPr>
              <w:jc w:val="center"/>
              <w:ind w:right="124"/>
              <w:spacing w:after="0" w:line="153" w:lineRule="exact"/>
              <w:rPr>
                <w:sz w:val="20"/>
                <w:szCs w:val="20"/>
                <w:color w:val="auto"/>
              </w:rPr>
            </w:pPr>
            <w:r>
              <w:rPr>
                <w:rFonts w:ascii="Arial" w:cs="Arial" w:eastAsia="Arial" w:hAnsi="Arial"/>
                <w:sz w:val="14"/>
                <w:szCs w:val="14"/>
                <w:b w:val="1"/>
                <w:bCs w:val="1"/>
                <w:color w:val="auto"/>
                <w:w w:val="92"/>
              </w:rPr>
              <w:t>Significant</w:t>
            </w:r>
          </w:p>
        </w:tc>
        <w:tc>
          <w:tcPr>
            <w:tcW w:w="0" w:type="dxa"/>
            <w:vAlign w:val="bottom"/>
          </w:tcPr>
          <w:p>
            <w:pPr>
              <w:spacing w:after="0"/>
              <w:rPr>
                <w:sz w:val="1"/>
                <w:szCs w:val="1"/>
                <w:color w:val="auto"/>
              </w:rPr>
            </w:pPr>
          </w:p>
        </w:tc>
      </w:tr>
      <w:tr>
        <w:trPr>
          <w:trHeight w:val="149"/>
        </w:trPr>
        <w:tc>
          <w:tcPr>
            <w:tcW w:w="37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70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90"/>
              </w:rPr>
              <w:t>December 31,</w:t>
            </w:r>
          </w:p>
        </w:tc>
        <w:tc>
          <w:tcPr>
            <w:tcW w:w="300" w:type="dxa"/>
            <w:vAlign w:val="bottom"/>
          </w:tcPr>
          <w:p>
            <w:pPr>
              <w:spacing w:after="0"/>
              <w:rPr>
                <w:sz w:val="12"/>
                <w:szCs w:val="12"/>
                <w:color w:val="auto"/>
              </w:rPr>
            </w:pPr>
          </w:p>
        </w:tc>
        <w:tc>
          <w:tcPr>
            <w:tcW w:w="1620" w:type="dxa"/>
            <w:vAlign w:val="bottom"/>
            <w:gridSpan w:val="2"/>
            <w:vMerge w:val="continue"/>
          </w:tcPr>
          <w:p>
            <w:pPr>
              <w:spacing w:after="0"/>
              <w:rPr>
                <w:sz w:val="12"/>
                <w:szCs w:val="12"/>
                <w:color w:val="auto"/>
              </w:rPr>
            </w:pPr>
          </w:p>
        </w:tc>
        <w:tc>
          <w:tcPr>
            <w:tcW w:w="240" w:type="dxa"/>
            <w:vAlign w:val="bottom"/>
          </w:tcPr>
          <w:p>
            <w:pPr>
              <w:spacing w:after="0"/>
              <w:rPr>
                <w:sz w:val="12"/>
                <w:szCs w:val="12"/>
                <w:color w:val="auto"/>
              </w:rPr>
            </w:pPr>
          </w:p>
        </w:tc>
        <w:tc>
          <w:tcPr>
            <w:tcW w:w="170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0"/>
              </w:rPr>
              <w:t>observable inputs</w:t>
            </w:r>
          </w:p>
        </w:tc>
        <w:tc>
          <w:tcPr>
            <w:tcW w:w="200" w:type="dxa"/>
            <w:vAlign w:val="bottom"/>
          </w:tcPr>
          <w:p>
            <w:pPr>
              <w:spacing w:after="0"/>
              <w:rPr>
                <w:sz w:val="12"/>
                <w:szCs w:val="12"/>
                <w:color w:val="auto"/>
              </w:rPr>
            </w:pPr>
          </w:p>
        </w:tc>
        <w:tc>
          <w:tcPr>
            <w:tcW w:w="1620" w:type="dxa"/>
            <w:vAlign w:val="bottom"/>
          </w:tcPr>
          <w:p>
            <w:pPr>
              <w:jc w:val="center"/>
              <w:ind w:right="124"/>
              <w:spacing w:after="0" w:line="149" w:lineRule="exact"/>
              <w:rPr>
                <w:sz w:val="20"/>
                <w:szCs w:val="20"/>
                <w:color w:val="auto"/>
              </w:rPr>
            </w:pPr>
            <w:r>
              <w:rPr>
                <w:rFonts w:ascii="Arial" w:cs="Arial" w:eastAsia="Arial" w:hAnsi="Arial"/>
                <w:sz w:val="14"/>
                <w:szCs w:val="14"/>
                <w:b w:val="1"/>
                <w:bCs w:val="1"/>
                <w:color w:val="auto"/>
                <w:w w:val="91"/>
              </w:rPr>
              <w:t>unobservable inputs</w:t>
            </w:r>
          </w:p>
        </w:tc>
        <w:tc>
          <w:tcPr>
            <w:tcW w:w="0" w:type="dxa"/>
            <w:vAlign w:val="bottom"/>
          </w:tcPr>
          <w:p>
            <w:pPr>
              <w:spacing w:after="0"/>
              <w:rPr>
                <w:sz w:val="1"/>
                <w:szCs w:val="1"/>
                <w:color w:val="auto"/>
              </w:rPr>
            </w:pPr>
          </w:p>
        </w:tc>
      </w:tr>
      <w:tr>
        <w:trPr>
          <w:trHeight w:val="192"/>
        </w:trPr>
        <w:tc>
          <w:tcPr>
            <w:tcW w:w="3780" w:type="dxa"/>
            <w:vAlign w:val="bottom"/>
            <w:tcBorders>
              <w:bottom w:val="single" w:sz="8" w:color="CFF0FC"/>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580" w:type="dxa"/>
            <w:vAlign w:val="bottom"/>
            <w:tcBorders>
              <w:bottom w:val="single" w:sz="8" w:color="auto"/>
            </w:tcBorders>
          </w:tcPr>
          <w:p>
            <w:pPr>
              <w:jc w:val="center"/>
              <w:ind w:right="162"/>
              <w:spacing w:after="0"/>
              <w:rPr>
                <w:sz w:val="20"/>
                <w:szCs w:val="20"/>
                <w:color w:val="auto"/>
              </w:rPr>
            </w:pPr>
            <w:r>
              <w:rPr>
                <w:rFonts w:ascii="Arial" w:cs="Arial" w:eastAsia="Arial" w:hAnsi="Arial"/>
                <w:sz w:val="14"/>
                <w:szCs w:val="14"/>
                <w:b w:val="1"/>
                <w:bCs w:val="1"/>
                <w:color w:val="auto"/>
                <w:w w:val="96"/>
              </w:rPr>
              <w:t>2017</w:t>
            </w:r>
          </w:p>
        </w:tc>
        <w:tc>
          <w:tcPr>
            <w:tcW w:w="120" w:type="dxa"/>
            <w:vAlign w:val="bottom"/>
            <w:tcBorders>
              <w:bottom w:val="single" w:sz="8" w:color="CFF0FC"/>
            </w:tcBorders>
          </w:tcPr>
          <w:p>
            <w:pPr>
              <w:spacing w:after="0"/>
              <w:rPr>
                <w:sz w:val="16"/>
                <w:szCs w:val="16"/>
                <w:color w:val="auto"/>
              </w:rPr>
            </w:pPr>
          </w:p>
        </w:tc>
        <w:tc>
          <w:tcPr>
            <w:tcW w:w="182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2"/>
              </w:rPr>
              <w:t>in active markets (Level 1)</w:t>
            </w:r>
          </w:p>
        </w:tc>
        <w:tc>
          <w:tcPr>
            <w:tcW w:w="100" w:type="dxa"/>
            <w:vAlign w:val="bottom"/>
            <w:tcBorders>
              <w:bottom w:val="single" w:sz="8" w:color="CFF0FC"/>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580" w:type="dxa"/>
            <w:vAlign w:val="bottom"/>
            <w:tcBorders>
              <w:bottom w:val="single" w:sz="8" w:color="auto"/>
            </w:tcBorders>
          </w:tcPr>
          <w:p>
            <w:pPr>
              <w:jc w:val="center"/>
              <w:ind w:right="164"/>
              <w:spacing w:after="0"/>
              <w:rPr>
                <w:sz w:val="20"/>
                <w:szCs w:val="20"/>
                <w:color w:val="auto"/>
              </w:rPr>
            </w:pPr>
            <w:r>
              <w:rPr>
                <w:rFonts w:ascii="Arial" w:cs="Arial" w:eastAsia="Arial" w:hAnsi="Arial"/>
                <w:sz w:val="14"/>
                <w:szCs w:val="14"/>
                <w:b w:val="1"/>
                <w:bCs w:val="1"/>
                <w:color w:val="auto"/>
                <w:w w:val="94"/>
              </w:rPr>
              <w:t>(Level 2)</w:t>
            </w:r>
          </w:p>
        </w:tc>
        <w:tc>
          <w:tcPr>
            <w:tcW w:w="120" w:type="dxa"/>
            <w:vAlign w:val="bottom"/>
            <w:tcBorders>
              <w:bottom w:val="single" w:sz="8" w:color="CFF0FC"/>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620" w:type="dxa"/>
            <w:vAlign w:val="bottom"/>
            <w:tcBorders>
              <w:bottom w:val="single" w:sz="8" w:color="auto"/>
            </w:tcBorders>
          </w:tcPr>
          <w:p>
            <w:pPr>
              <w:jc w:val="center"/>
              <w:ind w:right="124"/>
              <w:spacing w:after="0"/>
              <w:rPr>
                <w:sz w:val="20"/>
                <w:szCs w:val="20"/>
                <w:color w:val="auto"/>
              </w:rPr>
            </w:pPr>
            <w:r>
              <w:rPr>
                <w:rFonts w:ascii="Arial" w:cs="Arial" w:eastAsia="Arial" w:hAnsi="Arial"/>
                <w:sz w:val="14"/>
                <w:szCs w:val="14"/>
                <w:b w:val="1"/>
                <w:bCs w:val="1"/>
                <w:color w:val="auto"/>
                <w:w w:val="94"/>
              </w:rPr>
              <w:t>(Level 3)</w:t>
            </w:r>
          </w:p>
        </w:tc>
        <w:tc>
          <w:tcPr>
            <w:tcW w:w="0" w:type="dxa"/>
            <w:vAlign w:val="bottom"/>
          </w:tcPr>
          <w:p>
            <w:pPr>
              <w:spacing w:after="0"/>
              <w:rPr>
                <w:sz w:val="1"/>
                <w:szCs w:val="1"/>
                <w:color w:val="auto"/>
              </w:rPr>
            </w:pPr>
          </w:p>
        </w:tc>
      </w:tr>
      <w:tr>
        <w:trPr>
          <w:trHeight w:val="243"/>
        </w:trPr>
        <w:tc>
          <w:tcPr>
            <w:tcW w:w="3780" w:type="dxa"/>
            <w:vAlign w:val="bottom"/>
            <w:shd w:val="clear" w:color="auto" w:fill="CFF0FC"/>
          </w:tcPr>
          <w:p>
            <w:pPr>
              <w:ind w:left="40"/>
              <w:spacing w:after="0"/>
              <w:rPr>
                <w:sz w:val="20"/>
                <w:szCs w:val="20"/>
                <w:color w:val="auto"/>
              </w:rPr>
            </w:pPr>
            <w:r>
              <w:rPr>
                <w:rFonts w:ascii="Arial" w:cs="Arial" w:eastAsia="Arial" w:hAnsi="Arial"/>
                <w:sz w:val="18"/>
                <w:szCs w:val="18"/>
                <w:color w:val="auto"/>
              </w:rPr>
              <w:t>Interest rate caps</w:t>
            </w:r>
          </w:p>
        </w:tc>
        <w:tc>
          <w:tcPr>
            <w:tcW w:w="260" w:type="dxa"/>
            <w:vAlign w:val="bottom"/>
            <w:shd w:val="clear" w:color="auto" w:fill="CFF0FC"/>
          </w:tcPr>
          <w:p>
            <w:pPr>
              <w:jc w:val="right"/>
              <w:ind w:right="56"/>
              <w:spacing w:after="0"/>
              <w:rPr>
                <w:sz w:val="20"/>
                <w:szCs w:val="20"/>
                <w:color w:val="auto"/>
              </w:rPr>
            </w:pPr>
            <w:r>
              <w:rPr>
                <w:rFonts w:ascii="Arial" w:cs="Arial" w:eastAsia="Arial" w:hAnsi="Arial"/>
                <w:sz w:val="18"/>
                <w:szCs w:val="18"/>
                <w:color w:val="auto"/>
                <w:w w:val="99"/>
              </w:rPr>
              <w:t>$</w:t>
            </w:r>
          </w:p>
        </w:tc>
        <w:tc>
          <w:tcPr>
            <w:tcW w:w="1580" w:type="dxa"/>
            <w:vAlign w:val="bottom"/>
            <w:shd w:val="clear" w:color="auto" w:fill="CFF0FC"/>
          </w:tcPr>
          <w:p>
            <w:pPr>
              <w:jc w:val="right"/>
              <w:ind w:right="22"/>
              <w:spacing w:after="0"/>
              <w:rPr>
                <w:sz w:val="20"/>
                <w:szCs w:val="20"/>
                <w:color w:val="auto"/>
              </w:rPr>
            </w:pPr>
            <w:r>
              <w:rPr>
                <w:rFonts w:ascii="Arial" w:cs="Arial" w:eastAsia="Arial" w:hAnsi="Arial"/>
                <w:sz w:val="18"/>
                <w:szCs w:val="18"/>
                <w:color w:val="auto"/>
              </w:rPr>
              <w:t>340</w:t>
            </w:r>
          </w:p>
        </w:tc>
        <w:tc>
          <w:tcPr>
            <w:tcW w:w="120" w:type="dxa"/>
            <w:vAlign w:val="bottom"/>
            <w:shd w:val="clear" w:color="auto" w:fill="CFF0FC"/>
          </w:tcPr>
          <w:p>
            <w:pPr>
              <w:spacing w:after="0"/>
              <w:rPr>
                <w:sz w:val="21"/>
                <w:szCs w:val="21"/>
                <w:color w:val="auto"/>
              </w:rPr>
            </w:pPr>
          </w:p>
        </w:tc>
        <w:tc>
          <w:tcPr>
            <w:tcW w:w="300" w:type="dxa"/>
            <w:vAlign w:val="bottom"/>
            <w:shd w:val="clear" w:color="auto" w:fill="CFF0FC"/>
          </w:tcPr>
          <w:p>
            <w:pPr>
              <w:jc w:val="right"/>
              <w:ind w:right="99"/>
              <w:spacing w:after="0"/>
              <w:rPr>
                <w:sz w:val="20"/>
                <w:szCs w:val="20"/>
                <w:color w:val="auto"/>
              </w:rPr>
            </w:pPr>
            <w:r>
              <w:rPr>
                <w:rFonts w:ascii="Arial" w:cs="Arial" w:eastAsia="Arial" w:hAnsi="Arial"/>
                <w:sz w:val="18"/>
                <w:szCs w:val="18"/>
                <w:color w:val="auto"/>
                <w:w w:val="99"/>
              </w:rPr>
              <w:t>$</w:t>
            </w:r>
          </w:p>
        </w:tc>
        <w:tc>
          <w:tcPr>
            <w:tcW w:w="1620" w:type="dxa"/>
            <w:vAlign w:val="bottom"/>
            <w:gridSpan w:val="2"/>
            <w:shd w:val="clear" w:color="auto" w:fill="CFF0FC"/>
          </w:tcPr>
          <w:p>
            <w:pPr>
              <w:ind w:left="1220"/>
              <w:spacing w:after="0"/>
              <w:rPr>
                <w:sz w:val="20"/>
                <w:szCs w:val="20"/>
                <w:color w:val="auto"/>
              </w:rPr>
            </w:pPr>
            <w:r>
              <w:rPr>
                <w:rFonts w:ascii="Arial" w:cs="Arial" w:eastAsia="Arial" w:hAnsi="Arial"/>
                <w:sz w:val="18"/>
                <w:szCs w:val="18"/>
                <w:color w:val="auto"/>
              </w:rPr>
              <w:t>—</w:t>
            </w:r>
          </w:p>
        </w:tc>
        <w:tc>
          <w:tcPr>
            <w:tcW w:w="2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w w:val="99"/>
              </w:rPr>
              <w:t>$</w:t>
            </w:r>
          </w:p>
        </w:tc>
        <w:tc>
          <w:tcPr>
            <w:tcW w:w="1580" w:type="dxa"/>
            <w:vAlign w:val="bottom"/>
            <w:shd w:val="clear" w:color="auto" w:fill="CFF0FC"/>
          </w:tcPr>
          <w:p>
            <w:pPr>
              <w:jc w:val="right"/>
              <w:ind w:right="24"/>
              <w:spacing w:after="0"/>
              <w:rPr>
                <w:sz w:val="20"/>
                <w:szCs w:val="20"/>
                <w:color w:val="auto"/>
              </w:rPr>
            </w:pPr>
            <w:r>
              <w:rPr>
                <w:rFonts w:ascii="Arial" w:cs="Arial" w:eastAsia="Arial" w:hAnsi="Arial"/>
                <w:sz w:val="18"/>
                <w:szCs w:val="18"/>
                <w:color w:val="auto"/>
              </w:rPr>
              <w:t>340</w:t>
            </w:r>
          </w:p>
        </w:tc>
        <w:tc>
          <w:tcPr>
            <w:tcW w:w="120" w:type="dxa"/>
            <w:vAlign w:val="bottom"/>
            <w:shd w:val="clear" w:color="auto" w:fill="CFF0FC"/>
          </w:tcPr>
          <w:p>
            <w:pPr>
              <w:spacing w:after="0"/>
              <w:rPr>
                <w:sz w:val="21"/>
                <w:szCs w:val="21"/>
                <w:color w:val="auto"/>
              </w:rPr>
            </w:pPr>
          </w:p>
        </w:tc>
        <w:tc>
          <w:tcPr>
            <w:tcW w:w="20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1620" w:type="dxa"/>
            <w:vAlign w:val="bottom"/>
            <w:shd w:val="clear" w:color="auto" w:fill="CFF0FC"/>
          </w:tcPr>
          <w:p>
            <w:pPr>
              <w:ind w:left="13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3780" w:type="dxa"/>
            <w:vAlign w:val="bottom"/>
            <w:shd w:val="clear" w:color="auto" w:fill="CFF0FC"/>
          </w:tcPr>
          <w:p>
            <w:pPr>
              <w:spacing w:after="0"/>
              <w:rPr>
                <w:sz w:val="2"/>
                <w:szCs w:val="2"/>
                <w:color w:val="auto"/>
              </w:rPr>
            </w:pPr>
          </w:p>
        </w:tc>
        <w:tc>
          <w:tcPr>
            <w:tcW w:w="260" w:type="dxa"/>
            <w:vAlign w:val="bottom"/>
            <w:shd w:val="clear" w:color="auto" w:fill="CFF0FC"/>
          </w:tcPr>
          <w:p>
            <w:pPr>
              <w:spacing w:after="0"/>
              <w:rPr>
                <w:sz w:val="2"/>
                <w:szCs w:val="2"/>
                <w:color w:val="auto"/>
              </w:rPr>
            </w:pPr>
          </w:p>
        </w:tc>
        <w:tc>
          <w:tcPr>
            <w:tcW w:w="1580" w:type="dxa"/>
            <w:vAlign w:val="bottom"/>
            <w:shd w:val="clear" w:color="auto" w:fill="CFF0FC"/>
          </w:tcPr>
          <w:p>
            <w:pPr>
              <w:spacing w:after="0"/>
              <w:rPr>
                <w:sz w:val="2"/>
                <w:szCs w:val="2"/>
                <w:color w:val="auto"/>
              </w:rPr>
            </w:pPr>
          </w:p>
        </w:tc>
        <w:tc>
          <w:tcPr>
            <w:tcW w:w="120" w:type="dxa"/>
            <w:vAlign w:val="bottom"/>
            <w:shd w:val="clear" w:color="auto" w:fill="CFF0FC"/>
          </w:tcPr>
          <w:p>
            <w:pPr>
              <w:spacing w:after="0"/>
              <w:rPr>
                <w:sz w:val="2"/>
                <w:szCs w:val="2"/>
                <w:color w:val="auto"/>
              </w:rPr>
            </w:pPr>
          </w:p>
        </w:tc>
        <w:tc>
          <w:tcPr>
            <w:tcW w:w="300" w:type="dxa"/>
            <w:vAlign w:val="bottom"/>
            <w:shd w:val="clear" w:color="auto" w:fill="CFF0FC"/>
          </w:tcPr>
          <w:p>
            <w:pPr>
              <w:spacing w:after="0"/>
              <w:rPr>
                <w:sz w:val="2"/>
                <w:szCs w:val="2"/>
                <w:color w:val="auto"/>
              </w:rPr>
            </w:pPr>
          </w:p>
        </w:tc>
        <w:tc>
          <w:tcPr>
            <w:tcW w:w="1520" w:type="dxa"/>
            <w:vAlign w:val="bottom"/>
            <w:shd w:val="clear" w:color="auto" w:fill="CFF0FC"/>
          </w:tcPr>
          <w:p>
            <w:pPr>
              <w:spacing w:after="0"/>
              <w:rPr>
                <w:sz w:val="2"/>
                <w:szCs w:val="2"/>
                <w:color w:val="auto"/>
              </w:rPr>
            </w:pPr>
          </w:p>
        </w:tc>
        <w:tc>
          <w:tcPr>
            <w:tcW w:w="100" w:type="dxa"/>
            <w:vAlign w:val="bottom"/>
            <w:shd w:val="clear" w:color="auto" w:fill="CFF0FC"/>
          </w:tcPr>
          <w:p>
            <w:pPr>
              <w:spacing w:after="0"/>
              <w:rPr>
                <w:sz w:val="2"/>
                <w:szCs w:val="2"/>
                <w:color w:val="auto"/>
              </w:rPr>
            </w:pPr>
          </w:p>
        </w:tc>
        <w:tc>
          <w:tcPr>
            <w:tcW w:w="240" w:type="dxa"/>
            <w:vAlign w:val="bottom"/>
            <w:shd w:val="clear" w:color="auto" w:fill="CFF0FC"/>
          </w:tcPr>
          <w:p>
            <w:pPr>
              <w:spacing w:after="0"/>
              <w:rPr>
                <w:sz w:val="2"/>
                <w:szCs w:val="2"/>
                <w:color w:val="auto"/>
              </w:rPr>
            </w:pPr>
          </w:p>
        </w:tc>
        <w:tc>
          <w:tcPr>
            <w:tcW w:w="1580" w:type="dxa"/>
            <w:vAlign w:val="bottom"/>
            <w:shd w:val="clear" w:color="auto" w:fill="CFF0FC"/>
          </w:tcPr>
          <w:p>
            <w:pPr>
              <w:spacing w:after="0"/>
              <w:rPr>
                <w:sz w:val="2"/>
                <w:szCs w:val="2"/>
                <w:color w:val="auto"/>
              </w:rPr>
            </w:pPr>
          </w:p>
        </w:tc>
        <w:tc>
          <w:tcPr>
            <w:tcW w:w="120" w:type="dxa"/>
            <w:vAlign w:val="bottom"/>
            <w:shd w:val="clear" w:color="auto" w:fill="CFF0FC"/>
          </w:tcPr>
          <w:p>
            <w:pPr>
              <w:spacing w:after="0"/>
              <w:rPr>
                <w:sz w:val="2"/>
                <w:szCs w:val="2"/>
                <w:color w:val="auto"/>
              </w:rPr>
            </w:pPr>
          </w:p>
        </w:tc>
        <w:tc>
          <w:tcPr>
            <w:tcW w:w="200" w:type="dxa"/>
            <w:vAlign w:val="bottom"/>
            <w:shd w:val="clear" w:color="auto" w:fill="CFF0FC"/>
          </w:tcPr>
          <w:p>
            <w:pPr>
              <w:spacing w:after="0"/>
              <w:rPr>
                <w:sz w:val="2"/>
                <w:szCs w:val="2"/>
                <w:color w:val="auto"/>
              </w:rPr>
            </w:pPr>
          </w:p>
        </w:tc>
        <w:tc>
          <w:tcPr>
            <w:tcW w:w="1620" w:type="dxa"/>
            <w:vAlign w:val="bottom"/>
            <w:shd w:val="clear" w:color="auto" w:fill="CFF0FC"/>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33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 Recent accounting pronouncements</w:t>
      </w:r>
    </w:p>
    <w:p>
      <w:pPr>
        <w:spacing w:after="0" w:line="117"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 xml:space="preserve">The FASB issued ASU No. 2014-9, </w:t>
      </w:r>
      <w:r>
        <w:rPr>
          <w:rFonts w:ascii="Arial" w:cs="Arial" w:eastAsia="Arial" w:hAnsi="Arial"/>
          <w:sz w:val="17"/>
          <w:szCs w:val="17"/>
          <w:i w:val="1"/>
          <w:iCs w:val="1"/>
          <w:color w:val="auto"/>
        </w:rPr>
        <w:t>Revenue from Contracts with Customers</w:t>
      </w:r>
      <w:r>
        <w:rPr>
          <w:rFonts w:ascii="Arial" w:cs="Arial" w:eastAsia="Arial" w:hAnsi="Arial"/>
          <w:sz w:val="17"/>
          <w:szCs w:val="17"/>
          <w:color w:val="auto"/>
        </w:rPr>
        <w:t>, in September 2014. This guidance requires that an entity recognize revenue to depict the transfer of a promised good or service to its customers in an amount that reflects consideration to which the entity expects to be entitled in exchange for such transfer. This guidance also specifies accounting for certain costs incurred by an entity to obtain or fulfill a contract with a customer and provides for enhancements to revenue specific disclosures intended to allow users of the financial statements to clearly understand the nature, amount, timing and uncertainty of revenue and cash flows arising from an entity’s contracts with its customers. The Company has adopted the guidance as of January 1, 2018 on a modified retrospective basis. See Note 15 for details about the effect of adoption.</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229" w:right="23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 xml:space="preserve">The FASB issued ASU No. 2016-2, </w:t>
      </w:r>
      <w:r>
        <w:rPr>
          <w:rFonts w:ascii="Arial" w:cs="Arial" w:eastAsia="Arial" w:hAnsi="Arial"/>
          <w:sz w:val="18"/>
          <w:szCs w:val="18"/>
          <w:i w:val="1"/>
          <w:iCs w:val="1"/>
          <w:color w:val="auto"/>
        </w:rPr>
        <w:t>Leases</w:t>
      </w:r>
      <w:r>
        <w:rPr>
          <w:rFonts w:ascii="Arial" w:cs="Arial" w:eastAsia="Arial" w:hAnsi="Arial"/>
          <w:sz w:val="18"/>
          <w:szCs w:val="18"/>
          <w:color w:val="auto"/>
        </w:rPr>
        <w:t>, in February 2016. This guidance is intended to increase transparency and comparability among organizations by recognizing lease assets and lease liabilities on the balance sheet and disclosing key information about leasing arrangements. This guidance is effective for fiscal years beginning after December 15, 2018, including interim periods within those fiscal years for public companies. Early application of the amendments in this update is permitted for all entities. The Company anticipates that adoption of this guidance will bring all current operating leases onto the statement of financial position as a right of use asset and related rent liability, and is currently evaluating the effect that implementation of this guidance will have on its consolidated statement of operations.</w:t>
      </w:r>
    </w:p>
    <w:p>
      <w:pPr>
        <w:spacing w:after="0" w:line="193"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 xml:space="preserve">The FASB issued ASU No. 2016-15, </w:t>
      </w:r>
      <w:r>
        <w:rPr>
          <w:rFonts w:ascii="Arial" w:cs="Arial" w:eastAsia="Arial" w:hAnsi="Arial"/>
          <w:sz w:val="18"/>
          <w:szCs w:val="18"/>
          <w:i w:val="1"/>
          <w:iCs w:val="1"/>
          <w:color w:val="auto"/>
        </w:rPr>
        <w:t>Classification of Certain Cash Receipts and Cash Payments</w:t>
      </w:r>
      <w:r>
        <w:rPr>
          <w:rFonts w:ascii="Arial" w:cs="Arial" w:eastAsia="Arial" w:hAnsi="Arial"/>
          <w:sz w:val="18"/>
          <w:szCs w:val="18"/>
          <w:color w:val="auto"/>
        </w:rPr>
        <w:t>, in August 2016. This guidance is intended to reduce diversity in practice of the classification of certain cash receipts and cash payments. This guidance will be effective for fiscal years beginning after December 15, 2017, including interim periods within that year. The Company has adopted the guidance as of January 1, 2018 on a prospective basis, noting no material impact on its consolidated financial statements.</w:t>
      </w:r>
    </w:p>
    <w:p>
      <w:pPr>
        <w:spacing w:after="0" w:line="18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 xml:space="preserve">The FASB issued ASU No. 2017-4, </w:t>
      </w:r>
      <w:r>
        <w:rPr>
          <w:rFonts w:ascii="Arial" w:cs="Arial" w:eastAsia="Arial" w:hAnsi="Arial"/>
          <w:sz w:val="18"/>
          <w:szCs w:val="18"/>
          <w:i w:val="1"/>
          <w:iCs w:val="1"/>
          <w:color w:val="auto"/>
        </w:rPr>
        <w:t>Intangibles–Goodwill and Other (Topic 350): Simplifying the Test for Goodwill Impairment,</w:t>
      </w:r>
      <w:r>
        <w:rPr>
          <w:rFonts w:ascii="Arial" w:cs="Arial" w:eastAsia="Arial" w:hAnsi="Arial"/>
          <w:sz w:val="18"/>
          <w:szCs w:val="18"/>
          <w:color w:val="auto"/>
        </w:rPr>
        <w:t xml:space="preserve"> in January 2017. This guidance eliminates the requirement to calculate the implied fair value, essentially eliminating step two from the goodwill impairment test. The new standard requires goodwill impairment to be based upon the results of step one of the impairment test, which is defined as the excess of the carrying value of a reporting unit over its fair value. The impairment charge will be limited to the amount of goodwill allocated to that reporting unit. This guidance will be effective for fiscal years beginning after December 15, 2019, including interim periods within that year. This new guidance is not expected to have a material impact on the Company’s consolidated financial statements.</w:t>
      </w:r>
    </w:p>
    <w:p>
      <w:pPr>
        <w:spacing w:after="0" w:line="193"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 xml:space="preserve">The FASB issued ASU No. 2017-12, </w:t>
      </w:r>
      <w:r>
        <w:rPr>
          <w:rFonts w:ascii="Arial" w:cs="Arial" w:eastAsia="Arial" w:hAnsi="Arial"/>
          <w:sz w:val="16"/>
          <w:szCs w:val="16"/>
          <w:i w:val="1"/>
          <w:iCs w:val="1"/>
          <w:color w:val="auto"/>
        </w:rPr>
        <w:t>Derivatives and Hedging (Topic 815): Targeted Improvements to Accounting for Hedging Activities,</w:t>
      </w:r>
      <w:r>
        <w:rPr>
          <w:rFonts w:ascii="Arial" w:cs="Arial" w:eastAsia="Arial" w:hAnsi="Arial"/>
          <w:sz w:val="16"/>
          <w:szCs w:val="16"/>
          <w:color w:val="auto"/>
        </w:rPr>
        <w:t xml:space="preserve"> in August 2017. The guidance simplifies the application of hedge accounting in certain situations and amends the hedge accounting model to enable entities to better portray the economics of their risk management activities in the financial statements. This guidance will be effective for fiscal years beginning after December 15, 2018, including interim periods within that year. The Company is currently evaluating the impact of this guidance on its consolidated financial statements.</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Variable Interest Entities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The carrying values of VIEs included in the consolidated financial statements as of June 30, 2018 and December 31, 2017 are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04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2040" w:type="dxa"/>
            <w:vAlign w:val="bottom"/>
            <w:tcBorders>
              <w:bottom w:val="single" w:sz="8" w:color="auto"/>
            </w:tcBorders>
            <w:gridSpan w:val="3"/>
          </w:tcPr>
          <w:p>
            <w:pPr>
              <w:jc w:val="right"/>
              <w:ind w:right="496"/>
              <w:spacing w:after="0"/>
              <w:rPr>
                <w:sz w:val="20"/>
                <w:szCs w:val="20"/>
                <w:color w:val="auto"/>
              </w:rPr>
            </w:pPr>
            <w:r>
              <w:rPr>
                <w:rFonts w:ascii="Arial" w:cs="Arial" w:eastAsia="Arial" w:hAnsi="Arial"/>
                <w:sz w:val="14"/>
                <w:szCs w:val="14"/>
                <w:b w:val="1"/>
                <w:bCs w:val="1"/>
                <w:color w:val="auto"/>
              </w:rPr>
              <w:t>June 30, 2018</w:t>
            </w:r>
          </w:p>
        </w:tc>
        <w:tc>
          <w:tcPr>
            <w:tcW w:w="30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2320" w:type="dxa"/>
            <w:vAlign w:val="bottom"/>
            <w:tcBorders>
              <w:bottom w:val="single" w:sz="8" w:color="auto"/>
            </w:tcBorders>
            <w:gridSpan w:val="4"/>
          </w:tcPr>
          <w:p>
            <w:pPr>
              <w:ind w:left="460"/>
              <w:spacing w:after="0"/>
              <w:rPr>
                <w:sz w:val="20"/>
                <w:szCs w:val="20"/>
                <w:color w:val="auto"/>
              </w:rPr>
            </w:pPr>
            <w:r>
              <w:rPr>
                <w:rFonts w:ascii="Arial" w:cs="Arial" w:eastAsia="Arial" w:hAnsi="Arial"/>
                <w:sz w:val="14"/>
                <w:szCs w:val="14"/>
                <w:b w:val="1"/>
                <w:bCs w:val="1"/>
                <w:color w:val="auto"/>
              </w:rPr>
              <w:t>December 31, 2017</w:t>
            </w:r>
          </w:p>
        </w:tc>
      </w:tr>
      <w:tr>
        <w:trPr>
          <w:trHeight w:val="264"/>
        </w:trPr>
        <w:tc>
          <w:tcPr>
            <w:tcW w:w="6040" w:type="dxa"/>
            <w:vAlign w:val="bottom"/>
            <w:tcBorders>
              <w:bottom w:val="single" w:sz="8" w:color="CFF0FC"/>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357"/>
              <w:spacing w:after="0"/>
              <w:rPr>
                <w:sz w:val="20"/>
                <w:szCs w:val="20"/>
                <w:color w:val="auto"/>
              </w:rPr>
            </w:pPr>
            <w:r>
              <w:rPr>
                <w:rFonts w:ascii="Arial" w:cs="Arial" w:eastAsia="Arial" w:hAnsi="Arial"/>
                <w:sz w:val="14"/>
                <w:szCs w:val="14"/>
                <w:b w:val="1"/>
                <w:bCs w:val="1"/>
                <w:color w:val="auto"/>
              </w:rPr>
              <w:t>Assets</w:t>
            </w:r>
          </w:p>
        </w:tc>
        <w:tc>
          <w:tcPr>
            <w:tcW w:w="100" w:type="dxa"/>
            <w:vAlign w:val="bottom"/>
            <w:tcBorders>
              <w:bottom w:val="single" w:sz="8" w:color="CFF0FC"/>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Liabilities</w:t>
            </w:r>
          </w:p>
        </w:tc>
        <w:tc>
          <w:tcPr>
            <w:tcW w:w="300" w:type="dxa"/>
            <w:vAlign w:val="bottom"/>
            <w:tcBorders>
              <w:bottom w:val="single" w:sz="8" w:color="auto"/>
            </w:tcBorders>
          </w:tcPr>
          <w:p>
            <w:pPr>
              <w:spacing w:after="0"/>
              <w:rPr>
                <w:sz w:val="22"/>
                <w:szCs w:val="22"/>
                <w:color w:val="auto"/>
              </w:rPr>
            </w:pPr>
          </w:p>
        </w:tc>
        <w:tc>
          <w:tcPr>
            <w:tcW w:w="120" w:type="dxa"/>
            <w:vAlign w:val="bottom"/>
            <w:tcBorders>
              <w:bottom w:val="single" w:sz="8" w:color="CFF0FC"/>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ind w:left="160"/>
              <w:spacing w:after="0"/>
              <w:rPr>
                <w:sz w:val="20"/>
                <w:szCs w:val="20"/>
                <w:color w:val="auto"/>
              </w:rPr>
            </w:pPr>
            <w:r>
              <w:rPr>
                <w:rFonts w:ascii="Arial" w:cs="Arial" w:eastAsia="Arial" w:hAnsi="Arial"/>
                <w:sz w:val="14"/>
                <w:szCs w:val="14"/>
                <w:b w:val="1"/>
                <w:bCs w:val="1"/>
                <w:color w:val="auto"/>
              </w:rPr>
              <w:t>Assets</w:t>
            </w:r>
          </w:p>
        </w:tc>
        <w:tc>
          <w:tcPr>
            <w:tcW w:w="100" w:type="dxa"/>
            <w:vAlign w:val="bottom"/>
            <w:tcBorders>
              <w:bottom w:val="single" w:sz="8" w:color="CFF0FC"/>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ind w:left="100"/>
              <w:spacing w:after="0"/>
              <w:rPr>
                <w:sz w:val="20"/>
                <w:szCs w:val="20"/>
                <w:color w:val="auto"/>
              </w:rPr>
            </w:pPr>
            <w:r>
              <w:rPr>
                <w:rFonts w:ascii="Arial" w:cs="Arial" w:eastAsia="Arial" w:hAnsi="Arial"/>
                <w:sz w:val="14"/>
                <w:szCs w:val="14"/>
                <w:b w:val="1"/>
                <w:bCs w:val="1"/>
                <w:color w:val="auto"/>
              </w:rPr>
              <w:t>Liabilities</w:t>
            </w:r>
          </w:p>
        </w:tc>
      </w:tr>
      <w:tr>
        <w:trPr>
          <w:trHeight w:val="250"/>
        </w:trPr>
        <w:tc>
          <w:tcPr>
            <w:tcW w:w="604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PF Melville</w:t>
            </w:r>
          </w:p>
        </w:tc>
        <w:tc>
          <w:tcPr>
            <w:tcW w:w="280" w:type="dxa"/>
            <w:vAlign w:val="bottom"/>
            <w:tcBorders>
              <w:bottom w:val="single" w:sz="8" w:color="CFF0FC"/>
            </w:tcBorders>
            <w:shd w:val="clear" w:color="auto" w:fill="CFF0FC"/>
          </w:tcPr>
          <w:p>
            <w:pPr>
              <w:jc w:val="right"/>
              <w:ind w:right="70"/>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FF0FC"/>
            </w:tcBorders>
            <w:shd w:val="clear" w:color="auto" w:fill="CFF0FC"/>
          </w:tcPr>
          <w:p>
            <w:pPr>
              <w:jc w:val="right"/>
              <w:ind w:right="37"/>
              <w:spacing w:after="0"/>
              <w:rPr>
                <w:sz w:val="20"/>
                <w:szCs w:val="20"/>
                <w:color w:val="auto"/>
              </w:rPr>
            </w:pPr>
            <w:r>
              <w:rPr>
                <w:rFonts w:ascii="Arial" w:cs="Arial" w:eastAsia="Arial" w:hAnsi="Arial"/>
                <w:sz w:val="18"/>
                <w:szCs w:val="18"/>
                <w:color w:val="auto"/>
              </w:rPr>
              <w:t>4,603</w:t>
            </w:r>
          </w:p>
        </w:tc>
        <w:tc>
          <w:tcPr>
            <w:tcW w:w="100" w:type="dxa"/>
            <w:vAlign w:val="bottom"/>
            <w:tcBorders>
              <w:bottom w:val="single" w:sz="8" w:color="CFF0FC"/>
            </w:tcBorders>
            <w:shd w:val="clear" w:color="auto" w:fill="CFF0FC"/>
          </w:tcPr>
          <w:p>
            <w:pPr>
              <w:spacing w:after="0"/>
              <w:rPr>
                <w:sz w:val="21"/>
                <w:szCs w:val="21"/>
                <w:color w:val="auto"/>
              </w:rPr>
            </w:pPr>
          </w:p>
        </w:tc>
        <w:tc>
          <w:tcPr>
            <w:tcW w:w="940" w:type="dxa"/>
            <w:vAlign w:val="bottom"/>
            <w:tcBorders>
              <w:bottom w:val="single" w:sz="8" w:color="CFF0FC"/>
            </w:tcBorders>
            <w:shd w:val="clear" w:color="auto" w:fill="CFF0FC"/>
          </w:tcPr>
          <w:p>
            <w:pPr>
              <w:jc w:val="right"/>
              <w:ind w:right="736"/>
              <w:spacing w:after="0"/>
              <w:rPr>
                <w:sz w:val="20"/>
                <w:szCs w:val="20"/>
                <w:color w:val="auto"/>
              </w:rPr>
            </w:pPr>
            <w:r>
              <w:rPr>
                <w:rFonts w:ascii="Arial" w:cs="Arial" w:eastAsia="Arial" w:hAnsi="Arial"/>
                <w:sz w:val="18"/>
                <w:szCs w:val="18"/>
                <w:color w:val="auto"/>
                <w:w w:val="99"/>
              </w:rPr>
              <w:t>$</w:t>
            </w:r>
          </w:p>
        </w:tc>
        <w:tc>
          <w:tcPr>
            <w:tcW w:w="420" w:type="dxa"/>
            <w:vAlign w:val="bottom"/>
            <w:tcBorders>
              <w:bottom w:val="single" w:sz="8" w:color="CFF0FC"/>
            </w:tcBorders>
            <w:gridSpan w:val="2"/>
            <w:shd w:val="clear" w:color="auto" w:fill="CFF0FC"/>
          </w:tcPr>
          <w:p>
            <w:pPr>
              <w:ind w:left="2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FF0FC"/>
            </w:tcBorders>
            <w:shd w:val="clear" w:color="auto" w:fill="CFF0FC"/>
          </w:tcPr>
          <w:p>
            <w:pPr>
              <w:jc w:val="right"/>
              <w:ind w:right="5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FF0FC"/>
            </w:tcBorders>
            <w:shd w:val="clear" w:color="auto" w:fill="CFF0FC"/>
          </w:tcPr>
          <w:p>
            <w:pPr>
              <w:ind w:left="460"/>
              <w:spacing w:after="0"/>
              <w:rPr>
                <w:sz w:val="20"/>
                <w:szCs w:val="20"/>
                <w:color w:val="auto"/>
              </w:rPr>
            </w:pPr>
            <w:r>
              <w:rPr>
                <w:rFonts w:ascii="Arial" w:cs="Arial" w:eastAsia="Arial" w:hAnsi="Arial"/>
                <w:sz w:val="18"/>
                <w:szCs w:val="18"/>
                <w:color w:val="auto"/>
              </w:rPr>
              <w:t>4,420</w:t>
            </w:r>
          </w:p>
        </w:tc>
        <w:tc>
          <w:tcPr>
            <w:tcW w:w="100" w:type="dxa"/>
            <w:vAlign w:val="bottom"/>
            <w:tcBorders>
              <w:bottom w:val="single" w:sz="8" w:color="CFF0FC"/>
            </w:tcBorders>
            <w:shd w:val="clear" w:color="auto" w:fill="CFF0FC"/>
          </w:tcPr>
          <w:p>
            <w:pPr>
              <w:spacing w:after="0"/>
              <w:rPr>
                <w:sz w:val="21"/>
                <w:szCs w:val="21"/>
                <w:color w:val="auto"/>
              </w:rPr>
            </w:pPr>
          </w:p>
        </w:tc>
        <w:tc>
          <w:tcPr>
            <w:tcW w:w="220" w:type="dxa"/>
            <w:vAlign w:val="bottom"/>
            <w:tcBorders>
              <w:bottom w:val="single" w:sz="8" w:color="CFF0FC"/>
            </w:tcBorders>
            <w:shd w:val="clear" w:color="auto" w:fill="CFF0FC"/>
          </w:tcPr>
          <w:p>
            <w:pPr>
              <w:jc w:val="right"/>
              <w:ind w:right="1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FF0FC"/>
            </w:tcBorders>
            <w:shd w:val="clear" w:color="auto" w:fill="CFF0FC"/>
          </w:tcPr>
          <w:p>
            <w:pPr>
              <w:ind w:left="740"/>
              <w:spacing w:after="0"/>
              <w:rPr>
                <w:sz w:val="20"/>
                <w:szCs w:val="20"/>
                <w:color w:val="auto"/>
              </w:rPr>
            </w:pPr>
            <w:r>
              <w:rPr>
                <w:rFonts w:ascii="Arial" w:cs="Arial" w:eastAsia="Arial" w:hAnsi="Arial"/>
                <w:sz w:val="18"/>
                <w:szCs w:val="18"/>
                <w:color w:val="auto"/>
              </w:rPr>
              <w:t>—</w:t>
            </w:r>
          </w:p>
        </w:tc>
      </w:tr>
      <w:tr>
        <w:trPr>
          <w:trHeight w:val="243"/>
        </w:trPr>
        <w:tc>
          <w:tcPr>
            <w:tcW w:w="6040" w:type="dxa"/>
            <w:vAlign w:val="bottom"/>
          </w:tcPr>
          <w:p>
            <w:pPr>
              <w:ind w:left="40"/>
              <w:spacing w:after="0"/>
              <w:rPr>
                <w:sz w:val="20"/>
                <w:szCs w:val="20"/>
                <w:color w:val="auto"/>
              </w:rPr>
            </w:pPr>
            <w:r>
              <w:rPr>
                <w:rFonts w:ascii="Arial" w:cs="Arial" w:eastAsia="Arial" w:hAnsi="Arial"/>
                <w:sz w:val="18"/>
                <w:szCs w:val="18"/>
                <w:color w:val="auto"/>
              </w:rPr>
              <w:t>MMR</w:t>
            </w:r>
          </w:p>
        </w:tc>
        <w:tc>
          <w:tcPr>
            <w:tcW w:w="280" w:type="dxa"/>
            <w:vAlign w:val="bottom"/>
          </w:tcPr>
          <w:p>
            <w:pPr>
              <w:spacing w:after="0"/>
              <w:rPr>
                <w:sz w:val="21"/>
                <w:szCs w:val="21"/>
                <w:color w:val="auto"/>
              </w:rPr>
            </w:pPr>
          </w:p>
        </w:tc>
        <w:tc>
          <w:tcPr>
            <w:tcW w:w="1000" w:type="dxa"/>
            <w:vAlign w:val="bottom"/>
          </w:tcPr>
          <w:p>
            <w:pPr>
              <w:jc w:val="right"/>
              <w:ind w:right="37"/>
              <w:spacing w:after="0"/>
              <w:rPr>
                <w:sz w:val="20"/>
                <w:szCs w:val="20"/>
                <w:color w:val="auto"/>
              </w:rPr>
            </w:pPr>
            <w:r>
              <w:rPr>
                <w:rFonts w:ascii="Arial" w:cs="Arial" w:eastAsia="Arial" w:hAnsi="Arial"/>
                <w:sz w:val="18"/>
                <w:szCs w:val="18"/>
                <w:color w:val="auto"/>
              </w:rPr>
              <w:t>3,461</w:t>
            </w:r>
          </w:p>
        </w:tc>
        <w:tc>
          <w:tcPr>
            <w:tcW w:w="10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42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980" w:type="dxa"/>
            <w:vAlign w:val="bottom"/>
          </w:tcPr>
          <w:p>
            <w:pPr>
              <w:ind w:left="460"/>
              <w:spacing w:after="0"/>
              <w:rPr>
                <w:sz w:val="20"/>
                <w:szCs w:val="20"/>
                <w:color w:val="auto"/>
              </w:rPr>
            </w:pPr>
            <w:r>
              <w:rPr>
                <w:rFonts w:ascii="Arial" w:cs="Arial" w:eastAsia="Arial" w:hAnsi="Arial"/>
                <w:sz w:val="18"/>
                <w:szCs w:val="18"/>
                <w:color w:val="auto"/>
              </w:rPr>
              <w:t>3,360</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20" w:type="dxa"/>
            <w:vAlign w:val="bottom"/>
          </w:tcPr>
          <w:p>
            <w:pPr>
              <w:ind w:left="740"/>
              <w:spacing w:after="0"/>
              <w:rPr>
                <w:sz w:val="20"/>
                <w:szCs w:val="20"/>
                <w:color w:val="auto"/>
              </w:rPr>
            </w:pPr>
            <w:r>
              <w:rPr>
                <w:rFonts w:ascii="Arial" w:cs="Arial" w:eastAsia="Arial" w:hAnsi="Arial"/>
                <w:sz w:val="18"/>
                <w:szCs w:val="18"/>
                <w:color w:val="auto"/>
              </w:rPr>
              <w:t>—</w:t>
            </w:r>
          </w:p>
        </w:tc>
      </w:tr>
      <w:tr>
        <w:trPr>
          <w:trHeight w:val="27"/>
        </w:trPr>
        <w:tc>
          <w:tcPr>
            <w:tcW w:w="6040" w:type="dxa"/>
            <w:vAlign w:val="bottom"/>
            <w:tcBorders>
              <w:bottom w:val="single" w:sz="8" w:color="CFF0FC"/>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57"/>
        </w:trPr>
        <w:tc>
          <w:tcPr>
            <w:tcW w:w="6040" w:type="dxa"/>
            <w:vAlign w:val="bottom"/>
            <w:shd w:val="clear" w:color="auto" w:fill="CFF0FC"/>
          </w:tcPr>
          <w:p>
            <w:pPr>
              <w:ind w:left="280"/>
              <w:spacing w:after="0"/>
              <w:rPr>
                <w:sz w:val="20"/>
                <w:szCs w:val="20"/>
                <w:color w:val="auto"/>
              </w:rPr>
            </w:pPr>
            <w:r>
              <w:rPr>
                <w:rFonts w:ascii="Arial" w:cs="Arial" w:eastAsia="Arial" w:hAnsi="Arial"/>
                <w:sz w:val="18"/>
                <w:szCs w:val="18"/>
                <w:color w:val="auto"/>
              </w:rPr>
              <w:t>Total</w:t>
            </w:r>
          </w:p>
        </w:tc>
        <w:tc>
          <w:tcPr>
            <w:tcW w:w="280" w:type="dxa"/>
            <w:vAlign w:val="bottom"/>
            <w:shd w:val="clear" w:color="auto" w:fill="CFF0FC"/>
          </w:tcPr>
          <w:p>
            <w:pPr>
              <w:jc w:val="right"/>
              <w:ind w:right="70"/>
              <w:spacing w:after="0"/>
              <w:rPr>
                <w:sz w:val="20"/>
                <w:szCs w:val="20"/>
                <w:color w:val="auto"/>
              </w:rPr>
            </w:pPr>
            <w:r>
              <w:rPr>
                <w:rFonts w:ascii="Arial" w:cs="Arial" w:eastAsia="Arial" w:hAnsi="Arial"/>
                <w:sz w:val="18"/>
                <w:szCs w:val="18"/>
                <w:color w:val="auto"/>
                <w:w w:val="99"/>
              </w:rPr>
              <w:t>$</w:t>
            </w:r>
          </w:p>
        </w:tc>
        <w:tc>
          <w:tcPr>
            <w:tcW w:w="1000" w:type="dxa"/>
            <w:vAlign w:val="bottom"/>
            <w:shd w:val="clear" w:color="auto" w:fill="CFF0FC"/>
          </w:tcPr>
          <w:p>
            <w:pPr>
              <w:jc w:val="right"/>
              <w:ind w:right="37"/>
              <w:spacing w:after="0"/>
              <w:rPr>
                <w:sz w:val="20"/>
                <w:szCs w:val="20"/>
                <w:color w:val="auto"/>
              </w:rPr>
            </w:pPr>
            <w:r>
              <w:rPr>
                <w:rFonts w:ascii="Arial" w:cs="Arial" w:eastAsia="Arial" w:hAnsi="Arial"/>
                <w:sz w:val="18"/>
                <w:szCs w:val="18"/>
                <w:color w:val="auto"/>
              </w:rPr>
              <w:t>8,064</w:t>
            </w:r>
          </w:p>
        </w:tc>
        <w:tc>
          <w:tcPr>
            <w:tcW w:w="100" w:type="dxa"/>
            <w:vAlign w:val="bottom"/>
            <w:shd w:val="clear" w:color="auto" w:fill="CFF0FC"/>
          </w:tcPr>
          <w:p>
            <w:pPr>
              <w:spacing w:after="0"/>
              <w:rPr>
                <w:sz w:val="22"/>
                <w:szCs w:val="22"/>
                <w:color w:val="auto"/>
              </w:rPr>
            </w:pPr>
          </w:p>
        </w:tc>
        <w:tc>
          <w:tcPr>
            <w:tcW w:w="940" w:type="dxa"/>
            <w:vAlign w:val="bottom"/>
            <w:shd w:val="clear" w:color="auto" w:fill="CFF0FC"/>
          </w:tcPr>
          <w:p>
            <w:pPr>
              <w:jc w:val="right"/>
              <w:ind w:right="736"/>
              <w:spacing w:after="0"/>
              <w:rPr>
                <w:sz w:val="20"/>
                <w:szCs w:val="20"/>
                <w:color w:val="auto"/>
              </w:rPr>
            </w:pPr>
            <w:r>
              <w:rPr>
                <w:rFonts w:ascii="Arial" w:cs="Arial" w:eastAsia="Arial" w:hAnsi="Arial"/>
                <w:sz w:val="18"/>
                <w:szCs w:val="18"/>
                <w:color w:val="auto"/>
                <w:w w:val="99"/>
              </w:rPr>
              <w:t>$</w:t>
            </w:r>
          </w:p>
        </w:tc>
        <w:tc>
          <w:tcPr>
            <w:tcW w:w="420" w:type="dxa"/>
            <w:vAlign w:val="bottom"/>
            <w:gridSpan w:val="2"/>
            <w:shd w:val="clear" w:color="auto" w:fill="CFF0FC"/>
          </w:tcPr>
          <w:p>
            <w:pPr>
              <w:ind w:left="20"/>
              <w:spacing w:after="0"/>
              <w:rPr>
                <w:sz w:val="20"/>
                <w:szCs w:val="20"/>
                <w:color w:val="auto"/>
              </w:rPr>
            </w:pPr>
            <w:r>
              <w:rPr>
                <w:rFonts w:ascii="Arial" w:cs="Arial" w:eastAsia="Arial" w:hAnsi="Arial"/>
                <w:sz w:val="18"/>
                <w:szCs w:val="18"/>
                <w:color w:val="auto"/>
              </w:rPr>
              <w:t>—</w:t>
            </w:r>
          </w:p>
        </w:tc>
        <w:tc>
          <w:tcPr>
            <w:tcW w:w="26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w w:val="99"/>
              </w:rPr>
              <w:t>$</w:t>
            </w:r>
          </w:p>
        </w:tc>
        <w:tc>
          <w:tcPr>
            <w:tcW w:w="980" w:type="dxa"/>
            <w:vAlign w:val="bottom"/>
            <w:shd w:val="clear" w:color="auto" w:fill="CFF0FC"/>
          </w:tcPr>
          <w:p>
            <w:pPr>
              <w:ind w:left="460"/>
              <w:spacing w:after="0"/>
              <w:rPr>
                <w:sz w:val="20"/>
                <w:szCs w:val="20"/>
                <w:color w:val="auto"/>
              </w:rPr>
            </w:pPr>
            <w:r>
              <w:rPr>
                <w:rFonts w:ascii="Arial" w:cs="Arial" w:eastAsia="Arial" w:hAnsi="Arial"/>
                <w:sz w:val="18"/>
                <w:szCs w:val="18"/>
                <w:color w:val="auto"/>
              </w:rPr>
              <w:t>7,780</w:t>
            </w:r>
          </w:p>
        </w:tc>
        <w:tc>
          <w:tcPr>
            <w:tcW w:w="100" w:type="dxa"/>
            <w:vAlign w:val="bottom"/>
            <w:shd w:val="clear" w:color="auto" w:fill="CFF0FC"/>
          </w:tcPr>
          <w:p>
            <w:pPr>
              <w:spacing w:after="0"/>
              <w:rPr>
                <w:sz w:val="22"/>
                <w:szCs w:val="22"/>
                <w:color w:val="auto"/>
              </w:rPr>
            </w:pPr>
          </w:p>
        </w:tc>
        <w:tc>
          <w:tcPr>
            <w:tcW w:w="22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w w:val="99"/>
              </w:rPr>
              <w:t>$</w:t>
            </w:r>
          </w:p>
        </w:tc>
        <w:tc>
          <w:tcPr>
            <w:tcW w:w="1020" w:type="dxa"/>
            <w:vAlign w:val="bottom"/>
            <w:shd w:val="clear" w:color="auto" w:fill="CFF0FC"/>
          </w:tcPr>
          <w:p>
            <w:pPr>
              <w:ind w:left="740"/>
              <w:spacing w:after="0"/>
              <w:rPr>
                <w:sz w:val="20"/>
                <w:szCs w:val="20"/>
                <w:color w:val="auto"/>
              </w:rPr>
            </w:pPr>
            <w:r>
              <w:rPr>
                <w:rFonts w:ascii="Arial" w:cs="Arial" w:eastAsia="Arial" w:hAnsi="Arial"/>
                <w:sz w:val="18"/>
                <w:szCs w:val="18"/>
                <w:color w:val="auto"/>
              </w:rPr>
              <w:t>—</w:t>
            </w:r>
          </w:p>
        </w:tc>
      </w:tr>
      <w:tr>
        <w:trPr>
          <w:trHeight w:val="20"/>
        </w:trPr>
        <w:tc>
          <w:tcPr>
            <w:tcW w:w="6040" w:type="dxa"/>
            <w:vAlign w:val="bottom"/>
            <w:tcBorders>
              <w:top w:val="single" w:sz="8" w:color="CFF0FC"/>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Company also has variable interests in certain franchisees mainly through the guarantee of certain debt and lease agreements by the Company and by certain related parties to franchisees. The Company’s maximum obligation, as a result of its guarantees of leases and debt, is approximately $858 and $979 as of June 30, 2018 and December 31, 2017, respectively.</w:t>
      </w:r>
    </w:p>
    <w:p>
      <w:pPr>
        <w:spacing w:after="0" w:line="73" w:lineRule="exact"/>
        <w:rPr>
          <w:sz w:val="20"/>
          <w:szCs w:val="20"/>
          <w:color w:val="auto"/>
        </w:rPr>
      </w:pPr>
    </w:p>
    <w:p>
      <w:pPr>
        <w:jc w:val="both"/>
        <w:ind w:right="20"/>
        <w:spacing w:after="0" w:line="264" w:lineRule="auto"/>
        <w:rPr>
          <w:sz w:val="20"/>
          <w:szCs w:val="20"/>
          <w:color w:val="auto"/>
        </w:rPr>
      </w:pPr>
      <w:r>
        <w:rPr>
          <w:rFonts w:ascii="Arial" w:cs="Arial" w:eastAsia="Arial" w:hAnsi="Arial"/>
          <w:sz w:val="18"/>
          <w:szCs w:val="18"/>
          <w:color w:val="auto"/>
        </w:rPr>
        <w:t>The amount of the Company’s maximum obligation represents a loss that the Company could incur from the variability in credit exposure without consideration of possible recoveries through insurance or other means. In addition, the amount bears no relation to the ultimate settlement anticipated to be incurred from the Company’s involvement with these entities, which is estimated at $0.</w:t>
      </w:r>
    </w:p>
    <w:p>
      <w:pPr>
        <w:spacing w:after="0" w:line="1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Acquisition</w:t>
      </w:r>
    </w:p>
    <w:p>
      <w:pPr>
        <w:spacing w:after="0" w:line="121"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On January 1, 2018, the Company purchased from one of its franchisees certain assets associated with six franchisee-owned stores in New York for a cash payment of $28,503. As a result of the transaction, the Company incurred a loss on unfavorable reacquired franchise rights of $350, which has been reflected in other operating costs in the statement of operations. The loss incurred reduced the net purchase price to $28,153. The Company financed the purchase through cash on hand. The acquired stores are included in the Corporate-owned stores segment.</w:t>
      </w:r>
    </w:p>
    <w:p>
      <w:pPr>
        <w:spacing w:after="0" w:line="200" w:lineRule="exact"/>
        <w:rPr>
          <w:sz w:val="20"/>
          <w:szCs w:val="20"/>
          <w:color w:val="auto"/>
        </w:rPr>
      </w:pPr>
    </w:p>
    <w:p>
      <w:pPr>
        <w:spacing w:after="0" w:line="3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20"/>
          </w:cols>
          <w:pgMar w:left="240" w:top="229" w:right="23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1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36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780" w:type="dxa"/>
            <w:vAlign w:val="bottom"/>
            <w:gridSpan w:val="2"/>
          </w:tcPr>
          <w:p>
            <w:pPr>
              <w:spacing w:after="0"/>
              <w:rPr>
                <w:sz w:val="20"/>
                <w:szCs w:val="20"/>
                <w:color w:val="auto"/>
              </w:rPr>
            </w:pPr>
            <w:r>
              <w:rPr>
                <w:rFonts w:ascii="Arial" w:cs="Arial" w:eastAsia="Arial" w:hAnsi="Arial"/>
                <w:sz w:val="18"/>
                <w:szCs w:val="18"/>
                <w:color w:val="auto"/>
              </w:rPr>
              <w:t>The purchase consideration was allocated as follows:</w:t>
            </w:r>
          </w:p>
        </w:tc>
        <w:tc>
          <w:tcPr>
            <w:tcW w:w="460" w:type="dxa"/>
            <w:vAlign w:val="bottom"/>
          </w:tcPr>
          <w:p>
            <w:pPr>
              <w:spacing w:after="0"/>
              <w:rPr>
                <w:sz w:val="20"/>
                <w:szCs w:val="20"/>
                <w:color w:val="auto"/>
              </w:rPr>
            </w:pPr>
          </w:p>
        </w:tc>
        <w:tc>
          <w:tcPr>
            <w:tcW w:w="1820" w:type="dxa"/>
            <w:vAlign w:val="bottom"/>
          </w:tcPr>
          <w:p>
            <w:pPr>
              <w:spacing w:after="0"/>
              <w:rPr>
                <w:sz w:val="20"/>
                <w:szCs w:val="20"/>
                <w:color w:val="auto"/>
              </w:rPr>
            </w:pPr>
          </w:p>
        </w:tc>
      </w:tr>
      <w:tr>
        <w:trPr>
          <w:trHeight w:val="594"/>
        </w:trPr>
        <w:tc>
          <w:tcPr>
            <w:tcW w:w="1360" w:type="dxa"/>
            <w:vAlign w:val="bottom"/>
          </w:tcPr>
          <w:p>
            <w:pPr>
              <w:spacing w:after="0"/>
              <w:rPr>
                <w:sz w:val="24"/>
                <w:szCs w:val="24"/>
                <w:color w:val="auto"/>
              </w:rPr>
            </w:pPr>
          </w:p>
        </w:tc>
        <w:tc>
          <w:tcPr>
            <w:tcW w:w="64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820" w:type="dxa"/>
            <w:vAlign w:val="bottom"/>
          </w:tcPr>
          <w:p>
            <w:pPr>
              <w:jc w:val="right"/>
              <w:ind w:right="730"/>
              <w:spacing w:after="0"/>
              <w:rPr>
                <w:sz w:val="20"/>
                <w:szCs w:val="20"/>
                <w:color w:val="auto"/>
              </w:rPr>
            </w:pPr>
            <w:r>
              <w:rPr>
                <w:rFonts w:ascii="Arial" w:cs="Arial" w:eastAsia="Arial" w:hAnsi="Arial"/>
                <w:sz w:val="18"/>
                <w:szCs w:val="18"/>
                <w:b w:val="1"/>
                <w:bCs w:val="1"/>
                <w:color w:val="auto"/>
              </w:rPr>
              <w:t>Amount</w:t>
            </w:r>
          </w:p>
        </w:tc>
      </w:tr>
      <w:tr>
        <w:trPr>
          <w:trHeight w:val="27"/>
        </w:trPr>
        <w:tc>
          <w:tcPr>
            <w:tcW w:w="1360" w:type="dxa"/>
            <w:vAlign w:val="bottom"/>
          </w:tcPr>
          <w:p>
            <w:pPr>
              <w:spacing w:after="0"/>
              <w:rPr>
                <w:sz w:val="2"/>
                <w:szCs w:val="2"/>
                <w:color w:val="auto"/>
              </w:rPr>
            </w:pPr>
          </w:p>
        </w:tc>
        <w:tc>
          <w:tcPr>
            <w:tcW w:w="64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820" w:type="dxa"/>
            <w:vAlign w:val="bottom"/>
          </w:tcPr>
          <w:p>
            <w:pPr>
              <w:spacing w:after="0"/>
              <w:rPr>
                <w:sz w:val="2"/>
                <w:szCs w:val="2"/>
                <w:color w:val="auto"/>
              </w:rPr>
            </w:pPr>
          </w:p>
        </w:tc>
      </w:tr>
      <w:tr>
        <w:trPr>
          <w:trHeight w:val="250"/>
        </w:trPr>
        <w:tc>
          <w:tcPr>
            <w:tcW w:w="1360" w:type="dxa"/>
            <w:vAlign w:val="bottom"/>
          </w:tcPr>
          <w:p>
            <w:pPr>
              <w:spacing w:after="0"/>
              <w:rPr>
                <w:sz w:val="21"/>
                <w:szCs w:val="21"/>
                <w:color w:val="auto"/>
              </w:rPr>
            </w:pPr>
          </w:p>
        </w:tc>
        <w:tc>
          <w:tcPr>
            <w:tcW w:w="6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Fixed assets</w:t>
            </w:r>
          </w:p>
        </w:tc>
        <w:tc>
          <w:tcPr>
            <w:tcW w:w="46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w w:val="99"/>
              </w:rPr>
              <w:t>$</w:t>
            </w:r>
          </w:p>
        </w:tc>
        <w:tc>
          <w:tcPr>
            <w:tcW w:w="1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4,672</w:t>
            </w:r>
          </w:p>
        </w:tc>
      </w:tr>
      <w:tr>
        <w:trPr>
          <w:trHeight w:val="243"/>
        </w:trPr>
        <w:tc>
          <w:tcPr>
            <w:tcW w:w="1360" w:type="dxa"/>
            <w:vAlign w:val="bottom"/>
          </w:tcPr>
          <w:p>
            <w:pPr>
              <w:spacing w:after="0"/>
              <w:rPr>
                <w:sz w:val="21"/>
                <w:szCs w:val="21"/>
                <w:color w:val="auto"/>
              </w:rPr>
            </w:pPr>
          </w:p>
        </w:tc>
        <w:tc>
          <w:tcPr>
            <w:tcW w:w="6420" w:type="dxa"/>
            <w:vAlign w:val="bottom"/>
          </w:tcPr>
          <w:p>
            <w:pPr>
              <w:ind w:left="20"/>
              <w:spacing w:after="0"/>
              <w:rPr>
                <w:sz w:val="20"/>
                <w:szCs w:val="20"/>
                <w:color w:val="auto"/>
              </w:rPr>
            </w:pPr>
            <w:r>
              <w:rPr>
                <w:rFonts w:ascii="Arial" w:cs="Arial" w:eastAsia="Arial" w:hAnsi="Arial"/>
                <w:sz w:val="18"/>
                <w:szCs w:val="18"/>
                <w:color w:val="auto"/>
              </w:rPr>
              <w:t>Reacquired franchise rights</w:t>
            </w:r>
          </w:p>
        </w:tc>
        <w:tc>
          <w:tcPr>
            <w:tcW w:w="460" w:type="dxa"/>
            <w:vAlign w:val="bottom"/>
          </w:tcPr>
          <w:p>
            <w:pPr>
              <w:spacing w:after="0"/>
              <w:rPr>
                <w:sz w:val="21"/>
                <w:szCs w:val="21"/>
                <w:color w:val="auto"/>
              </w:rPr>
            </w:pPr>
          </w:p>
        </w:tc>
        <w:tc>
          <w:tcPr>
            <w:tcW w:w="1820" w:type="dxa"/>
            <w:vAlign w:val="bottom"/>
          </w:tcPr>
          <w:p>
            <w:pPr>
              <w:jc w:val="right"/>
              <w:spacing w:after="0"/>
              <w:rPr>
                <w:sz w:val="20"/>
                <w:szCs w:val="20"/>
                <w:color w:val="auto"/>
              </w:rPr>
            </w:pPr>
            <w:r>
              <w:rPr>
                <w:rFonts w:ascii="Arial" w:cs="Arial" w:eastAsia="Arial" w:hAnsi="Arial"/>
                <w:sz w:val="18"/>
                <w:szCs w:val="18"/>
                <w:color w:val="auto"/>
              </w:rPr>
              <w:t>7,640</w:t>
            </w:r>
          </w:p>
        </w:tc>
      </w:tr>
      <w:tr>
        <w:trPr>
          <w:trHeight w:val="27"/>
        </w:trPr>
        <w:tc>
          <w:tcPr>
            <w:tcW w:w="1360" w:type="dxa"/>
            <w:vAlign w:val="bottom"/>
          </w:tcPr>
          <w:p>
            <w:pPr>
              <w:spacing w:after="0"/>
              <w:rPr>
                <w:sz w:val="2"/>
                <w:szCs w:val="2"/>
                <w:color w:val="auto"/>
              </w:rPr>
            </w:pPr>
          </w:p>
        </w:tc>
        <w:tc>
          <w:tcPr>
            <w:tcW w:w="64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820" w:type="dxa"/>
            <w:vAlign w:val="bottom"/>
          </w:tcPr>
          <w:p>
            <w:pPr>
              <w:spacing w:after="0"/>
              <w:rPr>
                <w:sz w:val="2"/>
                <w:szCs w:val="2"/>
                <w:color w:val="auto"/>
              </w:rPr>
            </w:pPr>
          </w:p>
        </w:tc>
      </w:tr>
      <w:tr>
        <w:trPr>
          <w:trHeight w:val="250"/>
        </w:trPr>
        <w:tc>
          <w:tcPr>
            <w:tcW w:w="1360" w:type="dxa"/>
            <w:vAlign w:val="bottom"/>
          </w:tcPr>
          <w:p>
            <w:pPr>
              <w:spacing w:after="0"/>
              <w:rPr>
                <w:sz w:val="21"/>
                <w:szCs w:val="21"/>
                <w:color w:val="auto"/>
              </w:rPr>
            </w:pPr>
          </w:p>
        </w:tc>
        <w:tc>
          <w:tcPr>
            <w:tcW w:w="6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Customer relationships</w:t>
            </w:r>
          </w:p>
        </w:tc>
        <w:tc>
          <w:tcPr>
            <w:tcW w:w="460" w:type="dxa"/>
            <w:vAlign w:val="bottom"/>
            <w:tcBorders>
              <w:bottom w:val="single" w:sz="8" w:color="CCEEFF"/>
            </w:tcBorders>
            <w:shd w:val="clear" w:color="auto" w:fill="CCEEFF"/>
          </w:tcPr>
          <w:p>
            <w:pPr>
              <w:spacing w:after="0"/>
              <w:rPr>
                <w:sz w:val="21"/>
                <w:szCs w:val="21"/>
                <w:color w:val="auto"/>
              </w:rPr>
            </w:pPr>
          </w:p>
        </w:tc>
        <w:tc>
          <w:tcPr>
            <w:tcW w:w="1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1,150</w:t>
            </w:r>
          </w:p>
        </w:tc>
      </w:tr>
      <w:tr>
        <w:trPr>
          <w:trHeight w:val="243"/>
        </w:trPr>
        <w:tc>
          <w:tcPr>
            <w:tcW w:w="1360" w:type="dxa"/>
            <w:vAlign w:val="bottom"/>
          </w:tcPr>
          <w:p>
            <w:pPr>
              <w:spacing w:after="0"/>
              <w:rPr>
                <w:sz w:val="21"/>
                <w:szCs w:val="21"/>
                <w:color w:val="auto"/>
              </w:rPr>
            </w:pPr>
          </w:p>
        </w:tc>
        <w:tc>
          <w:tcPr>
            <w:tcW w:w="6420" w:type="dxa"/>
            <w:vAlign w:val="bottom"/>
          </w:tcPr>
          <w:p>
            <w:pPr>
              <w:ind w:left="20"/>
              <w:spacing w:after="0"/>
              <w:rPr>
                <w:sz w:val="20"/>
                <w:szCs w:val="20"/>
                <w:color w:val="auto"/>
              </w:rPr>
            </w:pPr>
            <w:r>
              <w:rPr>
                <w:rFonts w:ascii="Arial" w:cs="Arial" w:eastAsia="Arial" w:hAnsi="Arial"/>
                <w:sz w:val="18"/>
                <w:szCs w:val="18"/>
                <w:color w:val="auto"/>
              </w:rPr>
              <w:t>Favorable leases, net</w:t>
            </w:r>
          </w:p>
        </w:tc>
        <w:tc>
          <w:tcPr>
            <w:tcW w:w="460" w:type="dxa"/>
            <w:vAlign w:val="bottom"/>
          </w:tcPr>
          <w:p>
            <w:pPr>
              <w:spacing w:after="0"/>
              <w:rPr>
                <w:sz w:val="21"/>
                <w:szCs w:val="21"/>
                <w:color w:val="auto"/>
              </w:rPr>
            </w:pPr>
          </w:p>
        </w:tc>
        <w:tc>
          <w:tcPr>
            <w:tcW w:w="1820" w:type="dxa"/>
            <w:vAlign w:val="bottom"/>
          </w:tcPr>
          <w:p>
            <w:pPr>
              <w:jc w:val="right"/>
              <w:spacing w:after="0"/>
              <w:rPr>
                <w:sz w:val="20"/>
                <w:szCs w:val="20"/>
                <w:color w:val="auto"/>
              </w:rPr>
            </w:pPr>
            <w:r>
              <w:rPr>
                <w:rFonts w:ascii="Arial" w:cs="Arial" w:eastAsia="Arial" w:hAnsi="Arial"/>
                <w:sz w:val="18"/>
                <w:szCs w:val="18"/>
                <w:color w:val="auto"/>
              </w:rPr>
              <w:t>520</w:t>
            </w:r>
          </w:p>
        </w:tc>
      </w:tr>
      <w:tr>
        <w:trPr>
          <w:trHeight w:val="27"/>
        </w:trPr>
        <w:tc>
          <w:tcPr>
            <w:tcW w:w="1360" w:type="dxa"/>
            <w:vAlign w:val="bottom"/>
          </w:tcPr>
          <w:p>
            <w:pPr>
              <w:spacing w:after="0"/>
              <w:rPr>
                <w:sz w:val="2"/>
                <w:szCs w:val="2"/>
                <w:color w:val="auto"/>
              </w:rPr>
            </w:pPr>
          </w:p>
        </w:tc>
        <w:tc>
          <w:tcPr>
            <w:tcW w:w="64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820" w:type="dxa"/>
            <w:vAlign w:val="bottom"/>
          </w:tcPr>
          <w:p>
            <w:pPr>
              <w:spacing w:after="0"/>
              <w:rPr>
                <w:sz w:val="2"/>
                <w:szCs w:val="2"/>
                <w:color w:val="auto"/>
              </w:rPr>
            </w:pPr>
          </w:p>
        </w:tc>
      </w:tr>
      <w:tr>
        <w:trPr>
          <w:trHeight w:val="250"/>
        </w:trPr>
        <w:tc>
          <w:tcPr>
            <w:tcW w:w="1360" w:type="dxa"/>
            <w:vAlign w:val="bottom"/>
          </w:tcPr>
          <w:p>
            <w:pPr>
              <w:spacing w:after="0"/>
              <w:rPr>
                <w:sz w:val="21"/>
                <w:szCs w:val="21"/>
                <w:color w:val="auto"/>
              </w:rPr>
            </w:pPr>
          </w:p>
        </w:tc>
        <w:tc>
          <w:tcPr>
            <w:tcW w:w="6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Reacquired area development rights</w:t>
            </w:r>
          </w:p>
        </w:tc>
        <w:tc>
          <w:tcPr>
            <w:tcW w:w="460" w:type="dxa"/>
            <w:vAlign w:val="bottom"/>
            <w:tcBorders>
              <w:bottom w:val="single" w:sz="8" w:color="CCEEFF"/>
            </w:tcBorders>
            <w:shd w:val="clear" w:color="auto" w:fill="CCEEFF"/>
          </w:tcPr>
          <w:p>
            <w:pPr>
              <w:spacing w:after="0"/>
              <w:rPr>
                <w:sz w:val="21"/>
                <w:szCs w:val="21"/>
                <w:color w:val="auto"/>
              </w:rPr>
            </w:pPr>
          </w:p>
        </w:tc>
        <w:tc>
          <w:tcPr>
            <w:tcW w:w="1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150</w:t>
            </w:r>
          </w:p>
        </w:tc>
      </w:tr>
      <w:tr>
        <w:trPr>
          <w:trHeight w:val="243"/>
        </w:trPr>
        <w:tc>
          <w:tcPr>
            <w:tcW w:w="1360" w:type="dxa"/>
            <w:vAlign w:val="bottom"/>
          </w:tcPr>
          <w:p>
            <w:pPr>
              <w:spacing w:after="0"/>
              <w:rPr>
                <w:sz w:val="21"/>
                <w:szCs w:val="21"/>
                <w:color w:val="auto"/>
              </w:rPr>
            </w:pPr>
          </w:p>
        </w:tc>
        <w:tc>
          <w:tcPr>
            <w:tcW w:w="6420" w:type="dxa"/>
            <w:vAlign w:val="bottom"/>
          </w:tcPr>
          <w:p>
            <w:pPr>
              <w:ind w:left="20"/>
              <w:spacing w:after="0"/>
              <w:rPr>
                <w:sz w:val="20"/>
                <w:szCs w:val="20"/>
                <w:color w:val="auto"/>
              </w:rPr>
            </w:pPr>
            <w:r>
              <w:rPr>
                <w:rFonts w:ascii="Arial" w:cs="Arial" w:eastAsia="Arial" w:hAnsi="Arial"/>
                <w:sz w:val="18"/>
                <w:szCs w:val="18"/>
                <w:color w:val="auto"/>
              </w:rPr>
              <w:t>Other assets</w:t>
            </w:r>
          </w:p>
        </w:tc>
        <w:tc>
          <w:tcPr>
            <w:tcW w:w="460" w:type="dxa"/>
            <w:vAlign w:val="bottom"/>
          </w:tcPr>
          <w:p>
            <w:pPr>
              <w:spacing w:after="0"/>
              <w:rPr>
                <w:sz w:val="21"/>
                <w:szCs w:val="21"/>
                <w:color w:val="auto"/>
              </w:rPr>
            </w:pPr>
          </w:p>
        </w:tc>
        <w:tc>
          <w:tcPr>
            <w:tcW w:w="1820" w:type="dxa"/>
            <w:vAlign w:val="bottom"/>
          </w:tcPr>
          <w:p>
            <w:pPr>
              <w:jc w:val="right"/>
              <w:spacing w:after="0"/>
              <w:rPr>
                <w:sz w:val="20"/>
                <w:szCs w:val="20"/>
                <w:color w:val="auto"/>
              </w:rPr>
            </w:pPr>
            <w:r>
              <w:rPr>
                <w:rFonts w:ascii="Arial" w:cs="Arial" w:eastAsia="Arial" w:hAnsi="Arial"/>
                <w:sz w:val="18"/>
                <w:szCs w:val="18"/>
                <w:color w:val="auto"/>
              </w:rPr>
              <w:t>275</w:t>
            </w:r>
          </w:p>
        </w:tc>
      </w:tr>
      <w:tr>
        <w:trPr>
          <w:trHeight w:val="27"/>
        </w:trPr>
        <w:tc>
          <w:tcPr>
            <w:tcW w:w="1360" w:type="dxa"/>
            <w:vAlign w:val="bottom"/>
          </w:tcPr>
          <w:p>
            <w:pPr>
              <w:spacing w:after="0"/>
              <w:rPr>
                <w:sz w:val="2"/>
                <w:szCs w:val="2"/>
                <w:color w:val="auto"/>
              </w:rPr>
            </w:pPr>
          </w:p>
        </w:tc>
        <w:tc>
          <w:tcPr>
            <w:tcW w:w="64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820" w:type="dxa"/>
            <w:vAlign w:val="bottom"/>
          </w:tcPr>
          <w:p>
            <w:pPr>
              <w:spacing w:after="0"/>
              <w:rPr>
                <w:sz w:val="2"/>
                <w:szCs w:val="2"/>
                <w:color w:val="auto"/>
              </w:rPr>
            </w:pPr>
          </w:p>
        </w:tc>
      </w:tr>
      <w:tr>
        <w:trPr>
          <w:trHeight w:val="250"/>
        </w:trPr>
        <w:tc>
          <w:tcPr>
            <w:tcW w:w="1360" w:type="dxa"/>
            <w:vAlign w:val="bottom"/>
          </w:tcPr>
          <w:p>
            <w:pPr>
              <w:spacing w:after="0"/>
              <w:rPr>
                <w:sz w:val="21"/>
                <w:szCs w:val="21"/>
                <w:color w:val="auto"/>
              </w:rPr>
            </w:pPr>
          </w:p>
        </w:tc>
        <w:tc>
          <w:tcPr>
            <w:tcW w:w="6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Goodwill</w:t>
            </w:r>
          </w:p>
        </w:tc>
        <w:tc>
          <w:tcPr>
            <w:tcW w:w="460" w:type="dxa"/>
            <w:vAlign w:val="bottom"/>
            <w:tcBorders>
              <w:bottom w:val="single" w:sz="8" w:color="CCEEFF"/>
            </w:tcBorders>
            <w:shd w:val="clear" w:color="auto" w:fill="CCEEFF"/>
          </w:tcPr>
          <w:p>
            <w:pPr>
              <w:spacing w:after="0"/>
              <w:rPr>
                <w:sz w:val="21"/>
                <w:szCs w:val="21"/>
                <w:color w:val="auto"/>
              </w:rPr>
            </w:pPr>
          </w:p>
        </w:tc>
        <w:tc>
          <w:tcPr>
            <w:tcW w:w="1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14,056</w:t>
            </w:r>
          </w:p>
        </w:tc>
      </w:tr>
      <w:tr>
        <w:trPr>
          <w:trHeight w:val="243"/>
        </w:trPr>
        <w:tc>
          <w:tcPr>
            <w:tcW w:w="1360" w:type="dxa"/>
            <w:vAlign w:val="bottom"/>
          </w:tcPr>
          <w:p>
            <w:pPr>
              <w:spacing w:after="0"/>
              <w:rPr>
                <w:sz w:val="21"/>
                <w:szCs w:val="21"/>
                <w:color w:val="auto"/>
              </w:rPr>
            </w:pPr>
          </w:p>
        </w:tc>
        <w:tc>
          <w:tcPr>
            <w:tcW w:w="6420" w:type="dxa"/>
            <w:vAlign w:val="bottom"/>
          </w:tcPr>
          <w:p>
            <w:pPr>
              <w:ind w:left="20"/>
              <w:spacing w:after="0"/>
              <w:rPr>
                <w:sz w:val="20"/>
                <w:szCs w:val="20"/>
                <w:color w:val="auto"/>
              </w:rPr>
            </w:pPr>
            <w:r>
              <w:rPr>
                <w:rFonts w:ascii="Arial" w:cs="Arial" w:eastAsia="Arial" w:hAnsi="Arial"/>
                <w:sz w:val="18"/>
                <w:szCs w:val="18"/>
                <w:color w:val="auto"/>
              </w:rPr>
              <w:t>Liabilities assumed, including deferred revenues</w:t>
            </w:r>
          </w:p>
        </w:tc>
        <w:tc>
          <w:tcPr>
            <w:tcW w:w="460" w:type="dxa"/>
            <w:vAlign w:val="bottom"/>
          </w:tcPr>
          <w:p>
            <w:pPr>
              <w:spacing w:after="0"/>
              <w:rPr>
                <w:sz w:val="21"/>
                <w:szCs w:val="21"/>
                <w:color w:val="auto"/>
              </w:rPr>
            </w:pPr>
          </w:p>
        </w:tc>
        <w:tc>
          <w:tcPr>
            <w:tcW w:w="1820" w:type="dxa"/>
            <w:vAlign w:val="bottom"/>
          </w:tcPr>
          <w:p>
            <w:pPr>
              <w:jc w:val="right"/>
              <w:spacing w:after="0"/>
              <w:rPr>
                <w:sz w:val="20"/>
                <w:szCs w:val="20"/>
                <w:color w:val="auto"/>
              </w:rPr>
            </w:pPr>
            <w:r>
              <w:rPr>
                <w:rFonts w:ascii="Arial" w:cs="Arial" w:eastAsia="Arial" w:hAnsi="Arial"/>
                <w:sz w:val="18"/>
                <w:szCs w:val="18"/>
                <w:color w:val="auto"/>
              </w:rPr>
              <w:t>(310)</w:t>
            </w:r>
          </w:p>
        </w:tc>
      </w:tr>
      <w:tr>
        <w:trPr>
          <w:trHeight w:val="27"/>
        </w:trPr>
        <w:tc>
          <w:tcPr>
            <w:tcW w:w="1360" w:type="dxa"/>
            <w:vAlign w:val="bottom"/>
          </w:tcPr>
          <w:p>
            <w:pPr>
              <w:spacing w:after="0"/>
              <w:rPr>
                <w:sz w:val="2"/>
                <w:szCs w:val="2"/>
                <w:color w:val="auto"/>
              </w:rPr>
            </w:pPr>
          </w:p>
        </w:tc>
        <w:tc>
          <w:tcPr>
            <w:tcW w:w="642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820" w:type="dxa"/>
            <w:vAlign w:val="bottom"/>
            <w:tcBorders>
              <w:bottom w:val="single" w:sz="8" w:color="auto"/>
            </w:tcBorders>
          </w:tcPr>
          <w:p>
            <w:pPr>
              <w:spacing w:after="0"/>
              <w:rPr>
                <w:sz w:val="2"/>
                <w:szCs w:val="2"/>
                <w:color w:val="auto"/>
              </w:rPr>
            </w:pPr>
          </w:p>
        </w:tc>
      </w:tr>
      <w:tr>
        <w:trPr>
          <w:trHeight w:val="269"/>
        </w:trPr>
        <w:tc>
          <w:tcPr>
            <w:tcW w:w="1360" w:type="dxa"/>
            <w:vAlign w:val="bottom"/>
          </w:tcPr>
          <w:p>
            <w:pPr>
              <w:spacing w:after="0"/>
              <w:rPr>
                <w:sz w:val="22"/>
                <w:szCs w:val="22"/>
                <w:color w:val="auto"/>
              </w:rPr>
            </w:pPr>
          </w:p>
        </w:tc>
        <w:tc>
          <w:tcPr>
            <w:tcW w:w="6420" w:type="dxa"/>
            <w:vAlign w:val="bottom"/>
            <w:tcBorders>
              <w:bottom w:val="single" w:sz="8" w:color="CCEEFF"/>
            </w:tcBorders>
            <w:shd w:val="clear" w:color="auto" w:fill="CCEEFF"/>
          </w:tcPr>
          <w:p>
            <w:pPr>
              <w:spacing w:after="0"/>
              <w:rPr>
                <w:sz w:val="22"/>
                <w:szCs w:val="22"/>
                <w:color w:val="auto"/>
              </w:rPr>
            </w:pPr>
          </w:p>
        </w:tc>
        <w:tc>
          <w:tcPr>
            <w:tcW w:w="46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w w:val="99"/>
              </w:rPr>
              <w:t>$</w:t>
            </w:r>
          </w:p>
        </w:tc>
        <w:tc>
          <w:tcPr>
            <w:tcW w:w="1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28,153</w:t>
            </w:r>
          </w:p>
        </w:tc>
      </w:tr>
      <w:tr>
        <w:trPr>
          <w:trHeight w:val="20"/>
        </w:trPr>
        <w:tc>
          <w:tcPr>
            <w:tcW w:w="1360" w:type="dxa"/>
            <w:vAlign w:val="bottom"/>
          </w:tcPr>
          <w:p>
            <w:pPr>
              <w:spacing w:after="0" w:line="20" w:lineRule="exact"/>
              <w:rPr>
                <w:sz w:val="1"/>
                <w:szCs w:val="1"/>
                <w:color w:val="auto"/>
              </w:rPr>
            </w:pPr>
          </w:p>
        </w:tc>
        <w:tc>
          <w:tcPr>
            <w:tcW w:w="642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820" w:type="dxa"/>
            <w:vAlign w:val="bottom"/>
            <w:tcBorders>
              <w:top w:val="single" w:sz="8" w:color="auto"/>
              <w:bottom w:val="single" w:sz="8" w:color="auto"/>
            </w:tcBorders>
          </w:tcPr>
          <w:p>
            <w:pPr>
              <w:spacing w:after="0" w:line="20" w:lineRule="exact"/>
              <w:rPr>
                <w:sz w:val="1"/>
                <w:szCs w:val="1"/>
                <w:color w:val="auto"/>
              </w:rPr>
            </w:pPr>
          </w:p>
        </w:tc>
      </w:tr>
    </w:tbl>
    <w:p>
      <w:pPr>
        <w:spacing w:after="0" w:line="310"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goodwill created through the purchase is attributable to the assumed future value of the cash flows from the stores acquired. The goodwill is deductible for tax purposes over 15 years.</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color w:val="auto"/>
        </w:rPr>
        <w:t>The acquisition was not material to the results of operations, financial position or cash flows of the Company.</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Goodwill and Intangible Assets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A summary of goodwill and intangible assets at June 30, 2018 and December 31, 2017 is as follows: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4160" w:type="dxa"/>
            <w:vAlign w:val="bottom"/>
          </w:tcPr>
          <w:p>
            <w:pPr>
              <w:spacing w:after="0"/>
              <w:rPr>
                <w:sz w:val="14"/>
                <w:szCs w:val="14"/>
                <w:color w:val="auto"/>
              </w:rPr>
            </w:pPr>
          </w:p>
        </w:tc>
        <w:tc>
          <w:tcPr>
            <w:tcW w:w="172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1"/>
              </w:rPr>
              <w:t>Weighted</w:t>
            </w:r>
          </w:p>
        </w:tc>
        <w:tc>
          <w:tcPr>
            <w:tcW w:w="300" w:type="dxa"/>
            <w:vAlign w:val="bottom"/>
          </w:tcPr>
          <w:p>
            <w:pPr>
              <w:spacing w:after="0"/>
              <w:rPr>
                <w:sz w:val="14"/>
                <w:szCs w:val="14"/>
                <w:color w:val="auto"/>
              </w:rPr>
            </w:pPr>
          </w:p>
        </w:tc>
        <w:tc>
          <w:tcPr>
            <w:tcW w:w="1280" w:type="dxa"/>
            <w:vAlign w:val="bottom"/>
            <w:gridSpan w:val="2"/>
            <w:vMerge w:val="restart"/>
          </w:tcPr>
          <w:p>
            <w:pPr>
              <w:jc w:val="center"/>
              <w:ind w:right="400"/>
              <w:spacing w:after="0"/>
              <w:rPr>
                <w:sz w:val="20"/>
                <w:szCs w:val="20"/>
                <w:color w:val="auto"/>
              </w:rPr>
            </w:pPr>
            <w:r>
              <w:rPr>
                <w:rFonts w:ascii="Arial" w:cs="Arial" w:eastAsia="Arial" w:hAnsi="Arial"/>
                <w:sz w:val="14"/>
                <w:szCs w:val="14"/>
                <w:b w:val="1"/>
                <w:bCs w:val="1"/>
                <w:color w:val="auto"/>
                <w:w w:val="88"/>
              </w:rPr>
              <w:t>Gross</w:t>
            </w:r>
          </w:p>
        </w:tc>
        <w:tc>
          <w:tcPr>
            <w:tcW w:w="2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4160" w:type="dxa"/>
            <w:vAlign w:val="bottom"/>
          </w:tcPr>
          <w:p>
            <w:pPr>
              <w:spacing w:after="0"/>
              <w:rPr>
                <w:sz w:val="12"/>
                <w:szCs w:val="12"/>
                <w:color w:val="auto"/>
              </w:rPr>
            </w:pPr>
          </w:p>
        </w:tc>
        <w:tc>
          <w:tcPr>
            <w:tcW w:w="17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average</w:t>
            </w:r>
          </w:p>
        </w:tc>
        <w:tc>
          <w:tcPr>
            <w:tcW w:w="300" w:type="dxa"/>
            <w:vAlign w:val="bottom"/>
          </w:tcPr>
          <w:p>
            <w:pPr>
              <w:spacing w:after="0"/>
              <w:rPr>
                <w:sz w:val="12"/>
                <w:szCs w:val="12"/>
                <w:color w:val="auto"/>
              </w:rPr>
            </w:pPr>
          </w:p>
        </w:tc>
        <w:tc>
          <w:tcPr>
            <w:tcW w:w="1280" w:type="dxa"/>
            <w:vAlign w:val="bottom"/>
            <w:gridSpan w:val="2"/>
            <w:vMerge w:val="continue"/>
          </w:tcPr>
          <w:p>
            <w:pPr>
              <w:spacing w:after="0"/>
              <w:rPr>
                <w:sz w:val="12"/>
                <w:szCs w:val="12"/>
                <w:color w:val="auto"/>
              </w:rPr>
            </w:pPr>
          </w:p>
        </w:tc>
        <w:tc>
          <w:tcPr>
            <w:tcW w:w="220" w:type="dxa"/>
            <w:vAlign w:val="bottom"/>
          </w:tcPr>
          <w:p>
            <w:pPr>
              <w:spacing w:after="0"/>
              <w:rPr>
                <w:sz w:val="12"/>
                <w:szCs w:val="12"/>
                <w:color w:val="auto"/>
              </w:rPr>
            </w:pPr>
          </w:p>
        </w:tc>
        <w:tc>
          <w:tcPr>
            <w:tcW w:w="1360" w:type="dxa"/>
            <w:vAlign w:val="bottom"/>
            <w:gridSpan w:val="2"/>
            <w:vMerge w:val="restart"/>
          </w:tcPr>
          <w:p>
            <w:pPr>
              <w:ind w:left="100"/>
              <w:spacing w:after="0"/>
              <w:rPr>
                <w:sz w:val="20"/>
                <w:szCs w:val="20"/>
                <w:color w:val="auto"/>
              </w:rPr>
            </w:pPr>
            <w:r>
              <w:rPr>
                <w:rFonts w:ascii="Arial" w:cs="Arial" w:eastAsia="Arial" w:hAnsi="Arial"/>
                <w:sz w:val="14"/>
                <w:szCs w:val="14"/>
                <w:b w:val="1"/>
                <w:bCs w:val="1"/>
                <w:color w:val="auto"/>
              </w:rPr>
              <w:t>Accumulated</w:t>
            </w:r>
          </w:p>
        </w:tc>
        <w:tc>
          <w:tcPr>
            <w:tcW w:w="240" w:type="dxa"/>
            <w:vAlign w:val="bottom"/>
          </w:tcPr>
          <w:p>
            <w:pPr>
              <w:spacing w:after="0"/>
              <w:rPr>
                <w:sz w:val="12"/>
                <w:szCs w:val="12"/>
                <w:color w:val="auto"/>
              </w:rPr>
            </w:pPr>
          </w:p>
        </w:tc>
        <w:tc>
          <w:tcPr>
            <w:tcW w:w="1240" w:type="dxa"/>
            <w:vAlign w:val="bottom"/>
            <w:vMerge w:val="restart"/>
          </w:tcPr>
          <w:p>
            <w:pPr>
              <w:jc w:val="right"/>
              <w:ind w:right="273"/>
              <w:spacing w:after="0"/>
              <w:rPr>
                <w:sz w:val="20"/>
                <w:szCs w:val="20"/>
                <w:color w:val="auto"/>
              </w:rPr>
            </w:pPr>
            <w:r>
              <w:rPr>
                <w:rFonts w:ascii="Arial" w:cs="Arial" w:eastAsia="Arial" w:hAnsi="Arial"/>
                <w:sz w:val="14"/>
                <w:szCs w:val="14"/>
                <w:b w:val="1"/>
                <w:bCs w:val="1"/>
                <w:color w:val="auto"/>
              </w:rPr>
              <w:t>Net carrying</w:t>
            </w:r>
          </w:p>
        </w:tc>
        <w:tc>
          <w:tcPr>
            <w:tcW w:w="0" w:type="dxa"/>
            <w:vAlign w:val="bottom"/>
          </w:tcPr>
          <w:p>
            <w:pPr>
              <w:spacing w:after="0"/>
              <w:rPr>
                <w:sz w:val="1"/>
                <w:szCs w:val="1"/>
                <w:color w:val="auto"/>
              </w:rPr>
            </w:pPr>
          </w:p>
        </w:tc>
      </w:tr>
      <w:tr>
        <w:trPr>
          <w:trHeight w:val="149"/>
        </w:trPr>
        <w:tc>
          <w:tcPr>
            <w:tcW w:w="5040" w:type="dxa"/>
            <w:vAlign w:val="bottom"/>
            <w:gridSpan w:val="3"/>
            <w:vMerge w:val="restart"/>
          </w:tcPr>
          <w:p>
            <w:pPr>
              <w:ind w:left="40"/>
              <w:spacing w:after="0"/>
              <w:rPr>
                <w:sz w:val="20"/>
                <w:szCs w:val="20"/>
                <w:color w:val="auto"/>
              </w:rPr>
            </w:pPr>
            <w:r>
              <w:rPr>
                <w:rFonts w:ascii="Arial" w:cs="Arial" w:eastAsia="Arial" w:hAnsi="Arial"/>
                <w:sz w:val="14"/>
                <w:szCs w:val="14"/>
                <w:b w:val="1"/>
                <w:bCs w:val="1"/>
                <w:color w:val="auto"/>
              </w:rPr>
              <w:t>June 30, 2018</w:t>
            </w:r>
          </w:p>
        </w:tc>
        <w:tc>
          <w:tcPr>
            <w:tcW w:w="17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6"/>
              </w:rPr>
              <w:t>amortization</w:t>
            </w:r>
          </w:p>
        </w:tc>
        <w:tc>
          <w:tcPr>
            <w:tcW w:w="300" w:type="dxa"/>
            <w:vAlign w:val="bottom"/>
          </w:tcPr>
          <w:p>
            <w:pPr>
              <w:spacing w:after="0"/>
              <w:rPr>
                <w:sz w:val="12"/>
                <w:szCs w:val="12"/>
                <w:color w:val="auto"/>
              </w:rPr>
            </w:pPr>
          </w:p>
        </w:tc>
        <w:tc>
          <w:tcPr>
            <w:tcW w:w="128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94"/>
              </w:rPr>
              <w:t>carrying</w:t>
            </w:r>
          </w:p>
        </w:tc>
        <w:tc>
          <w:tcPr>
            <w:tcW w:w="220" w:type="dxa"/>
            <w:vAlign w:val="bottom"/>
          </w:tcPr>
          <w:p>
            <w:pPr>
              <w:spacing w:after="0"/>
              <w:rPr>
                <w:sz w:val="12"/>
                <w:szCs w:val="12"/>
                <w:color w:val="auto"/>
              </w:rPr>
            </w:pPr>
          </w:p>
        </w:tc>
        <w:tc>
          <w:tcPr>
            <w:tcW w:w="1360" w:type="dxa"/>
            <w:vAlign w:val="bottom"/>
            <w:gridSpan w:val="2"/>
            <w:vMerge w:val="continue"/>
          </w:tcPr>
          <w:p>
            <w:pPr>
              <w:spacing w:after="0"/>
              <w:rPr>
                <w:sz w:val="12"/>
                <w:szCs w:val="12"/>
                <w:color w:val="auto"/>
              </w:rPr>
            </w:pPr>
          </w:p>
        </w:tc>
        <w:tc>
          <w:tcPr>
            <w:tcW w:w="240" w:type="dxa"/>
            <w:vAlign w:val="bottom"/>
          </w:tcPr>
          <w:p>
            <w:pPr>
              <w:spacing w:after="0"/>
              <w:rPr>
                <w:sz w:val="12"/>
                <w:szCs w:val="12"/>
                <w:color w:val="auto"/>
              </w:rPr>
            </w:pPr>
          </w:p>
        </w:tc>
        <w:tc>
          <w:tcPr>
            <w:tcW w:w="124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8"/>
        </w:trPr>
        <w:tc>
          <w:tcPr>
            <w:tcW w:w="5040" w:type="dxa"/>
            <w:vAlign w:val="bottom"/>
            <w:gridSpan w:val="3"/>
            <w:vMerge w:val="continue"/>
          </w:tcPr>
          <w:p>
            <w:pPr>
              <w:spacing w:after="0"/>
              <w:rPr>
                <w:sz w:val="13"/>
                <w:szCs w:val="13"/>
                <w:color w:val="auto"/>
              </w:rPr>
            </w:pPr>
          </w:p>
        </w:tc>
        <w:tc>
          <w:tcPr>
            <w:tcW w:w="1720" w:type="dxa"/>
            <w:vAlign w:val="bottom"/>
            <w:gridSpan w:val="2"/>
          </w:tcPr>
          <w:p>
            <w:pPr>
              <w:jc w:val="center"/>
              <w:ind w:right="140"/>
              <w:spacing w:after="0" w:line="158" w:lineRule="exact"/>
              <w:rPr>
                <w:sz w:val="20"/>
                <w:szCs w:val="20"/>
                <w:color w:val="auto"/>
              </w:rPr>
            </w:pPr>
            <w:r>
              <w:rPr>
                <w:rFonts w:ascii="Arial" w:cs="Arial" w:eastAsia="Arial" w:hAnsi="Arial"/>
                <w:sz w:val="14"/>
                <w:szCs w:val="14"/>
                <w:b w:val="1"/>
                <w:bCs w:val="1"/>
                <w:color w:val="auto"/>
                <w:w w:val="92"/>
              </w:rPr>
              <w:t>period (years)</w:t>
            </w:r>
          </w:p>
        </w:tc>
        <w:tc>
          <w:tcPr>
            <w:tcW w:w="300" w:type="dxa"/>
            <w:vAlign w:val="bottom"/>
          </w:tcPr>
          <w:p>
            <w:pPr>
              <w:spacing w:after="0"/>
              <w:rPr>
                <w:sz w:val="13"/>
                <w:szCs w:val="13"/>
                <w:color w:val="auto"/>
              </w:rPr>
            </w:pPr>
          </w:p>
        </w:tc>
        <w:tc>
          <w:tcPr>
            <w:tcW w:w="1280" w:type="dxa"/>
            <w:vAlign w:val="bottom"/>
            <w:gridSpan w:val="2"/>
          </w:tcPr>
          <w:p>
            <w:pPr>
              <w:jc w:val="center"/>
              <w:ind w:right="400"/>
              <w:spacing w:after="0" w:line="158" w:lineRule="exact"/>
              <w:rPr>
                <w:sz w:val="20"/>
                <w:szCs w:val="20"/>
                <w:color w:val="auto"/>
              </w:rPr>
            </w:pPr>
            <w:r>
              <w:rPr>
                <w:rFonts w:ascii="Arial" w:cs="Arial" w:eastAsia="Arial" w:hAnsi="Arial"/>
                <w:sz w:val="14"/>
                <w:szCs w:val="14"/>
                <w:b w:val="1"/>
                <w:bCs w:val="1"/>
                <w:color w:val="auto"/>
                <w:w w:val="94"/>
              </w:rPr>
              <w:t>amount</w:t>
            </w:r>
          </w:p>
        </w:tc>
        <w:tc>
          <w:tcPr>
            <w:tcW w:w="220" w:type="dxa"/>
            <w:vAlign w:val="bottom"/>
          </w:tcPr>
          <w:p>
            <w:pPr>
              <w:spacing w:after="0"/>
              <w:rPr>
                <w:sz w:val="13"/>
                <w:szCs w:val="13"/>
                <w:color w:val="auto"/>
              </w:rPr>
            </w:pPr>
          </w:p>
        </w:tc>
        <w:tc>
          <w:tcPr>
            <w:tcW w:w="1360" w:type="dxa"/>
            <w:vAlign w:val="bottom"/>
            <w:gridSpan w:val="2"/>
          </w:tcPr>
          <w:p>
            <w:pPr>
              <w:ind w:left="120"/>
              <w:spacing w:after="0" w:line="158" w:lineRule="exact"/>
              <w:rPr>
                <w:sz w:val="20"/>
                <w:szCs w:val="20"/>
                <w:color w:val="auto"/>
              </w:rPr>
            </w:pPr>
            <w:r>
              <w:rPr>
                <w:rFonts w:ascii="Arial" w:cs="Arial" w:eastAsia="Arial" w:hAnsi="Arial"/>
                <w:sz w:val="14"/>
                <w:szCs w:val="14"/>
                <w:b w:val="1"/>
                <w:bCs w:val="1"/>
                <w:color w:val="auto"/>
              </w:rPr>
              <w:t>amortization</w:t>
            </w:r>
          </w:p>
        </w:tc>
        <w:tc>
          <w:tcPr>
            <w:tcW w:w="240" w:type="dxa"/>
            <w:vAlign w:val="bottom"/>
          </w:tcPr>
          <w:p>
            <w:pPr>
              <w:spacing w:after="0"/>
              <w:rPr>
                <w:sz w:val="13"/>
                <w:szCs w:val="13"/>
                <w:color w:val="auto"/>
              </w:rPr>
            </w:pPr>
          </w:p>
        </w:tc>
        <w:tc>
          <w:tcPr>
            <w:tcW w:w="1240" w:type="dxa"/>
            <w:vAlign w:val="bottom"/>
          </w:tcPr>
          <w:p>
            <w:pPr>
              <w:jc w:val="right"/>
              <w:ind w:right="413"/>
              <w:spacing w:after="0" w:line="158" w:lineRule="exact"/>
              <w:rPr>
                <w:sz w:val="20"/>
                <w:szCs w:val="20"/>
                <w:color w:val="auto"/>
              </w:rPr>
            </w:pPr>
            <w:r>
              <w:rPr>
                <w:rFonts w:ascii="Arial" w:cs="Arial" w:eastAsia="Arial" w:hAnsi="Arial"/>
                <w:sz w:val="14"/>
                <w:szCs w:val="14"/>
                <w:b w:val="1"/>
                <w:bCs w:val="1"/>
                <w:color w:val="auto"/>
              </w:rPr>
              <w:t>Amount</w:t>
            </w:r>
          </w:p>
        </w:tc>
        <w:tc>
          <w:tcPr>
            <w:tcW w:w="0" w:type="dxa"/>
            <w:vAlign w:val="bottom"/>
          </w:tcPr>
          <w:p>
            <w:pPr>
              <w:spacing w:after="0"/>
              <w:rPr>
                <w:sz w:val="1"/>
                <w:szCs w:val="1"/>
                <w:color w:val="auto"/>
              </w:rPr>
            </w:pPr>
          </w:p>
        </w:tc>
      </w:tr>
      <w:tr>
        <w:trPr>
          <w:trHeight w:val="21"/>
        </w:trPr>
        <w:tc>
          <w:tcPr>
            <w:tcW w:w="40" w:type="dxa"/>
            <w:vAlign w:val="bottom"/>
            <w:tcBorders>
              <w:bottom w:val="single" w:sz="8" w:color="CCEEFF"/>
            </w:tcBorders>
          </w:tcPr>
          <w:p>
            <w:pPr>
              <w:spacing w:after="0" w:line="20" w:lineRule="exact"/>
              <w:rPr>
                <w:sz w:val="1"/>
                <w:szCs w:val="1"/>
                <w:color w:val="auto"/>
              </w:rPr>
            </w:pPr>
          </w:p>
        </w:tc>
        <w:tc>
          <w:tcPr>
            <w:tcW w:w="840" w:type="dxa"/>
            <w:vAlign w:val="bottom"/>
            <w:tcBorders>
              <w:top w:val="single" w:sz="8" w:color="auto"/>
              <w:bottom w:val="single" w:sz="8" w:color="CCEEFF"/>
            </w:tcBorders>
          </w:tcPr>
          <w:p>
            <w:pPr>
              <w:spacing w:after="0" w:line="20" w:lineRule="exact"/>
              <w:rPr>
                <w:sz w:val="1"/>
                <w:szCs w:val="1"/>
                <w:color w:val="auto"/>
              </w:rPr>
            </w:pPr>
          </w:p>
        </w:tc>
        <w:tc>
          <w:tcPr>
            <w:tcW w:w="4160" w:type="dxa"/>
            <w:vAlign w:val="bottom"/>
            <w:tcBorders>
              <w:bottom w:val="single" w:sz="8" w:color="CCEEFF"/>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44"/>
        </w:trPr>
        <w:tc>
          <w:tcPr>
            <w:tcW w:w="504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Customer relationships</w:t>
            </w:r>
          </w:p>
        </w:tc>
        <w:tc>
          <w:tcPr>
            <w:tcW w:w="16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5"/>
              </w:rPr>
              <w:t>11.1</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172,932</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(92,965)</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79,967</w:t>
            </w:r>
          </w:p>
        </w:tc>
        <w:tc>
          <w:tcPr>
            <w:tcW w:w="0" w:type="dxa"/>
            <w:vAlign w:val="bottom"/>
          </w:tcPr>
          <w:p>
            <w:pPr>
              <w:spacing w:after="0"/>
              <w:rPr>
                <w:sz w:val="1"/>
                <w:szCs w:val="1"/>
                <w:color w:val="auto"/>
              </w:rPr>
            </w:pPr>
          </w:p>
        </w:tc>
      </w:tr>
      <w:tr>
        <w:trPr>
          <w:trHeight w:val="243"/>
        </w:trPr>
        <w:tc>
          <w:tcPr>
            <w:tcW w:w="5040" w:type="dxa"/>
            <w:vAlign w:val="bottom"/>
            <w:gridSpan w:val="3"/>
          </w:tcPr>
          <w:p>
            <w:pPr>
              <w:ind w:left="40"/>
              <w:spacing w:after="0"/>
              <w:rPr>
                <w:sz w:val="20"/>
                <w:szCs w:val="20"/>
                <w:color w:val="auto"/>
              </w:rPr>
            </w:pPr>
            <w:r>
              <w:rPr>
                <w:rFonts w:ascii="Arial" w:cs="Arial" w:eastAsia="Arial" w:hAnsi="Arial"/>
                <w:sz w:val="18"/>
                <w:szCs w:val="18"/>
                <w:color w:val="auto"/>
              </w:rPr>
              <w:t>Noncompete agreements</w:t>
            </w:r>
          </w:p>
        </w:tc>
        <w:tc>
          <w:tcPr>
            <w:tcW w:w="1600" w:type="dxa"/>
            <w:vAlign w:val="bottom"/>
          </w:tcPr>
          <w:p>
            <w:pPr>
              <w:jc w:val="center"/>
              <w:spacing w:after="0"/>
              <w:rPr>
                <w:sz w:val="20"/>
                <w:szCs w:val="20"/>
                <w:color w:val="auto"/>
              </w:rPr>
            </w:pPr>
            <w:r>
              <w:rPr>
                <w:rFonts w:ascii="Arial" w:cs="Arial" w:eastAsia="Arial" w:hAnsi="Arial"/>
                <w:sz w:val="18"/>
                <w:szCs w:val="18"/>
                <w:color w:val="auto"/>
                <w:w w:val="87"/>
              </w:rPr>
              <w:t>5.0</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tcPr>
          <w:p>
            <w:pPr>
              <w:jc w:val="right"/>
              <w:ind w:right="34"/>
              <w:spacing w:after="0"/>
              <w:rPr>
                <w:sz w:val="20"/>
                <w:szCs w:val="20"/>
                <w:color w:val="auto"/>
              </w:rPr>
            </w:pPr>
            <w:r>
              <w:rPr>
                <w:rFonts w:ascii="Arial" w:cs="Arial" w:eastAsia="Arial" w:hAnsi="Arial"/>
                <w:sz w:val="18"/>
                <w:szCs w:val="18"/>
                <w:color w:val="auto"/>
              </w:rPr>
              <w:t>14,500</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(14,500)</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jc w:val="right"/>
              <w:ind w:right="3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840" w:type="dxa"/>
            <w:vAlign w:val="bottom"/>
          </w:tcPr>
          <w:p>
            <w:pPr>
              <w:spacing w:after="0"/>
              <w:rPr>
                <w:sz w:val="2"/>
                <w:szCs w:val="2"/>
                <w:color w:val="auto"/>
              </w:rPr>
            </w:pPr>
          </w:p>
        </w:tc>
        <w:tc>
          <w:tcPr>
            <w:tcW w:w="416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04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Favorable leases</w:t>
            </w:r>
          </w:p>
        </w:tc>
        <w:tc>
          <w:tcPr>
            <w:tcW w:w="16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7"/>
              </w:rPr>
              <w:t>7.7</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3,455</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(2,156)</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1,299</w:t>
            </w:r>
          </w:p>
        </w:tc>
        <w:tc>
          <w:tcPr>
            <w:tcW w:w="0" w:type="dxa"/>
            <w:vAlign w:val="bottom"/>
          </w:tcPr>
          <w:p>
            <w:pPr>
              <w:spacing w:after="0"/>
              <w:rPr>
                <w:sz w:val="1"/>
                <w:szCs w:val="1"/>
                <w:color w:val="auto"/>
              </w:rPr>
            </w:pPr>
          </w:p>
        </w:tc>
      </w:tr>
      <w:tr>
        <w:trPr>
          <w:trHeight w:val="243"/>
        </w:trPr>
        <w:tc>
          <w:tcPr>
            <w:tcW w:w="5040" w:type="dxa"/>
            <w:vAlign w:val="bottom"/>
            <w:gridSpan w:val="3"/>
          </w:tcPr>
          <w:p>
            <w:pPr>
              <w:ind w:left="40"/>
              <w:spacing w:after="0"/>
              <w:rPr>
                <w:sz w:val="20"/>
                <w:szCs w:val="20"/>
                <w:color w:val="auto"/>
              </w:rPr>
            </w:pPr>
            <w:r>
              <w:rPr>
                <w:rFonts w:ascii="Arial" w:cs="Arial" w:eastAsia="Arial" w:hAnsi="Arial"/>
                <w:sz w:val="18"/>
                <w:szCs w:val="18"/>
                <w:color w:val="auto"/>
              </w:rPr>
              <w:t>Order backlog</w:t>
            </w:r>
          </w:p>
        </w:tc>
        <w:tc>
          <w:tcPr>
            <w:tcW w:w="1600" w:type="dxa"/>
            <w:vAlign w:val="bottom"/>
          </w:tcPr>
          <w:p>
            <w:pPr>
              <w:jc w:val="center"/>
              <w:spacing w:after="0"/>
              <w:rPr>
                <w:sz w:val="20"/>
                <w:szCs w:val="20"/>
                <w:color w:val="auto"/>
              </w:rPr>
            </w:pPr>
            <w:r>
              <w:rPr>
                <w:rFonts w:ascii="Arial" w:cs="Arial" w:eastAsia="Arial" w:hAnsi="Arial"/>
                <w:sz w:val="18"/>
                <w:szCs w:val="18"/>
                <w:color w:val="auto"/>
                <w:w w:val="87"/>
              </w:rPr>
              <w:t>0.4</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tcPr>
          <w:p>
            <w:pPr>
              <w:jc w:val="right"/>
              <w:ind w:right="34"/>
              <w:spacing w:after="0"/>
              <w:rPr>
                <w:sz w:val="20"/>
                <w:szCs w:val="20"/>
                <w:color w:val="auto"/>
              </w:rPr>
            </w:pPr>
            <w:r>
              <w:rPr>
                <w:rFonts w:ascii="Arial" w:cs="Arial" w:eastAsia="Arial" w:hAnsi="Arial"/>
                <w:sz w:val="18"/>
                <w:szCs w:val="18"/>
                <w:color w:val="auto"/>
              </w:rPr>
              <w:t>3,400</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(3,400)</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jc w:val="right"/>
              <w:ind w:right="3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840" w:type="dxa"/>
            <w:vAlign w:val="bottom"/>
          </w:tcPr>
          <w:p>
            <w:pPr>
              <w:spacing w:after="0"/>
              <w:rPr>
                <w:sz w:val="2"/>
                <w:szCs w:val="2"/>
                <w:color w:val="auto"/>
              </w:rPr>
            </w:pPr>
          </w:p>
        </w:tc>
        <w:tc>
          <w:tcPr>
            <w:tcW w:w="416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04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Reacquired franchise rights</w:t>
            </w:r>
          </w:p>
        </w:tc>
        <w:tc>
          <w:tcPr>
            <w:tcW w:w="16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7"/>
              </w:rPr>
              <w:t>6.8</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16,590</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(7,199)</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9,391</w:t>
            </w:r>
          </w:p>
        </w:tc>
        <w:tc>
          <w:tcPr>
            <w:tcW w:w="0" w:type="dxa"/>
            <w:vAlign w:val="bottom"/>
          </w:tcPr>
          <w:p>
            <w:pPr>
              <w:spacing w:after="0"/>
              <w:rPr>
                <w:sz w:val="1"/>
                <w:szCs w:val="1"/>
                <w:color w:val="auto"/>
              </w:rPr>
            </w:pPr>
          </w:p>
        </w:tc>
      </w:tr>
      <w:tr>
        <w:trPr>
          <w:trHeight w:val="243"/>
        </w:trPr>
        <w:tc>
          <w:tcPr>
            <w:tcW w:w="5040" w:type="dxa"/>
            <w:vAlign w:val="bottom"/>
            <w:gridSpan w:val="3"/>
          </w:tcPr>
          <w:p>
            <w:pPr>
              <w:ind w:left="40"/>
              <w:spacing w:after="0"/>
              <w:rPr>
                <w:sz w:val="20"/>
                <w:szCs w:val="20"/>
                <w:color w:val="auto"/>
              </w:rPr>
            </w:pPr>
            <w:r>
              <w:rPr>
                <w:rFonts w:ascii="Arial" w:cs="Arial" w:eastAsia="Arial" w:hAnsi="Arial"/>
                <w:sz w:val="18"/>
                <w:szCs w:val="18"/>
                <w:color w:val="auto"/>
              </w:rPr>
              <w:t>Reacquired ADA rights</w:t>
            </w:r>
          </w:p>
        </w:tc>
        <w:tc>
          <w:tcPr>
            <w:tcW w:w="1600" w:type="dxa"/>
            <w:vAlign w:val="bottom"/>
          </w:tcPr>
          <w:p>
            <w:pPr>
              <w:jc w:val="center"/>
              <w:spacing w:after="0"/>
              <w:rPr>
                <w:sz w:val="20"/>
                <w:szCs w:val="20"/>
                <w:color w:val="auto"/>
              </w:rPr>
            </w:pPr>
            <w:r>
              <w:rPr>
                <w:rFonts w:ascii="Arial" w:cs="Arial" w:eastAsia="Arial" w:hAnsi="Arial"/>
                <w:sz w:val="18"/>
                <w:szCs w:val="18"/>
                <w:color w:val="auto"/>
                <w:w w:val="87"/>
              </w:rPr>
              <w:t>5.0</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tcPr>
          <w:p>
            <w:pPr>
              <w:jc w:val="right"/>
              <w:ind w:right="34"/>
              <w:spacing w:after="0"/>
              <w:rPr>
                <w:sz w:val="20"/>
                <w:szCs w:val="20"/>
                <w:color w:val="auto"/>
              </w:rPr>
            </w:pPr>
            <w:r>
              <w:rPr>
                <w:rFonts w:ascii="Arial" w:cs="Arial" w:eastAsia="Arial" w:hAnsi="Arial"/>
                <w:sz w:val="18"/>
                <w:szCs w:val="18"/>
                <w:color w:val="auto"/>
              </w:rPr>
              <w:t>150</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(15)</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jc w:val="right"/>
              <w:ind w:right="33"/>
              <w:spacing w:after="0"/>
              <w:rPr>
                <w:sz w:val="20"/>
                <w:szCs w:val="20"/>
                <w:color w:val="auto"/>
              </w:rPr>
            </w:pPr>
            <w:r>
              <w:rPr>
                <w:rFonts w:ascii="Arial" w:cs="Arial" w:eastAsia="Arial" w:hAnsi="Arial"/>
                <w:sz w:val="18"/>
                <w:szCs w:val="18"/>
                <w:color w:val="auto"/>
              </w:rPr>
              <w:t>135</w:t>
            </w:r>
          </w:p>
        </w:tc>
        <w:tc>
          <w:tcPr>
            <w:tcW w:w="0" w:type="dxa"/>
            <w:vAlign w:val="bottom"/>
          </w:tcPr>
          <w:p>
            <w:pPr>
              <w:spacing w:after="0"/>
              <w:rPr>
                <w:sz w:val="1"/>
                <w:szCs w:val="1"/>
                <w:color w:val="auto"/>
              </w:rPr>
            </w:pPr>
          </w:p>
        </w:tc>
      </w:tr>
      <w:tr>
        <w:trPr>
          <w:trHeight w:val="27"/>
        </w:trPr>
        <w:tc>
          <w:tcPr>
            <w:tcW w:w="40" w:type="dxa"/>
            <w:vAlign w:val="bottom"/>
            <w:tcBorders>
              <w:bottom w:val="single" w:sz="8" w:color="CCEEFF"/>
            </w:tcBorders>
          </w:tcPr>
          <w:p>
            <w:pPr>
              <w:spacing w:after="0"/>
              <w:rPr>
                <w:sz w:val="2"/>
                <w:szCs w:val="2"/>
                <w:color w:val="auto"/>
              </w:rPr>
            </w:pPr>
          </w:p>
        </w:tc>
        <w:tc>
          <w:tcPr>
            <w:tcW w:w="840" w:type="dxa"/>
            <w:vAlign w:val="bottom"/>
            <w:tcBorders>
              <w:bottom w:val="single" w:sz="8" w:color="CCEEFF"/>
            </w:tcBorders>
          </w:tcPr>
          <w:p>
            <w:pPr>
              <w:spacing w:after="0"/>
              <w:rPr>
                <w:sz w:val="2"/>
                <w:szCs w:val="2"/>
                <w:color w:val="auto"/>
              </w:rPr>
            </w:pPr>
          </w:p>
        </w:tc>
        <w:tc>
          <w:tcPr>
            <w:tcW w:w="4160" w:type="dxa"/>
            <w:vAlign w:val="bottom"/>
            <w:tcBorders>
              <w:bottom w:val="single" w:sz="8" w:color="CCEEFF"/>
            </w:tcBorders>
          </w:tcPr>
          <w:p>
            <w:pPr>
              <w:spacing w:after="0"/>
              <w:rPr>
                <w:sz w:val="2"/>
                <w:szCs w:val="2"/>
                <w:color w:val="auto"/>
              </w:rPr>
            </w:pPr>
          </w:p>
        </w:tc>
        <w:tc>
          <w:tcPr>
            <w:tcW w:w="16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spacing w:after="0"/>
              <w:rPr>
                <w:sz w:val="21"/>
                <w:szCs w:val="21"/>
                <w:color w:val="auto"/>
              </w:rPr>
            </w:pPr>
          </w:p>
        </w:tc>
        <w:tc>
          <w:tcPr>
            <w:tcW w:w="416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211,027</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(120,235)</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90,792</w:t>
            </w:r>
          </w:p>
        </w:tc>
        <w:tc>
          <w:tcPr>
            <w:tcW w:w="0" w:type="dxa"/>
            <w:vAlign w:val="bottom"/>
          </w:tcPr>
          <w:p>
            <w:pPr>
              <w:spacing w:after="0"/>
              <w:rPr>
                <w:sz w:val="1"/>
                <w:szCs w:val="1"/>
                <w:color w:val="auto"/>
              </w:rPr>
            </w:pPr>
          </w:p>
        </w:tc>
      </w:tr>
      <w:tr>
        <w:trPr>
          <w:trHeight w:val="243"/>
        </w:trPr>
        <w:tc>
          <w:tcPr>
            <w:tcW w:w="5040" w:type="dxa"/>
            <w:vAlign w:val="bottom"/>
            <w:gridSpan w:val="3"/>
          </w:tcPr>
          <w:p>
            <w:pPr>
              <w:ind w:left="40"/>
              <w:spacing w:after="0"/>
              <w:rPr>
                <w:sz w:val="20"/>
                <w:szCs w:val="20"/>
                <w:color w:val="auto"/>
              </w:rPr>
            </w:pPr>
            <w:r>
              <w:rPr>
                <w:rFonts w:ascii="Arial" w:cs="Arial" w:eastAsia="Arial" w:hAnsi="Arial"/>
                <w:sz w:val="18"/>
                <w:szCs w:val="18"/>
                <w:color w:val="auto"/>
              </w:rPr>
              <w:t>Indefinite-lived intangible:</w:t>
            </w:r>
          </w:p>
        </w:tc>
        <w:tc>
          <w:tcPr>
            <w:tcW w:w="16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840" w:type="dxa"/>
            <w:vAlign w:val="bottom"/>
          </w:tcPr>
          <w:p>
            <w:pPr>
              <w:spacing w:after="0"/>
              <w:rPr>
                <w:sz w:val="2"/>
                <w:szCs w:val="2"/>
                <w:color w:val="auto"/>
              </w:rPr>
            </w:pPr>
          </w:p>
        </w:tc>
        <w:tc>
          <w:tcPr>
            <w:tcW w:w="416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0" w:type="dxa"/>
            <w:vAlign w:val="bottom"/>
            <w:tcBorders>
              <w:bottom w:val="single" w:sz="8" w:color="CCEEFF"/>
            </w:tcBorders>
            <w:shd w:val="clear" w:color="auto" w:fill="CCEEFF"/>
          </w:tcPr>
          <w:p>
            <w:pPr>
              <w:spacing w:after="0"/>
              <w:rPr>
                <w:sz w:val="23"/>
                <w:szCs w:val="23"/>
                <w:color w:val="auto"/>
              </w:rPr>
            </w:pPr>
          </w:p>
        </w:tc>
        <w:tc>
          <w:tcPr>
            <w:tcW w:w="5000" w:type="dxa"/>
            <w:vAlign w:val="bottom"/>
            <w:tcBorders>
              <w:bottom w:val="single" w:sz="8" w:color="CCEEFF"/>
            </w:tcBorders>
            <w:gridSpan w:val="2"/>
            <w:shd w:val="clear" w:color="auto" w:fill="CCEEFF"/>
          </w:tcPr>
          <w:p>
            <w:pPr>
              <w:ind w:left="240"/>
              <w:spacing w:after="0"/>
              <w:rPr>
                <w:sz w:val="20"/>
                <w:szCs w:val="20"/>
                <w:color w:val="auto"/>
              </w:rPr>
            </w:pPr>
            <w:r>
              <w:rPr>
                <w:rFonts w:ascii="Arial" w:cs="Arial" w:eastAsia="Arial" w:hAnsi="Arial"/>
                <w:sz w:val="18"/>
                <w:szCs w:val="18"/>
                <w:color w:val="auto"/>
              </w:rPr>
              <w:t>Trade and brand names</w:t>
            </w:r>
          </w:p>
        </w:tc>
        <w:tc>
          <w:tcPr>
            <w:tcW w:w="172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rPr>
              <w:t>N/A</w:t>
            </w:r>
          </w:p>
        </w:tc>
        <w:tc>
          <w:tcPr>
            <w:tcW w:w="30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146,300</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146,300</w:t>
            </w:r>
          </w:p>
        </w:tc>
        <w:tc>
          <w:tcPr>
            <w:tcW w:w="0" w:type="dxa"/>
            <w:vAlign w:val="bottom"/>
          </w:tcPr>
          <w:p>
            <w:pPr>
              <w:spacing w:after="0"/>
              <w:rPr>
                <w:sz w:val="1"/>
                <w:szCs w:val="1"/>
                <w:color w:val="auto"/>
              </w:rPr>
            </w:pPr>
          </w:p>
        </w:tc>
      </w:tr>
      <w:tr>
        <w:trPr>
          <w:trHeight w:val="297"/>
        </w:trPr>
        <w:tc>
          <w:tcPr>
            <w:tcW w:w="40" w:type="dxa"/>
            <w:vAlign w:val="bottom"/>
            <w:tcBorders>
              <w:bottom w:val="single" w:sz="8" w:color="CCEEFF"/>
            </w:tcBorders>
          </w:tcPr>
          <w:p>
            <w:pPr>
              <w:spacing w:after="0"/>
              <w:rPr>
                <w:sz w:val="24"/>
                <w:szCs w:val="24"/>
                <w:color w:val="auto"/>
              </w:rPr>
            </w:pPr>
          </w:p>
        </w:tc>
        <w:tc>
          <w:tcPr>
            <w:tcW w:w="5000" w:type="dxa"/>
            <w:vAlign w:val="bottom"/>
            <w:tcBorders>
              <w:bottom w:val="single" w:sz="8" w:color="CCEEFF"/>
            </w:tcBorders>
            <w:gridSpan w:val="2"/>
          </w:tcPr>
          <w:p>
            <w:pPr>
              <w:ind w:left="460"/>
              <w:spacing w:after="0"/>
              <w:rPr>
                <w:sz w:val="20"/>
                <w:szCs w:val="20"/>
                <w:color w:val="auto"/>
              </w:rPr>
            </w:pPr>
            <w:r>
              <w:rPr>
                <w:rFonts w:ascii="Arial" w:cs="Arial" w:eastAsia="Arial" w:hAnsi="Arial"/>
                <w:sz w:val="18"/>
                <w:szCs w:val="18"/>
                <w:color w:val="auto"/>
              </w:rPr>
              <w:t>Total intangible assets</w:t>
            </w:r>
          </w:p>
        </w:tc>
        <w:tc>
          <w:tcPr>
            <w:tcW w:w="1600" w:type="dxa"/>
            <w:vAlign w:val="bottom"/>
            <w:tcBorders>
              <w:bottom w:val="single" w:sz="8" w:color="CCEEFF"/>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30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bottom w:val="single" w:sz="8" w:color="auto"/>
            </w:tcBorders>
          </w:tcPr>
          <w:p>
            <w:pPr>
              <w:jc w:val="right"/>
              <w:ind w:right="34"/>
              <w:spacing w:after="0"/>
              <w:rPr>
                <w:sz w:val="20"/>
                <w:szCs w:val="20"/>
                <w:color w:val="auto"/>
              </w:rPr>
            </w:pPr>
            <w:r>
              <w:rPr>
                <w:rFonts w:ascii="Arial" w:cs="Arial" w:eastAsia="Arial" w:hAnsi="Arial"/>
                <w:sz w:val="18"/>
                <w:szCs w:val="18"/>
                <w:color w:val="auto"/>
              </w:rPr>
              <w:t>357,327</w:t>
            </w:r>
          </w:p>
        </w:tc>
        <w:tc>
          <w:tcPr>
            <w:tcW w:w="100" w:type="dxa"/>
            <w:vAlign w:val="bottom"/>
            <w:tcBorders>
              <w:bottom w:val="single" w:sz="8" w:color="CCEEFF"/>
            </w:tcBorders>
          </w:tcPr>
          <w:p>
            <w:pPr>
              <w:spacing w:after="0"/>
              <w:rPr>
                <w:sz w:val="24"/>
                <w:szCs w:val="24"/>
                <w:color w:val="auto"/>
              </w:rPr>
            </w:pP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(120,235)</w:t>
            </w:r>
          </w:p>
        </w:tc>
        <w:tc>
          <w:tcPr>
            <w:tcW w:w="100" w:type="dxa"/>
            <w:vAlign w:val="bottom"/>
            <w:tcBorders>
              <w:bottom w:val="single" w:sz="8" w:color="CCEEFF"/>
            </w:tcBorders>
          </w:tcPr>
          <w:p>
            <w:pPr>
              <w:spacing w:after="0"/>
              <w:rPr>
                <w:sz w:val="24"/>
                <w:szCs w:val="24"/>
                <w:color w:val="auto"/>
              </w:rPr>
            </w:pP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Borders>
              <w:top w:val="single" w:sz="8" w:color="auto"/>
              <w:bottom w:val="single" w:sz="8" w:color="auto"/>
            </w:tcBorders>
          </w:tcPr>
          <w:p>
            <w:pPr>
              <w:jc w:val="right"/>
              <w:ind w:right="33"/>
              <w:spacing w:after="0"/>
              <w:rPr>
                <w:sz w:val="20"/>
                <w:szCs w:val="20"/>
                <w:color w:val="auto"/>
              </w:rPr>
            </w:pPr>
            <w:r>
              <w:rPr>
                <w:rFonts w:ascii="Arial" w:cs="Arial" w:eastAsia="Arial" w:hAnsi="Arial"/>
                <w:sz w:val="18"/>
                <w:szCs w:val="18"/>
                <w:color w:val="auto"/>
              </w:rPr>
              <w:t>237,092</w:t>
            </w:r>
          </w:p>
        </w:tc>
        <w:tc>
          <w:tcPr>
            <w:tcW w:w="0" w:type="dxa"/>
            <w:vAlign w:val="bottom"/>
          </w:tcPr>
          <w:p>
            <w:pPr>
              <w:spacing w:after="0"/>
              <w:rPr>
                <w:sz w:val="1"/>
                <w:szCs w:val="1"/>
                <w:color w:val="auto"/>
              </w:rPr>
            </w:pPr>
          </w:p>
        </w:tc>
      </w:tr>
      <w:tr>
        <w:trPr>
          <w:trHeight w:val="251"/>
        </w:trPr>
        <w:tc>
          <w:tcPr>
            <w:tcW w:w="5040" w:type="dxa"/>
            <w:vAlign w:val="bottom"/>
            <w:gridSpan w:val="3"/>
            <w:shd w:val="clear" w:color="auto" w:fill="CCEEFF"/>
          </w:tcPr>
          <w:p>
            <w:pPr>
              <w:ind w:left="40"/>
              <w:spacing w:after="0"/>
              <w:rPr>
                <w:sz w:val="20"/>
                <w:szCs w:val="20"/>
                <w:color w:val="auto"/>
              </w:rPr>
            </w:pPr>
            <w:r>
              <w:rPr>
                <w:rFonts w:ascii="Arial" w:cs="Arial" w:eastAsia="Arial" w:hAnsi="Arial"/>
                <w:sz w:val="18"/>
                <w:szCs w:val="18"/>
                <w:color w:val="auto"/>
              </w:rPr>
              <w:t>Goodwill</w:t>
            </w:r>
          </w:p>
        </w:tc>
        <w:tc>
          <w:tcPr>
            <w:tcW w:w="160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30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shd w:val="clear" w:color="auto" w:fill="CCEEFF"/>
          </w:tcPr>
          <w:p>
            <w:pPr>
              <w:jc w:val="right"/>
              <w:ind w:right="34"/>
              <w:spacing w:after="0"/>
              <w:rPr>
                <w:sz w:val="20"/>
                <w:szCs w:val="20"/>
                <w:color w:val="auto"/>
              </w:rPr>
            </w:pPr>
            <w:r>
              <w:rPr>
                <w:rFonts w:ascii="Arial" w:cs="Arial" w:eastAsia="Arial" w:hAnsi="Arial"/>
                <w:sz w:val="18"/>
                <w:szCs w:val="18"/>
                <w:color w:val="auto"/>
              </w:rPr>
              <w:t>191,038</w:t>
            </w:r>
          </w:p>
        </w:tc>
        <w:tc>
          <w:tcPr>
            <w:tcW w:w="100" w:type="dxa"/>
            <w:vAlign w:val="bottom"/>
            <w:shd w:val="clear" w:color="auto" w:fill="CCEEFF"/>
          </w:tcPr>
          <w:p>
            <w:pPr>
              <w:spacing w:after="0"/>
              <w:rPr>
                <w:sz w:val="21"/>
                <w:szCs w:val="21"/>
                <w:color w:val="auto"/>
              </w:rPr>
            </w:pPr>
          </w:p>
        </w:tc>
        <w:tc>
          <w:tcPr>
            <w:tcW w:w="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shd w:val="clear" w:color="auto" w:fill="CCEEFF"/>
          </w:tcPr>
          <w:p>
            <w:pPr>
              <w:jc w:val="right"/>
              <w:ind w:right="33"/>
              <w:spacing w:after="0"/>
              <w:rPr>
                <w:sz w:val="20"/>
                <w:szCs w:val="20"/>
                <w:color w:val="auto"/>
              </w:rPr>
            </w:pPr>
            <w:r>
              <w:rPr>
                <w:rFonts w:ascii="Arial" w:cs="Arial" w:eastAsia="Arial" w:hAnsi="Arial"/>
                <w:sz w:val="18"/>
                <w:szCs w:val="18"/>
                <w:color w:val="auto"/>
              </w:rPr>
              <w:t>191,038</w:t>
            </w:r>
          </w:p>
        </w:tc>
        <w:tc>
          <w:tcPr>
            <w:tcW w:w="0" w:type="dxa"/>
            <w:vAlign w:val="bottom"/>
          </w:tcPr>
          <w:p>
            <w:pPr>
              <w:spacing w:after="0"/>
              <w:rPr>
                <w:sz w:val="1"/>
                <w:szCs w:val="1"/>
                <w:color w:val="auto"/>
              </w:rPr>
            </w:pPr>
          </w:p>
        </w:tc>
      </w:tr>
      <w:tr>
        <w:trPr>
          <w:trHeight w:val="20"/>
        </w:trPr>
        <w:tc>
          <w:tcPr>
            <w:tcW w:w="40" w:type="dxa"/>
            <w:vAlign w:val="bottom"/>
            <w:tcBorders>
              <w:top w:val="single" w:sz="8" w:color="CCEEFF"/>
            </w:tcBorders>
          </w:tcPr>
          <w:p>
            <w:pPr>
              <w:spacing w:after="0" w:line="20" w:lineRule="exact"/>
              <w:rPr>
                <w:sz w:val="1"/>
                <w:szCs w:val="1"/>
                <w:color w:val="auto"/>
              </w:rPr>
            </w:pPr>
          </w:p>
        </w:tc>
        <w:tc>
          <w:tcPr>
            <w:tcW w:w="840" w:type="dxa"/>
            <w:vAlign w:val="bottom"/>
            <w:tcBorders>
              <w:top w:val="single" w:sz="8" w:color="CCEEFF"/>
            </w:tcBorders>
          </w:tcPr>
          <w:p>
            <w:pPr>
              <w:spacing w:after="0" w:line="20" w:lineRule="exact"/>
              <w:rPr>
                <w:sz w:val="1"/>
                <w:szCs w:val="1"/>
                <w:color w:val="auto"/>
              </w:rPr>
            </w:pPr>
          </w:p>
        </w:tc>
        <w:tc>
          <w:tcPr>
            <w:tcW w:w="4160" w:type="dxa"/>
            <w:vAlign w:val="bottom"/>
            <w:tcBorders>
              <w:top w:val="single" w:sz="8" w:color="CCEEFF"/>
            </w:tcBorders>
          </w:tcPr>
          <w:p>
            <w:pPr>
              <w:spacing w:after="0" w:line="20" w:lineRule="exact"/>
              <w:rPr>
                <w:sz w:val="1"/>
                <w:szCs w:val="1"/>
                <w:color w:val="auto"/>
              </w:rPr>
            </w:pPr>
          </w:p>
        </w:tc>
        <w:tc>
          <w:tcPr>
            <w:tcW w:w="1600" w:type="dxa"/>
            <w:vAlign w:val="bottom"/>
            <w:tcBorders>
              <w:top w:val="single" w:sz="8" w:color="CCEEFF"/>
              <w:bottom w:val="single" w:sz="8" w:color="CCEEFF"/>
            </w:tcBorders>
            <w:vMerge w:val="restart"/>
          </w:tcPr>
          <w:p>
            <w:pPr>
              <w:jc w:val="right"/>
              <w:ind w:right="756"/>
              <w:spacing w:after="0"/>
              <w:rPr>
                <w:sz w:val="20"/>
                <w:szCs w:val="20"/>
                <w:color w:val="auto"/>
              </w:rPr>
            </w:pPr>
            <w:r>
              <w:rPr>
                <w:rFonts w:ascii="Arial" w:cs="Arial" w:eastAsia="Arial" w:hAnsi="Arial"/>
                <w:sz w:val="18"/>
                <w:szCs w:val="18"/>
                <w:color w:val="auto"/>
              </w:rPr>
              <w:t>12</w:t>
            </w: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2"/>
        </w:trPr>
        <w:tc>
          <w:tcPr>
            <w:tcW w:w="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160" w:type="dxa"/>
            <w:vAlign w:val="bottom"/>
          </w:tcPr>
          <w:p>
            <w:pPr>
              <w:spacing w:after="0"/>
              <w:rPr>
                <w:sz w:val="24"/>
                <w:szCs w:val="24"/>
                <w:color w:val="auto"/>
              </w:rPr>
            </w:pPr>
          </w:p>
        </w:tc>
        <w:tc>
          <w:tcPr>
            <w:tcW w:w="1600" w:type="dxa"/>
            <w:vAlign w:val="bottom"/>
            <w:vMerge w:val="continue"/>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00"/>
          </w:cols>
          <w:pgMar w:left="240" w:top="229" w:right="25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1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3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3840" w:type="dxa"/>
            <w:vAlign w:val="bottom"/>
          </w:tcPr>
          <w:p>
            <w:pPr>
              <w:spacing w:after="0"/>
              <w:rPr>
                <w:sz w:val="14"/>
                <w:szCs w:val="14"/>
                <w:color w:val="auto"/>
              </w:rPr>
            </w:pPr>
          </w:p>
        </w:tc>
        <w:tc>
          <w:tcPr>
            <w:tcW w:w="172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1"/>
              </w:rPr>
              <w:t>Weighted</w:t>
            </w:r>
          </w:p>
        </w:tc>
        <w:tc>
          <w:tcPr>
            <w:tcW w:w="300" w:type="dxa"/>
            <w:vAlign w:val="bottom"/>
          </w:tcPr>
          <w:p>
            <w:pPr>
              <w:spacing w:after="0"/>
              <w:rPr>
                <w:sz w:val="14"/>
                <w:szCs w:val="14"/>
                <w:color w:val="auto"/>
              </w:rPr>
            </w:pPr>
          </w:p>
        </w:tc>
        <w:tc>
          <w:tcPr>
            <w:tcW w:w="1280" w:type="dxa"/>
            <w:vAlign w:val="bottom"/>
            <w:gridSpan w:val="2"/>
            <w:vMerge w:val="restart"/>
          </w:tcPr>
          <w:p>
            <w:pPr>
              <w:jc w:val="center"/>
              <w:ind w:right="400"/>
              <w:spacing w:after="0"/>
              <w:rPr>
                <w:sz w:val="20"/>
                <w:szCs w:val="20"/>
                <w:color w:val="auto"/>
              </w:rPr>
            </w:pPr>
            <w:r>
              <w:rPr>
                <w:rFonts w:ascii="Arial" w:cs="Arial" w:eastAsia="Arial" w:hAnsi="Arial"/>
                <w:sz w:val="14"/>
                <w:szCs w:val="14"/>
                <w:b w:val="1"/>
                <w:bCs w:val="1"/>
                <w:color w:val="auto"/>
                <w:w w:val="88"/>
              </w:rPr>
              <w:t>Gross</w:t>
            </w:r>
          </w:p>
        </w:tc>
        <w:tc>
          <w:tcPr>
            <w:tcW w:w="2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3840" w:type="dxa"/>
            <w:vAlign w:val="bottom"/>
          </w:tcPr>
          <w:p>
            <w:pPr>
              <w:spacing w:after="0"/>
              <w:rPr>
                <w:sz w:val="12"/>
                <w:szCs w:val="12"/>
                <w:color w:val="auto"/>
              </w:rPr>
            </w:pPr>
          </w:p>
        </w:tc>
        <w:tc>
          <w:tcPr>
            <w:tcW w:w="17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average</w:t>
            </w:r>
          </w:p>
        </w:tc>
        <w:tc>
          <w:tcPr>
            <w:tcW w:w="300" w:type="dxa"/>
            <w:vAlign w:val="bottom"/>
          </w:tcPr>
          <w:p>
            <w:pPr>
              <w:spacing w:after="0"/>
              <w:rPr>
                <w:sz w:val="12"/>
                <w:szCs w:val="12"/>
                <w:color w:val="auto"/>
              </w:rPr>
            </w:pPr>
          </w:p>
        </w:tc>
        <w:tc>
          <w:tcPr>
            <w:tcW w:w="1280" w:type="dxa"/>
            <w:vAlign w:val="bottom"/>
            <w:gridSpan w:val="2"/>
            <w:vMerge w:val="continue"/>
          </w:tcPr>
          <w:p>
            <w:pPr>
              <w:spacing w:after="0"/>
              <w:rPr>
                <w:sz w:val="12"/>
                <w:szCs w:val="12"/>
                <w:color w:val="auto"/>
              </w:rPr>
            </w:pPr>
          </w:p>
        </w:tc>
        <w:tc>
          <w:tcPr>
            <w:tcW w:w="220" w:type="dxa"/>
            <w:vAlign w:val="bottom"/>
          </w:tcPr>
          <w:p>
            <w:pPr>
              <w:spacing w:after="0"/>
              <w:rPr>
                <w:sz w:val="12"/>
                <w:szCs w:val="12"/>
                <w:color w:val="auto"/>
              </w:rPr>
            </w:pPr>
          </w:p>
        </w:tc>
        <w:tc>
          <w:tcPr>
            <w:tcW w:w="1360" w:type="dxa"/>
            <w:vAlign w:val="bottom"/>
            <w:gridSpan w:val="2"/>
            <w:vMerge w:val="restart"/>
          </w:tcPr>
          <w:p>
            <w:pPr>
              <w:ind w:left="100"/>
              <w:spacing w:after="0"/>
              <w:rPr>
                <w:sz w:val="20"/>
                <w:szCs w:val="20"/>
                <w:color w:val="auto"/>
              </w:rPr>
            </w:pPr>
            <w:r>
              <w:rPr>
                <w:rFonts w:ascii="Arial" w:cs="Arial" w:eastAsia="Arial" w:hAnsi="Arial"/>
                <w:sz w:val="14"/>
                <w:szCs w:val="14"/>
                <w:b w:val="1"/>
                <w:bCs w:val="1"/>
                <w:color w:val="auto"/>
              </w:rPr>
              <w:t>Accumulated</w:t>
            </w:r>
          </w:p>
        </w:tc>
        <w:tc>
          <w:tcPr>
            <w:tcW w:w="240" w:type="dxa"/>
            <w:vAlign w:val="bottom"/>
          </w:tcPr>
          <w:p>
            <w:pPr>
              <w:spacing w:after="0"/>
              <w:rPr>
                <w:sz w:val="12"/>
                <w:szCs w:val="12"/>
                <w:color w:val="auto"/>
              </w:rPr>
            </w:pPr>
          </w:p>
        </w:tc>
        <w:tc>
          <w:tcPr>
            <w:tcW w:w="1240" w:type="dxa"/>
            <w:vAlign w:val="bottom"/>
            <w:vMerge w:val="restart"/>
          </w:tcPr>
          <w:p>
            <w:pPr>
              <w:jc w:val="right"/>
              <w:ind w:right="273"/>
              <w:spacing w:after="0"/>
              <w:rPr>
                <w:sz w:val="20"/>
                <w:szCs w:val="20"/>
                <w:color w:val="auto"/>
              </w:rPr>
            </w:pPr>
            <w:r>
              <w:rPr>
                <w:rFonts w:ascii="Arial" w:cs="Arial" w:eastAsia="Arial" w:hAnsi="Arial"/>
                <w:sz w:val="14"/>
                <w:szCs w:val="14"/>
                <w:b w:val="1"/>
                <w:bCs w:val="1"/>
                <w:color w:val="auto"/>
              </w:rPr>
              <w:t>Net carrying</w:t>
            </w:r>
          </w:p>
        </w:tc>
        <w:tc>
          <w:tcPr>
            <w:tcW w:w="0" w:type="dxa"/>
            <w:vAlign w:val="bottom"/>
          </w:tcPr>
          <w:p>
            <w:pPr>
              <w:spacing w:after="0"/>
              <w:rPr>
                <w:sz w:val="1"/>
                <w:szCs w:val="1"/>
                <w:color w:val="auto"/>
              </w:rPr>
            </w:pPr>
          </w:p>
        </w:tc>
      </w:tr>
      <w:tr>
        <w:trPr>
          <w:trHeight w:val="149"/>
        </w:trPr>
        <w:tc>
          <w:tcPr>
            <w:tcW w:w="5040" w:type="dxa"/>
            <w:vAlign w:val="bottom"/>
            <w:gridSpan w:val="3"/>
            <w:vMerge w:val="restart"/>
          </w:tcPr>
          <w:p>
            <w:pPr>
              <w:ind w:left="40"/>
              <w:spacing w:after="0"/>
              <w:rPr>
                <w:sz w:val="20"/>
                <w:szCs w:val="20"/>
                <w:color w:val="auto"/>
              </w:rPr>
            </w:pPr>
            <w:r>
              <w:rPr>
                <w:rFonts w:ascii="Arial" w:cs="Arial" w:eastAsia="Arial" w:hAnsi="Arial"/>
                <w:sz w:val="14"/>
                <w:szCs w:val="14"/>
                <w:b w:val="1"/>
                <w:bCs w:val="1"/>
                <w:color w:val="auto"/>
              </w:rPr>
              <w:t>December 31, 2017</w:t>
            </w:r>
          </w:p>
        </w:tc>
        <w:tc>
          <w:tcPr>
            <w:tcW w:w="17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6"/>
              </w:rPr>
              <w:t>amortization</w:t>
            </w:r>
          </w:p>
        </w:tc>
        <w:tc>
          <w:tcPr>
            <w:tcW w:w="300" w:type="dxa"/>
            <w:vAlign w:val="bottom"/>
          </w:tcPr>
          <w:p>
            <w:pPr>
              <w:spacing w:after="0"/>
              <w:rPr>
                <w:sz w:val="12"/>
                <w:szCs w:val="12"/>
                <w:color w:val="auto"/>
              </w:rPr>
            </w:pPr>
          </w:p>
        </w:tc>
        <w:tc>
          <w:tcPr>
            <w:tcW w:w="128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94"/>
              </w:rPr>
              <w:t>carrying</w:t>
            </w:r>
          </w:p>
        </w:tc>
        <w:tc>
          <w:tcPr>
            <w:tcW w:w="220" w:type="dxa"/>
            <w:vAlign w:val="bottom"/>
          </w:tcPr>
          <w:p>
            <w:pPr>
              <w:spacing w:after="0"/>
              <w:rPr>
                <w:sz w:val="12"/>
                <w:szCs w:val="12"/>
                <w:color w:val="auto"/>
              </w:rPr>
            </w:pPr>
          </w:p>
        </w:tc>
        <w:tc>
          <w:tcPr>
            <w:tcW w:w="1360" w:type="dxa"/>
            <w:vAlign w:val="bottom"/>
            <w:gridSpan w:val="2"/>
            <w:vMerge w:val="continue"/>
          </w:tcPr>
          <w:p>
            <w:pPr>
              <w:spacing w:after="0"/>
              <w:rPr>
                <w:sz w:val="12"/>
                <w:szCs w:val="12"/>
                <w:color w:val="auto"/>
              </w:rPr>
            </w:pPr>
          </w:p>
        </w:tc>
        <w:tc>
          <w:tcPr>
            <w:tcW w:w="240" w:type="dxa"/>
            <w:vAlign w:val="bottom"/>
          </w:tcPr>
          <w:p>
            <w:pPr>
              <w:spacing w:after="0"/>
              <w:rPr>
                <w:sz w:val="12"/>
                <w:szCs w:val="12"/>
                <w:color w:val="auto"/>
              </w:rPr>
            </w:pPr>
          </w:p>
        </w:tc>
        <w:tc>
          <w:tcPr>
            <w:tcW w:w="124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8"/>
        </w:trPr>
        <w:tc>
          <w:tcPr>
            <w:tcW w:w="5040" w:type="dxa"/>
            <w:vAlign w:val="bottom"/>
            <w:gridSpan w:val="3"/>
            <w:vMerge w:val="continue"/>
          </w:tcPr>
          <w:p>
            <w:pPr>
              <w:spacing w:after="0"/>
              <w:rPr>
                <w:sz w:val="13"/>
                <w:szCs w:val="13"/>
                <w:color w:val="auto"/>
              </w:rPr>
            </w:pPr>
          </w:p>
        </w:tc>
        <w:tc>
          <w:tcPr>
            <w:tcW w:w="1720" w:type="dxa"/>
            <w:vAlign w:val="bottom"/>
            <w:gridSpan w:val="2"/>
          </w:tcPr>
          <w:p>
            <w:pPr>
              <w:jc w:val="center"/>
              <w:ind w:right="140"/>
              <w:spacing w:after="0" w:line="158" w:lineRule="exact"/>
              <w:rPr>
                <w:sz w:val="20"/>
                <w:szCs w:val="20"/>
                <w:color w:val="auto"/>
              </w:rPr>
            </w:pPr>
            <w:r>
              <w:rPr>
                <w:rFonts w:ascii="Arial" w:cs="Arial" w:eastAsia="Arial" w:hAnsi="Arial"/>
                <w:sz w:val="14"/>
                <w:szCs w:val="14"/>
                <w:b w:val="1"/>
                <w:bCs w:val="1"/>
                <w:color w:val="auto"/>
                <w:w w:val="92"/>
              </w:rPr>
              <w:t>period (years)</w:t>
            </w:r>
          </w:p>
        </w:tc>
        <w:tc>
          <w:tcPr>
            <w:tcW w:w="300" w:type="dxa"/>
            <w:vAlign w:val="bottom"/>
          </w:tcPr>
          <w:p>
            <w:pPr>
              <w:spacing w:after="0"/>
              <w:rPr>
                <w:sz w:val="13"/>
                <w:szCs w:val="13"/>
                <w:color w:val="auto"/>
              </w:rPr>
            </w:pPr>
          </w:p>
        </w:tc>
        <w:tc>
          <w:tcPr>
            <w:tcW w:w="1280" w:type="dxa"/>
            <w:vAlign w:val="bottom"/>
            <w:gridSpan w:val="2"/>
          </w:tcPr>
          <w:p>
            <w:pPr>
              <w:jc w:val="center"/>
              <w:ind w:right="400"/>
              <w:spacing w:after="0" w:line="158" w:lineRule="exact"/>
              <w:rPr>
                <w:sz w:val="20"/>
                <w:szCs w:val="20"/>
                <w:color w:val="auto"/>
              </w:rPr>
            </w:pPr>
            <w:r>
              <w:rPr>
                <w:rFonts w:ascii="Arial" w:cs="Arial" w:eastAsia="Arial" w:hAnsi="Arial"/>
                <w:sz w:val="14"/>
                <w:szCs w:val="14"/>
                <w:b w:val="1"/>
                <w:bCs w:val="1"/>
                <w:color w:val="auto"/>
                <w:w w:val="94"/>
              </w:rPr>
              <w:t>amount</w:t>
            </w:r>
          </w:p>
        </w:tc>
        <w:tc>
          <w:tcPr>
            <w:tcW w:w="220" w:type="dxa"/>
            <w:vAlign w:val="bottom"/>
          </w:tcPr>
          <w:p>
            <w:pPr>
              <w:spacing w:after="0"/>
              <w:rPr>
                <w:sz w:val="13"/>
                <w:szCs w:val="13"/>
                <w:color w:val="auto"/>
              </w:rPr>
            </w:pPr>
          </w:p>
        </w:tc>
        <w:tc>
          <w:tcPr>
            <w:tcW w:w="1360" w:type="dxa"/>
            <w:vAlign w:val="bottom"/>
            <w:gridSpan w:val="2"/>
          </w:tcPr>
          <w:p>
            <w:pPr>
              <w:ind w:left="120"/>
              <w:spacing w:after="0" w:line="158" w:lineRule="exact"/>
              <w:rPr>
                <w:sz w:val="20"/>
                <w:szCs w:val="20"/>
                <w:color w:val="auto"/>
              </w:rPr>
            </w:pPr>
            <w:r>
              <w:rPr>
                <w:rFonts w:ascii="Arial" w:cs="Arial" w:eastAsia="Arial" w:hAnsi="Arial"/>
                <w:sz w:val="14"/>
                <w:szCs w:val="14"/>
                <w:b w:val="1"/>
                <w:bCs w:val="1"/>
                <w:color w:val="auto"/>
              </w:rPr>
              <w:t>amortization</w:t>
            </w:r>
          </w:p>
        </w:tc>
        <w:tc>
          <w:tcPr>
            <w:tcW w:w="240" w:type="dxa"/>
            <w:vAlign w:val="bottom"/>
          </w:tcPr>
          <w:p>
            <w:pPr>
              <w:spacing w:after="0"/>
              <w:rPr>
                <w:sz w:val="13"/>
                <w:szCs w:val="13"/>
                <w:color w:val="auto"/>
              </w:rPr>
            </w:pPr>
          </w:p>
        </w:tc>
        <w:tc>
          <w:tcPr>
            <w:tcW w:w="1240" w:type="dxa"/>
            <w:vAlign w:val="bottom"/>
          </w:tcPr>
          <w:p>
            <w:pPr>
              <w:jc w:val="right"/>
              <w:ind w:right="413"/>
              <w:spacing w:after="0" w:line="158" w:lineRule="exact"/>
              <w:rPr>
                <w:sz w:val="20"/>
                <w:szCs w:val="20"/>
                <w:color w:val="auto"/>
              </w:rPr>
            </w:pPr>
            <w:r>
              <w:rPr>
                <w:rFonts w:ascii="Arial" w:cs="Arial" w:eastAsia="Arial" w:hAnsi="Arial"/>
                <w:sz w:val="14"/>
                <w:szCs w:val="14"/>
                <w:b w:val="1"/>
                <w:bCs w:val="1"/>
                <w:color w:val="auto"/>
              </w:rPr>
              <w:t>Amount</w:t>
            </w:r>
          </w:p>
        </w:tc>
        <w:tc>
          <w:tcPr>
            <w:tcW w:w="0" w:type="dxa"/>
            <w:vAlign w:val="bottom"/>
          </w:tcPr>
          <w:p>
            <w:pPr>
              <w:spacing w:after="0"/>
              <w:rPr>
                <w:sz w:val="1"/>
                <w:szCs w:val="1"/>
                <w:color w:val="auto"/>
              </w:rPr>
            </w:pPr>
          </w:p>
        </w:tc>
      </w:tr>
      <w:tr>
        <w:trPr>
          <w:trHeight w:val="21"/>
        </w:trPr>
        <w:tc>
          <w:tcPr>
            <w:tcW w:w="40" w:type="dxa"/>
            <w:vAlign w:val="bottom"/>
            <w:tcBorders>
              <w:bottom w:val="single" w:sz="8" w:color="CCEEFF"/>
            </w:tcBorders>
          </w:tcPr>
          <w:p>
            <w:pPr>
              <w:spacing w:after="0" w:line="20" w:lineRule="exact"/>
              <w:rPr>
                <w:sz w:val="1"/>
                <w:szCs w:val="1"/>
                <w:color w:val="auto"/>
              </w:rPr>
            </w:pPr>
          </w:p>
        </w:tc>
        <w:tc>
          <w:tcPr>
            <w:tcW w:w="1160" w:type="dxa"/>
            <w:vAlign w:val="bottom"/>
            <w:tcBorders>
              <w:top w:val="single" w:sz="8" w:color="auto"/>
              <w:bottom w:val="single" w:sz="8" w:color="CCEEFF"/>
            </w:tcBorders>
          </w:tcPr>
          <w:p>
            <w:pPr>
              <w:spacing w:after="0" w:line="20" w:lineRule="exact"/>
              <w:rPr>
                <w:sz w:val="1"/>
                <w:szCs w:val="1"/>
                <w:color w:val="auto"/>
              </w:rPr>
            </w:pPr>
          </w:p>
        </w:tc>
        <w:tc>
          <w:tcPr>
            <w:tcW w:w="3840" w:type="dxa"/>
            <w:vAlign w:val="bottom"/>
            <w:tcBorders>
              <w:bottom w:val="single" w:sz="8" w:color="CCEEFF"/>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44"/>
        </w:trPr>
        <w:tc>
          <w:tcPr>
            <w:tcW w:w="504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Customer relationships</w:t>
            </w:r>
          </w:p>
        </w:tc>
        <w:tc>
          <w:tcPr>
            <w:tcW w:w="16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5"/>
              </w:rPr>
              <w:t>11.1</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171,782</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(86,501)</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85,281</w:t>
            </w:r>
          </w:p>
        </w:tc>
        <w:tc>
          <w:tcPr>
            <w:tcW w:w="0" w:type="dxa"/>
            <w:vAlign w:val="bottom"/>
          </w:tcPr>
          <w:p>
            <w:pPr>
              <w:spacing w:after="0"/>
              <w:rPr>
                <w:sz w:val="1"/>
                <w:szCs w:val="1"/>
                <w:color w:val="auto"/>
              </w:rPr>
            </w:pPr>
          </w:p>
        </w:tc>
      </w:tr>
      <w:tr>
        <w:trPr>
          <w:trHeight w:val="243"/>
        </w:trPr>
        <w:tc>
          <w:tcPr>
            <w:tcW w:w="5040" w:type="dxa"/>
            <w:vAlign w:val="bottom"/>
            <w:gridSpan w:val="3"/>
          </w:tcPr>
          <w:p>
            <w:pPr>
              <w:ind w:left="40"/>
              <w:spacing w:after="0"/>
              <w:rPr>
                <w:sz w:val="20"/>
                <w:szCs w:val="20"/>
                <w:color w:val="auto"/>
              </w:rPr>
            </w:pPr>
            <w:r>
              <w:rPr>
                <w:rFonts w:ascii="Arial" w:cs="Arial" w:eastAsia="Arial" w:hAnsi="Arial"/>
                <w:sz w:val="18"/>
                <w:szCs w:val="18"/>
                <w:color w:val="auto"/>
              </w:rPr>
              <w:t>Noncompete agreements</w:t>
            </w:r>
          </w:p>
        </w:tc>
        <w:tc>
          <w:tcPr>
            <w:tcW w:w="1600" w:type="dxa"/>
            <w:vAlign w:val="bottom"/>
          </w:tcPr>
          <w:p>
            <w:pPr>
              <w:jc w:val="center"/>
              <w:spacing w:after="0"/>
              <w:rPr>
                <w:sz w:val="20"/>
                <w:szCs w:val="20"/>
                <w:color w:val="auto"/>
              </w:rPr>
            </w:pPr>
            <w:r>
              <w:rPr>
                <w:rFonts w:ascii="Arial" w:cs="Arial" w:eastAsia="Arial" w:hAnsi="Arial"/>
                <w:sz w:val="18"/>
                <w:szCs w:val="18"/>
                <w:color w:val="auto"/>
                <w:w w:val="87"/>
              </w:rPr>
              <w:t>5.0</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tcPr>
          <w:p>
            <w:pPr>
              <w:jc w:val="right"/>
              <w:ind w:right="34"/>
              <w:spacing w:after="0"/>
              <w:rPr>
                <w:sz w:val="20"/>
                <w:szCs w:val="20"/>
                <w:color w:val="auto"/>
              </w:rPr>
            </w:pPr>
            <w:r>
              <w:rPr>
                <w:rFonts w:ascii="Arial" w:cs="Arial" w:eastAsia="Arial" w:hAnsi="Arial"/>
                <w:sz w:val="18"/>
                <w:szCs w:val="18"/>
                <w:color w:val="auto"/>
              </w:rPr>
              <w:t>14,500</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(14,500)</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jc w:val="right"/>
              <w:ind w:right="3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384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04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Favorable leases</w:t>
            </w:r>
          </w:p>
        </w:tc>
        <w:tc>
          <w:tcPr>
            <w:tcW w:w="16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7"/>
              </w:rPr>
              <w:t>7.5</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2,935</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(1,972)</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963</w:t>
            </w:r>
          </w:p>
        </w:tc>
        <w:tc>
          <w:tcPr>
            <w:tcW w:w="0" w:type="dxa"/>
            <w:vAlign w:val="bottom"/>
          </w:tcPr>
          <w:p>
            <w:pPr>
              <w:spacing w:after="0"/>
              <w:rPr>
                <w:sz w:val="1"/>
                <w:szCs w:val="1"/>
                <w:color w:val="auto"/>
              </w:rPr>
            </w:pPr>
          </w:p>
        </w:tc>
      </w:tr>
      <w:tr>
        <w:trPr>
          <w:trHeight w:val="243"/>
        </w:trPr>
        <w:tc>
          <w:tcPr>
            <w:tcW w:w="5040" w:type="dxa"/>
            <w:vAlign w:val="bottom"/>
            <w:gridSpan w:val="3"/>
          </w:tcPr>
          <w:p>
            <w:pPr>
              <w:ind w:left="40"/>
              <w:spacing w:after="0"/>
              <w:rPr>
                <w:sz w:val="20"/>
                <w:szCs w:val="20"/>
                <w:color w:val="auto"/>
              </w:rPr>
            </w:pPr>
            <w:r>
              <w:rPr>
                <w:rFonts w:ascii="Arial" w:cs="Arial" w:eastAsia="Arial" w:hAnsi="Arial"/>
                <w:sz w:val="18"/>
                <w:szCs w:val="18"/>
                <w:color w:val="auto"/>
              </w:rPr>
              <w:t>Order backlog</w:t>
            </w:r>
          </w:p>
        </w:tc>
        <w:tc>
          <w:tcPr>
            <w:tcW w:w="1600" w:type="dxa"/>
            <w:vAlign w:val="bottom"/>
          </w:tcPr>
          <w:p>
            <w:pPr>
              <w:jc w:val="center"/>
              <w:spacing w:after="0"/>
              <w:rPr>
                <w:sz w:val="20"/>
                <w:szCs w:val="20"/>
                <w:color w:val="auto"/>
              </w:rPr>
            </w:pPr>
            <w:r>
              <w:rPr>
                <w:rFonts w:ascii="Arial" w:cs="Arial" w:eastAsia="Arial" w:hAnsi="Arial"/>
                <w:sz w:val="18"/>
                <w:szCs w:val="18"/>
                <w:color w:val="auto"/>
                <w:w w:val="87"/>
              </w:rPr>
              <w:t>0.4</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tcPr>
          <w:p>
            <w:pPr>
              <w:jc w:val="right"/>
              <w:ind w:right="34"/>
              <w:spacing w:after="0"/>
              <w:rPr>
                <w:sz w:val="20"/>
                <w:szCs w:val="20"/>
                <w:color w:val="auto"/>
              </w:rPr>
            </w:pPr>
            <w:r>
              <w:rPr>
                <w:rFonts w:ascii="Arial" w:cs="Arial" w:eastAsia="Arial" w:hAnsi="Arial"/>
                <w:sz w:val="18"/>
                <w:szCs w:val="18"/>
                <w:color w:val="auto"/>
              </w:rPr>
              <w:t>3,400</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(3,400)</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jc w:val="right"/>
              <w:ind w:right="3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384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04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Reacquired franchise rights</w:t>
            </w:r>
          </w:p>
        </w:tc>
        <w:tc>
          <w:tcPr>
            <w:tcW w:w="16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7"/>
              </w:rPr>
              <w:t>5.8</w:t>
            </w:r>
          </w:p>
        </w:tc>
        <w:tc>
          <w:tcPr>
            <w:tcW w:w="12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8,950</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(5,837)</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3,113</w:t>
            </w:r>
          </w:p>
        </w:tc>
        <w:tc>
          <w:tcPr>
            <w:tcW w:w="0" w:type="dxa"/>
            <w:vAlign w:val="bottom"/>
          </w:tcPr>
          <w:p>
            <w:pPr>
              <w:spacing w:after="0"/>
              <w:rPr>
                <w:sz w:val="1"/>
                <w:szCs w:val="1"/>
                <w:color w:val="auto"/>
              </w:rPr>
            </w:pPr>
          </w:p>
        </w:tc>
      </w:tr>
      <w:tr>
        <w:trPr>
          <w:trHeight w:val="237"/>
        </w:trPr>
        <w:tc>
          <w:tcPr>
            <w:tcW w:w="4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384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34"/>
              <w:spacing w:after="0"/>
              <w:rPr>
                <w:sz w:val="20"/>
                <w:szCs w:val="20"/>
                <w:color w:val="auto"/>
              </w:rPr>
            </w:pPr>
            <w:r>
              <w:rPr>
                <w:rFonts w:ascii="Arial" w:cs="Arial" w:eastAsia="Arial" w:hAnsi="Arial"/>
                <w:sz w:val="18"/>
                <w:szCs w:val="18"/>
                <w:color w:val="auto"/>
              </w:rPr>
              <w:t>201,567</w:t>
            </w: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(112,210)</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24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89,357</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384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04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Indefinite-lived intangible:</w:t>
            </w:r>
          </w:p>
        </w:tc>
        <w:tc>
          <w:tcPr>
            <w:tcW w:w="16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0" w:type="dxa"/>
            <w:vAlign w:val="bottom"/>
          </w:tcPr>
          <w:p>
            <w:pPr>
              <w:spacing w:after="0"/>
              <w:rPr>
                <w:sz w:val="21"/>
                <w:szCs w:val="21"/>
                <w:color w:val="auto"/>
              </w:rPr>
            </w:pPr>
          </w:p>
        </w:tc>
        <w:tc>
          <w:tcPr>
            <w:tcW w:w="5000" w:type="dxa"/>
            <w:vAlign w:val="bottom"/>
            <w:gridSpan w:val="2"/>
          </w:tcPr>
          <w:p>
            <w:pPr>
              <w:ind w:left="240"/>
              <w:spacing w:after="0"/>
              <w:rPr>
                <w:sz w:val="20"/>
                <w:szCs w:val="20"/>
                <w:color w:val="auto"/>
              </w:rPr>
            </w:pPr>
            <w:r>
              <w:rPr>
                <w:rFonts w:ascii="Arial" w:cs="Arial" w:eastAsia="Arial" w:hAnsi="Arial"/>
                <w:sz w:val="18"/>
                <w:szCs w:val="18"/>
                <w:color w:val="auto"/>
              </w:rPr>
              <w:t>Trade and brand names</w:t>
            </w:r>
          </w:p>
        </w:tc>
        <w:tc>
          <w:tcPr>
            <w:tcW w:w="1720" w:type="dxa"/>
            <w:vAlign w:val="bottom"/>
            <w:gridSpan w:val="2"/>
          </w:tcPr>
          <w:p>
            <w:pPr>
              <w:jc w:val="center"/>
              <w:ind w:right="120"/>
              <w:spacing w:after="0"/>
              <w:rPr>
                <w:sz w:val="20"/>
                <w:szCs w:val="20"/>
                <w:color w:val="auto"/>
              </w:rPr>
            </w:pPr>
            <w:r>
              <w:rPr>
                <w:rFonts w:ascii="Arial" w:cs="Arial" w:eastAsia="Arial" w:hAnsi="Arial"/>
                <w:sz w:val="18"/>
                <w:szCs w:val="18"/>
                <w:color w:val="auto"/>
              </w:rPr>
              <w:t>N/A</w:t>
            </w:r>
          </w:p>
        </w:tc>
        <w:tc>
          <w:tcPr>
            <w:tcW w:w="300" w:type="dxa"/>
            <w:vAlign w:val="bottom"/>
          </w:tcPr>
          <w:p>
            <w:pPr>
              <w:spacing w:after="0"/>
              <w:rPr>
                <w:sz w:val="21"/>
                <w:szCs w:val="21"/>
                <w:color w:val="auto"/>
              </w:rPr>
            </w:pPr>
          </w:p>
        </w:tc>
        <w:tc>
          <w:tcPr>
            <w:tcW w:w="1180" w:type="dxa"/>
            <w:vAlign w:val="bottom"/>
          </w:tcPr>
          <w:p>
            <w:pPr>
              <w:jc w:val="right"/>
              <w:ind w:right="34"/>
              <w:spacing w:after="0"/>
              <w:rPr>
                <w:sz w:val="20"/>
                <w:szCs w:val="20"/>
                <w:color w:val="auto"/>
              </w:rPr>
            </w:pPr>
            <w:r>
              <w:rPr>
                <w:rFonts w:ascii="Arial" w:cs="Arial" w:eastAsia="Arial" w:hAnsi="Arial"/>
                <w:sz w:val="18"/>
                <w:szCs w:val="18"/>
                <w:color w:val="auto"/>
              </w:rPr>
              <w:t>146,300</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240" w:type="dxa"/>
            <w:vAlign w:val="bottom"/>
          </w:tcPr>
          <w:p>
            <w:pPr>
              <w:jc w:val="right"/>
              <w:ind w:right="33"/>
              <w:spacing w:after="0"/>
              <w:rPr>
                <w:sz w:val="20"/>
                <w:szCs w:val="20"/>
                <w:color w:val="auto"/>
              </w:rPr>
            </w:pPr>
            <w:r>
              <w:rPr>
                <w:rFonts w:ascii="Arial" w:cs="Arial" w:eastAsia="Arial" w:hAnsi="Arial"/>
                <w:sz w:val="18"/>
                <w:szCs w:val="18"/>
                <w:color w:val="auto"/>
              </w:rPr>
              <w:t>146,300</w:t>
            </w:r>
          </w:p>
        </w:tc>
        <w:tc>
          <w:tcPr>
            <w:tcW w:w="0" w:type="dxa"/>
            <w:vAlign w:val="bottom"/>
          </w:tcPr>
          <w:p>
            <w:pPr>
              <w:spacing w:after="0"/>
              <w:rPr>
                <w:sz w:val="1"/>
                <w:szCs w:val="1"/>
                <w:color w:val="auto"/>
              </w:rPr>
            </w:pPr>
          </w:p>
        </w:tc>
      </w:tr>
      <w:tr>
        <w:trPr>
          <w:trHeight w:val="27"/>
        </w:trPr>
        <w:tc>
          <w:tcPr>
            <w:tcW w:w="40" w:type="dxa"/>
            <w:vAlign w:val="bottom"/>
            <w:tcBorders>
              <w:bottom w:val="single" w:sz="8" w:color="CCEEFF"/>
            </w:tcBorders>
          </w:tcPr>
          <w:p>
            <w:pPr>
              <w:spacing w:after="0"/>
              <w:rPr>
                <w:sz w:val="2"/>
                <w:szCs w:val="2"/>
                <w:color w:val="auto"/>
              </w:rPr>
            </w:pPr>
          </w:p>
        </w:tc>
        <w:tc>
          <w:tcPr>
            <w:tcW w:w="1160" w:type="dxa"/>
            <w:vAlign w:val="bottom"/>
            <w:tcBorders>
              <w:bottom w:val="single" w:sz="8" w:color="CCEEFF"/>
            </w:tcBorders>
          </w:tcPr>
          <w:p>
            <w:pPr>
              <w:spacing w:after="0"/>
              <w:rPr>
                <w:sz w:val="2"/>
                <w:szCs w:val="2"/>
                <w:color w:val="auto"/>
              </w:rPr>
            </w:pPr>
          </w:p>
        </w:tc>
        <w:tc>
          <w:tcPr>
            <w:tcW w:w="3840" w:type="dxa"/>
            <w:vAlign w:val="bottom"/>
            <w:tcBorders>
              <w:bottom w:val="single" w:sz="8" w:color="CCEEFF"/>
            </w:tcBorders>
          </w:tcPr>
          <w:p>
            <w:pPr>
              <w:spacing w:after="0"/>
              <w:rPr>
                <w:sz w:val="2"/>
                <w:szCs w:val="2"/>
                <w:color w:val="auto"/>
              </w:rPr>
            </w:pPr>
          </w:p>
        </w:tc>
        <w:tc>
          <w:tcPr>
            <w:tcW w:w="16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0" w:type="dxa"/>
            <w:vAlign w:val="bottom"/>
            <w:tcBorders>
              <w:bottom w:val="single" w:sz="8" w:color="CCEEFF"/>
            </w:tcBorders>
            <w:shd w:val="clear" w:color="auto" w:fill="CCEEFF"/>
          </w:tcPr>
          <w:p>
            <w:pPr>
              <w:spacing w:after="0"/>
              <w:rPr>
                <w:sz w:val="22"/>
                <w:szCs w:val="22"/>
                <w:color w:val="auto"/>
              </w:rPr>
            </w:pPr>
          </w:p>
        </w:tc>
        <w:tc>
          <w:tcPr>
            <w:tcW w:w="5000" w:type="dxa"/>
            <w:vAlign w:val="bottom"/>
            <w:tcBorders>
              <w:bottom w:val="single" w:sz="8" w:color="CCEEFF"/>
            </w:tcBorders>
            <w:gridSpan w:val="2"/>
            <w:shd w:val="clear" w:color="auto" w:fill="CCEEFF"/>
          </w:tcPr>
          <w:p>
            <w:pPr>
              <w:ind w:left="460"/>
              <w:spacing w:after="0"/>
              <w:rPr>
                <w:sz w:val="20"/>
                <w:szCs w:val="20"/>
                <w:color w:val="auto"/>
              </w:rPr>
            </w:pPr>
            <w:r>
              <w:rPr>
                <w:rFonts w:ascii="Arial" w:cs="Arial" w:eastAsia="Arial" w:hAnsi="Arial"/>
                <w:sz w:val="18"/>
                <w:szCs w:val="18"/>
                <w:color w:val="auto"/>
              </w:rPr>
              <w:t>Total intangible assets</w:t>
            </w:r>
          </w:p>
        </w:tc>
        <w:tc>
          <w:tcPr>
            <w:tcW w:w="16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auto"/>
            </w:tcBorders>
            <w:shd w:val="clear" w:color="auto" w:fill="CCEEFF"/>
          </w:tcPr>
          <w:p>
            <w:pPr>
              <w:jc w:val="right"/>
              <w:ind w:right="34"/>
              <w:spacing w:after="0"/>
              <w:rPr>
                <w:sz w:val="20"/>
                <w:szCs w:val="20"/>
                <w:color w:val="auto"/>
              </w:rPr>
            </w:pPr>
            <w:r>
              <w:rPr>
                <w:rFonts w:ascii="Arial" w:cs="Arial" w:eastAsia="Arial" w:hAnsi="Arial"/>
                <w:sz w:val="18"/>
                <w:szCs w:val="18"/>
                <w:color w:val="auto"/>
              </w:rPr>
              <w:t>347,867</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(112,210)</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8"/>
                <w:szCs w:val="18"/>
                <w:color w:val="auto"/>
              </w:rPr>
              <w:t>235,657</w:t>
            </w: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384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1"/>
        </w:trPr>
        <w:tc>
          <w:tcPr>
            <w:tcW w:w="5040" w:type="dxa"/>
            <w:vAlign w:val="bottom"/>
            <w:gridSpan w:val="3"/>
          </w:tcPr>
          <w:p>
            <w:pPr>
              <w:ind w:left="40"/>
              <w:spacing w:after="0"/>
              <w:rPr>
                <w:sz w:val="20"/>
                <w:szCs w:val="20"/>
                <w:color w:val="auto"/>
              </w:rPr>
            </w:pPr>
            <w:r>
              <w:rPr>
                <w:rFonts w:ascii="Arial" w:cs="Arial" w:eastAsia="Arial" w:hAnsi="Arial"/>
                <w:sz w:val="18"/>
                <w:szCs w:val="18"/>
                <w:color w:val="auto"/>
              </w:rPr>
              <w:t>Goodwill</w:t>
            </w:r>
          </w:p>
        </w:tc>
        <w:tc>
          <w:tcPr>
            <w:tcW w:w="16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Pr>
          <w:p>
            <w:pPr>
              <w:jc w:val="right"/>
              <w:ind w:right="34"/>
              <w:spacing w:after="0"/>
              <w:rPr>
                <w:sz w:val="20"/>
                <w:szCs w:val="20"/>
                <w:color w:val="auto"/>
              </w:rPr>
            </w:pPr>
            <w:r>
              <w:rPr>
                <w:rFonts w:ascii="Arial" w:cs="Arial" w:eastAsia="Arial" w:hAnsi="Arial"/>
                <w:sz w:val="18"/>
                <w:szCs w:val="18"/>
                <w:color w:val="auto"/>
              </w:rPr>
              <w:t>176,981</w:t>
            </w:r>
          </w:p>
        </w:tc>
        <w:tc>
          <w:tcPr>
            <w:tcW w:w="100" w:type="dxa"/>
            <w:vAlign w:val="bottom"/>
          </w:tcPr>
          <w:p>
            <w:pPr>
              <w:spacing w:after="0"/>
              <w:rPr>
                <w:sz w:val="21"/>
                <w:szCs w:val="21"/>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Pr>
          <w:p>
            <w:pPr>
              <w:jc w:val="right"/>
              <w:ind w:right="33"/>
              <w:spacing w:after="0"/>
              <w:rPr>
                <w:sz w:val="20"/>
                <w:szCs w:val="20"/>
                <w:color w:val="auto"/>
              </w:rPr>
            </w:pPr>
            <w:r>
              <w:rPr>
                <w:rFonts w:ascii="Arial" w:cs="Arial" w:eastAsia="Arial" w:hAnsi="Arial"/>
                <w:sz w:val="18"/>
                <w:szCs w:val="18"/>
                <w:color w:val="auto"/>
              </w:rPr>
              <w:t>176,981</w:t>
            </w: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384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Company determined that no impairment charges were required during any periods presented and the increase to goodwill was due to the acquisition of six franchisee-owned stores on January 1, 2018 (Note 4).</w:t>
      </w:r>
    </w:p>
    <w:p>
      <w:pPr>
        <w:spacing w:after="0" w:line="170" w:lineRule="exact"/>
        <w:rPr>
          <w:sz w:val="20"/>
          <w:szCs w:val="20"/>
          <w:color w:val="auto"/>
        </w:rPr>
      </w:pPr>
    </w:p>
    <w:p>
      <w:pPr>
        <w:ind w:right="60"/>
        <w:spacing w:after="0" w:line="297" w:lineRule="auto"/>
        <w:rPr>
          <w:sz w:val="20"/>
          <w:szCs w:val="20"/>
          <w:color w:val="auto"/>
        </w:rPr>
      </w:pPr>
      <w:r>
        <w:rPr>
          <w:rFonts w:ascii="Arial" w:cs="Arial" w:eastAsia="Arial" w:hAnsi="Arial"/>
          <w:sz w:val="16"/>
          <w:szCs w:val="16"/>
          <w:color w:val="auto"/>
        </w:rPr>
        <w:t xml:space="preserve">Amortization expense related to the intangible assets totaled $4,012 and $4,710 for the three </w:t>
      </w:r>
      <w:r>
        <w:rPr>
          <w:rFonts w:ascii="Arial" w:cs="Arial" w:eastAsia="Arial" w:hAnsi="Arial"/>
          <w:sz w:val="16"/>
          <w:szCs w:val="16"/>
          <w:color w:val="231F20"/>
        </w:rPr>
        <w:t>months ended June 30, 2018 and 2017</w:t>
      </w:r>
      <w:r>
        <w:rPr>
          <w:rFonts w:ascii="Arial" w:cs="Arial" w:eastAsia="Arial" w:hAnsi="Arial"/>
          <w:sz w:val="16"/>
          <w:szCs w:val="16"/>
          <w:color w:val="auto"/>
        </w:rPr>
        <w:t xml:space="preserve">, respectively, and $8,025 and $9,425 for the six months ended </w:t>
      </w:r>
      <w:r>
        <w:rPr>
          <w:rFonts w:ascii="Arial" w:cs="Arial" w:eastAsia="Arial" w:hAnsi="Arial"/>
          <w:sz w:val="16"/>
          <w:szCs w:val="16"/>
          <w:color w:val="231F20"/>
        </w:rPr>
        <w:t>June 30, 2018 and 2017</w:t>
      </w:r>
      <w:r>
        <w:rPr>
          <w:rFonts w:ascii="Arial" w:cs="Arial" w:eastAsia="Arial" w:hAnsi="Arial"/>
          <w:sz w:val="16"/>
          <w:szCs w:val="16"/>
          <w:color w:val="auto"/>
        </w:rPr>
        <w:t xml:space="preserve">. Included within these total amortization expense amounts are $92 and $88 related to amortization of favorable leases for the three </w:t>
      </w:r>
      <w:r>
        <w:rPr>
          <w:rFonts w:ascii="Arial" w:cs="Arial" w:eastAsia="Arial" w:hAnsi="Arial"/>
          <w:sz w:val="16"/>
          <w:szCs w:val="16"/>
          <w:color w:val="231F20"/>
        </w:rPr>
        <w:t>months ended June 30, 2018 and 2017</w:t>
      </w:r>
      <w:r>
        <w:rPr>
          <w:rFonts w:ascii="Arial" w:cs="Arial" w:eastAsia="Arial" w:hAnsi="Arial"/>
          <w:sz w:val="16"/>
          <w:szCs w:val="16"/>
          <w:color w:val="auto"/>
        </w:rPr>
        <w:t xml:space="preserve">, respectively, and $183 and $181 for the six months ended </w:t>
      </w:r>
      <w:r>
        <w:rPr>
          <w:rFonts w:ascii="Arial" w:cs="Arial" w:eastAsia="Arial" w:hAnsi="Arial"/>
          <w:sz w:val="16"/>
          <w:szCs w:val="16"/>
          <w:color w:val="231F20"/>
        </w:rPr>
        <w:t>June 30, 2018</w:t>
      </w:r>
      <w:r>
        <w:rPr>
          <w:rFonts w:ascii="Arial" w:cs="Arial" w:eastAsia="Arial" w:hAnsi="Arial"/>
          <w:sz w:val="16"/>
          <w:szCs w:val="16"/>
          <w:color w:val="auto"/>
        </w:rPr>
        <w:t xml:space="preserve"> </w:t>
      </w:r>
      <w:r>
        <w:rPr>
          <w:rFonts w:ascii="Arial" w:cs="Arial" w:eastAsia="Arial" w:hAnsi="Arial"/>
          <w:sz w:val="16"/>
          <w:szCs w:val="16"/>
          <w:color w:val="231F20"/>
        </w:rPr>
        <w:t>and 2017</w:t>
      </w:r>
      <w:r>
        <w:rPr>
          <w:rFonts w:ascii="Arial" w:cs="Arial" w:eastAsia="Arial" w:hAnsi="Arial"/>
          <w:sz w:val="16"/>
          <w:szCs w:val="16"/>
          <w:color w:val="000000"/>
        </w:rPr>
        <w:t>, respectively. Amortization of favorable leases is recorded within store operations as a component of rent expense in the consolidated statements of</w:t>
      </w:r>
      <w:r>
        <w:rPr>
          <w:rFonts w:ascii="Arial" w:cs="Arial" w:eastAsia="Arial" w:hAnsi="Arial"/>
          <w:sz w:val="16"/>
          <w:szCs w:val="16"/>
          <w:color w:val="231F20"/>
        </w:rPr>
        <w:t xml:space="preserve"> </w:t>
      </w:r>
      <w:r>
        <w:rPr>
          <w:rFonts w:ascii="Arial" w:cs="Arial" w:eastAsia="Arial" w:hAnsi="Arial"/>
          <w:sz w:val="16"/>
          <w:szCs w:val="16"/>
          <w:color w:val="000000"/>
        </w:rPr>
        <w:t>operations. The anticipated annual amortization expense to be recognized in future years as of June 30, 2018 is as follows:</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188"/>
        </w:trPr>
        <w:tc>
          <w:tcPr>
            <w:tcW w:w="3520" w:type="dxa"/>
            <w:vAlign w:val="bottom"/>
          </w:tcPr>
          <w:p>
            <w:pPr>
              <w:spacing w:after="0"/>
              <w:rPr>
                <w:sz w:val="16"/>
                <w:szCs w:val="16"/>
                <w:color w:val="auto"/>
              </w:rPr>
            </w:pPr>
          </w:p>
        </w:tc>
        <w:tc>
          <w:tcPr>
            <w:tcW w:w="5800" w:type="dxa"/>
            <w:vAlign w:val="bottom"/>
          </w:tcPr>
          <w:p>
            <w:pPr>
              <w:spacing w:after="0"/>
              <w:rPr>
                <w:sz w:val="16"/>
                <w:szCs w:val="16"/>
                <w:color w:val="auto"/>
              </w:rPr>
            </w:pPr>
          </w:p>
        </w:tc>
        <w:tc>
          <w:tcPr>
            <w:tcW w:w="440" w:type="dxa"/>
            <w:vAlign w:val="bottom"/>
            <w:tcBorders>
              <w:bottom w:val="single" w:sz="8" w:color="auto"/>
            </w:tcBorders>
          </w:tcPr>
          <w:p>
            <w:pPr>
              <w:spacing w:after="0"/>
              <w:rPr>
                <w:sz w:val="16"/>
                <w:szCs w:val="16"/>
                <w:color w:val="auto"/>
              </w:rPr>
            </w:pPr>
          </w:p>
        </w:tc>
        <w:tc>
          <w:tcPr>
            <w:tcW w:w="1600" w:type="dxa"/>
            <w:vAlign w:val="bottom"/>
            <w:tcBorders>
              <w:bottom w:val="single" w:sz="8" w:color="auto"/>
            </w:tcBorders>
          </w:tcPr>
          <w:p>
            <w:pPr>
              <w:jc w:val="right"/>
              <w:ind w:right="712"/>
              <w:spacing w:after="0"/>
              <w:rPr>
                <w:sz w:val="20"/>
                <w:szCs w:val="20"/>
                <w:color w:val="auto"/>
              </w:rPr>
            </w:pPr>
            <w:r>
              <w:rPr>
                <w:rFonts w:ascii="Arial" w:cs="Arial" w:eastAsia="Arial" w:hAnsi="Arial"/>
                <w:sz w:val="14"/>
                <w:szCs w:val="14"/>
                <w:color w:val="auto"/>
              </w:rPr>
              <w:t>Amount</w:t>
            </w:r>
          </w:p>
        </w:tc>
        <w:tc>
          <w:tcPr>
            <w:tcW w:w="0" w:type="dxa"/>
            <w:vAlign w:val="bottom"/>
          </w:tcPr>
          <w:p>
            <w:pPr>
              <w:spacing w:after="0"/>
              <w:rPr>
                <w:sz w:val="1"/>
                <w:szCs w:val="1"/>
                <w:color w:val="auto"/>
              </w:rPr>
            </w:pPr>
          </w:p>
        </w:tc>
      </w:tr>
      <w:tr>
        <w:trPr>
          <w:trHeight w:val="243"/>
        </w:trPr>
        <w:tc>
          <w:tcPr>
            <w:tcW w:w="3520" w:type="dxa"/>
            <w:vAlign w:val="bottom"/>
          </w:tcPr>
          <w:p>
            <w:pPr>
              <w:ind w:left="40"/>
              <w:spacing w:after="0"/>
              <w:rPr>
                <w:sz w:val="20"/>
                <w:szCs w:val="20"/>
                <w:color w:val="auto"/>
              </w:rPr>
            </w:pPr>
            <w:r>
              <w:rPr>
                <w:rFonts w:ascii="Arial" w:cs="Arial" w:eastAsia="Arial" w:hAnsi="Arial"/>
                <w:sz w:val="18"/>
                <w:szCs w:val="18"/>
                <w:color w:val="auto"/>
              </w:rPr>
              <w:t>Remainder of 2018</w:t>
            </w:r>
          </w:p>
        </w:tc>
        <w:tc>
          <w:tcPr>
            <w:tcW w:w="6240" w:type="dxa"/>
            <w:vAlign w:val="bottom"/>
            <w:gridSpan w:val="2"/>
          </w:tcPr>
          <w:p>
            <w:pPr>
              <w:jc w:val="right"/>
              <w:ind w:right="230"/>
              <w:spacing w:after="0"/>
              <w:rPr>
                <w:sz w:val="20"/>
                <w:szCs w:val="20"/>
                <w:color w:val="auto"/>
              </w:rPr>
            </w:pPr>
            <w:r>
              <w:rPr>
                <w:rFonts w:ascii="Arial" w:cs="Arial" w:eastAsia="Arial" w:hAnsi="Arial"/>
                <w:sz w:val="18"/>
                <w:szCs w:val="18"/>
                <w:color w:val="auto"/>
              </w:rPr>
              <w:t>$</w:t>
            </w:r>
          </w:p>
        </w:tc>
        <w:tc>
          <w:tcPr>
            <w:tcW w:w="1600" w:type="dxa"/>
            <w:vAlign w:val="bottom"/>
          </w:tcPr>
          <w:p>
            <w:pPr>
              <w:jc w:val="right"/>
              <w:ind w:right="32"/>
              <w:spacing w:after="0"/>
              <w:rPr>
                <w:sz w:val="20"/>
                <w:szCs w:val="20"/>
                <w:color w:val="auto"/>
              </w:rPr>
            </w:pPr>
            <w:r>
              <w:rPr>
                <w:rFonts w:ascii="Arial" w:cs="Arial" w:eastAsia="Arial" w:hAnsi="Arial"/>
                <w:sz w:val="18"/>
                <w:szCs w:val="18"/>
                <w:color w:val="auto"/>
              </w:rPr>
              <w:t>8,016</w:t>
            </w:r>
          </w:p>
        </w:tc>
        <w:tc>
          <w:tcPr>
            <w:tcW w:w="0" w:type="dxa"/>
            <w:vAlign w:val="bottom"/>
          </w:tcPr>
          <w:p>
            <w:pPr>
              <w:spacing w:after="0"/>
              <w:rPr>
                <w:sz w:val="1"/>
                <w:szCs w:val="1"/>
                <w:color w:val="auto"/>
              </w:rPr>
            </w:pPr>
          </w:p>
        </w:tc>
      </w:tr>
      <w:tr>
        <w:trPr>
          <w:trHeight w:val="27"/>
        </w:trPr>
        <w:tc>
          <w:tcPr>
            <w:tcW w:w="3520" w:type="dxa"/>
            <w:vAlign w:val="bottom"/>
          </w:tcPr>
          <w:p>
            <w:pPr>
              <w:spacing w:after="0"/>
              <w:rPr>
                <w:sz w:val="2"/>
                <w:szCs w:val="2"/>
                <w:color w:val="auto"/>
              </w:rPr>
            </w:pPr>
          </w:p>
        </w:tc>
        <w:tc>
          <w:tcPr>
            <w:tcW w:w="58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6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2019</w:t>
            </w:r>
          </w:p>
        </w:tc>
        <w:tc>
          <w:tcPr>
            <w:tcW w:w="58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15,536</w:t>
            </w:r>
          </w:p>
        </w:tc>
        <w:tc>
          <w:tcPr>
            <w:tcW w:w="0" w:type="dxa"/>
            <w:vAlign w:val="bottom"/>
          </w:tcPr>
          <w:p>
            <w:pPr>
              <w:spacing w:after="0"/>
              <w:rPr>
                <w:sz w:val="1"/>
                <w:szCs w:val="1"/>
                <w:color w:val="auto"/>
              </w:rPr>
            </w:pPr>
          </w:p>
        </w:tc>
      </w:tr>
      <w:tr>
        <w:trPr>
          <w:trHeight w:val="243"/>
        </w:trPr>
        <w:tc>
          <w:tcPr>
            <w:tcW w:w="3520" w:type="dxa"/>
            <w:vAlign w:val="bottom"/>
          </w:tcPr>
          <w:p>
            <w:pPr>
              <w:ind w:left="40"/>
              <w:spacing w:after="0"/>
              <w:rPr>
                <w:sz w:val="20"/>
                <w:szCs w:val="20"/>
                <w:color w:val="auto"/>
              </w:rPr>
            </w:pPr>
            <w:r>
              <w:rPr>
                <w:rFonts w:ascii="Arial" w:cs="Arial" w:eastAsia="Arial" w:hAnsi="Arial"/>
                <w:sz w:val="18"/>
                <w:szCs w:val="18"/>
                <w:color w:val="auto"/>
              </w:rPr>
              <w:t>2020</w:t>
            </w:r>
          </w:p>
        </w:tc>
        <w:tc>
          <w:tcPr>
            <w:tcW w:w="58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600" w:type="dxa"/>
            <w:vAlign w:val="bottom"/>
          </w:tcPr>
          <w:p>
            <w:pPr>
              <w:jc w:val="right"/>
              <w:ind w:right="32"/>
              <w:spacing w:after="0"/>
              <w:rPr>
                <w:sz w:val="20"/>
                <w:szCs w:val="20"/>
                <w:color w:val="auto"/>
              </w:rPr>
            </w:pPr>
            <w:r>
              <w:rPr>
                <w:rFonts w:ascii="Arial" w:cs="Arial" w:eastAsia="Arial" w:hAnsi="Arial"/>
                <w:sz w:val="18"/>
                <w:szCs w:val="18"/>
                <w:color w:val="auto"/>
              </w:rPr>
              <w:t>13,676</w:t>
            </w:r>
          </w:p>
        </w:tc>
        <w:tc>
          <w:tcPr>
            <w:tcW w:w="0" w:type="dxa"/>
            <w:vAlign w:val="bottom"/>
          </w:tcPr>
          <w:p>
            <w:pPr>
              <w:spacing w:after="0"/>
              <w:rPr>
                <w:sz w:val="1"/>
                <w:szCs w:val="1"/>
                <w:color w:val="auto"/>
              </w:rPr>
            </w:pPr>
          </w:p>
        </w:tc>
      </w:tr>
      <w:tr>
        <w:trPr>
          <w:trHeight w:val="27"/>
        </w:trPr>
        <w:tc>
          <w:tcPr>
            <w:tcW w:w="3520" w:type="dxa"/>
            <w:vAlign w:val="bottom"/>
          </w:tcPr>
          <w:p>
            <w:pPr>
              <w:spacing w:after="0"/>
              <w:rPr>
                <w:sz w:val="2"/>
                <w:szCs w:val="2"/>
                <w:color w:val="auto"/>
              </w:rPr>
            </w:pPr>
          </w:p>
        </w:tc>
        <w:tc>
          <w:tcPr>
            <w:tcW w:w="58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6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2021</w:t>
            </w:r>
          </w:p>
        </w:tc>
        <w:tc>
          <w:tcPr>
            <w:tcW w:w="58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13,701</w:t>
            </w:r>
          </w:p>
        </w:tc>
        <w:tc>
          <w:tcPr>
            <w:tcW w:w="0" w:type="dxa"/>
            <w:vAlign w:val="bottom"/>
          </w:tcPr>
          <w:p>
            <w:pPr>
              <w:spacing w:after="0"/>
              <w:rPr>
                <w:sz w:val="1"/>
                <w:szCs w:val="1"/>
                <w:color w:val="auto"/>
              </w:rPr>
            </w:pPr>
          </w:p>
        </w:tc>
      </w:tr>
      <w:tr>
        <w:trPr>
          <w:trHeight w:val="243"/>
        </w:trPr>
        <w:tc>
          <w:tcPr>
            <w:tcW w:w="3520" w:type="dxa"/>
            <w:vAlign w:val="bottom"/>
          </w:tcPr>
          <w:p>
            <w:pPr>
              <w:ind w:left="40"/>
              <w:spacing w:after="0"/>
              <w:rPr>
                <w:sz w:val="20"/>
                <w:szCs w:val="20"/>
                <w:color w:val="auto"/>
              </w:rPr>
            </w:pPr>
            <w:r>
              <w:rPr>
                <w:rFonts w:ascii="Arial" w:cs="Arial" w:eastAsia="Arial" w:hAnsi="Arial"/>
                <w:sz w:val="18"/>
                <w:szCs w:val="18"/>
                <w:color w:val="auto"/>
              </w:rPr>
              <w:t>2022</w:t>
            </w:r>
          </w:p>
        </w:tc>
        <w:tc>
          <w:tcPr>
            <w:tcW w:w="58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600" w:type="dxa"/>
            <w:vAlign w:val="bottom"/>
          </w:tcPr>
          <w:p>
            <w:pPr>
              <w:jc w:val="right"/>
              <w:ind w:right="32"/>
              <w:spacing w:after="0"/>
              <w:rPr>
                <w:sz w:val="20"/>
                <w:szCs w:val="20"/>
                <w:color w:val="auto"/>
              </w:rPr>
            </w:pPr>
            <w:r>
              <w:rPr>
                <w:rFonts w:ascii="Arial" w:cs="Arial" w:eastAsia="Arial" w:hAnsi="Arial"/>
                <w:sz w:val="18"/>
                <w:szCs w:val="18"/>
                <w:color w:val="auto"/>
              </w:rPr>
              <w:t>13,789</w:t>
            </w:r>
          </w:p>
        </w:tc>
        <w:tc>
          <w:tcPr>
            <w:tcW w:w="0" w:type="dxa"/>
            <w:vAlign w:val="bottom"/>
          </w:tcPr>
          <w:p>
            <w:pPr>
              <w:spacing w:after="0"/>
              <w:rPr>
                <w:sz w:val="1"/>
                <w:szCs w:val="1"/>
                <w:color w:val="auto"/>
              </w:rPr>
            </w:pPr>
          </w:p>
        </w:tc>
      </w:tr>
      <w:tr>
        <w:trPr>
          <w:trHeight w:val="27"/>
        </w:trPr>
        <w:tc>
          <w:tcPr>
            <w:tcW w:w="3520" w:type="dxa"/>
            <w:vAlign w:val="bottom"/>
          </w:tcPr>
          <w:p>
            <w:pPr>
              <w:spacing w:after="0"/>
              <w:rPr>
                <w:sz w:val="2"/>
                <w:szCs w:val="2"/>
                <w:color w:val="auto"/>
              </w:rPr>
            </w:pPr>
          </w:p>
        </w:tc>
        <w:tc>
          <w:tcPr>
            <w:tcW w:w="58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6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5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Thereafter</w:t>
            </w:r>
          </w:p>
        </w:tc>
        <w:tc>
          <w:tcPr>
            <w:tcW w:w="5800" w:type="dxa"/>
            <w:vAlign w:val="bottom"/>
            <w:tcBorders>
              <w:bottom w:val="single" w:sz="8" w:color="CCEEFF"/>
            </w:tcBorders>
            <w:shd w:val="clear" w:color="auto" w:fill="CCEEFF"/>
          </w:tcPr>
          <w:p>
            <w:pPr>
              <w:spacing w:after="0"/>
              <w:rPr>
                <w:sz w:val="23"/>
                <w:szCs w:val="23"/>
                <w:color w:val="auto"/>
              </w:rPr>
            </w:pPr>
          </w:p>
        </w:tc>
        <w:tc>
          <w:tcPr>
            <w:tcW w:w="440" w:type="dxa"/>
            <w:vAlign w:val="bottom"/>
            <w:tcBorders>
              <w:bottom w:val="single" w:sz="8" w:color="CCEEFF"/>
            </w:tcBorders>
            <w:shd w:val="clear" w:color="auto" w:fill="CCEEFF"/>
          </w:tcPr>
          <w:p>
            <w:pPr>
              <w:spacing w:after="0"/>
              <w:rPr>
                <w:sz w:val="23"/>
                <w:szCs w:val="23"/>
                <w:color w:val="auto"/>
              </w:rPr>
            </w:pPr>
          </w:p>
        </w:tc>
        <w:tc>
          <w:tcPr>
            <w:tcW w:w="16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26,074</w:t>
            </w:r>
          </w:p>
        </w:tc>
        <w:tc>
          <w:tcPr>
            <w:tcW w:w="0" w:type="dxa"/>
            <w:vAlign w:val="bottom"/>
          </w:tcPr>
          <w:p>
            <w:pPr>
              <w:spacing w:after="0"/>
              <w:rPr>
                <w:sz w:val="1"/>
                <w:szCs w:val="1"/>
                <w:color w:val="auto"/>
              </w:rPr>
            </w:pPr>
          </w:p>
        </w:tc>
      </w:tr>
      <w:tr>
        <w:trPr>
          <w:trHeight w:val="257"/>
        </w:trPr>
        <w:tc>
          <w:tcPr>
            <w:tcW w:w="3520" w:type="dxa"/>
            <w:vAlign w:val="bottom"/>
          </w:tcPr>
          <w:p>
            <w:pPr>
              <w:ind w:left="40"/>
              <w:spacing w:after="0"/>
              <w:rPr>
                <w:sz w:val="20"/>
                <w:szCs w:val="20"/>
                <w:color w:val="auto"/>
              </w:rPr>
            </w:pPr>
            <w:r>
              <w:rPr>
                <w:rFonts w:ascii="Arial" w:cs="Arial" w:eastAsia="Arial" w:hAnsi="Arial"/>
                <w:sz w:val="18"/>
                <w:szCs w:val="18"/>
                <w:color w:val="auto"/>
              </w:rPr>
              <w:t>Total</w:t>
            </w:r>
          </w:p>
        </w:tc>
        <w:tc>
          <w:tcPr>
            <w:tcW w:w="5800" w:type="dxa"/>
            <w:vAlign w:val="bottom"/>
          </w:tcPr>
          <w:p>
            <w:pPr>
              <w:spacing w:after="0"/>
              <w:rPr>
                <w:sz w:val="22"/>
                <w:szCs w:val="22"/>
                <w:color w:val="auto"/>
              </w:rPr>
            </w:pPr>
          </w:p>
        </w:tc>
        <w:tc>
          <w:tcPr>
            <w:tcW w:w="440" w:type="dxa"/>
            <w:vAlign w:val="bottom"/>
            <w:tcBorders>
              <w:top w:val="single" w:sz="8" w:color="auto"/>
              <w:bottom w:val="single" w:sz="8" w:color="auto"/>
            </w:tcBorders>
          </w:tcPr>
          <w:p>
            <w:pPr>
              <w:jc w:val="right"/>
              <w:ind w:right="230"/>
              <w:spacing w:after="0"/>
              <w:rPr>
                <w:sz w:val="20"/>
                <w:szCs w:val="20"/>
                <w:color w:val="auto"/>
              </w:rPr>
            </w:pPr>
            <w:r>
              <w:rPr>
                <w:rFonts w:ascii="Arial" w:cs="Arial" w:eastAsia="Arial" w:hAnsi="Arial"/>
                <w:sz w:val="18"/>
                <w:szCs w:val="18"/>
                <w:color w:val="auto"/>
                <w:w w:val="99"/>
              </w:rPr>
              <w:t>$</w:t>
            </w:r>
          </w:p>
        </w:tc>
        <w:tc>
          <w:tcPr>
            <w:tcW w:w="1600" w:type="dxa"/>
            <w:vAlign w:val="bottom"/>
            <w:tcBorders>
              <w:top w:val="single" w:sz="8" w:color="auto"/>
              <w:bottom w:val="single" w:sz="8" w:color="auto"/>
            </w:tcBorders>
          </w:tcPr>
          <w:p>
            <w:pPr>
              <w:jc w:val="right"/>
              <w:ind w:right="32"/>
              <w:spacing w:after="0"/>
              <w:rPr>
                <w:sz w:val="20"/>
                <w:szCs w:val="20"/>
                <w:color w:val="auto"/>
              </w:rPr>
            </w:pPr>
            <w:r>
              <w:rPr>
                <w:rFonts w:ascii="Arial" w:cs="Arial" w:eastAsia="Arial" w:hAnsi="Arial"/>
                <w:sz w:val="18"/>
                <w:szCs w:val="18"/>
                <w:color w:val="auto"/>
              </w:rPr>
              <w:t>90,792</w:t>
            </w:r>
          </w:p>
        </w:tc>
        <w:tc>
          <w:tcPr>
            <w:tcW w:w="0" w:type="dxa"/>
            <w:vAlign w:val="bottom"/>
          </w:tcPr>
          <w:p>
            <w:pPr>
              <w:spacing w:after="0"/>
              <w:rPr>
                <w:sz w:val="1"/>
                <w:szCs w:val="1"/>
                <w:color w:val="auto"/>
              </w:rPr>
            </w:pPr>
          </w:p>
        </w:tc>
      </w:tr>
      <w:tr>
        <w:trPr>
          <w:trHeight w:val="20"/>
        </w:trPr>
        <w:tc>
          <w:tcPr>
            <w:tcW w:w="3520" w:type="dxa"/>
            <w:vAlign w:val="bottom"/>
          </w:tcPr>
          <w:p>
            <w:pPr>
              <w:spacing w:after="0" w:line="20" w:lineRule="exact"/>
              <w:rPr>
                <w:sz w:val="1"/>
                <w:szCs w:val="1"/>
                <w:color w:val="auto"/>
              </w:rPr>
            </w:pPr>
          </w:p>
        </w:tc>
        <w:tc>
          <w:tcPr>
            <w:tcW w:w="5800" w:type="dxa"/>
            <w:vAlign w:val="bottom"/>
            <w:vMerge w:val="restart"/>
          </w:tcPr>
          <w:p>
            <w:pPr>
              <w:jc w:val="right"/>
              <w:ind w:right="3430"/>
              <w:spacing w:after="0"/>
              <w:rPr>
                <w:sz w:val="20"/>
                <w:szCs w:val="20"/>
                <w:color w:val="auto"/>
              </w:rPr>
            </w:pPr>
            <w:r>
              <w:rPr>
                <w:rFonts w:ascii="Arial" w:cs="Arial" w:eastAsia="Arial" w:hAnsi="Arial"/>
                <w:sz w:val="18"/>
                <w:szCs w:val="18"/>
                <w:color w:val="auto"/>
              </w:rPr>
              <w:t>13</w:t>
            </w:r>
          </w:p>
        </w:tc>
        <w:tc>
          <w:tcPr>
            <w:tcW w:w="44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62"/>
        </w:trPr>
        <w:tc>
          <w:tcPr>
            <w:tcW w:w="3520" w:type="dxa"/>
            <w:vAlign w:val="bottom"/>
          </w:tcPr>
          <w:p>
            <w:pPr>
              <w:spacing w:after="0"/>
              <w:rPr>
                <w:sz w:val="24"/>
                <w:szCs w:val="24"/>
                <w:color w:val="auto"/>
              </w:rPr>
            </w:pPr>
          </w:p>
        </w:tc>
        <w:tc>
          <w:tcPr>
            <w:tcW w:w="5800" w:type="dxa"/>
            <w:vAlign w:val="bottom"/>
            <w:vMerge w:val="continue"/>
          </w:tcPr>
          <w:p>
            <w:pPr>
              <w:spacing w:after="0"/>
              <w:rPr>
                <w:sz w:val="24"/>
                <w:szCs w:val="24"/>
                <w:color w:val="auto"/>
              </w:rPr>
            </w:pPr>
          </w:p>
        </w:tc>
        <w:tc>
          <w:tcPr>
            <w:tcW w:w="44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00"/>
          </w:cols>
          <w:pgMar w:left="240" w:top="229" w:right="25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Long-Term Debt</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Long-term debt as of June 30, 2018 and December 31, 2017 consists of the following:</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8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540" w:type="dxa"/>
            <w:vAlign w:val="bottom"/>
            <w:gridSpan w:val="2"/>
          </w:tcPr>
          <w:p>
            <w:pPr>
              <w:ind w:left="160"/>
              <w:spacing w:after="0"/>
              <w:rPr>
                <w:sz w:val="20"/>
                <w:szCs w:val="20"/>
                <w:color w:val="auto"/>
              </w:rPr>
            </w:pPr>
            <w:r>
              <w:rPr>
                <w:rFonts w:ascii="Arial" w:cs="Arial" w:eastAsia="Arial" w:hAnsi="Arial"/>
                <w:sz w:val="14"/>
                <w:szCs w:val="14"/>
                <w:b w:val="1"/>
                <w:bCs w:val="1"/>
                <w:color w:val="auto"/>
              </w:rPr>
              <w:t>June 30, 2018</w:t>
            </w:r>
          </w:p>
        </w:tc>
        <w:tc>
          <w:tcPr>
            <w:tcW w:w="180" w:type="dxa"/>
            <w:vAlign w:val="bottom"/>
          </w:tcPr>
          <w:p>
            <w:pPr>
              <w:spacing w:after="0"/>
              <w:rPr>
                <w:sz w:val="16"/>
                <w:szCs w:val="16"/>
                <w:color w:val="auto"/>
              </w:rPr>
            </w:pPr>
          </w:p>
        </w:tc>
        <w:tc>
          <w:tcPr>
            <w:tcW w:w="1520" w:type="dxa"/>
            <w:vAlign w:val="bottom"/>
          </w:tcPr>
          <w:p>
            <w:pPr>
              <w:jc w:val="right"/>
              <w:ind w:right="192"/>
              <w:spacing w:after="0"/>
              <w:rPr>
                <w:sz w:val="20"/>
                <w:szCs w:val="20"/>
                <w:color w:val="auto"/>
              </w:rPr>
            </w:pPr>
            <w:r>
              <w:rPr>
                <w:rFonts w:ascii="Arial" w:cs="Arial" w:eastAsia="Arial" w:hAnsi="Arial"/>
                <w:sz w:val="14"/>
                <w:szCs w:val="14"/>
                <w:b w:val="1"/>
                <w:bCs w:val="1"/>
                <w:color w:val="auto"/>
                <w:w w:val="96"/>
              </w:rPr>
              <w:t>December 31, 2017</w:t>
            </w:r>
          </w:p>
        </w:tc>
      </w:tr>
      <w:tr>
        <w:trPr>
          <w:trHeight w:val="215"/>
        </w:trPr>
        <w:tc>
          <w:tcPr>
            <w:tcW w:w="7840" w:type="dxa"/>
            <w:vAlign w:val="bottom"/>
            <w:tcBorders>
              <w:top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w w:val="94"/>
              </w:rPr>
              <w:t>Term loan B requires quarterly installments plus interest through the term of the loan, maturing March</w:t>
            </w:r>
          </w:p>
        </w:tc>
        <w:tc>
          <w:tcPr>
            <w:tcW w:w="280" w:type="dxa"/>
            <w:vAlign w:val="bottom"/>
            <w:tcBorders>
              <w:top w:val="single" w:sz="8" w:color="auto"/>
            </w:tcBorders>
            <w:shd w:val="clear" w:color="auto" w:fill="CCEEFF"/>
          </w:tcPr>
          <w:p>
            <w:pPr>
              <w:spacing w:after="0"/>
              <w:rPr>
                <w:sz w:val="18"/>
                <w:szCs w:val="18"/>
                <w:color w:val="auto"/>
              </w:rPr>
            </w:pPr>
          </w:p>
        </w:tc>
        <w:tc>
          <w:tcPr>
            <w:tcW w:w="1420" w:type="dxa"/>
            <w:vAlign w:val="bottom"/>
            <w:tcBorders>
              <w:top w:val="single" w:sz="8" w:color="auto"/>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1520" w:type="dxa"/>
            <w:vAlign w:val="bottom"/>
            <w:tcBorders>
              <w:top w:val="single" w:sz="8" w:color="auto"/>
            </w:tcBorders>
            <w:shd w:val="clear" w:color="auto" w:fill="CCEEFF"/>
          </w:tcPr>
          <w:p>
            <w:pPr>
              <w:spacing w:after="0"/>
              <w:rPr>
                <w:sz w:val="18"/>
                <w:szCs w:val="18"/>
                <w:color w:val="auto"/>
              </w:rPr>
            </w:pPr>
          </w:p>
        </w:tc>
      </w:tr>
      <w:tr>
        <w:trPr>
          <w:trHeight w:val="216"/>
        </w:trPr>
        <w:tc>
          <w:tcPr>
            <w:tcW w:w="7840" w:type="dxa"/>
            <w:vAlign w:val="bottom"/>
            <w:shd w:val="clear" w:color="auto" w:fill="CCEEFF"/>
          </w:tcPr>
          <w:p>
            <w:pPr>
              <w:ind w:left="180"/>
              <w:spacing w:after="0"/>
              <w:rPr>
                <w:sz w:val="20"/>
                <w:szCs w:val="20"/>
                <w:color w:val="auto"/>
              </w:rPr>
            </w:pPr>
            <w:r>
              <w:rPr>
                <w:rFonts w:ascii="Arial" w:cs="Arial" w:eastAsia="Arial" w:hAnsi="Arial"/>
                <w:sz w:val="18"/>
                <w:szCs w:val="18"/>
                <w:color w:val="auto"/>
                <w:w w:val="93"/>
              </w:rPr>
              <w:t>31, 2021. Outstanding borrowings bear interest at LIBOR or base rate (as defined) plus a margin at the</w:t>
            </w:r>
          </w:p>
        </w:tc>
        <w:tc>
          <w:tcPr>
            <w:tcW w:w="28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520" w:type="dxa"/>
            <w:vAlign w:val="bottom"/>
            <w:shd w:val="clear" w:color="auto" w:fill="CCEEFF"/>
          </w:tcPr>
          <w:p>
            <w:pPr>
              <w:spacing w:after="0"/>
              <w:rPr>
                <w:sz w:val="18"/>
                <w:szCs w:val="18"/>
                <w:color w:val="auto"/>
              </w:rPr>
            </w:pPr>
          </w:p>
        </w:tc>
      </w:tr>
      <w:tr>
        <w:trPr>
          <w:trHeight w:val="216"/>
        </w:trPr>
        <w:tc>
          <w:tcPr>
            <w:tcW w:w="78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election of the borrower (all-in weighted-average rate of 4.89% at June 30, 2018 and 4.59% at</w:t>
            </w:r>
          </w:p>
        </w:tc>
        <w:tc>
          <w:tcPr>
            <w:tcW w:w="28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520" w:type="dxa"/>
            <w:vAlign w:val="bottom"/>
            <w:shd w:val="clear" w:color="auto" w:fill="CCEEFF"/>
          </w:tcPr>
          <w:p>
            <w:pPr>
              <w:spacing w:after="0"/>
              <w:rPr>
                <w:sz w:val="18"/>
                <w:szCs w:val="18"/>
                <w:color w:val="auto"/>
              </w:rPr>
            </w:pPr>
          </w:p>
        </w:tc>
      </w:tr>
      <w:tr>
        <w:trPr>
          <w:trHeight w:val="237"/>
        </w:trPr>
        <w:tc>
          <w:tcPr>
            <w:tcW w:w="78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December 31, 2017)</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4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705,877</w:t>
            </w: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5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709,470</w:t>
            </w:r>
          </w:p>
        </w:tc>
      </w:tr>
      <w:tr>
        <w:trPr>
          <w:trHeight w:val="229"/>
        </w:trPr>
        <w:tc>
          <w:tcPr>
            <w:tcW w:w="7840" w:type="dxa"/>
            <w:vAlign w:val="bottom"/>
          </w:tcPr>
          <w:p>
            <w:pPr>
              <w:ind w:left="180"/>
              <w:spacing w:after="0"/>
              <w:rPr>
                <w:sz w:val="20"/>
                <w:szCs w:val="20"/>
                <w:color w:val="auto"/>
              </w:rPr>
            </w:pPr>
            <w:r>
              <w:rPr>
                <w:rFonts w:ascii="Arial" w:cs="Arial" w:eastAsia="Arial" w:hAnsi="Arial"/>
                <w:sz w:val="18"/>
                <w:szCs w:val="18"/>
                <w:color w:val="auto"/>
                <w:w w:val="94"/>
              </w:rPr>
              <w:t>Revolving credit line, requires interest only payments through the term of the loan, maturing March 31,</w:t>
            </w:r>
          </w:p>
        </w:tc>
        <w:tc>
          <w:tcPr>
            <w:tcW w:w="28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520" w:type="dxa"/>
            <w:vAlign w:val="bottom"/>
          </w:tcPr>
          <w:p>
            <w:pPr>
              <w:spacing w:after="0"/>
              <w:rPr>
                <w:sz w:val="19"/>
                <w:szCs w:val="19"/>
                <w:color w:val="auto"/>
              </w:rPr>
            </w:pPr>
          </w:p>
        </w:tc>
      </w:tr>
      <w:tr>
        <w:trPr>
          <w:trHeight w:val="216"/>
        </w:trPr>
        <w:tc>
          <w:tcPr>
            <w:tcW w:w="7840" w:type="dxa"/>
            <w:vAlign w:val="bottom"/>
          </w:tcPr>
          <w:p>
            <w:pPr>
              <w:ind w:left="180"/>
              <w:spacing w:after="0"/>
              <w:rPr>
                <w:sz w:val="20"/>
                <w:szCs w:val="20"/>
                <w:color w:val="auto"/>
              </w:rPr>
            </w:pPr>
            <w:r>
              <w:rPr>
                <w:rFonts w:ascii="Arial" w:cs="Arial" w:eastAsia="Arial" w:hAnsi="Arial"/>
                <w:sz w:val="18"/>
                <w:szCs w:val="18"/>
                <w:color w:val="auto"/>
                <w:w w:val="96"/>
              </w:rPr>
              <w:t>2019. Outstanding borrowings bear interest at LIBOR or base rate (as defined) plus a margin at the</w:t>
            </w:r>
          </w:p>
        </w:tc>
        <w:tc>
          <w:tcPr>
            <w:tcW w:w="28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20" w:type="dxa"/>
            <w:vAlign w:val="bottom"/>
          </w:tcPr>
          <w:p>
            <w:pPr>
              <w:spacing w:after="0"/>
              <w:rPr>
                <w:sz w:val="18"/>
                <w:szCs w:val="18"/>
                <w:color w:val="auto"/>
              </w:rPr>
            </w:pPr>
          </w:p>
        </w:tc>
      </w:tr>
      <w:tr>
        <w:trPr>
          <w:trHeight w:val="230"/>
        </w:trPr>
        <w:tc>
          <w:tcPr>
            <w:tcW w:w="7840" w:type="dxa"/>
            <w:vAlign w:val="bottom"/>
          </w:tcPr>
          <w:p>
            <w:pPr>
              <w:ind w:left="180"/>
              <w:spacing w:after="0"/>
              <w:rPr>
                <w:sz w:val="20"/>
                <w:szCs w:val="20"/>
                <w:color w:val="auto"/>
              </w:rPr>
            </w:pPr>
            <w:r>
              <w:rPr>
                <w:rFonts w:ascii="Arial" w:cs="Arial" w:eastAsia="Arial" w:hAnsi="Arial"/>
                <w:sz w:val="18"/>
                <w:szCs w:val="18"/>
                <w:color w:val="auto"/>
                <w:w w:val="99"/>
              </w:rPr>
              <w:t>election of the borrower (all-in rate of 6.75% at June 30, 2018 and 6.25% at December 31, 2017)</w:t>
            </w:r>
          </w:p>
        </w:tc>
        <w:tc>
          <w:tcPr>
            <w:tcW w:w="280" w:type="dxa"/>
            <w:vAlign w:val="bottom"/>
          </w:tcPr>
          <w:p>
            <w:pPr>
              <w:spacing w:after="0"/>
              <w:rPr>
                <w:sz w:val="20"/>
                <w:szCs w:val="20"/>
                <w:color w:val="auto"/>
              </w:rPr>
            </w:pPr>
          </w:p>
        </w:tc>
        <w:tc>
          <w:tcPr>
            <w:tcW w:w="15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1520" w:type="dxa"/>
            <w:vAlign w:val="bottom"/>
          </w:tcPr>
          <w:p>
            <w:pPr>
              <w:jc w:val="right"/>
              <w:ind w:right="32"/>
              <w:spacing w:after="0"/>
              <w:rPr>
                <w:sz w:val="20"/>
                <w:szCs w:val="20"/>
                <w:color w:val="auto"/>
              </w:rPr>
            </w:pPr>
            <w:r>
              <w:rPr>
                <w:rFonts w:ascii="Arial" w:cs="Arial" w:eastAsia="Arial" w:hAnsi="Arial"/>
                <w:sz w:val="18"/>
                <w:szCs w:val="18"/>
                <w:color w:val="auto"/>
              </w:rPr>
              <w:t>—</w:t>
            </w:r>
          </w:p>
        </w:tc>
      </w:tr>
      <w:tr>
        <w:trPr>
          <w:trHeight w:val="27"/>
        </w:trPr>
        <w:tc>
          <w:tcPr>
            <w:tcW w:w="784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r>
        <w:trPr>
          <w:trHeight w:val="244"/>
        </w:trPr>
        <w:tc>
          <w:tcPr>
            <w:tcW w:w="78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Total debt, excluding deferred financing costs</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4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705,877</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709,470</w:t>
            </w:r>
          </w:p>
        </w:tc>
      </w:tr>
      <w:tr>
        <w:trPr>
          <w:trHeight w:val="243"/>
        </w:trPr>
        <w:tc>
          <w:tcPr>
            <w:tcW w:w="7840" w:type="dxa"/>
            <w:vAlign w:val="bottom"/>
          </w:tcPr>
          <w:p>
            <w:pPr>
              <w:ind w:left="40"/>
              <w:spacing w:after="0"/>
              <w:rPr>
                <w:sz w:val="20"/>
                <w:szCs w:val="20"/>
                <w:color w:val="auto"/>
              </w:rPr>
            </w:pPr>
            <w:r>
              <w:rPr>
                <w:rFonts w:ascii="Arial" w:cs="Arial" w:eastAsia="Arial" w:hAnsi="Arial"/>
                <w:sz w:val="18"/>
                <w:szCs w:val="18"/>
                <w:color w:val="auto"/>
              </w:rPr>
              <w:t>Deferred financing costs, net of accumulated amortization</w:t>
            </w:r>
          </w:p>
        </w:tc>
        <w:tc>
          <w:tcPr>
            <w:tcW w:w="280" w:type="dxa"/>
            <w:vAlign w:val="bottom"/>
          </w:tcPr>
          <w:p>
            <w:pPr>
              <w:spacing w:after="0"/>
              <w:rPr>
                <w:sz w:val="21"/>
                <w:szCs w:val="21"/>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(4,735)</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520" w:type="dxa"/>
            <w:vAlign w:val="bottom"/>
          </w:tcPr>
          <w:p>
            <w:pPr>
              <w:jc w:val="right"/>
              <w:spacing w:after="0"/>
              <w:rPr>
                <w:sz w:val="20"/>
                <w:szCs w:val="20"/>
                <w:color w:val="auto"/>
              </w:rPr>
            </w:pPr>
            <w:r>
              <w:rPr>
                <w:rFonts w:ascii="Arial" w:cs="Arial" w:eastAsia="Arial" w:hAnsi="Arial"/>
                <w:sz w:val="18"/>
                <w:szCs w:val="18"/>
                <w:color w:val="auto"/>
              </w:rPr>
              <w:t>(5,709)</w:t>
            </w:r>
          </w:p>
        </w:tc>
      </w:tr>
      <w:tr>
        <w:trPr>
          <w:trHeight w:val="27"/>
        </w:trPr>
        <w:tc>
          <w:tcPr>
            <w:tcW w:w="784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r>
        <w:trPr>
          <w:trHeight w:val="244"/>
        </w:trPr>
        <w:tc>
          <w:tcPr>
            <w:tcW w:w="78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Total debt</w:t>
            </w:r>
          </w:p>
        </w:tc>
        <w:tc>
          <w:tcPr>
            <w:tcW w:w="2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701,142</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703,761</w:t>
            </w:r>
          </w:p>
        </w:tc>
      </w:tr>
      <w:tr>
        <w:trPr>
          <w:trHeight w:val="243"/>
        </w:trPr>
        <w:tc>
          <w:tcPr>
            <w:tcW w:w="7840" w:type="dxa"/>
            <w:vAlign w:val="bottom"/>
          </w:tcPr>
          <w:p>
            <w:pPr>
              <w:ind w:left="40"/>
              <w:spacing w:after="0"/>
              <w:rPr>
                <w:sz w:val="20"/>
                <w:szCs w:val="20"/>
                <w:color w:val="auto"/>
              </w:rPr>
            </w:pPr>
            <w:r>
              <w:rPr>
                <w:rFonts w:ascii="Arial" w:cs="Arial" w:eastAsia="Arial" w:hAnsi="Arial"/>
                <w:sz w:val="18"/>
                <w:szCs w:val="18"/>
                <w:color w:val="auto"/>
              </w:rPr>
              <w:t>Current portion of long-term debt and line of credit</w:t>
            </w:r>
          </w:p>
        </w:tc>
        <w:tc>
          <w:tcPr>
            <w:tcW w:w="280" w:type="dxa"/>
            <w:vAlign w:val="bottom"/>
          </w:tcPr>
          <w:p>
            <w:pPr>
              <w:spacing w:after="0"/>
              <w:rPr>
                <w:sz w:val="21"/>
                <w:szCs w:val="21"/>
                <w:color w:val="auto"/>
              </w:rPr>
            </w:pPr>
          </w:p>
        </w:tc>
        <w:tc>
          <w:tcPr>
            <w:tcW w:w="1420" w:type="dxa"/>
            <w:vAlign w:val="bottom"/>
          </w:tcPr>
          <w:p>
            <w:pPr>
              <w:jc w:val="right"/>
              <w:ind w:right="12"/>
              <w:spacing w:after="0"/>
              <w:rPr>
                <w:sz w:val="20"/>
                <w:szCs w:val="20"/>
                <w:color w:val="auto"/>
              </w:rPr>
            </w:pPr>
            <w:r>
              <w:rPr>
                <w:rFonts w:ascii="Arial" w:cs="Arial" w:eastAsia="Arial" w:hAnsi="Arial"/>
                <w:sz w:val="18"/>
                <w:szCs w:val="18"/>
                <w:color w:val="auto"/>
              </w:rPr>
              <w:t>7,185</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520" w:type="dxa"/>
            <w:vAlign w:val="bottom"/>
          </w:tcPr>
          <w:p>
            <w:pPr>
              <w:jc w:val="right"/>
              <w:ind w:right="32"/>
              <w:spacing w:after="0"/>
              <w:rPr>
                <w:sz w:val="20"/>
                <w:szCs w:val="20"/>
                <w:color w:val="auto"/>
              </w:rPr>
            </w:pPr>
            <w:r>
              <w:rPr>
                <w:rFonts w:ascii="Arial" w:cs="Arial" w:eastAsia="Arial" w:hAnsi="Arial"/>
                <w:sz w:val="18"/>
                <w:szCs w:val="18"/>
                <w:color w:val="auto"/>
              </w:rPr>
              <w:t>7,185</w:t>
            </w:r>
          </w:p>
        </w:tc>
      </w:tr>
      <w:tr>
        <w:trPr>
          <w:trHeight w:val="27"/>
        </w:trPr>
        <w:tc>
          <w:tcPr>
            <w:tcW w:w="784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r>
        <w:trPr>
          <w:trHeight w:val="257"/>
        </w:trPr>
        <w:tc>
          <w:tcPr>
            <w:tcW w:w="78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Long-term debt, net of current portion</w:t>
            </w: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42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693,957</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52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rPr>
              <w:t>696,576</w:t>
            </w:r>
          </w:p>
        </w:tc>
      </w:tr>
      <w:tr>
        <w:trPr>
          <w:trHeight w:val="20"/>
        </w:trPr>
        <w:tc>
          <w:tcPr>
            <w:tcW w:w="784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r>
    </w:tbl>
    <w:p>
      <w:pPr>
        <w:spacing w:after="0" w:line="323"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Term loan B payments are payable in quarterly installments with the final scheduled principal payment on the outstanding term loan borrowings due on March 31, 2021.</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Future annual principal payments of long-term debt as of June 30, 2018 are as follows:</w:t>
      </w: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188"/>
        </w:trPr>
        <w:tc>
          <w:tcPr>
            <w:tcW w:w="9320" w:type="dxa"/>
            <w:vAlign w:val="bottom"/>
            <w:tcBorders>
              <w:bottom w:val="single" w:sz="8" w:color="CFF0FC"/>
            </w:tcBorders>
          </w:tcPr>
          <w:p>
            <w:pPr>
              <w:spacing w:after="0"/>
              <w:rPr>
                <w:sz w:val="16"/>
                <w:szCs w:val="16"/>
                <w:color w:val="auto"/>
              </w:rPr>
            </w:pPr>
          </w:p>
        </w:tc>
        <w:tc>
          <w:tcPr>
            <w:tcW w:w="440" w:type="dxa"/>
            <w:vAlign w:val="bottom"/>
            <w:tcBorders>
              <w:bottom w:val="single" w:sz="8" w:color="auto"/>
            </w:tcBorders>
          </w:tcPr>
          <w:p>
            <w:pPr>
              <w:spacing w:after="0"/>
              <w:rPr>
                <w:sz w:val="16"/>
                <w:szCs w:val="16"/>
                <w:color w:val="auto"/>
              </w:rPr>
            </w:pPr>
          </w:p>
        </w:tc>
        <w:tc>
          <w:tcPr>
            <w:tcW w:w="1600" w:type="dxa"/>
            <w:vAlign w:val="bottom"/>
            <w:tcBorders>
              <w:bottom w:val="single" w:sz="8" w:color="auto"/>
            </w:tcBorders>
          </w:tcPr>
          <w:p>
            <w:pPr>
              <w:jc w:val="right"/>
              <w:ind w:right="713"/>
              <w:spacing w:after="0"/>
              <w:rPr>
                <w:sz w:val="20"/>
                <w:szCs w:val="20"/>
                <w:color w:val="auto"/>
              </w:rPr>
            </w:pPr>
            <w:r>
              <w:rPr>
                <w:rFonts w:ascii="Arial" w:cs="Arial" w:eastAsia="Arial" w:hAnsi="Arial"/>
                <w:sz w:val="14"/>
                <w:szCs w:val="14"/>
                <w:color w:val="auto"/>
              </w:rPr>
              <w:t>Amount</w:t>
            </w:r>
          </w:p>
        </w:tc>
      </w:tr>
      <w:tr>
        <w:trPr>
          <w:trHeight w:val="250"/>
        </w:trPr>
        <w:tc>
          <w:tcPr>
            <w:tcW w:w="932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Remainder of 2018</w:t>
            </w:r>
          </w:p>
        </w:tc>
        <w:tc>
          <w:tcPr>
            <w:tcW w:w="440" w:type="dxa"/>
            <w:vAlign w:val="bottom"/>
            <w:tcBorders>
              <w:bottom w:val="single" w:sz="8" w:color="CFF0FC"/>
            </w:tcBorders>
            <w:shd w:val="clear" w:color="auto" w:fill="CFF0FC"/>
          </w:tcPr>
          <w:p>
            <w:pPr>
              <w:jc w:val="right"/>
              <w:ind w:right="230"/>
              <w:spacing w:after="0"/>
              <w:rPr>
                <w:sz w:val="20"/>
                <w:szCs w:val="20"/>
                <w:color w:val="auto"/>
              </w:rPr>
            </w:pPr>
            <w:r>
              <w:rPr>
                <w:rFonts w:ascii="Arial" w:cs="Arial" w:eastAsia="Arial" w:hAnsi="Arial"/>
                <w:sz w:val="18"/>
                <w:szCs w:val="18"/>
                <w:color w:val="auto"/>
                <w:w w:val="99"/>
              </w:rPr>
              <w:t>$</w:t>
            </w:r>
          </w:p>
        </w:tc>
        <w:tc>
          <w:tcPr>
            <w:tcW w:w="1600" w:type="dxa"/>
            <w:vAlign w:val="bottom"/>
            <w:tcBorders>
              <w:bottom w:val="single" w:sz="8" w:color="CFF0FC"/>
            </w:tcBorders>
            <w:shd w:val="clear" w:color="auto" w:fill="CFF0FC"/>
          </w:tcPr>
          <w:p>
            <w:pPr>
              <w:jc w:val="right"/>
              <w:ind w:right="33"/>
              <w:spacing w:after="0"/>
              <w:rPr>
                <w:sz w:val="20"/>
                <w:szCs w:val="20"/>
                <w:color w:val="auto"/>
              </w:rPr>
            </w:pPr>
            <w:r>
              <w:rPr>
                <w:rFonts w:ascii="Arial" w:cs="Arial" w:eastAsia="Arial" w:hAnsi="Arial"/>
                <w:sz w:val="18"/>
                <w:szCs w:val="18"/>
                <w:color w:val="auto"/>
              </w:rPr>
              <w:t>3,593</w:t>
            </w:r>
          </w:p>
        </w:tc>
      </w:tr>
      <w:tr>
        <w:trPr>
          <w:trHeight w:val="243"/>
        </w:trPr>
        <w:tc>
          <w:tcPr>
            <w:tcW w:w="9320" w:type="dxa"/>
            <w:vAlign w:val="bottom"/>
          </w:tcPr>
          <w:p>
            <w:pPr>
              <w:ind w:left="40"/>
              <w:spacing w:after="0"/>
              <w:rPr>
                <w:sz w:val="20"/>
                <w:szCs w:val="20"/>
                <w:color w:val="auto"/>
              </w:rPr>
            </w:pPr>
            <w:r>
              <w:rPr>
                <w:rFonts w:ascii="Arial" w:cs="Arial" w:eastAsia="Arial" w:hAnsi="Arial"/>
                <w:sz w:val="18"/>
                <w:szCs w:val="18"/>
                <w:color w:val="auto"/>
              </w:rPr>
              <w:t>2019</w:t>
            </w:r>
          </w:p>
        </w:tc>
        <w:tc>
          <w:tcPr>
            <w:tcW w:w="440" w:type="dxa"/>
            <w:vAlign w:val="bottom"/>
          </w:tcPr>
          <w:p>
            <w:pPr>
              <w:spacing w:after="0"/>
              <w:rPr>
                <w:sz w:val="21"/>
                <w:szCs w:val="21"/>
                <w:color w:val="auto"/>
              </w:rPr>
            </w:pPr>
          </w:p>
        </w:tc>
        <w:tc>
          <w:tcPr>
            <w:tcW w:w="1600" w:type="dxa"/>
            <w:vAlign w:val="bottom"/>
          </w:tcPr>
          <w:p>
            <w:pPr>
              <w:jc w:val="right"/>
              <w:ind w:right="33"/>
              <w:spacing w:after="0"/>
              <w:rPr>
                <w:sz w:val="20"/>
                <w:szCs w:val="20"/>
                <w:color w:val="auto"/>
              </w:rPr>
            </w:pPr>
            <w:r>
              <w:rPr>
                <w:rFonts w:ascii="Arial" w:cs="Arial" w:eastAsia="Arial" w:hAnsi="Arial"/>
                <w:sz w:val="18"/>
                <w:szCs w:val="18"/>
                <w:color w:val="auto"/>
              </w:rPr>
              <w:t>7,185</w:t>
            </w:r>
          </w:p>
        </w:tc>
      </w:tr>
      <w:tr>
        <w:trPr>
          <w:trHeight w:val="27"/>
        </w:trPr>
        <w:tc>
          <w:tcPr>
            <w:tcW w:w="9320" w:type="dxa"/>
            <w:vAlign w:val="bottom"/>
          </w:tcPr>
          <w:p>
            <w:pPr>
              <w:spacing w:after="0"/>
              <w:rPr>
                <w:sz w:val="2"/>
                <w:szCs w:val="2"/>
                <w:color w:val="auto"/>
              </w:rPr>
            </w:pPr>
          </w:p>
        </w:tc>
        <w:tc>
          <w:tcPr>
            <w:tcW w:w="44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50"/>
        </w:trPr>
        <w:tc>
          <w:tcPr>
            <w:tcW w:w="932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2020</w:t>
            </w:r>
          </w:p>
        </w:tc>
        <w:tc>
          <w:tcPr>
            <w:tcW w:w="440" w:type="dxa"/>
            <w:vAlign w:val="bottom"/>
            <w:tcBorders>
              <w:bottom w:val="single" w:sz="8" w:color="CFF0FC"/>
            </w:tcBorders>
            <w:shd w:val="clear" w:color="auto" w:fill="CFF0FC"/>
          </w:tcPr>
          <w:p>
            <w:pPr>
              <w:spacing w:after="0"/>
              <w:rPr>
                <w:sz w:val="21"/>
                <w:szCs w:val="21"/>
                <w:color w:val="auto"/>
              </w:rPr>
            </w:pPr>
          </w:p>
        </w:tc>
        <w:tc>
          <w:tcPr>
            <w:tcW w:w="1600" w:type="dxa"/>
            <w:vAlign w:val="bottom"/>
            <w:tcBorders>
              <w:bottom w:val="single" w:sz="8" w:color="CFF0FC"/>
            </w:tcBorders>
            <w:shd w:val="clear" w:color="auto" w:fill="CFF0FC"/>
          </w:tcPr>
          <w:p>
            <w:pPr>
              <w:jc w:val="right"/>
              <w:ind w:right="33"/>
              <w:spacing w:after="0"/>
              <w:rPr>
                <w:sz w:val="20"/>
                <w:szCs w:val="20"/>
                <w:color w:val="auto"/>
              </w:rPr>
            </w:pPr>
            <w:r>
              <w:rPr>
                <w:rFonts w:ascii="Arial" w:cs="Arial" w:eastAsia="Arial" w:hAnsi="Arial"/>
                <w:sz w:val="18"/>
                <w:szCs w:val="18"/>
                <w:color w:val="auto"/>
              </w:rPr>
              <w:t>7,185</w:t>
            </w:r>
          </w:p>
        </w:tc>
      </w:tr>
      <w:tr>
        <w:trPr>
          <w:trHeight w:val="243"/>
        </w:trPr>
        <w:tc>
          <w:tcPr>
            <w:tcW w:w="9320" w:type="dxa"/>
            <w:vAlign w:val="bottom"/>
          </w:tcPr>
          <w:p>
            <w:pPr>
              <w:ind w:left="40"/>
              <w:spacing w:after="0"/>
              <w:rPr>
                <w:sz w:val="20"/>
                <w:szCs w:val="20"/>
                <w:color w:val="auto"/>
              </w:rPr>
            </w:pPr>
            <w:r>
              <w:rPr>
                <w:rFonts w:ascii="Arial" w:cs="Arial" w:eastAsia="Arial" w:hAnsi="Arial"/>
                <w:sz w:val="18"/>
                <w:szCs w:val="18"/>
                <w:color w:val="auto"/>
              </w:rPr>
              <w:t>2021</w:t>
            </w:r>
          </w:p>
        </w:tc>
        <w:tc>
          <w:tcPr>
            <w:tcW w:w="440" w:type="dxa"/>
            <w:vAlign w:val="bottom"/>
          </w:tcPr>
          <w:p>
            <w:pPr>
              <w:spacing w:after="0"/>
              <w:rPr>
                <w:sz w:val="21"/>
                <w:szCs w:val="21"/>
                <w:color w:val="auto"/>
              </w:rPr>
            </w:pPr>
          </w:p>
        </w:tc>
        <w:tc>
          <w:tcPr>
            <w:tcW w:w="1600" w:type="dxa"/>
            <w:vAlign w:val="bottom"/>
          </w:tcPr>
          <w:p>
            <w:pPr>
              <w:jc w:val="right"/>
              <w:ind w:right="33"/>
              <w:spacing w:after="0"/>
              <w:rPr>
                <w:sz w:val="20"/>
                <w:szCs w:val="20"/>
                <w:color w:val="auto"/>
              </w:rPr>
            </w:pPr>
            <w:r>
              <w:rPr>
                <w:rFonts w:ascii="Arial" w:cs="Arial" w:eastAsia="Arial" w:hAnsi="Arial"/>
                <w:sz w:val="18"/>
                <w:szCs w:val="18"/>
                <w:color w:val="auto"/>
              </w:rPr>
              <w:t>687,914</w:t>
            </w:r>
          </w:p>
        </w:tc>
      </w:tr>
      <w:tr>
        <w:trPr>
          <w:trHeight w:val="27"/>
        </w:trPr>
        <w:tc>
          <w:tcPr>
            <w:tcW w:w="9320" w:type="dxa"/>
            <w:vAlign w:val="bottom"/>
          </w:tcPr>
          <w:p>
            <w:pPr>
              <w:spacing w:after="0"/>
              <w:rPr>
                <w:sz w:val="2"/>
                <w:szCs w:val="2"/>
                <w:color w:val="auto"/>
              </w:rPr>
            </w:pPr>
          </w:p>
        </w:tc>
        <w:tc>
          <w:tcPr>
            <w:tcW w:w="44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70"/>
        </w:trPr>
        <w:tc>
          <w:tcPr>
            <w:tcW w:w="932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2022</w:t>
            </w:r>
          </w:p>
        </w:tc>
        <w:tc>
          <w:tcPr>
            <w:tcW w:w="440" w:type="dxa"/>
            <w:vAlign w:val="bottom"/>
            <w:tcBorders>
              <w:bottom w:val="single" w:sz="8" w:color="CFF0FC"/>
            </w:tcBorders>
            <w:shd w:val="clear" w:color="auto" w:fill="CFF0FC"/>
          </w:tcPr>
          <w:p>
            <w:pPr>
              <w:spacing w:after="0"/>
              <w:rPr>
                <w:sz w:val="23"/>
                <w:szCs w:val="23"/>
                <w:color w:val="auto"/>
              </w:rPr>
            </w:pPr>
          </w:p>
        </w:tc>
        <w:tc>
          <w:tcPr>
            <w:tcW w:w="1600" w:type="dxa"/>
            <w:vAlign w:val="bottom"/>
            <w:tcBorders>
              <w:bottom w:val="single" w:sz="8" w:color="CFF0FC"/>
            </w:tcBorders>
            <w:shd w:val="clear" w:color="auto" w:fill="CFF0FC"/>
          </w:tcPr>
          <w:p>
            <w:pPr>
              <w:jc w:val="right"/>
              <w:ind w:right="33"/>
              <w:spacing w:after="0"/>
              <w:rPr>
                <w:sz w:val="20"/>
                <w:szCs w:val="20"/>
                <w:color w:val="auto"/>
              </w:rPr>
            </w:pPr>
            <w:r>
              <w:rPr>
                <w:rFonts w:ascii="Arial" w:cs="Arial" w:eastAsia="Arial" w:hAnsi="Arial"/>
                <w:sz w:val="18"/>
                <w:szCs w:val="18"/>
                <w:color w:val="auto"/>
              </w:rPr>
              <w:t>—</w:t>
            </w:r>
          </w:p>
        </w:tc>
      </w:tr>
      <w:tr>
        <w:trPr>
          <w:trHeight w:val="257"/>
        </w:trPr>
        <w:tc>
          <w:tcPr>
            <w:tcW w:w="9320" w:type="dxa"/>
            <w:vAlign w:val="bottom"/>
          </w:tcPr>
          <w:p>
            <w:pPr>
              <w:ind w:left="180"/>
              <w:spacing w:after="0"/>
              <w:rPr>
                <w:sz w:val="20"/>
                <w:szCs w:val="20"/>
                <w:color w:val="auto"/>
              </w:rPr>
            </w:pPr>
            <w:r>
              <w:rPr>
                <w:rFonts w:ascii="Arial" w:cs="Arial" w:eastAsia="Arial" w:hAnsi="Arial"/>
                <w:sz w:val="18"/>
                <w:szCs w:val="18"/>
                <w:color w:val="auto"/>
              </w:rPr>
              <w:t>Total</w:t>
            </w:r>
          </w:p>
        </w:tc>
        <w:tc>
          <w:tcPr>
            <w:tcW w:w="440" w:type="dxa"/>
            <w:vAlign w:val="bottom"/>
            <w:tcBorders>
              <w:top w:val="single" w:sz="8" w:color="auto"/>
              <w:bottom w:val="single" w:sz="8" w:color="auto"/>
            </w:tcBorders>
          </w:tcPr>
          <w:p>
            <w:pPr>
              <w:jc w:val="right"/>
              <w:ind w:right="230"/>
              <w:spacing w:after="0"/>
              <w:rPr>
                <w:sz w:val="20"/>
                <w:szCs w:val="20"/>
                <w:color w:val="auto"/>
              </w:rPr>
            </w:pPr>
            <w:r>
              <w:rPr>
                <w:rFonts w:ascii="Arial" w:cs="Arial" w:eastAsia="Arial" w:hAnsi="Arial"/>
                <w:sz w:val="18"/>
                <w:szCs w:val="18"/>
                <w:color w:val="auto"/>
                <w:w w:val="99"/>
              </w:rPr>
              <w:t>$</w:t>
            </w:r>
          </w:p>
        </w:tc>
        <w:tc>
          <w:tcPr>
            <w:tcW w:w="1600" w:type="dxa"/>
            <w:vAlign w:val="bottom"/>
            <w:tcBorders>
              <w:top w:val="single" w:sz="8" w:color="auto"/>
              <w:bottom w:val="single" w:sz="8" w:color="auto"/>
            </w:tcBorders>
          </w:tcPr>
          <w:p>
            <w:pPr>
              <w:jc w:val="right"/>
              <w:ind w:right="33"/>
              <w:spacing w:after="0"/>
              <w:rPr>
                <w:sz w:val="20"/>
                <w:szCs w:val="20"/>
                <w:color w:val="auto"/>
              </w:rPr>
            </w:pPr>
            <w:r>
              <w:rPr>
                <w:rFonts w:ascii="Arial" w:cs="Arial" w:eastAsia="Arial" w:hAnsi="Arial"/>
                <w:sz w:val="18"/>
                <w:szCs w:val="18"/>
                <w:color w:val="auto"/>
              </w:rPr>
              <w:t>705,877</w:t>
            </w:r>
          </w:p>
        </w:tc>
      </w:tr>
      <w:tr>
        <w:trPr>
          <w:trHeight w:val="20"/>
        </w:trPr>
        <w:tc>
          <w:tcPr>
            <w:tcW w:w="932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On August 1, 2018, the Company completed a refinancing of the above senior secured credit facilities. See Note 16.</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Derivative Instruments and Hedging Activities</w:t>
      </w:r>
    </w:p>
    <w:p>
      <w:pPr>
        <w:spacing w:after="0" w:line="12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Company utilizes interest-rate-related derivative instruments to manage its exposure related to changes in interest rates on its variable-rate debt instruments. The Company does not enter into derivative instruments for any purpose other than cash flow hedging. The Company does not speculate using derivative instruments.</w:t>
      </w:r>
    </w:p>
    <w:p>
      <w:pPr>
        <w:spacing w:after="0" w:line="181"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By using derivative financial instruments to hedge exposures to changes in interest rates, the Company exposes itself to credit risk and market risk. Credit risk is the failure of the counterparty to perform under the terms of the derivative contract. When the fair value of a derivative contract is an asset, the counterparty owes the Company, which creates credit risk for the Company. When the fair value of a derivative contract is a liability, the Company owes the counterparty and, therefore, the Company is not exposed to the counterparty’s credit risk in those circumstances. The Company minimizes counterparty credit risk in derivative instruments by entering into transactions with high-quality counterparties whose credit rating is higher than A1/A+ at the inception of the derivative transaction. The derivative instruments entered into by the Company do not contain credit-risk-related contingent features.</w:t>
      </w:r>
    </w:p>
    <w:p>
      <w:pPr>
        <w:spacing w:after="0" w:line="165" w:lineRule="exact"/>
        <w:rPr>
          <w:sz w:val="20"/>
          <w:szCs w:val="20"/>
          <w:color w:val="auto"/>
        </w:rPr>
      </w:pPr>
    </w:p>
    <w:p>
      <w:pPr>
        <w:jc w:val="both"/>
        <w:ind w:right="20"/>
        <w:spacing w:after="0" w:line="308" w:lineRule="auto"/>
        <w:rPr>
          <w:sz w:val="20"/>
          <w:szCs w:val="20"/>
          <w:color w:val="auto"/>
        </w:rPr>
      </w:pPr>
      <w:r>
        <w:rPr>
          <w:rFonts w:ascii="Arial" w:cs="Arial" w:eastAsia="Arial" w:hAnsi="Arial"/>
          <w:sz w:val="17"/>
          <w:szCs w:val="17"/>
          <w:color w:val="auto"/>
        </w:rPr>
        <w:t>Market risk is the adverse effect on the value of a derivative instrument that results from a change in interest rates. The market risk associated with interest-rate contracts is managed by establishing and monitoring parameters that limit the types and degree of market risk that may be undertaken.</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20"/>
          </w:cols>
          <w:pgMar w:left="240" w:top="229" w:right="23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Company assesses interest rate risk by continually identifying and monitoring changes in interest rate exposures that may adversely impact expected future cash flows and by evaluating hedging opportunities. The Company monitors interest rate risk attributable to both the Company’s outstanding or forecasted debt obligations, as well as the Company’s offsetting hedge positions.</w:t>
      </w:r>
    </w:p>
    <w:p>
      <w:pPr>
        <w:spacing w:after="0" w:line="18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order to manage the market risk arising from the outstanding term loans, the Company has entered into a series of interest rate caps. As of June 30, 2018, the Company had interest rate cap agreements with notional amounts of $134,000 outstanding that were entered into in order to hedge three month LIBOR greater than 1.5% through September 30, 2018, and interest rate cap agreements with notional amounts of $219,837 that were entered into in order to hedge one month LIBOR greater than 2.5% through March 31, 2019.</w:t>
      </w:r>
    </w:p>
    <w:p>
      <w:pPr>
        <w:spacing w:after="0" w:line="187"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The interest rate cap balances of $404 and $340 were recorded within other assets in the condensed consolidated balance sheets as of June 30, 2018 and December 31, 2017, respectively. These amounts have been measured at fair value and are considered to be a Level 2 fair value measurement. The Company recorded an increase to the value of its interest rate caps of $17, net of tax of $5 and $180, net of tax of $89, within other comprehensive income (loss) during the three months ended June 30, 2018 and 2017, respectively, and an increase to the value of its interest rate caps of $383, net of tax of $130, and $356, net of tax of $145, within other comprehensive income (loss) during the six months ended June 30, 2018 and 2017 respectively.</w:t>
      </w:r>
    </w:p>
    <w:p>
      <w:pPr>
        <w:spacing w:after="0" w:line="17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As of June 30, 2018, the Company expects to reclassify all amounts related to interest rate caps included in accumulated other comprehensive income (loss) into earnings during the next 12 months.</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20"/>
          </w:cols>
          <w:pgMar w:left="240" w:top="229" w:right="23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Related Party Transactions</w:t>
      </w:r>
    </w:p>
    <w:p>
      <w:pPr>
        <w:spacing w:after="0" w:line="229" w:lineRule="exact"/>
        <w:rPr>
          <w:sz w:val="20"/>
          <w:szCs w:val="20"/>
          <w:color w:val="auto"/>
        </w:rPr>
      </w:pPr>
    </w:p>
    <w:p>
      <w:pPr>
        <w:ind w:right="500"/>
        <w:spacing w:after="0" w:line="277" w:lineRule="auto"/>
        <w:rPr>
          <w:sz w:val="20"/>
          <w:szCs w:val="20"/>
          <w:color w:val="auto"/>
        </w:rPr>
      </w:pPr>
      <w:r>
        <w:rPr>
          <w:rFonts w:ascii="Arial" w:cs="Arial" w:eastAsia="Arial" w:hAnsi="Arial"/>
          <w:sz w:val="18"/>
          <w:szCs w:val="18"/>
          <w:color w:val="auto"/>
        </w:rPr>
        <w:t>Amounts due from related parties of $0 and $3,020 as of June 30, 2018 and December 31, 2017. The balance at December 31, 2017 primarily related to potential reimbursements for certain taxes accrued or paid by the Company (see Note 11).</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Activity with entities considered to be related parties is summarized below:</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0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340" w:type="dxa"/>
            <w:vAlign w:val="bottom"/>
            <w:gridSpan w:val="4"/>
          </w:tcPr>
          <w:p>
            <w:pPr>
              <w:jc w:val="right"/>
              <w:ind w:right="374"/>
              <w:spacing w:after="0"/>
              <w:rPr>
                <w:sz w:val="20"/>
                <w:szCs w:val="20"/>
                <w:color w:val="auto"/>
              </w:rPr>
            </w:pPr>
            <w:r>
              <w:rPr>
                <w:rFonts w:ascii="Arial" w:cs="Arial" w:eastAsia="Arial" w:hAnsi="Arial"/>
                <w:sz w:val="14"/>
                <w:szCs w:val="14"/>
                <w:b w:val="1"/>
                <w:bCs w:val="1"/>
                <w:color w:val="auto"/>
              </w:rPr>
              <w:t>For the three months ended</w:t>
            </w:r>
          </w:p>
        </w:tc>
        <w:tc>
          <w:tcPr>
            <w:tcW w:w="400" w:type="dxa"/>
            <w:vAlign w:val="bottom"/>
          </w:tcPr>
          <w:p>
            <w:pPr>
              <w:spacing w:after="0"/>
              <w:rPr>
                <w:sz w:val="14"/>
                <w:szCs w:val="14"/>
                <w:color w:val="auto"/>
              </w:rPr>
            </w:pPr>
          </w:p>
        </w:tc>
        <w:tc>
          <w:tcPr>
            <w:tcW w:w="2320" w:type="dxa"/>
            <w:vAlign w:val="bottom"/>
            <w:gridSpan w:val="3"/>
          </w:tcPr>
          <w:p>
            <w:pPr>
              <w:jc w:val="right"/>
              <w:ind w:right="434"/>
              <w:spacing w:after="0"/>
              <w:rPr>
                <w:sz w:val="20"/>
                <w:szCs w:val="20"/>
                <w:color w:val="auto"/>
              </w:rPr>
            </w:pPr>
            <w:r>
              <w:rPr>
                <w:rFonts w:ascii="Arial" w:cs="Arial" w:eastAsia="Arial" w:hAnsi="Arial"/>
                <w:sz w:val="14"/>
                <w:szCs w:val="14"/>
                <w:b w:val="1"/>
                <w:bCs w:val="1"/>
                <w:color w:val="auto"/>
              </w:rPr>
              <w:t>For the six months ended</w:t>
            </w:r>
          </w:p>
        </w:tc>
      </w:tr>
      <w:tr>
        <w:trPr>
          <w:trHeight w:val="192"/>
        </w:trPr>
        <w:tc>
          <w:tcPr>
            <w:tcW w:w="608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420" w:type="dxa"/>
            <w:vAlign w:val="bottom"/>
            <w:tcBorders>
              <w:bottom w:val="single" w:sz="8" w:color="auto"/>
            </w:tcBorders>
            <w:gridSpan w:val="3"/>
          </w:tcPr>
          <w:p>
            <w:pPr>
              <w:jc w:val="right"/>
              <w:ind w:right="30"/>
              <w:spacing w:after="0"/>
              <w:rPr>
                <w:sz w:val="20"/>
                <w:szCs w:val="20"/>
                <w:color w:val="auto"/>
              </w:rPr>
            </w:pPr>
            <w:r>
              <w:rPr>
                <w:rFonts w:ascii="Arial" w:cs="Arial" w:eastAsia="Arial" w:hAnsi="Arial"/>
                <w:sz w:val="14"/>
                <w:szCs w:val="14"/>
                <w:b w:val="1"/>
                <w:bCs w:val="1"/>
                <w:color w:val="auto"/>
              </w:rPr>
              <w:t>June 30,</w:t>
            </w:r>
          </w:p>
        </w:tc>
        <w:tc>
          <w:tcPr>
            <w:tcW w:w="920" w:type="dxa"/>
            <w:vAlign w:val="bottom"/>
            <w:tcBorders>
              <w:bottom w:val="single" w:sz="8" w:color="auto"/>
            </w:tcBorders>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1420" w:type="dxa"/>
            <w:vAlign w:val="bottom"/>
            <w:tcBorders>
              <w:bottom w:val="single" w:sz="8" w:color="auto"/>
            </w:tcBorders>
            <w:gridSpan w:val="2"/>
          </w:tcPr>
          <w:p>
            <w:pPr>
              <w:jc w:val="right"/>
              <w:ind w:right="50"/>
              <w:spacing w:after="0"/>
              <w:rPr>
                <w:sz w:val="20"/>
                <w:szCs w:val="20"/>
                <w:color w:val="auto"/>
              </w:rPr>
            </w:pPr>
            <w:r>
              <w:rPr>
                <w:rFonts w:ascii="Arial" w:cs="Arial" w:eastAsia="Arial" w:hAnsi="Arial"/>
                <w:sz w:val="14"/>
                <w:szCs w:val="14"/>
                <w:b w:val="1"/>
                <w:bCs w:val="1"/>
                <w:color w:val="auto"/>
              </w:rPr>
              <w:t>June 30,</w:t>
            </w:r>
          </w:p>
        </w:tc>
        <w:tc>
          <w:tcPr>
            <w:tcW w:w="900" w:type="dxa"/>
            <w:vAlign w:val="bottom"/>
            <w:tcBorders>
              <w:bottom w:val="single" w:sz="8" w:color="auto"/>
            </w:tcBorders>
          </w:tcPr>
          <w:p>
            <w:pPr>
              <w:spacing w:after="0"/>
              <w:rPr>
                <w:sz w:val="16"/>
                <w:szCs w:val="16"/>
                <w:color w:val="auto"/>
              </w:rPr>
            </w:pPr>
          </w:p>
        </w:tc>
      </w:tr>
      <w:tr>
        <w:trPr>
          <w:trHeight w:val="264"/>
        </w:trPr>
        <w:tc>
          <w:tcPr>
            <w:tcW w:w="6080" w:type="dxa"/>
            <w:vAlign w:val="bottom"/>
            <w:tcBorders>
              <w:bottom w:val="single" w:sz="8" w:color="CFF0FC"/>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399"/>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FF0FC"/>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414"/>
              <w:spacing w:after="0"/>
              <w:rPr>
                <w:sz w:val="20"/>
                <w:szCs w:val="20"/>
                <w:color w:val="auto"/>
              </w:rPr>
            </w:pPr>
            <w:r>
              <w:rPr>
                <w:rFonts w:ascii="Arial" w:cs="Arial" w:eastAsia="Arial" w:hAnsi="Arial"/>
                <w:sz w:val="14"/>
                <w:szCs w:val="14"/>
                <w:b w:val="1"/>
                <w:bCs w:val="1"/>
                <w:color w:val="auto"/>
              </w:rPr>
              <w:t>2017</w:t>
            </w:r>
          </w:p>
        </w:tc>
        <w:tc>
          <w:tcPr>
            <w:tcW w:w="4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399"/>
              <w:spacing w:after="0"/>
              <w:rPr>
                <w:sz w:val="20"/>
                <w:szCs w:val="20"/>
                <w:color w:val="auto"/>
              </w:rPr>
            </w:pPr>
            <w:r>
              <w:rPr>
                <w:rFonts w:ascii="Arial" w:cs="Arial" w:eastAsia="Arial" w:hAnsi="Arial"/>
                <w:sz w:val="14"/>
                <w:szCs w:val="14"/>
                <w:b w:val="1"/>
                <w:bCs w:val="1"/>
                <w:color w:val="auto"/>
              </w:rPr>
              <w:t>2018</w:t>
            </w:r>
          </w:p>
        </w:tc>
        <w:tc>
          <w:tcPr>
            <w:tcW w:w="46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394"/>
              <w:spacing w:after="0"/>
              <w:rPr>
                <w:sz w:val="20"/>
                <w:szCs w:val="20"/>
                <w:color w:val="auto"/>
              </w:rPr>
            </w:pPr>
            <w:r>
              <w:rPr>
                <w:rFonts w:ascii="Arial" w:cs="Arial" w:eastAsia="Arial" w:hAnsi="Arial"/>
                <w:sz w:val="14"/>
                <w:szCs w:val="14"/>
                <w:b w:val="1"/>
                <w:bCs w:val="1"/>
                <w:color w:val="auto"/>
              </w:rPr>
              <w:t>2017</w:t>
            </w:r>
          </w:p>
        </w:tc>
      </w:tr>
      <w:tr>
        <w:trPr>
          <w:trHeight w:val="250"/>
        </w:trPr>
        <w:tc>
          <w:tcPr>
            <w:tcW w:w="608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Franchise revenue</w:t>
            </w:r>
          </w:p>
        </w:tc>
        <w:tc>
          <w:tcPr>
            <w:tcW w:w="280" w:type="dxa"/>
            <w:vAlign w:val="bottom"/>
            <w:tcBorders>
              <w:bottom w:val="single" w:sz="8" w:color="CFF0FC"/>
            </w:tcBorders>
            <w:shd w:val="clear" w:color="auto" w:fill="CFF0FC"/>
          </w:tcPr>
          <w:p>
            <w:pPr>
              <w:jc w:val="right"/>
              <w:ind w:right="90"/>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CFF0FC"/>
            </w:tcBorders>
            <w:shd w:val="clear" w:color="auto" w:fill="CFF0FC"/>
          </w:tcPr>
          <w:p>
            <w:pPr>
              <w:jc w:val="right"/>
              <w:ind w:right="19"/>
              <w:spacing w:after="0"/>
              <w:rPr>
                <w:sz w:val="20"/>
                <w:szCs w:val="20"/>
                <w:color w:val="auto"/>
              </w:rPr>
            </w:pPr>
            <w:r>
              <w:rPr>
                <w:rFonts w:ascii="Arial" w:cs="Arial" w:eastAsia="Arial" w:hAnsi="Arial"/>
                <w:sz w:val="18"/>
                <w:szCs w:val="18"/>
                <w:color w:val="auto"/>
              </w:rPr>
              <w:t>813</w:t>
            </w:r>
          </w:p>
        </w:tc>
        <w:tc>
          <w:tcPr>
            <w:tcW w:w="120" w:type="dxa"/>
            <w:vAlign w:val="bottom"/>
            <w:tcBorders>
              <w:bottom w:val="single" w:sz="8" w:color="CFF0FC"/>
            </w:tcBorders>
            <w:shd w:val="clear" w:color="auto" w:fill="CFF0FC"/>
          </w:tcPr>
          <w:p>
            <w:pPr>
              <w:spacing w:after="0"/>
              <w:rPr>
                <w:sz w:val="21"/>
                <w:szCs w:val="21"/>
                <w:color w:val="auto"/>
              </w:rPr>
            </w:pPr>
          </w:p>
        </w:tc>
        <w:tc>
          <w:tcPr>
            <w:tcW w:w="340" w:type="dxa"/>
            <w:vAlign w:val="bottom"/>
            <w:tcBorders>
              <w:bottom w:val="single" w:sz="8" w:color="CFF0FC"/>
            </w:tcBorders>
            <w:shd w:val="clear" w:color="auto" w:fill="CFF0FC"/>
          </w:tcPr>
          <w:p>
            <w:pPr>
              <w:jc w:val="right"/>
              <w:ind w:right="130"/>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FF0FC"/>
            </w:tcBorders>
            <w:shd w:val="clear" w:color="auto" w:fill="CFF0FC"/>
          </w:tcPr>
          <w:p>
            <w:pPr>
              <w:jc w:val="right"/>
              <w:ind w:right="34"/>
              <w:spacing w:after="0"/>
              <w:rPr>
                <w:sz w:val="20"/>
                <w:szCs w:val="20"/>
                <w:color w:val="auto"/>
              </w:rPr>
            </w:pPr>
            <w:r>
              <w:rPr>
                <w:rFonts w:ascii="Arial" w:cs="Arial" w:eastAsia="Arial" w:hAnsi="Arial"/>
                <w:sz w:val="18"/>
                <w:szCs w:val="18"/>
                <w:color w:val="auto"/>
              </w:rPr>
              <w:t>382</w:t>
            </w:r>
          </w:p>
        </w:tc>
        <w:tc>
          <w:tcPr>
            <w:tcW w:w="400" w:type="dxa"/>
            <w:vAlign w:val="bottom"/>
            <w:tcBorders>
              <w:bottom w:val="single" w:sz="8" w:color="CFF0FC"/>
            </w:tcBorders>
            <w:shd w:val="clear" w:color="auto" w:fill="CFF0FC"/>
          </w:tcPr>
          <w:p>
            <w:pPr>
              <w:jc w:val="right"/>
              <w:ind w:right="90"/>
              <w:spacing w:after="0"/>
              <w:rPr>
                <w:sz w:val="20"/>
                <w:szCs w:val="20"/>
                <w:color w:val="auto"/>
              </w:rPr>
            </w:pPr>
            <w:r>
              <w:rPr>
                <w:rFonts w:ascii="Arial" w:cs="Arial" w:eastAsia="Arial" w:hAnsi="Arial"/>
                <w:sz w:val="18"/>
                <w:szCs w:val="18"/>
                <w:color w:val="auto"/>
              </w:rPr>
              <w:t>$</w:t>
            </w:r>
          </w:p>
        </w:tc>
        <w:tc>
          <w:tcPr>
            <w:tcW w:w="960" w:type="dxa"/>
            <w:vAlign w:val="bottom"/>
            <w:tcBorders>
              <w:bottom w:val="single" w:sz="8" w:color="CFF0FC"/>
            </w:tcBorders>
            <w:shd w:val="clear" w:color="auto" w:fill="CFF0FC"/>
          </w:tcPr>
          <w:p>
            <w:pPr>
              <w:jc w:val="right"/>
              <w:ind w:right="39"/>
              <w:spacing w:after="0"/>
              <w:rPr>
                <w:sz w:val="20"/>
                <w:szCs w:val="20"/>
                <w:color w:val="auto"/>
              </w:rPr>
            </w:pPr>
            <w:r>
              <w:rPr>
                <w:rFonts w:ascii="Arial" w:cs="Arial" w:eastAsia="Arial" w:hAnsi="Arial"/>
                <w:sz w:val="18"/>
                <w:szCs w:val="18"/>
                <w:color w:val="auto"/>
              </w:rPr>
              <w:t>1,557</w:t>
            </w:r>
          </w:p>
        </w:tc>
        <w:tc>
          <w:tcPr>
            <w:tcW w:w="460" w:type="dxa"/>
            <w:vAlign w:val="bottom"/>
            <w:tcBorders>
              <w:bottom w:val="single" w:sz="8" w:color="CFF0FC"/>
            </w:tcBorders>
            <w:shd w:val="clear" w:color="auto" w:fill="CFF0FC"/>
          </w:tcPr>
          <w:p>
            <w:pPr>
              <w:jc w:val="right"/>
              <w:ind w:right="150"/>
              <w:spacing w:after="0"/>
              <w:rPr>
                <w:sz w:val="20"/>
                <w:szCs w:val="20"/>
                <w:color w:val="auto"/>
              </w:rPr>
            </w:pPr>
            <w:r>
              <w:rPr>
                <w:rFonts w:ascii="Arial" w:cs="Arial" w:eastAsia="Arial" w:hAnsi="Arial"/>
                <w:sz w:val="18"/>
                <w:szCs w:val="18"/>
                <w:color w:val="auto"/>
              </w:rPr>
              <w:t>$</w:t>
            </w:r>
          </w:p>
        </w:tc>
        <w:tc>
          <w:tcPr>
            <w:tcW w:w="900" w:type="dxa"/>
            <w:vAlign w:val="bottom"/>
            <w:tcBorders>
              <w:bottom w:val="single" w:sz="8" w:color="CFF0FC"/>
            </w:tcBorders>
            <w:shd w:val="clear" w:color="auto" w:fill="CFF0FC"/>
          </w:tcPr>
          <w:p>
            <w:pPr>
              <w:jc w:val="right"/>
              <w:ind w:right="14"/>
              <w:spacing w:after="0"/>
              <w:rPr>
                <w:sz w:val="20"/>
                <w:szCs w:val="20"/>
                <w:color w:val="auto"/>
              </w:rPr>
            </w:pPr>
            <w:r>
              <w:rPr>
                <w:rFonts w:ascii="Arial" w:cs="Arial" w:eastAsia="Arial" w:hAnsi="Arial"/>
                <w:sz w:val="18"/>
                <w:szCs w:val="18"/>
                <w:color w:val="auto"/>
              </w:rPr>
              <w:t>830</w:t>
            </w:r>
          </w:p>
        </w:tc>
      </w:tr>
      <w:tr>
        <w:trPr>
          <w:trHeight w:val="243"/>
        </w:trPr>
        <w:tc>
          <w:tcPr>
            <w:tcW w:w="6080" w:type="dxa"/>
            <w:vAlign w:val="bottom"/>
          </w:tcPr>
          <w:p>
            <w:pPr>
              <w:ind w:left="40"/>
              <w:spacing w:after="0"/>
              <w:rPr>
                <w:sz w:val="20"/>
                <w:szCs w:val="20"/>
                <w:color w:val="auto"/>
              </w:rPr>
            </w:pPr>
            <w:r>
              <w:rPr>
                <w:rFonts w:ascii="Arial" w:cs="Arial" w:eastAsia="Arial" w:hAnsi="Arial"/>
                <w:sz w:val="18"/>
                <w:szCs w:val="18"/>
                <w:color w:val="auto"/>
              </w:rPr>
              <w:t>Equipment revenue</w:t>
            </w:r>
          </w:p>
        </w:tc>
        <w:tc>
          <w:tcPr>
            <w:tcW w:w="280" w:type="dxa"/>
            <w:vAlign w:val="bottom"/>
          </w:tcPr>
          <w:p>
            <w:pPr>
              <w:spacing w:after="0"/>
              <w:rPr>
                <w:sz w:val="21"/>
                <w:szCs w:val="21"/>
                <w:color w:val="auto"/>
              </w:rPr>
            </w:pPr>
          </w:p>
        </w:tc>
        <w:tc>
          <w:tcPr>
            <w:tcW w:w="960" w:type="dxa"/>
            <w:vAlign w:val="bottom"/>
          </w:tcPr>
          <w:p>
            <w:pPr>
              <w:jc w:val="right"/>
              <w:ind w:right="19"/>
              <w:spacing w:after="0"/>
              <w:rPr>
                <w:sz w:val="20"/>
                <w:szCs w:val="20"/>
                <w:color w:val="auto"/>
              </w:rPr>
            </w:pPr>
            <w:r>
              <w:rPr>
                <w:rFonts w:ascii="Arial" w:cs="Arial" w:eastAsia="Arial" w:hAnsi="Arial"/>
                <w:sz w:val="18"/>
                <w:szCs w:val="18"/>
                <w:color w:val="auto"/>
              </w:rPr>
              <w:t>323</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20" w:type="dxa"/>
            <w:vAlign w:val="bottom"/>
          </w:tcPr>
          <w:p>
            <w:pPr>
              <w:jc w:val="right"/>
              <w:ind w:right="34"/>
              <w:spacing w:after="0"/>
              <w:rPr>
                <w:sz w:val="20"/>
                <w:szCs w:val="20"/>
                <w:color w:val="auto"/>
              </w:rPr>
            </w:pPr>
            <w:r>
              <w:rPr>
                <w:rFonts w:ascii="Arial" w:cs="Arial" w:eastAsia="Arial" w:hAnsi="Arial"/>
                <w:sz w:val="18"/>
                <w:szCs w:val="18"/>
                <w:color w:val="auto"/>
              </w:rPr>
              <w:t>554</w:t>
            </w:r>
          </w:p>
        </w:tc>
        <w:tc>
          <w:tcPr>
            <w:tcW w:w="400" w:type="dxa"/>
            <w:vAlign w:val="bottom"/>
          </w:tcPr>
          <w:p>
            <w:pPr>
              <w:spacing w:after="0"/>
              <w:rPr>
                <w:sz w:val="21"/>
                <w:szCs w:val="21"/>
                <w:color w:val="auto"/>
              </w:rPr>
            </w:pPr>
          </w:p>
        </w:tc>
        <w:tc>
          <w:tcPr>
            <w:tcW w:w="960" w:type="dxa"/>
            <w:vAlign w:val="bottom"/>
          </w:tcPr>
          <w:p>
            <w:pPr>
              <w:jc w:val="right"/>
              <w:ind w:right="39"/>
              <w:spacing w:after="0"/>
              <w:rPr>
                <w:sz w:val="20"/>
                <w:szCs w:val="20"/>
                <w:color w:val="auto"/>
              </w:rPr>
            </w:pPr>
            <w:r>
              <w:rPr>
                <w:rFonts w:ascii="Arial" w:cs="Arial" w:eastAsia="Arial" w:hAnsi="Arial"/>
                <w:sz w:val="18"/>
                <w:szCs w:val="18"/>
                <w:color w:val="auto"/>
              </w:rPr>
              <w:t>323</w:t>
            </w:r>
          </w:p>
        </w:tc>
        <w:tc>
          <w:tcPr>
            <w:tcW w:w="460" w:type="dxa"/>
            <w:vAlign w:val="bottom"/>
          </w:tcPr>
          <w:p>
            <w:pPr>
              <w:spacing w:after="0"/>
              <w:rPr>
                <w:sz w:val="21"/>
                <w:szCs w:val="21"/>
                <w:color w:val="auto"/>
              </w:rPr>
            </w:pPr>
          </w:p>
        </w:tc>
        <w:tc>
          <w:tcPr>
            <w:tcW w:w="900" w:type="dxa"/>
            <w:vAlign w:val="bottom"/>
          </w:tcPr>
          <w:p>
            <w:pPr>
              <w:jc w:val="right"/>
              <w:ind w:right="14"/>
              <w:spacing w:after="0"/>
              <w:rPr>
                <w:sz w:val="20"/>
                <w:szCs w:val="20"/>
                <w:color w:val="auto"/>
              </w:rPr>
            </w:pPr>
            <w:r>
              <w:rPr>
                <w:rFonts w:ascii="Arial" w:cs="Arial" w:eastAsia="Arial" w:hAnsi="Arial"/>
                <w:sz w:val="18"/>
                <w:szCs w:val="18"/>
                <w:color w:val="auto"/>
              </w:rPr>
              <w:t>573</w:t>
            </w:r>
          </w:p>
        </w:tc>
      </w:tr>
      <w:tr>
        <w:trPr>
          <w:trHeight w:val="27"/>
        </w:trPr>
        <w:tc>
          <w:tcPr>
            <w:tcW w:w="6080" w:type="dxa"/>
            <w:vAlign w:val="bottom"/>
            <w:tcBorders>
              <w:bottom w:val="single" w:sz="8" w:color="CFF0FC"/>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r>
      <w:tr>
        <w:trPr>
          <w:trHeight w:val="257"/>
        </w:trPr>
        <w:tc>
          <w:tcPr>
            <w:tcW w:w="608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Total revenue from related parties</w:t>
            </w:r>
          </w:p>
        </w:tc>
        <w:tc>
          <w:tcPr>
            <w:tcW w:w="280" w:type="dxa"/>
            <w:vAlign w:val="bottom"/>
            <w:tcBorders>
              <w:bottom w:val="single" w:sz="8" w:color="auto"/>
            </w:tcBorders>
            <w:shd w:val="clear" w:color="auto" w:fill="CFF0FC"/>
          </w:tcPr>
          <w:p>
            <w:pPr>
              <w:jc w:val="right"/>
              <w:ind w:right="90"/>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tcBorders>
            <w:shd w:val="clear" w:color="auto" w:fill="CFF0FC"/>
          </w:tcPr>
          <w:p>
            <w:pPr>
              <w:jc w:val="right"/>
              <w:ind w:right="19"/>
              <w:spacing w:after="0"/>
              <w:rPr>
                <w:sz w:val="20"/>
                <w:szCs w:val="20"/>
                <w:color w:val="auto"/>
              </w:rPr>
            </w:pPr>
            <w:r>
              <w:rPr>
                <w:rFonts w:ascii="Arial" w:cs="Arial" w:eastAsia="Arial" w:hAnsi="Arial"/>
                <w:sz w:val="18"/>
                <w:szCs w:val="18"/>
                <w:color w:val="auto"/>
              </w:rPr>
              <w:t>1,136</w:t>
            </w:r>
          </w:p>
        </w:tc>
        <w:tc>
          <w:tcPr>
            <w:tcW w:w="120" w:type="dxa"/>
            <w:vAlign w:val="bottom"/>
            <w:tcBorders>
              <w:bottom w:val="single" w:sz="8" w:color="CFF0FC"/>
            </w:tcBorders>
            <w:shd w:val="clear" w:color="auto" w:fill="CFF0FC"/>
          </w:tcPr>
          <w:p>
            <w:pPr>
              <w:spacing w:after="0"/>
              <w:rPr>
                <w:sz w:val="22"/>
                <w:szCs w:val="22"/>
                <w:color w:val="auto"/>
              </w:rPr>
            </w:pPr>
          </w:p>
        </w:tc>
        <w:tc>
          <w:tcPr>
            <w:tcW w:w="340" w:type="dxa"/>
            <w:vAlign w:val="bottom"/>
            <w:tcBorders>
              <w:bottom w:val="single" w:sz="8" w:color="auto"/>
            </w:tcBorders>
            <w:shd w:val="clear" w:color="auto" w:fill="CFF0FC"/>
          </w:tcPr>
          <w:p>
            <w:pPr>
              <w:jc w:val="right"/>
              <w:ind w:right="130"/>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auto"/>
            </w:tcBorders>
            <w:shd w:val="clear" w:color="auto" w:fill="CFF0FC"/>
          </w:tcPr>
          <w:p>
            <w:pPr>
              <w:jc w:val="right"/>
              <w:ind w:right="34"/>
              <w:spacing w:after="0"/>
              <w:rPr>
                <w:sz w:val="20"/>
                <w:szCs w:val="20"/>
                <w:color w:val="auto"/>
              </w:rPr>
            </w:pPr>
            <w:r>
              <w:rPr>
                <w:rFonts w:ascii="Arial" w:cs="Arial" w:eastAsia="Arial" w:hAnsi="Arial"/>
                <w:sz w:val="18"/>
                <w:szCs w:val="18"/>
                <w:color w:val="auto"/>
              </w:rPr>
              <w:t>936</w:t>
            </w:r>
          </w:p>
        </w:tc>
        <w:tc>
          <w:tcPr>
            <w:tcW w:w="400" w:type="dxa"/>
            <w:vAlign w:val="bottom"/>
            <w:tcBorders>
              <w:bottom w:val="single" w:sz="8" w:color="auto"/>
            </w:tcBorders>
            <w:shd w:val="clear" w:color="auto" w:fill="CFF0FC"/>
          </w:tcPr>
          <w:p>
            <w:pPr>
              <w:spacing w:after="0"/>
              <w:rPr>
                <w:sz w:val="22"/>
                <w:szCs w:val="22"/>
                <w:color w:val="auto"/>
              </w:rPr>
            </w:pPr>
          </w:p>
        </w:tc>
        <w:tc>
          <w:tcPr>
            <w:tcW w:w="96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8"/>
                <w:szCs w:val="18"/>
                <w:color w:val="auto"/>
              </w:rPr>
              <w:t>1,880</w:t>
            </w:r>
          </w:p>
        </w:tc>
        <w:tc>
          <w:tcPr>
            <w:tcW w:w="460" w:type="dxa"/>
            <w:vAlign w:val="bottom"/>
            <w:tcBorders>
              <w:bottom w:val="single" w:sz="8" w:color="auto"/>
            </w:tcBorders>
            <w:shd w:val="clear" w:color="auto" w:fill="CFF0FC"/>
          </w:tcPr>
          <w:p>
            <w:pPr>
              <w:jc w:val="right"/>
              <w:ind w:right="150"/>
              <w:spacing w:after="0"/>
              <w:rPr>
                <w:sz w:val="20"/>
                <w:szCs w:val="20"/>
                <w:color w:val="auto"/>
              </w:rPr>
            </w:pPr>
            <w:r>
              <w:rPr>
                <w:rFonts w:ascii="Arial" w:cs="Arial" w:eastAsia="Arial" w:hAnsi="Arial"/>
                <w:sz w:val="18"/>
                <w:szCs w:val="18"/>
                <w:color w:val="auto"/>
              </w:rPr>
              <w:t>$</w:t>
            </w:r>
          </w:p>
        </w:tc>
        <w:tc>
          <w:tcPr>
            <w:tcW w:w="900" w:type="dxa"/>
            <w:vAlign w:val="bottom"/>
            <w:tcBorders>
              <w:bottom w:val="single" w:sz="8" w:color="auto"/>
            </w:tcBorders>
            <w:shd w:val="clear" w:color="auto" w:fill="CFF0FC"/>
          </w:tcPr>
          <w:p>
            <w:pPr>
              <w:jc w:val="right"/>
              <w:ind w:right="14"/>
              <w:spacing w:after="0"/>
              <w:rPr>
                <w:sz w:val="20"/>
                <w:szCs w:val="20"/>
                <w:color w:val="auto"/>
              </w:rPr>
            </w:pPr>
            <w:r>
              <w:rPr>
                <w:rFonts w:ascii="Arial" w:cs="Arial" w:eastAsia="Arial" w:hAnsi="Arial"/>
                <w:sz w:val="18"/>
                <w:szCs w:val="18"/>
                <w:color w:val="auto"/>
              </w:rPr>
              <w:t>1,403</w:t>
            </w:r>
          </w:p>
        </w:tc>
      </w:tr>
      <w:tr>
        <w:trPr>
          <w:trHeight w:val="20"/>
        </w:trPr>
        <w:tc>
          <w:tcPr>
            <w:tcW w:w="60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Additionally, the Company had deferred area development agreement revenue from related parties of $824 and $389 as of June 30, 2018 and December 31, 2017, respectively.</w:t>
      </w:r>
    </w:p>
    <w:p>
      <w:pPr>
        <w:spacing w:after="0" w:line="62"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Company entered into a consulting agreement that continues through December 31, 2018 with a shareholder and former executive officer of the Company.</w:t>
      </w:r>
    </w:p>
    <w:p>
      <w:pPr>
        <w:spacing w:after="0" w:line="6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Company had payables to related parties pursuant to tax benefit arrangements of $50,890 and $44,794, as of June 30, 2018 and December 31, 2017, respectively (see Note 11).</w:t>
      </w:r>
    </w:p>
    <w:p>
      <w:pPr>
        <w:spacing w:after="0" w:line="6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Company provides administrative services to Planet Fitness NAF, LLC (“NAF”) and charges NAF a fee for providing these services. The services provided include accounting services, information technology, data processing, product development, legal and administrative support, and other operating expenses, which amounted to $556 and $428 for the three months ended June 30, 2018 and 2017, respectively, and $1,196 and $1,001 for the six months ended June 30, 2018 and 2017, respectively.</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Stockholder’s Equity</w:t>
      </w:r>
    </w:p>
    <w:p>
      <w:pPr>
        <w:spacing w:after="0" w:line="121"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Pursuant to the exchange agreement between the Company and the Continuing LLC Owners, the Continuing LLC Owners (or certain permitted transferees thereof) have the right, from time to time and subject to the terms of the exchange agreement, to exchange their Holdings Units, along with a corresponding number of shares of Class B common stock, for shares of Class A common stock (or cash at the option of the Company) on a one-for-one basis, subject to customary conversion rate adjustments for stock splits, stock dividends, reclassifications and similar transactions. In connection with any exchange of Holdings Units for shares of Class A common stock by a Continuing LLC Owner, the number of Holdings Units held by the Company is correspondingly increased as it acquires the exchanged Holdings Units, and a corresponding number of shares of Class B common stock are canceled.</w:t>
      </w:r>
    </w:p>
    <w:p>
      <w:pPr>
        <w:spacing w:after="0" w:line="273"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During the six months ended June 30, 2018, certain existing holders of Holdings Units exercised their exchange rights and exchanged 713,000 Holdings Units for 713,000 newly-issued shares of Class A common stock. Simultaneously, and in connection with these exchanges, 713,000 shares of Class B common stock were surrendered by the holders of Holdings Units that exercised their exchange rights and canceled. Additionally, in connection with these exchanges, Planet Fitness, Inc. received 713,000 Holdings Units, increasing its total ownership interest in Pla-Fit Holdings.</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As a result of these transactions, as of June 30, 2018:</w:t>
      </w:r>
    </w:p>
    <w:p>
      <w:pPr>
        <w:spacing w:after="0" w:line="23" w:lineRule="exact"/>
        <w:rPr>
          <w:sz w:val="20"/>
          <w:szCs w:val="20"/>
          <w:color w:val="auto"/>
        </w:rPr>
      </w:pPr>
    </w:p>
    <w:p>
      <w:pPr>
        <w:ind w:left="580" w:hanging="315"/>
        <w:spacing w:after="0" w:line="265" w:lineRule="auto"/>
        <w:tabs>
          <w:tab w:leader="none" w:pos="580" w:val="left"/>
        </w:tabs>
        <w:numPr>
          <w:ilvl w:val="1"/>
          <w:numId w:val="6"/>
        </w:numPr>
        <w:rPr>
          <w:rFonts w:ascii="Arial" w:cs="Arial" w:eastAsia="Arial" w:hAnsi="Arial"/>
          <w:sz w:val="17"/>
          <w:szCs w:val="17"/>
          <w:color w:val="auto"/>
        </w:rPr>
      </w:pPr>
      <w:r>
        <w:rPr>
          <w:rFonts w:ascii="Arial" w:cs="Arial" w:eastAsia="Arial" w:hAnsi="Arial"/>
          <w:sz w:val="17"/>
          <w:szCs w:val="17"/>
          <w:color w:val="auto"/>
        </w:rPr>
        <w:t>Holders of our Class A common stock owned 87,932,160 shares of our Class A common stock, representing 89.4% of the voting power in the Company and, through the Company, 87,932,160 Holdings Units representing 89.4% of the economic interest in Pla-Fit Holdings; and</w:t>
      </w:r>
    </w:p>
    <w:p>
      <w:pPr>
        <w:ind w:left="580" w:right="20" w:hanging="315"/>
        <w:spacing w:after="0" w:line="261" w:lineRule="auto"/>
        <w:tabs>
          <w:tab w:leader="none" w:pos="580" w:val="left"/>
        </w:tabs>
        <w:numPr>
          <w:ilvl w:val="1"/>
          <w:numId w:val="6"/>
        </w:numPr>
        <w:rPr>
          <w:rFonts w:ascii="Arial" w:cs="Arial" w:eastAsia="Arial" w:hAnsi="Arial"/>
          <w:sz w:val="18"/>
          <w:szCs w:val="18"/>
          <w:color w:val="auto"/>
        </w:rPr>
      </w:pPr>
      <w:r>
        <w:rPr>
          <w:rFonts w:ascii="Arial" w:cs="Arial" w:eastAsia="Arial" w:hAnsi="Arial"/>
          <w:sz w:val="18"/>
          <w:szCs w:val="18"/>
          <w:color w:val="auto"/>
        </w:rPr>
        <w:t>the Continuing LLC Owners collectively owned 10,470,750 Holdings Units, representing 10.6% of the economic interest in Pla-Fit Holdings and 10,470,750 shares of our Class B common stock, representing 10.6% of the voting power in the Company.</w:t>
      </w:r>
    </w:p>
    <w:p>
      <w:pPr>
        <w:spacing w:after="0" w:line="179" w:lineRule="exact"/>
        <w:rPr>
          <w:rFonts w:ascii="Arial" w:cs="Arial" w:eastAsia="Arial" w:hAnsi="Arial"/>
          <w:sz w:val="18"/>
          <w:szCs w:val="18"/>
          <w:color w:val="auto"/>
        </w:rPr>
      </w:pPr>
    </w:p>
    <w:p>
      <w:pPr>
        <w:ind w:left="360" w:hanging="352"/>
        <w:spacing w:after="0"/>
        <w:tabs>
          <w:tab w:leader="none" w:pos="360"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color w:val="auto"/>
        </w:rPr>
        <w:t>Earnings Per Share</w:t>
      </w:r>
    </w:p>
    <w:p>
      <w:pPr>
        <w:spacing w:after="0" w:line="12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Basic earnings per share of Class A common stock is computed by dividing net income attributable to Planet Fitness, Inc. by the weighted-average number of shares of Class A common stock outstanding during the same period. Diluted earnings per share of Class A common stock is computed by dividing net income attributable to Planet Fitness, Inc. by the weighted-average number of shares of Class A common stock outstanding adjusted to give effect to potentially dilutive securities.</w:t>
      </w:r>
    </w:p>
    <w:p>
      <w:pPr>
        <w:sectPr>
          <w:pgSz w:w="11900" w:h="16838" w:orient="portrait"/>
          <w:cols w:equalWidth="0" w:num="1">
            <w:col w:w="11420"/>
          </w:cols>
          <w:pgMar w:left="240" w:top="229" w:right="239" w:bottom="1440" w:gutter="0" w:footer="0" w:header="0"/>
        </w:sect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16</w:t>
      </w:r>
    </w:p>
    <w:p>
      <w:pPr>
        <w:sectPr>
          <w:pgSz w:w="11900" w:h="16838" w:orient="portrait"/>
          <w:cols w:equalWidth="0" w:num="1">
            <w:col w:w="11420"/>
          </w:cols>
          <w:pgMar w:left="240" w:top="229" w:right="239" w:bottom="1440" w:gutter="0" w:footer="0" w:header="0"/>
          <w:type w:val="continuous"/>
        </w:sectPr>
      </w:pPr>
    </w:p>
    <w:bookmarkStart w:id="17" w:name="page18"/>
    <w:bookmarkEnd w:id="17"/>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Shares of the Company’s Class B common stock do not share in the earnings or losses attributable to Planet Fitness, Inc. and are therefore not participating securities. As such, separate presentation of basic and diluted earnings per share of Class B common stock under the two-class method has not been presented. Shares of the Company’s Class B common stock are, however, considered potentially dilutive shares of Class A common stock because shares of Class B common stock, together with the related Holdings Units, are exchangeable into shares of Class A common stock on a one-for-one basis.</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sets forth reconciliations used to compute basic and diluted earnings per share of Class A common stock:</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8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60" w:type="dxa"/>
            <w:vAlign w:val="bottom"/>
            <w:gridSpan w:val="4"/>
          </w:tcPr>
          <w:p>
            <w:pPr>
              <w:jc w:val="right"/>
              <w:ind w:right="490"/>
              <w:spacing w:after="0"/>
              <w:rPr>
                <w:sz w:val="20"/>
                <w:szCs w:val="20"/>
                <w:color w:val="auto"/>
              </w:rPr>
            </w:pPr>
            <w:r>
              <w:rPr>
                <w:rFonts w:ascii="Arial" w:cs="Arial" w:eastAsia="Arial" w:hAnsi="Arial"/>
                <w:sz w:val="18"/>
                <w:szCs w:val="18"/>
                <w:b w:val="1"/>
                <w:bCs w:val="1"/>
                <w:color w:val="auto"/>
              </w:rPr>
              <w:t>Three months ended</w:t>
            </w:r>
          </w:p>
        </w:tc>
        <w:tc>
          <w:tcPr>
            <w:tcW w:w="320" w:type="dxa"/>
            <w:vAlign w:val="bottom"/>
          </w:tcPr>
          <w:p>
            <w:pPr>
              <w:spacing w:after="0"/>
              <w:rPr>
                <w:sz w:val="18"/>
                <w:szCs w:val="18"/>
                <w:color w:val="auto"/>
              </w:rPr>
            </w:pPr>
          </w:p>
        </w:tc>
        <w:tc>
          <w:tcPr>
            <w:tcW w:w="2500" w:type="dxa"/>
            <w:vAlign w:val="bottom"/>
            <w:gridSpan w:val="3"/>
          </w:tcPr>
          <w:p>
            <w:pPr>
              <w:jc w:val="right"/>
              <w:ind w:right="630"/>
              <w:spacing w:after="0"/>
              <w:rPr>
                <w:sz w:val="20"/>
                <w:szCs w:val="20"/>
                <w:color w:val="auto"/>
              </w:rPr>
            </w:pPr>
            <w:r>
              <w:rPr>
                <w:rFonts w:ascii="Arial" w:cs="Arial" w:eastAsia="Arial" w:hAnsi="Arial"/>
                <w:sz w:val="18"/>
                <w:szCs w:val="18"/>
                <w:b w:val="1"/>
                <w:bCs w:val="1"/>
                <w:color w:val="auto"/>
              </w:rPr>
              <w:t>Six months ended</w:t>
            </w:r>
          </w:p>
        </w:tc>
        <w:tc>
          <w:tcPr>
            <w:tcW w:w="0" w:type="dxa"/>
            <w:vAlign w:val="bottom"/>
          </w:tcPr>
          <w:p>
            <w:pPr>
              <w:spacing w:after="0"/>
              <w:rPr>
                <w:sz w:val="1"/>
                <w:szCs w:val="1"/>
                <w:color w:val="auto"/>
              </w:rPr>
            </w:pPr>
          </w:p>
        </w:tc>
      </w:tr>
      <w:tr>
        <w:trPr>
          <w:trHeight w:val="234"/>
        </w:trPr>
        <w:tc>
          <w:tcPr>
            <w:tcW w:w="58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460" w:type="dxa"/>
            <w:vAlign w:val="bottom"/>
            <w:gridSpan w:val="3"/>
          </w:tcPr>
          <w:p>
            <w:pPr>
              <w:jc w:val="right"/>
              <w:spacing w:after="0"/>
              <w:rPr>
                <w:sz w:val="20"/>
                <w:szCs w:val="20"/>
                <w:color w:val="auto"/>
              </w:rPr>
            </w:pPr>
            <w:r>
              <w:rPr>
                <w:rFonts w:ascii="Arial" w:cs="Arial" w:eastAsia="Arial" w:hAnsi="Arial"/>
                <w:sz w:val="18"/>
                <w:szCs w:val="18"/>
                <w:b w:val="1"/>
                <w:bCs w:val="1"/>
                <w:color w:val="auto"/>
              </w:rPr>
              <w:t>June 30,</w:t>
            </w:r>
          </w:p>
        </w:tc>
        <w:tc>
          <w:tcPr>
            <w:tcW w:w="10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440" w:type="dxa"/>
            <w:vAlign w:val="bottom"/>
            <w:gridSpan w:val="2"/>
          </w:tcPr>
          <w:p>
            <w:pPr>
              <w:jc w:val="right"/>
              <w:spacing w:after="0"/>
              <w:rPr>
                <w:sz w:val="20"/>
                <w:szCs w:val="20"/>
                <w:color w:val="auto"/>
              </w:rPr>
            </w:pPr>
            <w:r>
              <w:rPr>
                <w:rFonts w:ascii="Arial" w:cs="Arial" w:eastAsia="Arial" w:hAnsi="Arial"/>
                <w:sz w:val="18"/>
                <w:szCs w:val="18"/>
                <w:b w:val="1"/>
                <w:bCs w:val="1"/>
                <w:color w:val="auto"/>
              </w:rPr>
              <w:t>June 30,</w:t>
            </w:r>
          </w:p>
        </w:tc>
        <w:tc>
          <w:tcPr>
            <w:tcW w:w="10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584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8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80" w:type="dxa"/>
            <w:vAlign w:val="bottom"/>
          </w:tcPr>
          <w:p>
            <w:pPr>
              <w:jc w:val="right"/>
              <w:ind w:right="41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0" w:type="dxa"/>
            <w:vAlign w:val="bottom"/>
          </w:tcPr>
          <w:p>
            <w:pPr>
              <w:jc w:val="right"/>
              <w:ind w:right="370"/>
              <w:spacing w:after="0"/>
              <w:rPr>
                <w:sz w:val="20"/>
                <w:szCs w:val="20"/>
                <w:color w:val="auto"/>
              </w:rPr>
            </w:pPr>
            <w:r>
              <w:rPr>
                <w:rFonts w:ascii="Arial" w:cs="Arial" w:eastAsia="Arial" w:hAnsi="Arial"/>
                <w:sz w:val="18"/>
                <w:szCs w:val="18"/>
                <w:b w:val="1"/>
                <w:bCs w:val="1"/>
                <w:color w:val="auto"/>
              </w:rPr>
              <w:t>2017</w:t>
            </w:r>
          </w:p>
        </w:tc>
        <w:tc>
          <w:tcPr>
            <w:tcW w:w="320" w:type="dxa"/>
            <w:vAlign w:val="bottom"/>
          </w:tcPr>
          <w:p>
            <w:pPr>
              <w:spacing w:after="0"/>
              <w:rPr>
                <w:sz w:val="20"/>
                <w:szCs w:val="20"/>
                <w:color w:val="auto"/>
              </w:rPr>
            </w:pPr>
          </w:p>
        </w:tc>
        <w:tc>
          <w:tcPr>
            <w:tcW w:w="1040" w:type="dxa"/>
            <w:vAlign w:val="bottom"/>
          </w:tcPr>
          <w:p>
            <w:pPr>
              <w:jc w:val="right"/>
              <w:ind w:right="370"/>
              <w:spacing w:after="0"/>
              <w:rPr>
                <w:sz w:val="20"/>
                <w:szCs w:val="20"/>
                <w:color w:val="auto"/>
              </w:rPr>
            </w:pPr>
            <w:r>
              <w:rPr>
                <w:rFonts w:ascii="Arial" w:cs="Arial" w:eastAsia="Arial" w:hAnsi="Arial"/>
                <w:sz w:val="18"/>
                <w:szCs w:val="18"/>
                <w:b w:val="1"/>
                <w:bCs w:val="1"/>
                <w:color w:val="auto"/>
              </w:rPr>
              <w:t>2018</w:t>
            </w:r>
          </w:p>
        </w:tc>
        <w:tc>
          <w:tcPr>
            <w:tcW w:w="400" w:type="dxa"/>
            <w:vAlign w:val="bottom"/>
          </w:tcPr>
          <w:p>
            <w:pPr>
              <w:spacing w:after="0"/>
              <w:rPr>
                <w:sz w:val="20"/>
                <w:szCs w:val="20"/>
                <w:color w:val="auto"/>
              </w:rPr>
            </w:pPr>
          </w:p>
        </w:tc>
        <w:tc>
          <w:tcPr>
            <w:tcW w:w="106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c>
          <w:tcPr>
            <w:tcW w:w="0" w:type="dxa"/>
            <w:vAlign w:val="bottom"/>
          </w:tcPr>
          <w:p>
            <w:pPr>
              <w:spacing w:after="0"/>
              <w:rPr>
                <w:sz w:val="1"/>
                <w:szCs w:val="1"/>
                <w:color w:val="auto"/>
              </w:rPr>
            </w:pPr>
          </w:p>
        </w:tc>
      </w:tr>
      <w:tr>
        <w:trPr>
          <w:trHeight w:val="27"/>
        </w:trPr>
        <w:tc>
          <w:tcPr>
            <w:tcW w:w="5840" w:type="dxa"/>
            <w:vAlign w:val="bottom"/>
            <w:tcBorders>
              <w:bottom w:val="single" w:sz="8" w:color="CFF0FC"/>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84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b w:val="1"/>
                <w:bCs w:val="1"/>
                <w:color w:val="auto"/>
              </w:rPr>
              <w:t>Numerator</w:t>
            </w:r>
          </w:p>
        </w:tc>
        <w:tc>
          <w:tcPr>
            <w:tcW w:w="300" w:type="dxa"/>
            <w:vAlign w:val="bottom"/>
            <w:tcBorders>
              <w:bottom w:val="single" w:sz="8" w:color="CFF0FC"/>
            </w:tcBorders>
            <w:shd w:val="clear" w:color="auto" w:fill="CFF0FC"/>
          </w:tcPr>
          <w:p>
            <w:pPr>
              <w:spacing w:after="0"/>
              <w:rPr>
                <w:sz w:val="21"/>
                <w:szCs w:val="21"/>
                <w:color w:val="auto"/>
              </w:rPr>
            </w:pPr>
          </w:p>
        </w:tc>
        <w:tc>
          <w:tcPr>
            <w:tcW w:w="1080" w:type="dxa"/>
            <w:vAlign w:val="bottom"/>
            <w:tcBorders>
              <w:bottom w:val="single" w:sz="8" w:color="CFF0FC"/>
            </w:tcBorders>
            <w:shd w:val="clear" w:color="auto" w:fill="CFF0FC"/>
          </w:tcPr>
          <w:p>
            <w:pPr>
              <w:spacing w:after="0"/>
              <w:rPr>
                <w:sz w:val="21"/>
                <w:szCs w:val="21"/>
                <w:color w:val="auto"/>
              </w:rPr>
            </w:pPr>
          </w:p>
        </w:tc>
        <w:tc>
          <w:tcPr>
            <w:tcW w:w="100" w:type="dxa"/>
            <w:vAlign w:val="bottom"/>
            <w:tcBorders>
              <w:bottom w:val="single" w:sz="8" w:color="CFF0FC"/>
            </w:tcBorders>
            <w:shd w:val="clear" w:color="auto" w:fill="CFF0FC"/>
          </w:tcPr>
          <w:p>
            <w:pPr>
              <w:spacing w:after="0"/>
              <w:rPr>
                <w:sz w:val="21"/>
                <w:szCs w:val="21"/>
                <w:color w:val="auto"/>
              </w:rPr>
            </w:pPr>
          </w:p>
        </w:tc>
        <w:tc>
          <w:tcPr>
            <w:tcW w:w="280" w:type="dxa"/>
            <w:vAlign w:val="bottom"/>
            <w:tcBorders>
              <w:bottom w:val="single" w:sz="8" w:color="CFF0FC"/>
            </w:tcBorders>
            <w:shd w:val="clear" w:color="auto" w:fill="CFF0FC"/>
          </w:tcPr>
          <w:p>
            <w:pPr>
              <w:spacing w:after="0"/>
              <w:rPr>
                <w:sz w:val="21"/>
                <w:szCs w:val="21"/>
                <w:color w:val="auto"/>
              </w:rPr>
            </w:pPr>
          </w:p>
        </w:tc>
        <w:tc>
          <w:tcPr>
            <w:tcW w:w="1000" w:type="dxa"/>
            <w:vAlign w:val="bottom"/>
            <w:tcBorders>
              <w:bottom w:val="single" w:sz="8" w:color="CFF0FC"/>
            </w:tcBorders>
            <w:shd w:val="clear" w:color="auto" w:fill="CFF0FC"/>
          </w:tcPr>
          <w:p>
            <w:pPr>
              <w:spacing w:after="0"/>
              <w:rPr>
                <w:sz w:val="21"/>
                <w:szCs w:val="21"/>
                <w:color w:val="auto"/>
              </w:rPr>
            </w:pPr>
          </w:p>
        </w:tc>
        <w:tc>
          <w:tcPr>
            <w:tcW w:w="320" w:type="dxa"/>
            <w:vAlign w:val="bottom"/>
            <w:tcBorders>
              <w:bottom w:val="single" w:sz="8" w:color="CFF0FC"/>
            </w:tcBorders>
            <w:shd w:val="clear" w:color="auto" w:fill="CFF0FC"/>
          </w:tcPr>
          <w:p>
            <w:pPr>
              <w:spacing w:after="0"/>
              <w:rPr>
                <w:sz w:val="21"/>
                <w:szCs w:val="21"/>
                <w:color w:val="auto"/>
              </w:rPr>
            </w:pPr>
          </w:p>
        </w:tc>
        <w:tc>
          <w:tcPr>
            <w:tcW w:w="1040" w:type="dxa"/>
            <w:vAlign w:val="bottom"/>
            <w:tcBorders>
              <w:bottom w:val="single" w:sz="8" w:color="CFF0FC"/>
            </w:tcBorders>
            <w:shd w:val="clear" w:color="auto" w:fill="CFF0FC"/>
          </w:tcPr>
          <w:p>
            <w:pPr>
              <w:spacing w:after="0"/>
              <w:rPr>
                <w:sz w:val="21"/>
                <w:szCs w:val="21"/>
                <w:color w:val="auto"/>
              </w:rPr>
            </w:pPr>
          </w:p>
        </w:tc>
        <w:tc>
          <w:tcPr>
            <w:tcW w:w="400" w:type="dxa"/>
            <w:vAlign w:val="bottom"/>
            <w:tcBorders>
              <w:bottom w:val="single" w:sz="8" w:color="CFF0FC"/>
            </w:tcBorders>
            <w:shd w:val="clear" w:color="auto" w:fill="CFF0FC"/>
          </w:tcPr>
          <w:p>
            <w:pPr>
              <w:spacing w:after="0"/>
              <w:rPr>
                <w:sz w:val="21"/>
                <w:szCs w:val="21"/>
                <w:color w:val="auto"/>
              </w:rPr>
            </w:pPr>
          </w:p>
        </w:tc>
        <w:tc>
          <w:tcPr>
            <w:tcW w:w="1060" w:type="dxa"/>
            <w:vAlign w:val="bottom"/>
            <w:tcBorders>
              <w:bottom w:val="single" w:sz="8" w:color="CFF0FC"/>
            </w:tcBorders>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840" w:type="dxa"/>
            <w:vAlign w:val="bottom"/>
          </w:tcPr>
          <w:p>
            <w:pPr>
              <w:ind w:left="180"/>
              <w:spacing w:after="0"/>
              <w:rPr>
                <w:sz w:val="20"/>
                <w:szCs w:val="20"/>
                <w:color w:val="auto"/>
              </w:rPr>
            </w:pPr>
            <w:r>
              <w:rPr>
                <w:rFonts w:ascii="Arial" w:cs="Arial" w:eastAsia="Arial" w:hAnsi="Arial"/>
                <w:sz w:val="18"/>
                <w:szCs w:val="18"/>
                <w:color w:val="auto"/>
              </w:rPr>
              <w:t>Net income</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0"/>
              <w:spacing w:after="0"/>
              <w:rPr>
                <w:sz w:val="20"/>
                <w:szCs w:val="20"/>
                <w:color w:val="auto"/>
              </w:rPr>
            </w:pPr>
            <w:r>
              <w:rPr>
                <w:rFonts w:ascii="Arial" w:cs="Arial" w:eastAsia="Arial" w:hAnsi="Arial"/>
                <w:sz w:val="18"/>
                <w:szCs w:val="18"/>
                <w:color w:val="auto"/>
              </w:rPr>
              <w:t>30,418</w:t>
            </w:r>
          </w:p>
        </w:tc>
        <w:tc>
          <w:tcPr>
            <w:tcW w:w="10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18,004</w:t>
            </w:r>
          </w:p>
        </w:tc>
        <w:tc>
          <w:tcPr>
            <w:tcW w:w="3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53,912</w:t>
            </w:r>
          </w:p>
        </w:tc>
        <w:tc>
          <w:tcPr>
            <w:tcW w:w="40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130"/>
              <w:spacing w:after="0"/>
              <w:rPr>
                <w:sz w:val="20"/>
                <w:szCs w:val="20"/>
                <w:color w:val="auto"/>
              </w:rPr>
            </w:pPr>
            <w:r>
              <w:rPr>
                <w:rFonts w:ascii="Arial" w:cs="Arial" w:eastAsia="Arial" w:hAnsi="Arial"/>
                <w:sz w:val="18"/>
                <w:szCs w:val="18"/>
                <w:color w:val="auto"/>
              </w:rPr>
              <w:t>35,870</w:t>
            </w:r>
          </w:p>
        </w:tc>
        <w:tc>
          <w:tcPr>
            <w:tcW w:w="0" w:type="dxa"/>
            <w:vAlign w:val="bottom"/>
          </w:tcPr>
          <w:p>
            <w:pPr>
              <w:spacing w:after="0"/>
              <w:rPr>
                <w:sz w:val="1"/>
                <w:szCs w:val="1"/>
                <w:color w:val="auto"/>
              </w:rPr>
            </w:pPr>
          </w:p>
        </w:tc>
      </w:tr>
      <w:tr>
        <w:trPr>
          <w:trHeight w:val="27"/>
        </w:trPr>
        <w:tc>
          <w:tcPr>
            <w:tcW w:w="58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840" w:type="dxa"/>
            <w:vAlign w:val="bottom"/>
            <w:tcBorders>
              <w:bottom w:val="single" w:sz="8" w:color="CFF0FC"/>
            </w:tcBorders>
            <w:shd w:val="clear" w:color="auto" w:fill="CFF0FC"/>
          </w:tcPr>
          <w:p>
            <w:pPr>
              <w:ind w:left="180"/>
              <w:spacing w:after="0"/>
              <w:rPr>
                <w:sz w:val="20"/>
                <w:szCs w:val="20"/>
                <w:color w:val="auto"/>
              </w:rPr>
            </w:pPr>
            <w:r>
              <w:rPr>
                <w:rFonts w:ascii="Arial" w:cs="Arial" w:eastAsia="Arial" w:hAnsi="Arial"/>
                <w:sz w:val="18"/>
                <w:szCs w:val="18"/>
                <w:color w:val="auto"/>
              </w:rPr>
              <w:t>Less: net income attributable to non-controlling interests</w:t>
            </w:r>
          </w:p>
        </w:tc>
        <w:tc>
          <w:tcPr>
            <w:tcW w:w="300" w:type="dxa"/>
            <w:vAlign w:val="bottom"/>
            <w:tcBorders>
              <w:bottom w:val="single" w:sz="8" w:color="CFF0FC"/>
            </w:tcBorders>
            <w:shd w:val="clear" w:color="auto" w:fill="CFF0FC"/>
          </w:tcPr>
          <w:p>
            <w:pPr>
              <w:spacing w:after="0"/>
              <w:rPr>
                <w:sz w:val="23"/>
                <w:szCs w:val="23"/>
                <w:color w:val="auto"/>
              </w:rPr>
            </w:pPr>
          </w:p>
        </w:tc>
        <w:tc>
          <w:tcPr>
            <w:tcW w:w="1080" w:type="dxa"/>
            <w:vAlign w:val="bottom"/>
            <w:tcBorders>
              <w:bottom w:val="single" w:sz="8" w:color="CFF0FC"/>
            </w:tcBorders>
            <w:shd w:val="clear" w:color="auto" w:fill="CFF0FC"/>
          </w:tcPr>
          <w:p>
            <w:pPr>
              <w:jc w:val="right"/>
              <w:ind w:right="10"/>
              <w:spacing w:after="0"/>
              <w:rPr>
                <w:sz w:val="20"/>
                <w:szCs w:val="20"/>
                <w:color w:val="auto"/>
              </w:rPr>
            </w:pPr>
            <w:r>
              <w:rPr>
                <w:rFonts w:ascii="Arial" w:cs="Arial" w:eastAsia="Arial" w:hAnsi="Arial"/>
                <w:sz w:val="18"/>
                <w:szCs w:val="18"/>
                <w:color w:val="auto"/>
              </w:rPr>
              <w:t>4,544</w:t>
            </w:r>
          </w:p>
        </w:tc>
        <w:tc>
          <w:tcPr>
            <w:tcW w:w="100" w:type="dxa"/>
            <w:vAlign w:val="bottom"/>
            <w:tcBorders>
              <w:bottom w:val="single" w:sz="8" w:color="CFF0FC"/>
            </w:tcBorders>
            <w:shd w:val="clear" w:color="auto" w:fill="CFF0FC"/>
          </w:tcPr>
          <w:p>
            <w:pPr>
              <w:spacing w:after="0"/>
              <w:rPr>
                <w:sz w:val="23"/>
                <w:szCs w:val="23"/>
                <w:color w:val="auto"/>
              </w:rPr>
            </w:pPr>
          </w:p>
        </w:tc>
        <w:tc>
          <w:tcPr>
            <w:tcW w:w="280" w:type="dxa"/>
            <w:vAlign w:val="bottom"/>
            <w:tcBorders>
              <w:bottom w:val="single" w:sz="8" w:color="CFF0FC"/>
            </w:tcBorders>
            <w:shd w:val="clear" w:color="auto" w:fill="CFF0FC"/>
          </w:tcPr>
          <w:p>
            <w:pPr>
              <w:spacing w:after="0"/>
              <w:rPr>
                <w:sz w:val="23"/>
                <w:szCs w:val="23"/>
                <w:color w:val="auto"/>
              </w:rPr>
            </w:pPr>
          </w:p>
        </w:tc>
        <w:tc>
          <w:tcPr>
            <w:tcW w:w="1000" w:type="dxa"/>
            <w:vAlign w:val="bottom"/>
            <w:tcBorders>
              <w:bottom w:val="single" w:sz="8" w:color="CFF0FC"/>
            </w:tcBorders>
            <w:shd w:val="clear" w:color="auto" w:fill="CFF0FC"/>
          </w:tcPr>
          <w:p>
            <w:pPr>
              <w:jc w:val="right"/>
              <w:ind w:right="30"/>
              <w:spacing w:after="0"/>
              <w:rPr>
                <w:sz w:val="20"/>
                <w:szCs w:val="20"/>
                <w:color w:val="auto"/>
              </w:rPr>
            </w:pPr>
            <w:r>
              <w:rPr>
                <w:rFonts w:ascii="Arial" w:cs="Arial" w:eastAsia="Arial" w:hAnsi="Arial"/>
                <w:sz w:val="18"/>
                <w:szCs w:val="18"/>
                <w:color w:val="auto"/>
              </w:rPr>
              <w:t>5,592</w:t>
            </w:r>
          </w:p>
        </w:tc>
        <w:tc>
          <w:tcPr>
            <w:tcW w:w="320" w:type="dxa"/>
            <w:vAlign w:val="bottom"/>
            <w:tcBorders>
              <w:bottom w:val="single" w:sz="8" w:color="CFF0FC"/>
            </w:tcBorders>
            <w:shd w:val="clear" w:color="auto" w:fill="CFF0FC"/>
          </w:tcPr>
          <w:p>
            <w:pPr>
              <w:spacing w:after="0"/>
              <w:rPr>
                <w:sz w:val="23"/>
                <w:szCs w:val="23"/>
                <w:color w:val="auto"/>
              </w:rPr>
            </w:pPr>
          </w:p>
        </w:tc>
        <w:tc>
          <w:tcPr>
            <w:tcW w:w="1040" w:type="dxa"/>
            <w:vAlign w:val="bottom"/>
            <w:tcBorders>
              <w:bottom w:val="single" w:sz="8" w:color="CFF0FC"/>
            </w:tcBorders>
            <w:shd w:val="clear" w:color="auto" w:fill="CFF0FC"/>
          </w:tcPr>
          <w:p>
            <w:pPr>
              <w:jc w:val="right"/>
              <w:ind w:right="30"/>
              <w:spacing w:after="0"/>
              <w:rPr>
                <w:sz w:val="20"/>
                <w:szCs w:val="20"/>
                <w:color w:val="auto"/>
              </w:rPr>
            </w:pPr>
            <w:r>
              <w:rPr>
                <w:rFonts w:ascii="Arial" w:cs="Arial" w:eastAsia="Arial" w:hAnsi="Arial"/>
                <w:sz w:val="18"/>
                <w:szCs w:val="18"/>
                <w:color w:val="auto"/>
              </w:rPr>
              <w:t>8,157</w:t>
            </w:r>
          </w:p>
        </w:tc>
        <w:tc>
          <w:tcPr>
            <w:tcW w:w="400" w:type="dxa"/>
            <w:vAlign w:val="bottom"/>
            <w:tcBorders>
              <w:bottom w:val="single" w:sz="8" w:color="CFF0FC"/>
            </w:tcBorders>
            <w:shd w:val="clear" w:color="auto" w:fill="CFF0FC"/>
          </w:tcPr>
          <w:p>
            <w:pPr>
              <w:spacing w:after="0"/>
              <w:rPr>
                <w:sz w:val="23"/>
                <w:szCs w:val="23"/>
                <w:color w:val="auto"/>
              </w:rPr>
            </w:pPr>
          </w:p>
        </w:tc>
        <w:tc>
          <w:tcPr>
            <w:tcW w:w="1060" w:type="dxa"/>
            <w:vAlign w:val="bottom"/>
            <w:tcBorders>
              <w:bottom w:val="single" w:sz="8" w:color="CFF0FC"/>
            </w:tcBorders>
            <w:shd w:val="clear" w:color="auto" w:fill="CFF0FC"/>
          </w:tcPr>
          <w:p>
            <w:pPr>
              <w:jc w:val="right"/>
              <w:ind w:right="130"/>
              <w:spacing w:after="0"/>
              <w:rPr>
                <w:sz w:val="20"/>
                <w:szCs w:val="20"/>
                <w:color w:val="auto"/>
              </w:rPr>
            </w:pPr>
            <w:r>
              <w:rPr>
                <w:rFonts w:ascii="Arial" w:cs="Arial" w:eastAsia="Arial" w:hAnsi="Arial"/>
                <w:sz w:val="18"/>
                <w:szCs w:val="18"/>
                <w:color w:val="auto"/>
              </w:rPr>
              <w:t>14,616</w:t>
            </w:r>
          </w:p>
        </w:tc>
        <w:tc>
          <w:tcPr>
            <w:tcW w:w="0" w:type="dxa"/>
            <w:vAlign w:val="bottom"/>
          </w:tcPr>
          <w:p>
            <w:pPr>
              <w:spacing w:after="0"/>
              <w:rPr>
                <w:sz w:val="1"/>
                <w:szCs w:val="1"/>
                <w:color w:val="auto"/>
              </w:rPr>
            </w:pPr>
          </w:p>
        </w:tc>
      </w:tr>
      <w:tr>
        <w:trPr>
          <w:trHeight w:val="237"/>
        </w:trPr>
        <w:tc>
          <w:tcPr>
            <w:tcW w:w="5840" w:type="dxa"/>
            <w:vAlign w:val="bottom"/>
          </w:tcPr>
          <w:p>
            <w:pPr>
              <w:ind w:left="180"/>
              <w:spacing w:after="0"/>
              <w:rPr>
                <w:sz w:val="20"/>
                <w:szCs w:val="20"/>
                <w:color w:val="auto"/>
              </w:rPr>
            </w:pPr>
            <w:r>
              <w:rPr>
                <w:rFonts w:ascii="Arial" w:cs="Arial" w:eastAsia="Arial" w:hAnsi="Arial"/>
                <w:sz w:val="18"/>
                <w:szCs w:val="18"/>
                <w:color w:val="auto"/>
              </w:rPr>
              <w:t>Net income attributable to Planet Fitness, Inc.</w:t>
            </w:r>
          </w:p>
        </w:tc>
        <w:tc>
          <w:tcPr>
            <w:tcW w:w="30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10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25,874</w:t>
            </w:r>
          </w:p>
        </w:tc>
        <w:tc>
          <w:tcPr>
            <w:tcW w:w="100" w:type="dxa"/>
            <w:vAlign w:val="bottom"/>
          </w:tcPr>
          <w:p>
            <w:pPr>
              <w:spacing w:after="0"/>
              <w:rPr>
                <w:sz w:val="20"/>
                <w:szCs w:val="20"/>
                <w:color w:val="auto"/>
              </w:rPr>
            </w:pPr>
          </w:p>
        </w:tc>
        <w:tc>
          <w:tcPr>
            <w:tcW w:w="28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12,412</w:t>
            </w:r>
          </w:p>
        </w:tc>
        <w:tc>
          <w:tcPr>
            <w:tcW w:w="3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0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45,755</w:t>
            </w:r>
          </w:p>
        </w:tc>
        <w:tc>
          <w:tcPr>
            <w:tcW w:w="40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rPr>
              <w:t>$</w:t>
            </w:r>
          </w:p>
        </w:tc>
        <w:tc>
          <w:tcPr>
            <w:tcW w:w="106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rPr>
              <w:t>21,254</w:t>
            </w:r>
          </w:p>
        </w:tc>
        <w:tc>
          <w:tcPr>
            <w:tcW w:w="0" w:type="dxa"/>
            <w:vAlign w:val="bottom"/>
          </w:tcPr>
          <w:p>
            <w:pPr>
              <w:spacing w:after="0"/>
              <w:rPr>
                <w:sz w:val="1"/>
                <w:szCs w:val="1"/>
                <w:color w:val="auto"/>
              </w:rPr>
            </w:pPr>
          </w:p>
        </w:tc>
      </w:tr>
      <w:tr>
        <w:trPr>
          <w:trHeight w:val="27"/>
        </w:trPr>
        <w:tc>
          <w:tcPr>
            <w:tcW w:w="5840" w:type="dxa"/>
            <w:vAlign w:val="bottom"/>
            <w:vMerge w:val="restart"/>
          </w:tcPr>
          <w:p>
            <w:pPr>
              <w:ind w:left="40"/>
              <w:spacing w:after="0"/>
              <w:rPr>
                <w:sz w:val="20"/>
                <w:szCs w:val="20"/>
                <w:color w:val="auto"/>
              </w:rPr>
            </w:pPr>
            <w:r>
              <w:rPr>
                <w:rFonts w:ascii="Arial" w:cs="Arial" w:eastAsia="Arial" w:hAnsi="Arial"/>
                <w:sz w:val="18"/>
                <w:szCs w:val="18"/>
                <w:b w:val="1"/>
                <w:bCs w:val="1"/>
                <w:color w:val="auto"/>
              </w:rPr>
              <w:t>Denominator</w:t>
            </w: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840" w:type="dxa"/>
            <w:vAlign w:val="bottom"/>
            <w:vMerge w:val="continue"/>
          </w:tcPr>
          <w:p>
            <w:pPr>
              <w:spacing w:after="0"/>
              <w:rPr>
                <w:sz w:val="20"/>
                <w:szCs w:val="20"/>
                <w:color w:val="auto"/>
              </w:rPr>
            </w:pPr>
          </w:p>
        </w:tc>
        <w:tc>
          <w:tcPr>
            <w:tcW w:w="3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58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840" w:type="dxa"/>
            <w:vAlign w:val="bottom"/>
            <w:tcBorders>
              <w:bottom w:val="single" w:sz="8" w:color="CFF0FC"/>
            </w:tcBorders>
            <w:shd w:val="clear" w:color="auto" w:fill="CFF0FC"/>
          </w:tcPr>
          <w:p>
            <w:pPr>
              <w:ind w:left="180"/>
              <w:spacing w:after="0"/>
              <w:rPr>
                <w:sz w:val="20"/>
                <w:szCs w:val="20"/>
                <w:color w:val="auto"/>
              </w:rPr>
            </w:pPr>
            <w:r>
              <w:rPr>
                <w:rFonts w:ascii="Arial" w:cs="Arial" w:eastAsia="Arial" w:hAnsi="Arial"/>
                <w:sz w:val="18"/>
                <w:szCs w:val="18"/>
                <w:color w:val="auto"/>
                <w:w w:val="98"/>
              </w:rPr>
              <w:t>Weighted-average shares of Class A common stock outstanding - basic</w:t>
            </w:r>
          </w:p>
        </w:tc>
        <w:tc>
          <w:tcPr>
            <w:tcW w:w="300" w:type="dxa"/>
            <w:vAlign w:val="bottom"/>
            <w:tcBorders>
              <w:bottom w:val="single" w:sz="8" w:color="CFF0FC"/>
            </w:tcBorders>
            <w:shd w:val="clear" w:color="auto" w:fill="CFF0FC"/>
          </w:tcPr>
          <w:p>
            <w:pPr>
              <w:spacing w:after="0"/>
              <w:rPr>
                <w:sz w:val="21"/>
                <w:szCs w:val="21"/>
                <w:color w:val="auto"/>
              </w:rPr>
            </w:pPr>
          </w:p>
        </w:tc>
        <w:tc>
          <w:tcPr>
            <w:tcW w:w="1080" w:type="dxa"/>
            <w:vAlign w:val="bottom"/>
            <w:tcBorders>
              <w:bottom w:val="single" w:sz="8" w:color="CFF0FC"/>
            </w:tcBorders>
            <w:shd w:val="clear" w:color="auto" w:fill="CFF0FC"/>
          </w:tcPr>
          <w:p>
            <w:pPr>
              <w:jc w:val="right"/>
              <w:ind w:right="10"/>
              <w:spacing w:after="0"/>
              <w:rPr>
                <w:sz w:val="20"/>
                <w:szCs w:val="20"/>
                <w:color w:val="auto"/>
              </w:rPr>
            </w:pPr>
            <w:r>
              <w:rPr>
                <w:rFonts w:ascii="Arial" w:cs="Arial" w:eastAsia="Arial" w:hAnsi="Arial"/>
                <w:sz w:val="18"/>
                <w:szCs w:val="18"/>
                <w:color w:val="auto"/>
              </w:rPr>
              <w:t>87,693,377</w:t>
            </w:r>
          </w:p>
        </w:tc>
        <w:tc>
          <w:tcPr>
            <w:tcW w:w="100" w:type="dxa"/>
            <w:vAlign w:val="bottom"/>
            <w:tcBorders>
              <w:bottom w:val="single" w:sz="8" w:color="CFF0FC"/>
            </w:tcBorders>
            <w:shd w:val="clear" w:color="auto" w:fill="CFF0FC"/>
          </w:tcPr>
          <w:p>
            <w:pPr>
              <w:spacing w:after="0"/>
              <w:rPr>
                <w:sz w:val="21"/>
                <w:szCs w:val="21"/>
                <w:color w:val="auto"/>
              </w:rPr>
            </w:pPr>
          </w:p>
        </w:tc>
        <w:tc>
          <w:tcPr>
            <w:tcW w:w="280" w:type="dxa"/>
            <w:vAlign w:val="bottom"/>
            <w:tcBorders>
              <w:bottom w:val="single" w:sz="8" w:color="CFF0FC"/>
            </w:tcBorders>
            <w:shd w:val="clear" w:color="auto" w:fill="CFF0FC"/>
          </w:tcPr>
          <w:p>
            <w:pPr>
              <w:spacing w:after="0"/>
              <w:rPr>
                <w:sz w:val="21"/>
                <w:szCs w:val="21"/>
                <w:color w:val="auto"/>
              </w:rPr>
            </w:pPr>
          </w:p>
        </w:tc>
        <w:tc>
          <w:tcPr>
            <w:tcW w:w="1000" w:type="dxa"/>
            <w:vAlign w:val="bottom"/>
            <w:tcBorders>
              <w:bottom w:val="single" w:sz="8" w:color="CFF0FC"/>
            </w:tcBorders>
            <w:shd w:val="clear" w:color="auto" w:fill="CFF0FC"/>
          </w:tcPr>
          <w:p>
            <w:pPr>
              <w:jc w:val="right"/>
              <w:ind w:right="30"/>
              <w:spacing w:after="0"/>
              <w:rPr>
                <w:sz w:val="20"/>
                <w:szCs w:val="20"/>
                <w:color w:val="auto"/>
              </w:rPr>
            </w:pPr>
            <w:r>
              <w:rPr>
                <w:rFonts w:ascii="Arial" w:cs="Arial" w:eastAsia="Arial" w:hAnsi="Arial"/>
                <w:sz w:val="18"/>
                <w:szCs w:val="18"/>
                <w:color w:val="auto"/>
                <w:w w:val="95"/>
              </w:rPr>
              <w:t>79,153,778</w:t>
            </w:r>
          </w:p>
        </w:tc>
        <w:tc>
          <w:tcPr>
            <w:tcW w:w="320" w:type="dxa"/>
            <w:vAlign w:val="bottom"/>
            <w:tcBorders>
              <w:bottom w:val="single" w:sz="8" w:color="CFF0FC"/>
            </w:tcBorders>
            <w:shd w:val="clear" w:color="auto" w:fill="CFF0FC"/>
          </w:tcPr>
          <w:p>
            <w:pPr>
              <w:spacing w:after="0"/>
              <w:rPr>
                <w:sz w:val="21"/>
                <w:szCs w:val="21"/>
                <w:color w:val="auto"/>
              </w:rPr>
            </w:pPr>
          </w:p>
        </w:tc>
        <w:tc>
          <w:tcPr>
            <w:tcW w:w="1040" w:type="dxa"/>
            <w:vAlign w:val="bottom"/>
            <w:tcBorders>
              <w:bottom w:val="single" w:sz="8" w:color="CFF0FC"/>
            </w:tcBorders>
            <w:shd w:val="clear" w:color="auto" w:fill="CFF0FC"/>
          </w:tcPr>
          <w:p>
            <w:pPr>
              <w:jc w:val="right"/>
              <w:ind w:right="30"/>
              <w:spacing w:after="0"/>
              <w:rPr>
                <w:sz w:val="20"/>
                <w:szCs w:val="20"/>
                <w:color w:val="auto"/>
              </w:rPr>
            </w:pPr>
            <w:r>
              <w:rPr>
                <w:rFonts w:ascii="Arial" w:cs="Arial" w:eastAsia="Arial" w:hAnsi="Arial"/>
                <w:sz w:val="18"/>
                <w:szCs w:val="18"/>
                <w:color w:val="auto"/>
                <w:w w:val="99"/>
              </w:rPr>
              <w:t>87,564,596</w:t>
            </w:r>
          </w:p>
        </w:tc>
        <w:tc>
          <w:tcPr>
            <w:tcW w:w="400" w:type="dxa"/>
            <w:vAlign w:val="bottom"/>
            <w:tcBorders>
              <w:bottom w:val="single" w:sz="8" w:color="CFF0FC"/>
            </w:tcBorders>
            <w:shd w:val="clear" w:color="auto" w:fill="CFF0FC"/>
          </w:tcPr>
          <w:p>
            <w:pPr>
              <w:spacing w:after="0"/>
              <w:rPr>
                <w:sz w:val="21"/>
                <w:szCs w:val="21"/>
                <w:color w:val="auto"/>
              </w:rPr>
            </w:pPr>
          </w:p>
        </w:tc>
        <w:tc>
          <w:tcPr>
            <w:tcW w:w="1060" w:type="dxa"/>
            <w:vAlign w:val="bottom"/>
            <w:tcBorders>
              <w:bottom w:val="single" w:sz="8" w:color="CFF0FC"/>
            </w:tcBorders>
            <w:shd w:val="clear" w:color="auto" w:fill="CFF0FC"/>
          </w:tcPr>
          <w:p>
            <w:pPr>
              <w:jc w:val="right"/>
              <w:ind w:right="130"/>
              <w:spacing w:after="0"/>
              <w:rPr>
                <w:sz w:val="20"/>
                <w:szCs w:val="20"/>
                <w:color w:val="auto"/>
              </w:rPr>
            </w:pPr>
            <w:r>
              <w:rPr>
                <w:rFonts w:ascii="Arial" w:cs="Arial" w:eastAsia="Arial" w:hAnsi="Arial"/>
                <w:sz w:val="18"/>
                <w:szCs w:val="18"/>
                <w:color w:val="auto"/>
                <w:w w:val="90"/>
              </w:rPr>
              <w:t>71,678,755</w:t>
            </w:r>
          </w:p>
        </w:tc>
        <w:tc>
          <w:tcPr>
            <w:tcW w:w="0" w:type="dxa"/>
            <w:vAlign w:val="bottom"/>
          </w:tcPr>
          <w:p>
            <w:pPr>
              <w:spacing w:after="0"/>
              <w:rPr>
                <w:sz w:val="1"/>
                <w:szCs w:val="1"/>
                <w:color w:val="auto"/>
              </w:rPr>
            </w:pPr>
          </w:p>
        </w:tc>
      </w:tr>
      <w:tr>
        <w:trPr>
          <w:trHeight w:val="243"/>
        </w:trPr>
        <w:tc>
          <w:tcPr>
            <w:tcW w:w="5840" w:type="dxa"/>
            <w:vAlign w:val="bottom"/>
          </w:tcPr>
          <w:p>
            <w:pPr>
              <w:ind w:left="180"/>
              <w:spacing w:after="0"/>
              <w:rPr>
                <w:sz w:val="20"/>
                <w:szCs w:val="20"/>
                <w:color w:val="auto"/>
              </w:rPr>
            </w:pPr>
            <w:r>
              <w:rPr>
                <w:rFonts w:ascii="Arial" w:cs="Arial" w:eastAsia="Arial" w:hAnsi="Arial"/>
                <w:sz w:val="18"/>
                <w:szCs w:val="18"/>
                <w:color w:val="auto"/>
              </w:rPr>
              <w:t>Effect of dilutive securities:</w:t>
            </w:r>
          </w:p>
        </w:tc>
        <w:tc>
          <w:tcPr>
            <w:tcW w:w="3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8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84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Stock options</w:t>
            </w:r>
          </w:p>
        </w:tc>
        <w:tc>
          <w:tcPr>
            <w:tcW w:w="300" w:type="dxa"/>
            <w:vAlign w:val="bottom"/>
            <w:tcBorders>
              <w:bottom w:val="single" w:sz="8" w:color="CFF0FC"/>
            </w:tcBorders>
            <w:shd w:val="clear" w:color="auto" w:fill="CFF0FC"/>
          </w:tcPr>
          <w:p>
            <w:pPr>
              <w:spacing w:after="0"/>
              <w:rPr>
                <w:sz w:val="21"/>
                <w:szCs w:val="21"/>
                <w:color w:val="auto"/>
              </w:rPr>
            </w:pPr>
          </w:p>
        </w:tc>
        <w:tc>
          <w:tcPr>
            <w:tcW w:w="1080" w:type="dxa"/>
            <w:vAlign w:val="bottom"/>
            <w:tcBorders>
              <w:bottom w:val="single" w:sz="8" w:color="CFF0FC"/>
            </w:tcBorders>
            <w:shd w:val="clear" w:color="auto" w:fill="CFF0FC"/>
          </w:tcPr>
          <w:p>
            <w:pPr>
              <w:jc w:val="right"/>
              <w:ind w:right="10"/>
              <w:spacing w:after="0"/>
              <w:rPr>
                <w:sz w:val="20"/>
                <w:szCs w:val="20"/>
                <w:color w:val="auto"/>
              </w:rPr>
            </w:pPr>
            <w:r>
              <w:rPr>
                <w:rFonts w:ascii="Arial" w:cs="Arial" w:eastAsia="Arial" w:hAnsi="Arial"/>
                <w:sz w:val="18"/>
                <w:szCs w:val="18"/>
                <w:color w:val="auto"/>
              </w:rPr>
              <w:t>389,994</w:t>
            </w:r>
          </w:p>
        </w:tc>
        <w:tc>
          <w:tcPr>
            <w:tcW w:w="100" w:type="dxa"/>
            <w:vAlign w:val="bottom"/>
            <w:tcBorders>
              <w:bottom w:val="single" w:sz="8" w:color="CFF0FC"/>
            </w:tcBorders>
            <w:shd w:val="clear" w:color="auto" w:fill="CFF0FC"/>
          </w:tcPr>
          <w:p>
            <w:pPr>
              <w:spacing w:after="0"/>
              <w:rPr>
                <w:sz w:val="21"/>
                <w:szCs w:val="21"/>
                <w:color w:val="auto"/>
              </w:rPr>
            </w:pPr>
          </w:p>
        </w:tc>
        <w:tc>
          <w:tcPr>
            <w:tcW w:w="280" w:type="dxa"/>
            <w:vAlign w:val="bottom"/>
            <w:tcBorders>
              <w:bottom w:val="single" w:sz="8" w:color="CFF0FC"/>
            </w:tcBorders>
            <w:shd w:val="clear" w:color="auto" w:fill="CFF0FC"/>
          </w:tcPr>
          <w:p>
            <w:pPr>
              <w:spacing w:after="0"/>
              <w:rPr>
                <w:sz w:val="21"/>
                <w:szCs w:val="21"/>
                <w:color w:val="auto"/>
              </w:rPr>
            </w:pPr>
          </w:p>
        </w:tc>
        <w:tc>
          <w:tcPr>
            <w:tcW w:w="1000" w:type="dxa"/>
            <w:vAlign w:val="bottom"/>
            <w:tcBorders>
              <w:bottom w:val="single" w:sz="8" w:color="CFF0FC"/>
            </w:tcBorders>
            <w:shd w:val="clear" w:color="auto" w:fill="CFF0FC"/>
          </w:tcPr>
          <w:p>
            <w:pPr>
              <w:jc w:val="right"/>
              <w:ind w:right="30"/>
              <w:spacing w:after="0"/>
              <w:rPr>
                <w:sz w:val="20"/>
                <w:szCs w:val="20"/>
                <w:color w:val="auto"/>
              </w:rPr>
            </w:pPr>
            <w:r>
              <w:rPr>
                <w:rFonts w:ascii="Arial" w:cs="Arial" w:eastAsia="Arial" w:hAnsi="Arial"/>
                <w:sz w:val="18"/>
                <w:szCs w:val="18"/>
                <w:color w:val="auto"/>
              </w:rPr>
              <w:t>33,564</w:t>
            </w:r>
          </w:p>
        </w:tc>
        <w:tc>
          <w:tcPr>
            <w:tcW w:w="320" w:type="dxa"/>
            <w:vAlign w:val="bottom"/>
            <w:tcBorders>
              <w:bottom w:val="single" w:sz="8" w:color="CFF0FC"/>
            </w:tcBorders>
            <w:shd w:val="clear" w:color="auto" w:fill="CFF0FC"/>
          </w:tcPr>
          <w:p>
            <w:pPr>
              <w:spacing w:after="0"/>
              <w:rPr>
                <w:sz w:val="21"/>
                <w:szCs w:val="21"/>
                <w:color w:val="auto"/>
              </w:rPr>
            </w:pPr>
          </w:p>
        </w:tc>
        <w:tc>
          <w:tcPr>
            <w:tcW w:w="1040" w:type="dxa"/>
            <w:vAlign w:val="bottom"/>
            <w:tcBorders>
              <w:bottom w:val="single" w:sz="8" w:color="CFF0FC"/>
            </w:tcBorders>
            <w:shd w:val="clear" w:color="auto" w:fill="CFF0FC"/>
          </w:tcPr>
          <w:p>
            <w:pPr>
              <w:jc w:val="right"/>
              <w:ind w:right="30"/>
              <w:spacing w:after="0"/>
              <w:rPr>
                <w:sz w:val="20"/>
                <w:szCs w:val="20"/>
                <w:color w:val="auto"/>
              </w:rPr>
            </w:pPr>
            <w:r>
              <w:rPr>
                <w:rFonts w:ascii="Arial" w:cs="Arial" w:eastAsia="Arial" w:hAnsi="Arial"/>
                <w:sz w:val="18"/>
                <w:szCs w:val="18"/>
                <w:color w:val="auto"/>
              </w:rPr>
              <w:t>351,987</w:t>
            </w:r>
          </w:p>
        </w:tc>
        <w:tc>
          <w:tcPr>
            <w:tcW w:w="400" w:type="dxa"/>
            <w:vAlign w:val="bottom"/>
            <w:tcBorders>
              <w:bottom w:val="single" w:sz="8" w:color="CFF0FC"/>
            </w:tcBorders>
            <w:shd w:val="clear" w:color="auto" w:fill="CFF0FC"/>
          </w:tcPr>
          <w:p>
            <w:pPr>
              <w:spacing w:after="0"/>
              <w:rPr>
                <w:sz w:val="21"/>
                <w:szCs w:val="21"/>
                <w:color w:val="auto"/>
              </w:rPr>
            </w:pPr>
          </w:p>
        </w:tc>
        <w:tc>
          <w:tcPr>
            <w:tcW w:w="1060" w:type="dxa"/>
            <w:vAlign w:val="bottom"/>
            <w:tcBorders>
              <w:bottom w:val="single" w:sz="8" w:color="CFF0FC"/>
            </w:tcBorders>
            <w:shd w:val="clear" w:color="auto" w:fill="CFF0FC"/>
          </w:tcPr>
          <w:p>
            <w:pPr>
              <w:jc w:val="right"/>
              <w:ind w:right="130"/>
              <w:spacing w:after="0"/>
              <w:rPr>
                <w:sz w:val="20"/>
                <w:szCs w:val="20"/>
                <w:color w:val="auto"/>
              </w:rPr>
            </w:pPr>
            <w:r>
              <w:rPr>
                <w:rFonts w:ascii="Arial" w:cs="Arial" w:eastAsia="Arial" w:hAnsi="Arial"/>
                <w:sz w:val="18"/>
                <w:szCs w:val="18"/>
                <w:color w:val="auto"/>
              </w:rPr>
              <w:t>28,893</w:t>
            </w:r>
          </w:p>
        </w:tc>
        <w:tc>
          <w:tcPr>
            <w:tcW w:w="0" w:type="dxa"/>
            <w:vAlign w:val="bottom"/>
          </w:tcPr>
          <w:p>
            <w:pPr>
              <w:spacing w:after="0"/>
              <w:rPr>
                <w:sz w:val="1"/>
                <w:szCs w:val="1"/>
                <w:color w:val="auto"/>
              </w:rPr>
            </w:pPr>
          </w:p>
        </w:tc>
      </w:tr>
      <w:tr>
        <w:trPr>
          <w:trHeight w:val="243"/>
        </w:trPr>
        <w:tc>
          <w:tcPr>
            <w:tcW w:w="5840" w:type="dxa"/>
            <w:vAlign w:val="bottom"/>
          </w:tcPr>
          <w:p>
            <w:pPr>
              <w:ind w:left="280"/>
              <w:spacing w:after="0"/>
              <w:rPr>
                <w:sz w:val="20"/>
                <w:szCs w:val="20"/>
                <w:color w:val="auto"/>
              </w:rPr>
            </w:pPr>
            <w:r>
              <w:rPr>
                <w:rFonts w:ascii="Arial" w:cs="Arial" w:eastAsia="Arial" w:hAnsi="Arial"/>
                <w:sz w:val="18"/>
                <w:szCs w:val="18"/>
                <w:color w:val="auto"/>
              </w:rPr>
              <w:t>Restricted stock units</w:t>
            </w:r>
          </w:p>
        </w:tc>
        <w:tc>
          <w:tcPr>
            <w:tcW w:w="300" w:type="dxa"/>
            <w:vAlign w:val="bottom"/>
          </w:tcPr>
          <w:p>
            <w:pPr>
              <w:spacing w:after="0"/>
              <w:rPr>
                <w:sz w:val="21"/>
                <w:szCs w:val="21"/>
                <w:color w:val="auto"/>
              </w:rPr>
            </w:pPr>
          </w:p>
        </w:tc>
        <w:tc>
          <w:tcPr>
            <w:tcW w:w="1080" w:type="dxa"/>
            <w:vAlign w:val="bottom"/>
          </w:tcPr>
          <w:p>
            <w:pPr>
              <w:jc w:val="right"/>
              <w:ind w:right="10"/>
              <w:spacing w:after="0"/>
              <w:rPr>
                <w:sz w:val="20"/>
                <w:szCs w:val="20"/>
                <w:color w:val="auto"/>
              </w:rPr>
            </w:pPr>
            <w:r>
              <w:rPr>
                <w:rFonts w:ascii="Arial" w:cs="Arial" w:eastAsia="Arial" w:hAnsi="Arial"/>
                <w:sz w:val="18"/>
                <w:szCs w:val="18"/>
                <w:color w:val="auto"/>
              </w:rPr>
              <w:t>21,960</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5,708</w:t>
            </w:r>
          </w:p>
        </w:tc>
        <w:tc>
          <w:tcPr>
            <w:tcW w:w="320" w:type="dxa"/>
            <w:vAlign w:val="bottom"/>
          </w:tcPr>
          <w:p>
            <w:pPr>
              <w:spacing w:after="0"/>
              <w:rPr>
                <w:sz w:val="21"/>
                <w:szCs w:val="21"/>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14,886</w:t>
            </w:r>
          </w:p>
        </w:tc>
        <w:tc>
          <w:tcPr>
            <w:tcW w:w="400" w:type="dxa"/>
            <w:vAlign w:val="bottom"/>
          </w:tcPr>
          <w:p>
            <w:pPr>
              <w:spacing w:after="0"/>
              <w:rPr>
                <w:sz w:val="21"/>
                <w:szCs w:val="21"/>
                <w:color w:val="auto"/>
              </w:rPr>
            </w:pPr>
          </w:p>
        </w:tc>
        <w:tc>
          <w:tcPr>
            <w:tcW w:w="1060" w:type="dxa"/>
            <w:vAlign w:val="bottom"/>
          </w:tcPr>
          <w:p>
            <w:pPr>
              <w:jc w:val="right"/>
              <w:ind w:right="130"/>
              <w:spacing w:after="0"/>
              <w:rPr>
                <w:sz w:val="20"/>
                <w:szCs w:val="20"/>
                <w:color w:val="auto"/>
              </w:rPr>
            </w:pPr>
            <w:r>
              <w:rPr>
                <w:rFonts w:ascii="Arial" w:cs="Arial" w:eastAsia="Arial" w:hAnsi="Arial"/>
                <w:sz w:val="18"/>
                <w:szCs w:val="18"/>
                <w:color w:val="auto"/>
              </w:rPr>
              <w:t>5,121</w:t>
            </w:r>
          </w:p>
        </w:tc>
        <w:tc>
          <w:tcPr>
            <w:tcW w:w="0" w:type="dxa"/>
            <w:vAlign w:val="bottom"/>
          </w:tcPr>
          <w:p>
            <w:pPr>
              <w:spacing w:after="0"/>
              <w:rPr>
                <w:sz w:val="1"/>
                <w:szCs w:val="1"/>
                <w:color w:val="auto"/>
              </w:rPr>
            </w:pPr>
          </w:p>
        </w:tc>
      </w:tr>
      <w:tr>
        <w:trPr>
          <w:trHeight w:val="27"/>
        </w:trPr>
        <w:tc>
          <w:tcPr>
            <w:tcW w:w="5840" w:type="dxa"/>
            <w:vAlign w:val="bottom"/>
            <w:tcBorders>
              <w:bottom w:val="single" w:sz="8" w:color="CFF0FC"/>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5840" w:type="dxa"/>
            <w:vAlign w:val="bottom"/>
            <w:tcBorders>
              <w:bottom w:val="single" w:sz="8" w:color="CFF0FC"/>
            </w:tcBorders>
            <w:shd w:val="clear" w:color="auto" w:fill="CFF0FC"/>
          </w:tcPr>
          <w:p>
            <w:pPr>
              <w:ind w:left="180"/>
              <w:spacing w:after="0"/>
              <w:rPr>
                <w:sz w:val="20"/>
                <w:szCs w:val="20"/>
                <w:color w:val="auto"/>
              </w:rPr>
            </w:pPr>
            <w:r>
              <w:rPr>
                <w:rFonts w:ascii="Arial" w:cs="Arial" w:eastAsia="Arial" w:hAnsi="Arial"/>
                <w:sz w:val="18"/>
                <w:szCs w:val="18"/>
                <w:color w:val="auto"/>
                <w:w w:val="97"/>
              </w:rPr>
              <w:t>Weighted-average shares of Class A common stock outstanding - diluted</w:t>
            </w:r>
          </w:p>
        </w:tc>
        <w:tc>
          <w:tcPr>
            <w:tcW w:w="300" w:type="dxa"/>
            <w:vAlign w:val="bottom"/>
            <w:tcBorders>
              <w:bottom w:val="single" w:sz="8" w:color="auto"/>
            </w:tcBorders>
            <w:shd w:val="clear" w:color="auto" w:fill="CFF0FC"/>
          </w:tcPr>
          <w:p>
            <w:pPr>
              <w:spacing w:after="0"/>
              <w:rPr>
                <w:sz w:val="22"/>
                <w:szCs w:val="22"/>
                <w:color w:val="auto"/>
              </w:rPr>
            </w:pPr>
          </w:p>
        </w:tc>
        <w:tc>
          <w:tcPr>
            <w:tcW w:w="1080" w:type="dxa"/>
            <w:vAlign w:val="bottom"/>
            <w:tcBorders>
              <w:bottom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rPr>
              <w:t>88,105,331</w:t>
            </w:r>
          </w:p>
        </w:tc>
        <w:tc>
          <w:tcPr>
            <w:tcW w:w="100" w:type="dxa"/>
            <w:vAlign w:val="bottom"/>
            <w:tcBorders>
              <w:bottom w:val="single" w:sz="8" w:color="CFF0FC"/>
            </w:tcBorders>
            <w:shd w:val="clear" w:color="auto" w:fill="CFF0FC"/>
          </w:tcPr>
          <w:p>
            <w:pPr>
              <w:spacing w:after="0"/>
              <w:rPr>
                <w:sz w:val="22"/>
                <w:szCs w:val="22"/>
                <w:color w:val="auto"/>
              </w:rPr>
            </w:pPr>
          </w:p>
        </w:tc>
        <w:tc>
          <w:tcPr>
            <w:tcW w:w="280" w:type="dxa"/>
            <w:vAlign w:val="bottom"/>
            <w:tcBorders>
              <w:bottom w:val="single" w:sz="8" w:color="auto"/>
            </w:tcBorders>
            <w:shd w:val="clear" w:color="auto" w:fill="CFF0FC"/>
          </w:tcPr>
          <w:p>
            <w:pPr>
              <w:spacing w:after="0"/>
              <w:rPr>
                <w:sz w:val="22"/>
                <w:szCs w:val="22"/>
                <w:color w:val="auto"/>
              </w:rPr>
            </w:pPr>
          </w:p>
        </w:tc>
        <w:tc>
          <w:tcPr>
            <w:tcW w:w="100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95"/>
              </w:rPr>
              <w:t>79,193,050</w:t>
            </w:r>
          </w:p>
        </w:tc>
        <w:tc>
          <w:tcPr>
            <w:tcW w:w="320" w:type="dxa"/>
            <w:vAlign w:val="bottom"/>
            <w:tcBorders>
              <w:bottom w:val="single" w:sz="8" w:color="auto"/>
            </w:tcBorders>
            <w:shd w:val="clear" w:color="auto" w:fill="CFF0FC"/>
          </w:tcPr>
          <w:p>
            <w:pPr>
              <w:spacing w:after="0"/>
              <w:rPr>
                <w:sz w:val="22"/>
                <w:szCs w:val="22"/>
                <w:color w:val="auto"/>
              </w:rPr>
            </w:pPr>
          </w:p>
        </w:tc>
        <w:tc>
          <w:tcPr>
            <w:tcW w:w="10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99"/>
              </w:rPr>
              <w:t>87,931,469</w:t>
            </w:r>
          </w:p>
        </w:tc>
        <w:tc>
          <w:tcPr>
            <w:tcW w:w="400" w:type="dxa"/>
            <w:vAlign w:val="bottom"/>
            <w:tcBorders>
              <w:bottom w:val="single" w:sz="8" w:color="auto"/>
            </w:tcBorders>
            <w:shd w:val="clear" w:color="auto" w:fill="CFF0FC"/>
          </w:tcPr>
          <w:p>
            <w:pPr>
              <w:spacing w:after="0"/>
              <w:rPr>
                <w:sz w:val="22"/>
                <w:szCs w:val="22"/>
                <w:color w:val="auto"/>
              </w:rPr>
            </w:pPr>
          </w:p>
        </w:tc>
        <w:tc>
          <w:tcPr>
            <w:tcW w:w="1060" w:type="dxa"/>
            <w:vAlign w:val="bottom"/>
            <w:tcBorders>
              <w:bottom w:val="single" w:sz="8" w:color="auto"/>
            </w:tcBorders>
            <w:shd w:val="clear" w:color="auto" w:fill="CFF0FC"/>
          </w:tcPr>
          <w:p>
            <w:pPr>
              <w:jc w:val="right"/>
              <w:ind w:right="130"/>
              <w:spacing w:after="0"/>
              <w:rPr>
                <w:sz w:val="20"/>
                <w:szCs w:val="20"/>
                <w:color w:val="auto"/>
              </w:rPr>
            </w:pPr>
            <w:r>
              <w:rPr>
                <w:rFonts w:ascii="Arial" w:cs="Arial" w:eastAsia="Arial" w:hAnsi="Arial"/>
                <w:sz w:val="18"/>
                <w:szCs w:val="18"/>
                <w:color w:val="auto"/>
                <w:w w:val="90"/>
              </w:rPr>
              <w:t>71,712,769</w:t>
            </w:r>
          </w:p>
        </w:tc>
        <w:tc>
          <w:tcPr>
            <w:tcW w:w="0" w:type="dxa"/>
            <w:vAlign w:val="bottom"/>
          </w:tcPr>
          <w:p>
            <w:pPr>
              <w:spacing w:after="0"/>
              <w:rPr>
                <w:sz w:val="1"/>
                <w:szCs w:val="1"/>
                <w:color w:val="auto"/>
              </w:rPr>
            </w:pPr>
          </w:p>
        </w:tc>
      </w:tr>
      <w:tr>
        <w:trPr>
          <w:trHeight w:val="20"/>
        </w:trPr>
        <w:tc>
          <w:tcPr>
            <w:tcW w:w="5840" w:type="dxa"/>
            <w:vAlign w:val="bottom"/>
            <w:vMerge w:val="restart"/>
          </w:tcPr>
          <w:p>
            <w:pPr>
              <w:ind w:left="40"/>
              <w:spacing w:after="0"/>
              <w:rPr>
                <w:sz w:val="20"/>
                <w:szCs w:val="20"/>
                <w:color w:val="auto"/>
              </w:rPr>
            </w:pPr>
            <w:r>
              <w:rPr>
                <w:rFonts w:ascii="Arial" w:cs="Arial" w:eastAsia="Arial" w:hAnsi="Arial"/>
                <w:sz w:val="18"/>
                <w:szCs w:val="18"/>
                <w:b w:val="1"/>
                <w:bCs w:val="1"/>
                <w:color w:val="auto"/>
              </w:rPr>
              <w:t>Earnings per share of Class A common stock - basic</w:t>
            </w:r>
          </w:p>
        </w:tc>
        <w:tc>
          <w:tcPr>
            <w:tcW w:w="3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5840" w:type="dxa"/>
            <w:vAlign w:val="bottom"/>
            <w:vMerge w:val="continue"/>
          </w:tcPr>
          <w:p>
            <w:pPr>
              <w:spacing w:after="0"/>
              <w:rPr>
                <w:sz w:val="20"/>
                <w:szCs w:val="20"/>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0"/>
              <w:spacing w:after="0"/>
              <w:rPr>
                <w:sz w:val="20"/>
                <w:szCs w:val="20"/>
                <w:color w:val="auto"/>
              </w:rPr>
            </w:pPr>
            <w:r>
              <w:rPr>
                <w:rFonts w:ascii="Arial" w:cs="Arial" w:eastAsia="Arial" w:hAnsi="Arial"/>
                <w:sz w:val="18"/>
                <w:szCs w:val="18"/>
                <w:color w:val="auto"/>
              </w:rPr>
              <w:t>0.30</w:t>
            </w:r>
          </w:p>
        </w:tc>
        <w:tc>
          <w:tcPr>
            <w:tcW w:w="100" w:type="dxa"/>
            <w:vAlign w:val="bottom"/>
          </w:tcPr>
          <w:p>
            <w:pPr>
              <w:spacing w:after="0"/>
              <w:rPr>
                <w:sz w:val="20"/>
                <w:szCs w:val="20"/>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0.16</w:t>
            </w:r>
          </w:p>
        </w:tc>
        <w:tc>
          <w:tcPr>
            <w:tcW w:w="3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0.52</w:t>
            </w:r>
          </w:p>
        </w:tc>
        <w:tc>
          <w:tcPr>
            <w:tcW w:w="40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130"/>
              <w:spacing w:after="0"/>
              <w:rPr>
                <w:sz w:val="20"/>
                <w:szCs w:val="20"/>
                <w:color w:val="auto"/>
              </w:rPr>
            </w:pPr>
            <w:r>
              <w:rPr>
                <w:rFonts w:ascii="Arial" w:cs="Arial" w:eastAsia="Arial" w:hAnsi="Arial"/>
                <w:sz w:val="18"/>
                <w:szCs w:val="18"/>
                <w:color w:val="auto"/>
              </w:rPr>
              <w:t>0.30</w:t>
            </w:r>
          </w:p>
        </w:tc>
        <w:tc>
          <w:tcPr>
            <w:tcW w:w="0" w:type="dxa"/>
            <w:vAlign w:val="bottom"/>
          </w:tcPr>
          <w:p>
            <w:pPr>
              <w:spacing w:after="0"/>
              <w:rPr>
                <w:sz w:val="1"/>
                <w:szCs w:val="1"/>
                <w:color w:val="auto"/>
              </w:rPr>
            </w:pPr>
          </w:p>
        </w:tc>
      </w:tr>
      <w:tr>
        <w:trPr>
          <w:trHeight w:val="27"/>
        </w:trPr>
        <w:tc>
          <w:tcPr>
            <w:tcW w:w="5840" w:type="dxa"/>
            <w:vAlign w:val="bottom"/>
            <w:tcBorders>
              <w:bottom w:val="single" w:sz="8" w:color="CFF0FC"/>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84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b w:val="1"/>
                <w:bCs w:val="1"/>
                <w:color w:val="auto"/>
              </w:rPr>
              <w:t>Earnings per share of Class A common stock - diluted</w:t>
            </w:r>
          </w:p>
        </w:tc>
        <w:tc>
          <w:tcPr>
            <w:tcW w:w="300" w:type="dxa"/>
            <w:vAlign w:val="bottom"/>
            <w:tcBorders>
              <w:bottom w:val="single" w:sz="8" w:color="CFF0FC"/>
            </w:tcBorders>
            <w:shd w:val="clear" w:color="auto" w:fill="CFF0FC"/>
          </w:tcPr>
          <w:p>
            <w:pPr>
              <w:jc w:val="right"/>
              <w:ind w:right="9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FF0FC"/>
            </w:tcBorders>
            <w:shd w:val="clear" w:color="auto" w:fill="CFF0FC"/>
          </w:tcPr>
          <w:p>
            <w:pPr>
              <w:jc w:val="right"/>
              <w:ind w:right="10"/>
              <w:spacing w:after="0"/>
              <w:rPr>
                <w:sz w:val="20"/>
                <w:szCs w:val="20"/>
                <w:color w:val="auto"/>
              </w:rPr>
            </w:pPr>
            <w:r>
              <w:rPr>
                <w:rFonts w:ascii="Arial" w:cs="Arial" w:eastAsia="Arial" w:hAnsi="Arial"/>
                <w:sz w:val="18"/>
                <w:szCs w:val="18"/>
                <w:color w:val="auto"/>
              </w:rPr>
              <w:t>0.29</w:t>
            </w:r>
          </w:p>
        </w:tc>
        <w:tc>
          <w:tcPr>
            <w:tcW w:w="100" w:type="dxa"/>
            <w:vAlign w:val="bottom"/>
            <w:tcBorders>
              <w:bottom w:val="single" w:sz="8" w:color="CFF0FC"/>
            </w:tcBorders>
            <w:shd w:val="clear" w:color="auto" w:fill="CFF0FC"/>
          </w:tcPr>
          <w:p>
            <w:pPr>
              <w:spacing w:after="0"/>
              <w:rPr>
                <w:sz w:val="21"/>
                <w:szCs w:val="21"/>
                <w:color w:val="auto"/>
              </w:rPr>
            </w:pPr>
          </w:p>
        </w:tc>
        <w:tc>
          <w:tcPr>
            <w:tcW w:w="280" w:type="dxa"/>
            <w:vAlign w:val="bottom"/>
            <w:tcBorders>
              <w:bottom w:val="single" w:sz="8" w:color="CFF0FC"/>
            </w:tcBorders>
            <w:shd w:val="clear" w:color="auto" w:fill="CFF0FC"/>
          </w:tcPr>
          <w:p>
            <w:pPr>
              <w:jc w:val="right"/>
              <w:ind w:right="70"/>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FF0FC"/>
            </w:tcBorders>
            <w:shd w:val="clear" w:color="auto" w:fill="CFF0FC"/>
          </w:tcPr>
          <w:p>
            <w:pPr>
              <w:jc w:val="right"/>
              <w:ind w:right="30"/>
              <w:spacing w:after="0"/>
              <w:rPr>
                <w:sz w:val="20"/>
                <w:szCs w:val="20"/>
                <w:color w:val="auto"/>
              </w:rPr>
            </w:pPr>
            <w:r>
              <w:rPr>
                <w:rFonts w:ascii="Arial" w:cs="Arial" w:eastAsia="Arial" w:hAnsi="Arial"/>
                <w:sz w:val="18"/>
                <w:szCs w:val="18"/>
                <w:color w:val="auto"/>
              </w:rPr>
              <w:t>0.16</w:t>
            </w:r>
          </w:p>
        </w:tc>
        <w:tc>
          <w:tcPr>
            <w:tcW w:w="320" w:type="dxa"/>
            <w:vAlign w:val="bottom"/>
            <w:tcBorders>
              <w:bottom w:val="single" w:sz="8" w:color="CFF0FC"/>
            </w:tcBorders>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CFF0FC"/>
            </w:tcBorders>
            <w:shd w:val="clear" w:color="auto" w:fill="CFF0FC"/>
          </w:tcPr>
          <w:p>
            <w:pPr>
              <w:jc w:val="right"/>
              <w:ind w:right="30"/>
              <w:spacing w:after="0"/>
              <w:rPr>
                <w:sz w:val="20"/>
                <w:szCs w:val="20"/>
                <w:color w:val="auto"/>
              </w:rPr>
            </w:pPr>
            <w:r>
              <w:rPr>
                <w:rFonts w:ascii="Arial" w:cs="Arial" w:eastAsia="Arial" w:hAnsi="Arial"/>
                <w:sz w:val="18"/>
                <w:szCs w:val="18"/>
                <w:color w:val="auto"/>
              </w:rPr>
              <w:t>0.52</w:t>
            </w:r>
          </w:p>
        </w:tc>
        <w:tc>
          <w:tcPr>
            <w:tcW w:w="400" w:type="dxa"/>
            <w:vAlign w:val="bottom"/>
            <w:tcBorders>
              <w:bottom w:val="single" w:sz="8" w:color="CFF0FC"/>
            </w:tcBorders>
            <w:shd w:val="clear" w:color="auto" w:fill="CFF0FC"/>
          </w:tcPr>
          <w:p>
            <w:pPr>
              <w:jc w:val="right"/>
              <w:ind w:right="9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CFF0FC"/>
            </w:tcBorders>
            <w:shd w:val="clear" w:color="auto" w:fill="CFF0FC"/>
          </w:tcPr>
          <w:p>
            <w:pPr>
              <w:jc w:val="right"/>
              <w:ind w:right="130"/>
              <w:spacing w:after="0"/>
              <w:rPr>
                <w:sz w:val="20"/>
                <w:szCs w:val="20"/>
                <w:color w:val="auto"/>
              </w:rPr>
            </w:pPr>
            <w:r>
              <w:rPr>
                <w:rFonts w:ascii="Arial" w:cs="Arial" w:eastAsia="Arial" w:hAnsi="Arial"/>
                <w:sz w:val="18"/>
                <w:szCs w:val="18"/>
                <w:color w:val="auto"/>
              </w:rPr>
              <w:t>0.30</w:t>
            </w:r>
          </w:p>
        </w:tc>
        <w:tc>
          <w:tcPr>
            <w:tcW w:w="0" w:type="dxa"/>
            <w:vAlign w:val="bottom"/>
          </w:tcPr>
          <w:p>
            <w:pPr>
              <w:spacing w:after="0"/>
              <w:rPr>
                <w:sz w:val="1"/>
                <w:szCs w:val="1"/>
                <w:color w:val="auto"/>
              </w:rPr>
            </w:pPr>
          </w:p>
        </w:tc>
      </w:tr>
      <w:tr>
        <w:trPr>
          <w:trHeight w:val="20"/>
        </w:trPr>
        <w:tc>
          <w:tcPr>
            <w:tcW w:w="584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Weighted average shares of Class B common stock of 10,704,794 and 19,197,461 for the three months ended June 30, 2018 and 2017, respectively, and 10,828,471 and 26,745,818 for the six months ended June 30, 2018 and 2017, respectively, were evaluated under the if-converted method for potential dilutive effects and were not determined to be dilutive. Weighted average stock options outstanding of 164,341 and 491,856 for the three months ended June 30, 2018 and 2017, respectively and 82,165 and 302,457 for the six months ended June 30, 2018 and 2017, respectively, were evaluated under the treasury stock method for potential dilutive effects and were determined to be anti-dilutive. Weighted average RSUs outstanding of 1,153 and 0 respectively, and 579 and 0 for the six months ended June 30, 2018 and 2017, respectively, were evaluated under the treasury stock method for potential dilutive effects and were determined to be anti-dilutive.</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Income Taxes</w:t>
      </w:r>
    </w:p>
    <w:p>
      <w:pPr>
        <w:spacing w:after="0" w:line="121"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The Company is the sole managing member of Pla-Fit Holdings, which is treated as a partnership for U.S. federal and certain state and local income taxes. As a partnership, Pla-Fit Holdings is not subject to U.S. federal and certain state and local income taxes. Any taxable income or loss generated by Pla-Fit Holdings is passed through to and included in the taxable income or loss of its members, including the Company, on a pro-rata basis.</w:t>
      </w:r>
    </w:p>
    <w:p>
      <w:pPr>
        <w:spacing w:after="0" w:line="5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Planet Fitness, Inc. is subject to U.S. federal income taxes, in addition to state and local income taxes with respect to our allocable share of any taxable income of Pla-Fit Holdings. The Company’s effective tax rate was 23.3% and 36.4% for the three months ended June 30, 2018 and 2017, respectively and 23.0% and 32.7% for the six months ended June 30, 2018 and 2017, respectively. The reduction in the effective tax rate was primarily attributable to the lower U.S. statutory tax rate in 2018, partially offset by the Company’s increased pro rata share of income from Pla-Fit Holdings. The impact of discrete items was not material. The Company was also subject to taxes in foreign jurisdictions. Undistributed earnings of foreign operations were not material for the three and six months ended June 30, 2018 and 2017.</w:t>
      </w:r>
    </w:p>
    <w:p>
      <w:pPr>
        <w:spacing w:after="0" w:line="85"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Net deferred tax assets of $405,310 and $406,153 as of June 30, 2018 and December 31, 2017, respectively, relate primarily to the tax effects of temporary differences in the book basis as compared to the tax basis of our investment in Pla-Fit Holdings as a result of the secondary offerings, other exchanges, recapitalization transactions and IPO. As of June 30, 2018, the Company does not have any material net operating loss carryforwards.</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229" w:right="23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362"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As of June 30, 2018 and December 31, 2017, the total liability related to uncertain tax positions was $300 and $2,608, respectively. During the three months ended June 30, 2018, the Company settled an examination for $2,625 which was fully indemnified. At the date of settlement the Company had recorded on its balance sheet an uncertain tax position reserve and related indemnification asset of $2,967 reflecting principal and interest and therefore released $342 as an offset to provision for income taxes and also released an indemnification asset of $342 through other expense. The Company recognizes interest accrued and penalties, if applicable, related to unrecognized tax benefits in income tax expense. Interest and penalties for the three and six months ended June 30, 2018 and 2017 were not material.</w:t>
      </w:r>
    </w:p>
    <w:p>
      <w:pPr>
        <w:spacing w:after="0" w:line="85"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On December 22, 2017, Staff Accounting Bulletin No. 118 ("SAB 118") was issued to address the application of U.S. GAAP in situations when a registrant does not have the necessary information available, prepared, or analyzed (including computations) in reasonable detail to complete the accounting for certain income tax effects of H.R. 1, originally known as the Tax Cuts and Jobs Act ("2017 Tax Act"). As of December 31, 2017, the Company made reasonable provisional estimates of the effects of the Tax Act on our consolidated financial statements and tax disclosures, including changes to existing deferred tax balances, the mandatory repatriation tax and remeasurement of our tax benefit arrangements. At June 30, 2018, the Company has not obtained the additional information needed to complete the accounting for the effects of the 2017 Tax Act.</w:t>
      </w:r>
    </w:p>
    <w:p>
      <w:pPr>
        <w:spacing w:after="0" w:line="70"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Tax benefit arrangements</w:t>
      </w:r>
    </w:p>
    <w:p>
      <w:pPr>
        <w:spacing w:after="0" w:line="117"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The Company’s acquisition of Holdings Units in connection with the IPO and future and certain past exchanges of Holdings Units for shares of the Company’s Class A common stock (or cash at the option of the Company) are expected to produce and have produced favorable tax attributes. In connection with the IPO, the Company entered into two tax receivable agreements. Under the first of those agreements, the Company generally is required to pay to certain existing and previous equity owners of Pla-Fit Holdings (the “TRA Holders”) 85% of the applicable tax savings, if any, in U.S. federal and state income tax that the Company is deemed to realize as a result of certain tax attributes of their Holdings Units sold to the Company (or exchanged in a taxable sale) and that are created as a result of (i) the sales of their Holdings Units for shares of Class A common stock and (ii) tax benefits attributable to payments made under the tax receivable agreement (including imputed interest). Under the second tax receivable agreement, the Company generally is required to pay to TSG AIV II-A L.P and TSG PF Co-Investors A L.P. (the "Direct TSG Investors") 85% of the amount of tax savings, if any, that the Company is deemed to realize as a result of the tax attributes of the Holdings Units held in respect of the Direct TSG Investors’ interest in the Company, which resulted from the Direct TSG Investors’ purchase of interests in Pla-Fit Holdings in 2012, and certain other tax benefits. Under both agreements, the Company generally retains the benefit of the remaining 15% of the applicable tax savings.</w:t>
      </w:r>
    </w:p>
    <w:p>
      <w:pPr>
        <w:spacing w:after="0" w:line="75"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During the six months ended June 30, 2018, 713,000 Holdings Units were redeemed by the TRA Holders for newly issued shares of Class A common stock, resulting in an increase in the tax basis of the net assets of Pla-Fit Holdings subject to the provisions of the tax receivable agreements. As a result of the change in Planet Fitness, Inc.’s ownership percentage of Pla-Fit Holdings that occurred in conjunction with the exchanges, we recorded a decrease to our net deferred tax assets of $426 during the six months ended June 30, 2018. As a result of these exchanges, during the six months ended June 30, 2018, we also recognized deferred tax assets in the amount of $9,587, and corresponding tax benefit arrangement liabilities of $8,154, representing 85% of the tax benefits due to the TRA Holders. The offset to the entries recorded in connection with exchanges was to equity.</w:t>
      </w:r>
    </w:p>
    <w:p>
      <w:pPr>
        <w:spacing w:after="0" w:line="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As of June 30, 2018 and December 31, 2017, the Company had a liability of $417,454 and $431,360, respectively, related to its projected obligations under the tax benefit arrangements. Projected future payments under the tax benefit arrangements are as follows:</w:t>
      </w:r>
    </w:p>
    <w:p>
      <w:pPr>
        <w:spacing w:after="0" w:line="180" w:lineRule="exact"/>
        <w:rPr>
          <w:sz w:val="20"/>
          <w:szCs w:val="20"/>
          <w:color w:val="auto"/>
        </w:rPr>
      </w:pPr>
    </w:p>
    <w:tbl>
      <w:tblPr>
        <w:tblLayout w:type="fixed"/>
        <w:tblInd w:w="40" w:type="dxa"/>
        <w:tblCellMar>
          <w:top w:w="0" w:type="dxa"/>
          <w:left w:w="0" w:type="dxa"/>
          <w:bottom w:w="0" w:type="dxa"/>
          <w:right w:w="0" w:type="dxa"/>
        </w:tblCellMar>
      </w:tblPr>
      <w:tr>
        <w:trPr>
          <w:trHeight w:val="188"/>
        </w:trPr>
        <w:tc>
          <w:tcPr>
            <w:tcW w:w="3500" w:type="dxa"/>
            <w:vAlign w:val="bottom"/>
            <w:tcBorders>
              <w:bottom w:val="single" w:sz="8" w:color="CFF0FC"/>
            </w:tcBorders>
          </w:tcPr>
          <w:p>
            <w:pPr>
              <w:spacing w:after="0"/>
              <w:rPr>
                <w:sz w:val="16"/>
                <w:szCs w:val="16"/>
                <w:color w:val="auto"/>
              </w:rPr>
            </w:pPr>
          </w:p>
        </w:tc>
        <w:tc>
          <w:tcPr>
            <w:tcW w:w="5820" w:type="dxa"/>
            <w:vAlign w:val="bottom"/>
            <w:tcBorders>
              <w:bottom w:val="single" w:sz="8" w:color="CFF0FC"/>
            </w:tcBorders>
          </w:tcPr>
          <w:p>
            <w:pPr>
              <w:spacing w:after="0"/>
              <w:rPr>
                <w:sz w:val="16"/>
                <w:szCs w:val="16"/>
                <w:color w:val="auto"/>
              </w:rPr>
            </w:pPr>
          </w:p>
        </w:tc>
        <w:tc>
          <w:tcPr>
            <w:tcW w:w="440" w:type="dxa"/>
            <w:vAlign w:val="bottom"/>
            <w:tcBorders>
              <w:bottom w:val="single" w:sz="8" w:color="auto"/>
            </w:tcBorders>
          </w:tcPr>
          <w:p>
            <w:pPr>
              <w:spacing w:after="0"/>
              <w:rPr>
                <w:sz w:val="16"/>
                <w:szCs w:val="16"/>
                <w:color w:val="auto"/>
              </w:rPr>
            </w:pPr>
          </w:p>
        </w:tc>
        <w:tc>
          <w:tcPr>
            <w:tcW w:w="1600" w:type="dxa"/>
            <w:vAlign w:val="bottom"/>
            <w:tcBorders>
              <w:bottom w:val="single" w:sz="8" w:color="auto"/>
            </w:tcBorders>
          </w:tcPr>
          <w:p>
            <w:pPr>
              <w:jc w:val="right"/>
              <w:ind w:right="712"/>
              <w:spacing w:after="0"/>
              <w:rPr>
                <w:sz w:val="20"/>
                <w:szCs w:val="20"/>
                <w:color w:val="auto"/>
              </w:rPr>
            </w:pPr>
            <w:r>
              <w:rPr>
                <w:rFonts w:ascii="Arial" w:cs="Arial" w:eastAsia="Arial" w:hAnsi="Arial"/>
                <w:sz w:val="14"/>
                <w:szCs w:val="14"/>
                <w:color w:val="auto"/>
              </w:rPr>
              <w:t>Amount</w:t>
            </w:r>
          </w:p>
        </w:tc>
        <w:tc>
          <w:tcPr>
            <w:tcW w:w="0" w:type="dxa"/>
            <w:vAlign w:val="bottom"/>
          </w:tcPr>
          <w:p>
            <w:pPr>
              <w:spacing w:after="0"/>
              <w:rPr>
                <w:sz w:val="1"/>
                <w:szCs w:val="1"/>
                <w:color w:val="auto"/>
              </w:rPr>
            </w:pPr>
          </w:p>
        </w:tc>
      </w:tr>
      <w:tr>
        <w:trPr>
          <w:trHeight w:val="250"/>
        </w:trPr>
        <w:tc>
          <w:tcPr>
            <w:tcW w:w="3500" w:type="dxa"/>
            <w:vAlign w:val="bottom"/>
            <w:tcBorders>
              <w:bottom w:val="single" w:sz="8" w:color="CFF0FC"/>
            </w:tcBorders>
            <w:shd w:val="clear" w:color="auto" w:fill="CFF0FC"/>
          </w:tcPr>
          <w:p>
            <w:pPr>
              <w:ind w:left="20"/>
              <w:spacing w:after="0"/>
              <w:rPr>
                <w:sz w:val="20"/>
                <w:szCs w:val="20"/>
                <w:color w:val="auto"/>
              </w:rPr>
            </w:pPr>
            <w:r>
              <w:rPr>
                <w:rFonts w:ascii="Arial" w:cs="Arial" w:eastAsia="Arial" w:hAnsi="Arial"/>
                <w:sz w:val="18"/>
                <w:szCs w:val="18"/>
                <w:color w:val="auto"/>
              </w:rPr>
              <w:t>Remainder of 2018</w:t>
            </w:r>
          </w:p>
        </w:tc>
        <w:tc>
          <w:tcPr>
            <w:tcW w:w="6260" w:type="dxa"/>
            <w:vAlign w:val="bottom"/>
            <w:tcBorders>
              <w:bottom w:val="single" w:sz="8" w:color="CFF0FC"/>
            </w:tcBorders>
            <w:gridSpan w:val="2"/>
            <w:shd w:val="clear" w:color="auto" w:fill="CFF0FC"/>
          </w:tcPr>
          <w:p>
            <w:pPr>
              <w:jc w:val="right"/>
              <w:ind w:right="340"/>
              <w:spacing w:after="0"/>
              <w:rPr>
                <w:sz w:val="20"/>
                <w:szCs w:val="20"/>
                <w:color w:val="auto"/>
              </w:rPr>
            </w:pPr>
            <w:r>
              <w:rPr>
                <w:rFonts w:ascii="Arial" w:cs="Arial" w:eastAsia="Arial" w:hAnsi="Arial"/>
                <w:sz w:val="18"/>
                <w:szCs w:val="18"/>
                <w:color w:val="auto"/>
              </w:rPr>
              <w:t>$</w:t>
            </w:r>
          </w:p>
        </w:tc>
        <w:tc>
          <w:tcPr>
            <w:tcW w:w="1600" w:type="dxa"/>
            <w:vAlign w:val="bottom"/>
            <w:tcBorders>
              <w:bottom w:val="single" w:sz="8" w:color="CFF0FC"/>
            </w:tcBorders>
            <w:shd w:val="clear" w:color="auto" w:fill="CFF0FC"/>
          </w:tcPr>
          <w:p>
            <w:pPr>
              <w:jc w:val="right"/>
              <w:ind w:right="32"/>
              <w:spacing w:after="0"/>
              <w:rPr>
                <w:sz w:val="20"/>
                <w:szCs w:val="20"/>
                <w:color w:val="auto"/>
              </w:rPr>
            </w:pPr>
            <w:r>
              <w:rPr>
                <w:rFonts w:ascii="Arial" w:cs="Arial" w:eastAsia="Arial" w:hAnsi="Arial"/>
                <w:sz w:val="18"/>
                <w:szCs w:val="18"/>
                <w:color w:val="auto"/>
              </w:rPr>
              <w:t>8,764</w:t>
            </w:r>
          </w:p>
        </w:tc>
        <w:tc>
          <w:tcPr>
            <w:tcW w:w="0" w:type="dxa"/>
            <w:vAlign w:val="bottom"/>
          </w:tcPr>
          <w:p>
            <w:pPr>
              <w:spacing w:after="0"/>
              <w:rPr>
                <w:sz w:val="1"/>
                <w:szCs w:val="1"/>
                <w:color w:val="auto"/>
              </w:rPr>
            </w:pPr>
          </w:p>
        </w:tc>
      </w:tr>
      <w:tr>
        <w:trPr>
          <w:trHeight w:val="243"/>
        </w:trPr>
        <w:tc>
          <w:tcPr>
            <w:tcW w:w="3500" w:type="dxa"/>
            <w:vAlign w:val="bottom"/>
          </w:tcPr>
          <w:p>
            <w:pPr>
              <w:ind w:left="20"/>
              <w:spacing w:after="0"/>
              <w:rPr>
                <w:sz w:val="20"/>
                <w:szCs w:val="20"/>
                <w:color w:val="auto"/>
              </w:rPr>
            </w:pPr>
            <w:r>
              <w:rPr>
                <w:rFonts w:ascii="Arial" w:cs="Arial" w:eastAsia="Arial" w:hAnsi="Arial"/>
                <w:sz w:val="18"/>
                <w:szCs w:val="18"/>
                <w:color w:val="auto"/>
              </w:rPr>
              <w:t>2019</w:t>
            </w:r>
          </w:p>
        </w:tc>
        <w:tc>
          <w:tcPr>
            <w:tcW w:w="58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600" w:type="dxa"/>
            <w:vAlign w:val="bottom"/>
          </w:tcPr>
          <w:p>
            <w:pPr>
              <w:jc w:val="right"/>
              <w:ind w:right="32"/>
              <w:spacing w:after="0"/>
              <w:rPr>
                <w:sz w:val="20"/>
                <w:szCs w:val="20"/>
                <w:color w:val="auto"/>
              </w:rPr>
            </w:pPr>
            <w:r>
              <w:rPr>
                <w:rFonts w:ascii="Arial" w:cs="Arial" w:eastAsia="Arial" w:hAnsi="Arial"/>
                <w:sz w:val="18"/>
                <w:szCs w:val="18"/>
                <w:color w:val="auto"/>
              </w:rPr>
              <w:t>24,004</w:t>
            </w:r>
          </w:p>
        </w:tc>
        <w:tc>
          <w:tcPr>
            <w:tcW w:w="0" w:type="dxa"/>
            <w:vAlign w:val="bottom"/>
          </w:tcPr>
          <w:p>
            <w:pPr>
              <w:spacing w:after="0"/>
              <w:rPr>
                <w:sz w:val="1"/>
                <w:szCs w:val="1"/>
                <w:color w:val="auto"/>
              </w:rPr>
            </w:pPr>
          </w:p>
        </w:tc>
      </w:tr>
      <w:tr>
        <w:trPr>
          <w:trHeight w:val="27"/>
        </w:trPr>
        <w:tc>
          <w:tcPr>
            <w:tcW w:w="3500" w:type="dxa"/>
            <w:vAlign w:val="bottom"/>
          </w:tcPr>
          <w:p>
            <w:pPr>
              <w:spacing w:after="0"/>
              <w:rPr>
                <w:sz w:val="2"/>
                <w:szCs w:val="2"/>
                <w:color w:val="auto"/>
              </w:rPr>
            </w:pPr>
          </w:p>
        </w:tc>
        <w:tc>
          <w:tcPr>
            <w:tcW w:w="5820" w:type="dxa"/>
            <w:vAlign w:val="bottom"/>
          </w:tcPr>
          <w:p>
            <w:pPr>
              <w:spacing w:after="0"/>
              <w:rPr>
                <w:sz w:val="2"/>
                <w:szCs w:val="2"/>
                <w:color w:val="auto"/>
              </w:rPr>
            </w:pPr>
          </w:p>
        </w:tc>
        <w:tc>
          <w:tcPr>
            <w:tcW w:w="440" w:type="dxa"/>
            <w:vAlign w:val="bottom"/>
          </w:tcPr>
          <w:p>
            <w:pPr>
              <w:spacing w:after="0"/>
              <w:rPr>
                <w:sz w:val="2"/>
                <w:szCs w:val="2"/>
                <w:color w:val="auto"/>
              </w:rPr>
            </w:pPr>
          </w:p>
        </w:tc>
        <w:tc>
          <w:tcPr>
            <w:tcW w:w="16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00" w:type="dxa"/>
            <w:vAlign w:val="bottom"/>
            <w:tcBorders>
              <w:bottom w:val="single" w:sz="8" w:color="CFF0FC"/>
            </w:tcBorders>
            <w:shd w:val="clear" w:color="auto" w:fill="CFF0FC"/>
          </w:tcPr>
          <w:p>
            <w:pPr>
              <w:ind w:left="20"/>
              <w:spacing w:after="0"/>
              <w:rPr>
                <w:sz w:val="20"/>
                <w:szCs w:val="20"/>
                <w:color w:val="auto"/>
              </w:rPr>
            </w:pPr>
            <w:r>
              <w:rPr>
                <w:rFonts w:ascii="Arial" w:cs="Arial" w:eastAsia="Arial" w:hAnsi="Arial"/>
                <w:sz w:val="18"/>
                <w:szCs w:val="18"/>
                <w:color w:val="auto"/>
              </w:rPr>
              <w:t>2020</w:t>
            </w:r>
          </w:p>
        </w:tc>
        <w:tc>
          <w:tcPr>
            <w:tcW w:w="5820" w:type="dxa"/>
            <w:vAlign w:val="bottom"/>
            <w:tcBorders>
              <w:bottom w:val="single" w:sz="8" w:color="CFF0FC"/>
            </w:tcBorders>
            <w:shd w:val="clear" w:color="auto" w:fill="CFF0FC"/>
          </w:tcPr>
          <w:p>
            <w:pPr>
              <w:spacing w:after="0"/>
              <w:rPr>
                <w:sz w:val="21"/>
                <w:szCs w:val="21"/>
                <w:color w:val="auto"/>
              </w:rPr>
            </w:pPr>
          </w:p>
        </w:tc>
        <w:tc>
          <w:tcPr>
            <w:tcW w:w="440" w:type="dxa"/>
            <w:vAlign w:val="bottom"/>
            <w:tcBorders>
              <w:bottom w:val="single" w:sz="8" w:color="CFF0FC"/>
            </w:tcBorders>
            <w:shd w:val="clear" w:color="auto" w:fill="CFF0FC"/>
          </w:tcPr>
          <w:p>
            <w:pPr>
              <w:spacing w:after="0"/>
              <w:rPr>
                <w:sz w:val="21"/>
                <w:szCs w:val="21"/>
                <w:color w:val="auto"/>
              </w:rPr>
            </w:pPr>
          </w:p>
        </w:tc>
        <w:tc>
          <w:tcPr>
            <w:tcW w:w="1600" w:type="dxa"/>
            <w:vAlign w:val="bottom"/>
            <w:tcBorders>
              <w:bottom w:val="single" w:sz="8" w:color="CFF0FC"/>
            </w:tcBorders>
            <w:shd w:val="clear" w:color="auto" w:fill="CFF0FC"/>
          </w:tcPr>
          <w:p>
            <w:pPr>
              <w:jc w:val="right"/>
              <w:ind w:right="32"/>
              <w:spacing w:after="0"/>
              <w:rPr>
                <w:sz w:val="20"/>
                <w:szCs w:val="20"/>
                <w:color w:val="auto"/>
              </w:rPr>
            </w:pPr>
            <w:r>
              <w:rPr>
                <w:rFonts w:ascii="Arial" w:cs="Arial" w:eastAsia="Arial" w:hAnsi="Arial"/>
                <w:sz w:val="18"/>
                <w:szCs w:val="18"/>
                <w:color w:val="auto"/>
              </w:rPr>
              <w:t>23,983</w:t>
            </w:r>
          </w:p>
        </w:tc>
        <w:tc>
          <w:tcPr>
            <w:tcW w:w="0" w:type="dxa"/>
            <w:vAlign w:val="bottom"/>
          </w:tcPr>
          <w:p>
            <w:pPr>
              <w:spacing w:after="0"/>
              <w:rPr>
                <w:sz w:val="1"/>
                <w:szCs w:val="1"/>
                <w:color w:val="auto"/>
              </w:rPr>
            </w:pPr>
          </w:p>
        </w:tc>
      </w:tr>
      <w:tr>
        <w:trPr>
          <w:trHeight w:val="243"/>
        </w:trPr>
        <w:tc>
          <w:tcPr>
            <w:tcW w:w="3500" w:type="dxa"/>
            <w:vAlign w:val="bottom"/>
          </w:tcPr>
          <w:p>
            <w:pPr>
              <w:ind w:left="20"/>
              <w:spacing w:after="0"/>
              <w:rPr>
                <w:sz w:val="20"/>
                <w:szCs w:val="20"/>
                <w:color w:val="auto"/>
              </w:rPr>
            </w:pPr>
            <w:r>
              <w:rPr>
                <w:rFonts w:ascii="Arial" w:cs="Arial" w:eastAsia="Arial" w:hAnsi="Arial"/>
                <w:sz w:val="18"/>
                <w:szCs w:val="18"/>
                <w:color w:val="auto"/>
              </w:rPr>
              <w:t>2021</w:t>
            </w:r>
          </w:p>
        </w:tc>
        <w:tc>
          <w:tcPr>
            <w:tcW w:w="58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600" w:type="dxa"/>
            <w:vAlign w:val="bottom"/>
          </w:tcPr>
          <w:p>
            <w:pPr>
              <w:jc w:val="right"/>
              <w:ind w:right="32"/>
              <w:spacing w:after="0"/>
              <w:rPr>
                <w:sz w:val="20"/>
                <w:szCs w:val="20"/>
                <w:color w:val="auto"/>
              </w:rPr>
            </w:pPr>
            <w:r>
              <w:rPr>
                <w:rFonts w:ascii="Arial" w:cs="Arial" w:eastAsia="Arial" w:hAnsi="Arial"/>
                <w:sz w:val="18"/>
                <w:szCs w:val="18"/>
                <w:color w:val="auto"/>
              </w:rPr>
              <w:t>24,407</w:t>
            </w:r>
          </w:p>
        </w:tc>
        <w:tc>
          <w:tcPr>
            <w:tcW w:w="0" w:type="dxa"/>
            <w:vAlign w:val="bottom"/>
          </w:tcPr>
          <w:p>
            <w:pPr>
              <w:spacing w:after="0"/>
              <w:rPr>
                <w:sz w:val="1"/>
                <w:szCs w:val="1"/>
                <w:color w:val="auto"/>
              </w:rPr>
            </w:pPr>
          </w:p>
        </w:tc>
      </w:tr>
      <w:tr>
        <w:trPr>
          <w:trHeight w:val="27"/>
        </w:trPr>
        <w:tc>
          <w:tcPr>
            <w:tcW w:w="3500" w:type="dxa"/>
            <w:vAlign w:val="bottom"/>
          </w:tcPr>
          <w:p>
            <w:pPr>
              <w:spacing w:after="0"/>
              <w:rPr>
                <w:sz w:val="2"/>
                <w:szCs w:val="2"/>
                <w:color w:val="auto"/>
              </w:rPr>
            </w:pPr>
          </w:p>
        </w:tc>
        <w:tc>
          <w:tcPr>
            <w:tcW w:w="5820" w:type="dxa"/>
            <w:vAlign w:val="bottom"/>
          </w:tcPr>
          <w:p>
            <w:pPr>
              <w:spacing w:after="0"/>
              <w:rPr>
                <w:sz w:val="2"/>
                <w:szCs w:val="2"/>
                <w:color w:val="auto"/>
              </w:rPr>
            </w:pPr>
          </w:p>
        </w:tc>
        <w:tc>
          <w:tcPr>
            <w:tcW w:w="440" w:type="dxa"/>
            <w:vAlign w:val="bottom"/>
          </w:tcPr>
          <w:p>
            <w:pPr>
              <w:spacing w:after="0"/>
              <w:rPr>
                <w:sz w:val="2"/>
                <w:szCs w:val="2"/>
                <w:color w:val="auto"/>
              </w:rPr>
            </w:pPr>
          </w:p>
        </w:tc>
        <w:tc>
          <w:tcPr>
            <w:tcW w:w="16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00" w:type="dxa"/>
            <w:vAlign w:val="bottom"/>
            <w:tcBorders>
              <w:bottom w:val="single" w:sz="8" w:color="CFF0FC"/>
            </w:tcBorders>
            <w:shd w:val="clear" w:color="auto" w:fill="CFF0FC"/>
          </w:tcPr>
          <w:p>
            <w:pPr>
              <w:ind w:left="20"/>
              <w:spacing w:after="0"/>
              <w:rPr>
                <w:sz w:val="20"/>
                <w:szCs w:val="20"/>
                <w:color w:val="auto"/>
              </w:rPr>
            </w:pPr>
            <w:r>
              <w:rPr>
                <w:rFonts w:ascii="Arial" w:cs="Arial" w:eastAsia="Arial" w:hAnsi="Arial"/>
                <w:sz w:val="18"/>
                <w:szCs w:val="18"/>
                <w:color w:val="auto"/>
              </w:rPr>
              <w:t>2022</w:t>
            </w:r>
          </w:p>
        </w:tc>
        <w:tc>
          <w:tcPr>
            <w:tcW w:w="5820" w:type="dxa"/>
            <w:vAlign w:val="bottom"/>
            <w:tcBorders>
              <w:bottom w:val="single" w:sz="8" w:color="CFF0FC"/>
            </w:tcBorders>
            <w:shd w:val="clear" w:color="auto" w:fill="CFF0FC"/>
          </w:tcPr>
          <w:p>
            <w:pPr>
              <w:spacing w:after="0"/>
              <w:rPr>
                <w:sz w:val="21"/>
                <w:szCs w:val="21"/>
                <w:color w:val="auto"/>
              </w:rPr>
            </w:pPr>
          </w:p>
        </w:tc>
        <w:tc>
          <w:tcPr>
            <w:tcW w:w="440" w:type="dxa"/>
            <w:vAlign w:val="bottom"/>
            <w:tcBorders>
              <w:bottom w:val="single" w:sz="8" w:color="CFF0FC"/>
            </w:tcBorders>
            <w:shd w:val="clear" w:color="auto" w:fill="CFF0FC"/>
          </w:tcPr>
          <w:p>
            <w:pPr>
              <w:spacing w:after="0"/>
              <w:rPr>
                <w:sz w:val="21"/>
                <w:szCs w:val="21"/>
                <w:color w:val="auto"/>
              </w:rPr>
            </w:pPr>
          </w:p>
        </w:tc>
        <w:tc>
          <w:tcPr>
            <w:tcW w:w="1600" w:type="dxa"/>
            <w:vAlign w:val="bottom"/>
            <w:tcBorders>
              <w:bottom w:val="single" w:sz="8" w:color="CFF0FC"/>
            </w:tcBorders>
            <w:shd w:val="clear" w:color="auto" w:fill="CFF0FC"/>
          </w:tcPr>
          <w:p>
            <w:pPr>
              <w:jc w:val="right"/>
              <w:ind w:right="32"/>
              <w:spacing w:after="0"/>
              <w:rPr>
                <w:sz w:val="20"/>
                <w:szCs w:val="20"/>
                <w:color w:val="auto"/>
              </w:rPr>
            </w:pPr>
            <w:r>
              <w:rPr>
                <w:rFonts w:ascii="Arial" w:cs="Arial" w:eastAsia="Arial" w:hAnsi="Arial"/>
                <w:sz w:val="18"/>
                <w:szCs w:val="18"/>
                <w:color w:val="auto"/>
              </w:rPr>
              <w:t>24,897</w:t>
            </w:r>
          </w:p>
        </w:tc>
        <w:tc>
          <w:tcPr>
            <w:tcW w:w="0" w:type="dxa"/>
            <w:vAlign w:val="bottom"/>
          </w:tcPr>
          <w:p>
            <w:pPr>
              <w:spacing w:after="0"/>
              <w:rPr>
                <w:sz w:val="1"/>
                <w:szCs w:val="1"/>
                <w:color w:val="auto"/>
              </w:rPr>
            </w:pPr>
          </w:p>
        </w:tc>
      </w:tr>
      <w:tr>
        <w:trPr>
          <w:trHeight w:val="243"/>
        </w:trPr>
        <w:tc>
          <w:tcPr>
            <w:tcW w:w="3500" w:type="dxa"/>
            <w:vAlign w:val="bottom"/>
          </w:tcPr>
          <w:p>
            <w:pPr>
              <w:ind w:left="20"/>
              <w:spacing w:after="0"/>
              <w:rPr>
                <w:sz w:val="20"/>
                <w:szCs w:val="20"/>
                <w:color w:val="auto"/>
              </w:rPr>
            </w:pPr>
            <w:r>
              <w:rPr>
                <w:rFonts w:ascii="Arial" w:cs="Arial" w:eastAsia="Arial" w:hAnsi="Arial"/>
                <w:sz w:val="18"/>
                <w:szCs w:val="18"/>
                <w:color w:val="auto"/>
              </w:rPr>
              <w:t>Thereafter</w:t>
            </w:r>
          </w:p>
        </w:tc>
        <w:tc>
          <w:tcPr>
            <w:tcW w:w="58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600" w:type="dxa"/>
            <w:vAlign w:val="bottom"/>
          </w:tcPr>
          <w:p>
            <w:pPr>
              <w:jc w:val="right"/>
              <w:ind w:right="32"/>
              <w:spacing w:after="0"/>
              <w:rPr>
                <w:sz w:val="20"/>
                <w:szCs w:val="20"/>
                <w:color w:val="auto"/>
              </w:rPr>
            </w:pPr>
            <w:r>
              <w:rPr>
                <w:rFonts w:ascii="Arial" w:cs="Arial" w:eastAsia="Arial" w:hAnsi="Arial"/>
                <w:sz w:val="18"/>
                <w:szCs w:val="18"/>
                <w:color w:val="auto"/>
              </w:rPr>
              <w:t>311,399</w:t>
            </w:r>
          </w:p>
        </w:tc>
        <w:tc>
          <w:tcPr>
            <w:tcW w:w="0" w:type="dxa"/>
            <w:vAlign w:val="bottom"/>
          </w:tcPr>
          <w:p>
            <w:pPr>
              <w:spacing w:after="0"/>
              <w:rPr>
                <w:sz w:val="1"/>
                <w:szCs w:val="1"/>
                <w:color w:val="auto"/>
              </w:rPr>
            </w:pPr>
          </w:p>
        </w:tc>
      </w:tr>
      <w:tr>
        <w:trPr>
          <w:trHeight w:val="27"/>
        </w:trPr>
        <w:tc>
          <w:tcPr>
            <w:tcW w:w="3500" w:type="dxa"/>
            <w:vAlign w:val="bottom"/>
            <w:tcBorders>
              <w:bottom w:val="single" w:sz="8" w:color="CFF0FC"/>
            </w:tcBorders>
          </w:tcPr>
          <w:p>
            <w:pPr>
              <w:spacing w:after="0"/>
              <w:rPr>
                <w:sz w:val="2"/>
                <w:szCs w:val="2"/>
                <w:color w:val="auto"/>
              </w:rPr>
            </w:pPr>
          </w:p>
        </w:tc>
        <w:tc>
          <w:tcPr>
            <w:tcW w:w="5820" w:type="dxa"/>
            <w:vAlign w:val="bottom"/>
            <w:tcBorders>
              <w:bottom w:val="single" w:sz="8" w:color="CFF0FC"/>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3500" w:type="dxa"/>
            <w:vAlign w:val="bottom"/>
            <w:shd w:val="clear" w:color="auto" w:fill="CFF0FC"/>
          </w:tcPr>
          <w:p>
            <w:pPr>
              <w:ind w:left="280"/>
              <w:spacing w:after="0"/>
              <w:rPr>
                <w:sz w:val="20"/>
                <w:szCs w:val="20"/>
                <w:color w:val="auto"/>
              </w:rPr>
            </w:pPr>
            <w:r>
              <w:rPr>
                <w:rFonts w:ascii="Arial" w:cs="Arial" w:eastAsia="Arial" w:hAnsi="Arial"/>
                <w:sz w:val="18"/>
                <w:szCs w:val="18"/>
                <w:color w:val="auto"/>
              </w:rPr>
              <w:t>Total</w:t>
            </w:r>
          </w:p>
        </w:tc>
        <w:tc>
          <w:tcPr>
            <w:tcW w:w="6260" w:type="dxa"/>
            <w:vAlign w:val="bottom"/>
            <w:gridSpan w:val="2"/>
            <w:shd w:val="clear" w:color="auto" w:fill="CFF0FC"/>
          </w:tcPr>
          <w:p>
            <w:pPr>
              <w:jc w:val="right"/>
              <w:ind w:right="340"/>
              <w:spacing w:after="0"/>
              <w:rPr>
                <w:sz w:val="20"/>
                <w:szCs w:val="20"/>
                <w:color w:val="auto"/>
              </w:rPr>
            </w:pPr>
            <w:r>
              <w:rPr>
                <w:rFonts w:ascii="Arial" w:cs="Arial" w:eastAsia="Arial" w:hAnsi="Arial"/>
                <w:sz w:val="18"/>
                <w:szCs w:val="18"/>
                <w:color w:val="auto"/>
              </w:rPr>
              <w:t>$</w:t>
            </w:r>
          </w:p>
        </w:tc>
        <w:tc>
          <w:tcPr>
            <w:tcW w:w="1600" w:type="dxa"/>
            <w:vAlign w:val="bottom"/>
            <w:shd w:val="clear" w:color="auto" w:fill="CFF0FC"/>
          </w:tcPr>
          <w:p>
            <w:pPr>
              <w:jc w:val="right"/>
              <w:ind w:right="32"/>
              <w:spacing w:after="0"/>
              <w:rPr>
                <w:sz w:val="20"/>
                <w:szCs w:val="20"/>
                <w:color w:val="auto"/>
              </w:rPr>
            </w:pPr>
            <w:r>
              <w:rPr>
                <w:rFonts w:ascii="Arial" w:cs="Arial" w:eastAsia="Arial" w:hAnsi="Arial"/>
                <w:sz w:val="18"/>
                <w:szCs w:val="18"/>
                <w:color w:val="auto"/>
              </w:rPr>
              <w:t>417,454</w:t>
            </w:r>
          </w:p>
        </w:tc>
        <w:tc>
          <w:tcPr>
            <w:tcW w:w="0" w:type="dxa"/>
            <w:vAlign w:val="bottom"/>
          </w:tcPr>
          <w:p>
            <w:pPr>
              <w:spacing w:after="0"/>
              <w:rPr>
                <w:sz w:val="1"/>
                <w:szCs w:val="1"/>
                <w:color w:val="auto"/>
              </w:rPr>
            </w:pPr>
          </w:p>
        </w:tc>
      </w:tr>
      <w:tr>
        <w:trPr>
          <w:trHeight w:val="20"/>
        </w:trPr>
        <w:tc>
          <w:tcPr>
            <w:tcW w:w="3500" w:type="dxa"/>
            <w:vAlign w:val="bottom"/>
            <w:tcBorders>
              <w:top w:val="single" w:sz="8" w:color="CFF0FC"/>
            </w:tcBorders>
          </w:tcPr>
          <w:p>
            <w:pPr>
              <w:spacing w:after="0" w:line="20" w:lineRule="exact"/>
              <w:rPr>
                <w:sz w:val="1"/>
                <w:szCs w:val="1"/>
                <w:color w:val="auto"/>
              </w:rPr>
            </w:pPr>
          </w:p>
        </w:tc>
        <w:tc>
          <w:tcPr>
            <w:tcW w:w="5820" w:type="dxa"/>
            <w:vAlign w:val="bottom"/>
            <w:tcBorders>
              <w:top w:val="single" w:sz="8" w:color="CFF0FC"/>
              <w:bottom w:val="single" w:sz="8" w:color="CFF0FC"/>
            </w:tcBorders>
            <w:vMerge w:val="restart"/>
          </w:tcPr>
          <w:p>
            <w:pPr>
              <w:jc w:val="right"/>
              <w:ind w:right="3470"/>
              <w:spacing w:after="0"/>
              <w:rPr>
                <w:sz w:val="20"/>
                <w:szCs w:val="20"/>
                <w:color w:val="auto"/>
              </w:rPr>
            </w:pPr>
            <w:r>
              <w:rPr>
                <w:rFonts w:ascii="Arial" w:cs="Arial" w:eastAsia="Arial" w:hAnsi="Arial"/>
                <w:sz w:val="18"/>
                <w:szCs w:val="18"/>
                <w:color w:val="auto"/>
              </w:rPr>
              <w:t>18</w:t>
            </w:r>
          </w:p>
        </w:tc>
        <w:tc>
          <w:tcPr>
            <w:tcW w:w="440" w:type="dxa"/>
            <w:vAlign w:val="bottom"/>
            <w:tcBorders>
              <w:top w:val="single" w:sz="8" w:color="auto"/>
              <w:bottom w:val="single" w:sz="8" w:color="auto"/>
            </w:tcBorders>
          </w:tcPr>
          <w:p>
            <w:pPr>
              <w:spacing w:after="0" w:line="20" w:lineRule="exact"/>
              <w:rPr>
                <w:sz w:val="1"/>
                <w:szCs w:val="1"/>
                <w:color w:val="auto"/>
              </w:rPr>
            </w:pPr>
          </w:p>
        </w:tc>
        <w:tc>
          <w:tcPr>
            <w:tcW w:w="16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78"/>
        </w:trPr>
        <w:tc>
          <w:tcPr>
            <w:tcW w:w="3500" w:type="dxa"/>
            <w:vAlign w:val="bottom"/>
          </w:tcPr>
          <w:p>
            <w:pPr>
              <w:spacing w:after="0"/>
              <w:rPr>
                <w:sz w:val="24"/>
                <w:szCs w:val="24"/>
                <w:color w:val="auto"/>
              </w:rPr>
            </w:pPr>
          </w:p>
        </w:tc>
        <w:tc>
          <w:tcPr>
            <w:tcW w:w="5820" w:type="dxa"/>
            <w:vAlign w:val="bottom"/>
            <w:vMerge w:val="continue"/>
          </w:tcPr>
          <w:p>
            <w:pPr>
              <w:spacing w:after="0"/>
              <w:rPr>
                <w:sz w:val="24"/>
                <w:szCs w:val="24"/>
                <w:color w:val="auto"/>
              </w:rPr>
            </w:pPr>
          </w:p>
        </w:tc>
        <w:tc>
          <w:tcPr>
            <w:tcW w:w="44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229" w:right="23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Commitments and contingencies</w:t>
      </w:r>
    </w:p>
    <w:p>
      <w:pPr>
        <w:spacing w:after="0" w:line="12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From time to time, and in the ordinary course of business, the Company is subject to various claims, charges, and litigation, such as employment-related claims and slip and fall cases. The Company is not currently aware of any legal proceedings or claims that the Company believes will have, individually or in the aggregate, a material adverse effect on the Company’s financial position or result of operations.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Segments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Company has three reportable segments: (i) Franchise; (ii) Corporate-owned stores; and (iii) Equipment.</w:t>
      </w:r>
    </w:p>
    <w:p>
      <w:pPr>
        <w:spacing w:after="0" w:line="22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Company’s operations are organized and managed by type of products and services and segment information is reported accordingly. The Company’s chief operating decision maker (the “CODM”) is its Chief Executive Officer. The CODM reviews financial performance and allocates resources by reportable segment. There have been no operating segments aggregated to arrive at the Company’s reportable segments.</w:t>
      </w:r>
    </w:p>
    <w:p>
      <w:pPr>
        <w:spacing w:after="0" w:line="18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Franchise segment includes operations related to the Company’s franchising business in the United States, Puerto Rico, Canada, the Dominican Republic, Panama and Mexico, including revenues and expenses from the national advertising fund beginning on January 1, 2018 (see Note 15). The Corporate-owned stores segment includes operations with respect to all Corporate-owned stores throughout the United States and Canada. The Equipment segment includes the sale of equipment to franchisee-owned stores.</w:t>
      </w:r>
    </w:p>
    <w:p>
      <w:pPr>
        <w:spacing w:after="0" w:line="187"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The accounting policies of the reportable segments are the same as those described in Note 2. The Company evaluates the performance of its segments and allocates resources to them based on revenue and earnings before interest, taxes, depreciation, and amortization, referred to as Segment EBITDA. Revenues for all operating segments include only transactions with unaffiliated customers and include no intersegment revenues.</w:t>
      </w:r>
    </w:p>
    <w:p>
      <w:pPr>
        <w:spacing w:after="0" w:line="166"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tables below summarize the financial information for the Company’s reportable segments for the three and six months ended June 30, 2018 and 2017. The “Corporate and other” category, as it relates to Segment EBITDA, primarily includes corporate overhead costs, such as payroll and related benefit costs and professional services which are not directly attributable to any individual segment.</w:t>
      </w:r>
    </w:p>
    <w:p>
      <w:pPr>
        <w:spacing w:after="0" w:line="32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0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440" w:type="dxa"/>
            <w:vAlign w:val="bottom"/>
            <w:gridSpan w:val="5"/>
          </w:tcPr>
          <w:p>
            <w:pPr>
              <w:ind w:left="400"/>
              <w:spacing w:after="0"/>
              <w:rPr>
                <w:sz w:val="20"/>
                <w:szCs w:val="20"/>
                <w:color w:val="auto"/>
              </w:rPr>
            </w:pPr>
            <w:r>
              <w:rPr>
                <w:rFonts w:ascii="Arial" w:cs="Arial" w:eastAsia="Arial" w:hAnsi="Arial"/>
                <w:sz w:val="14"/>
                <w:szCs w:val="14"/>
                <w:b w:val="1"/>
                <w:bCs w:val="1"/>
                <w:color w:val="auto"/>
              </w:rPr>
              <w:t>Three months ended</w:t>
            </w:r>
          </w:p>
        </w:tc>
        <w:tc>
          <w:tcPr>
            <w:tcW w:w="300" w:type="dxa"/>
            <w:vAlign w:val="bottom"/>
          </w:tcPr>
          <w:p>
            <w:pPr>
              <w:spacing w:after="0"/>
              <w:rPr>
                <w:sz w:val="14"/>
                <w:szCs w:val="14"/>
                <w:color w:val="auto"/>
              </w:rPr>
            </w:pPr>
          </w:p>
        </w:tc>
        <w:tc>
          <w:tcPr>
            <w:tcW w:w="2300" w:type="dxa"/>
            <w:vAlign w:val="bottom"/>
            <w:gridSpan w:val="4"/>
          </w:tcPr>
          <w:p>
            <w:pPr>
              <w:jc w:val="right"/>
              <w:ind w:right="652"/>
              <w:spacing w:after="0"/>
              <w:rPr>
                <w:sz w:val="20"/>
                <w:szCs w:val="20"/>
                <w:color w:val="auto"/>
              </w:rPr>
            </w:pPr>
            <w:r>
              <w:rPr>
                <w:rFonts w:ascii="Arial" w:cs="Arial" w:eastAsia="Arial" w:hAnsi="Arial"/>
                <w:sz w:val="14"/>
                <w:szCs w:val="14"/>
                <w:b w:val="1"/>
                <w:bCs w:val="1"/>
                <w:color w:val="auto"/>
              </w:rPr>
              <w:t>Six months ended</w:t>
            </w:r>
          </w:p>
        </w:tc>
      </w:tr>
      <w:tr>
        <w:trPr>
          <w:trHeight w:val="192"/>
        </w:trPr>
        <w:tc>
          <w:tcPr>
            <w:tcW w:w="606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420" w:type="dxa"/>
            <w:vAlign w:val="bottom"/>
            <w:tcBorders>
              <w:bottom w:val="single" w:sz="8" w:color="auto"/>
            </w:tcBorders>
            <w:gridSpan w:val="3"/>
          </w:tcPr>
          <w:p>
            <w:pPr>
              <w:jc w:val="right"/>
              <w:ind w:right="50"/>
              <w:spacing w:after="0"/>
              <w:rPr>
                <w:sz w:val="20"/>
                <w:szCs w:val="20"/>
                <w:color w:val="auto"/>
              </w:rPr>
            </w:pPr>
            <w:r>
              <w:rPr>
                <w:rFonts w:ascii="Arial" w:cs="Arial" w:eastAsia="Arial" w:hAnsi="Arial"/>
                <w:sz w:val="14"/>
                <w:szCs w:val="14"/>
                <w:b w:val="1"/>
                <w:bCs w:val="1"/>
                <w:color w:val="auto"/>
              </w:rPr>
              <w:t>June 30,</w:t>
            </w:r>
          </w:p>
        </w:tc>
        <w:tc>
          <w:tcPr>
            <w:tcW w:w="9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400" w:type="dxa"/>
            <w:vAlign w:val="bottom"/>
            <w:tcBorders>
              <w:bottom w:val="single" w:sz="8" w:color="auto"/>
            </w:tcBorders>
            <w:gridSpan w:val="3"/>
          </w:tcPr>
          <w:p>
            <w:pPr>
              <w:jc w:val="right"/>
              <w:ind w:right="50"/>
              <w:spacing w:after="0"/>
              <w:rPr>
                <w:sz w:val="20"/>
                <w:szCs w:val="20"/>
                <w:color w:val="auto"/>
              </w:rPr>
            </w:pPr>
            <w:r>
              <w:rPr>
                <w:rFonts w:ascii="Arial" w:cs="Arial" w:eastAsia="Arial" w:hAnsi="Arial"/>
                <w:sz w:val="14"/>
                <w:szCs w:val="14"/>
                <w:b w:val="1"/>
                <w:bCs w:val="1"/>
                <w:color w:val="auto"/>
              </w:rPr>
              <w:t>June 30,</w:t>
            </w:r>
          </w:p>
        </w:tc>
        <w:tc>
          <w:tcPr>
            <w:tcW w:w="900" w:type="dxa"/>
            <w:vAlign w:val="bottom"/>
            <w:tcBorders>
              <w:bottom w:val="single" w:sz="8" w:color="auto"/>
            </w:tcBorders>
          </w:tcPr>
          <w:p>
            <w:pPr>
              <w:spacing w:after="0"/>
              <w:rPr>
                <w:sz w:val="16"/>
                <w:szCs w:val="16"/>
                <w:color w:val="auto"/>
              </w:rPr>
            </w:pPr>
          </w:p>
        </w:tc>
      </w:tr>
      <w:tr>
        <w:trPr>
          <w:trHeight w:val="264"/>
        </w:trPr>
        <w:tc>
          <w:tcPr>
            <w:tcW w:w="6060" w:type="dxa"/>
            <w:vAlign w:val="bottom"/>
            <w:tcBorders>
              <w:bottom w:val="single" w:sz="8" w:color="CFF0FC"/>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414"/>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FF0FC"/>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392"/>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FF0FC"/>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394"/>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FF0FC"/>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392"/>
              <w:spacing w:after="0"/>
              <w:rPr>
                <w:sz w:val="20"/>
                <w:szCs w:val="20"/>
                <w:color w:val="auto"/>
              </w:rPr>
            </w:pPr>
            <w:r>
              <w:rPr>
                <w:rFonts w:ascii="Arial" w:cs="Arial" w:eastAsia="Arial" w:hAnsi="Arial"/>
                <w:sz w:val="14"/>
                <w:szCs w:val="14"/>
                <w:b w:val="1"/>
                <w:bCs w:val="1"/>
                <w:color w:val="auto"/>
              </w:rPr>
              <w:t>2017</w:t>
            </w:r>
          </w:p>
        </w:tc>
      </w:tr>
      <w:tr>
        <w:trPr>
          <w:trHeight w:val="250"/>
        </w:trPr>
        <w:tc>
          <w:tcPr>
            <w:tcW w:w="606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Revenue</w:t>
            </w:r>
          </w:p>
        </w:tc>
        <w:tc>
          <w:tcPr>
            <w:tcW w:w="300" w:type="dxa"/>
            <w:vAlign w:val="bottom"/>
            <w:tcBorders>
              <w:bottom w:val="single" w:sz="8" w:color="CFF0FC"/>
            </w:tcBorders>
            <w:shd w:val="clear" w:color="auto" w:fill="CFF0FC"/>
          </w:tcPr>
          <w:p>
            <w:pPr>
              <w:spacing w:after="0"/>
              <w:rPr>
                <w:sz w:val="21"/>
                <w:szCs w:val="21"/>
                <w:color w:val="auto"/>
              </w:rPr>
            </w:pPr>
          </w:p>
        </w:tc>
        <w:tc>
          <w:tcPr>
            <w:tcW w:w="980" w:type="dxa"/>
            <w:vAlign w:val="bottom"/>
            <w:tcBorders>
              <w:bottom w:val="single" w:sz="8" w:color="CFF0FC"/>
            </w:tcBorders>
            <w:shd w:val="clear" w:color="auto" w:fill="CFF0FC"/>
          </w:tcPr>
          <w:p>
            <w:pPr>
              <w:spacing w:after="0"/>
              <w:rPr>
                <w:sz w:val="21"/>
                <w:szCs w:val="21"/>
                <w:color w:val="auto"/>
              </w:rPr>
            </w:pPr>
          </w:p>
        </w:tc>
        <w:tc>
          <w:tcPr>
            <w:tcW w:w="100" w:type="dxa"/>
            <w:vAlign w:val="bottom"/>
            <w:tcBorders>
              <w:bottom w:val="single" w:sz="8" w:color="CFF0FC"/>
            </w:tcBorders>
            <w:shd w:val="clear" w:color="auto" w:fill="CFF0FC"/>
          </w:tcPr>
          <w:p>
            <w:pPr>
              <w:spacing w:after="0"/>
              <w:rPr>
                <w:sz w:val="21"/>
                <w:szCs w:val="21"/>
                <w:color w:val="auto"/>
              </w:rPr>
            </w:pPr>
          </w:p>
        </w:tc>
        <w:tc>
          <w:tcPr>
            <w:tcW w:w="340" w:type="dxa"/>
            <w:vAlign w:val="bottom"/>
            <w:tcBorders>
              <w:bottom w:val="single" w:sz="8" w:color="CFF0FC"/>
            </w:tcBorders>
            <w:shd w:val="clear" w:color="auto" w:fill="CFF0FC"/>
          </w:tcPr>
          <w:p>
            <w:pPr>
              <w:spacing w:after="0"/>
              <w:rPr>
                <w:sz w:val="21"/>
                <w:szCs w:val="21"/>
                <w:color w:val="auto"/>
              </w:rPr>
            </w:pPr>
          </w:p>
        </w:tc>
        <w:tc>
          <w:tcPr>
            <w:tcW w:w="920" w:type="dxa"/>
            <w:vAlign w:val="bottom"/>
            <w:tcBorders>
              <w:bottom w:val="single" w:sz="8" w:color="CFF0FC"/>
            </w:tcBorders>
            <w:shd w:val="clear" w:color="auto" w:fill="CFF0FC"/>
          </w:tcPr>
          <w:p>
            <w:pPr>
              <w:spacing w:after="0"/>
              <w:rPr>
                <w:sz w:val="21"/>
                <w:szCs w:val="21"/>
                <w:color w:val="auto"/>
              </w:rPr>
            </w:pPr>
          </w:p>
        </w:tc>
        <w:tc>
          <w:tcPr>
            <w:tcW w:w="10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CFF0FC"/>
            </w:tcBorders>
            <w:shd w:val="clear" w:color="auto" w:fill="CFF0FC"/>
          </w:tcPr>
          <w:p>
            <w:pPr>
              <w:spacing w:after="0"/>
              <w:rPr>
                <w:sz w:val="21"/>
                <w:szCs w:val="21"/>
                <w:color w:val="auto"/>
              </w:rPr>
            </w:pPr>
          </w:p>
        </w:tc>
        <w:tc>
          <w:tcPr>
            <w:tcW w:w="940" w:type="dxa"/>
            <w:vAlign w:val="bottom"/>
            <w:tcBorders>
              <w:bottom w:val="single" w:sz="8" w:color="CFF0FC"/>
            </w:tcBorders>
            <w:shd w:val="clear" w:color="auto" w:fill="CFF0FC"/>
          </w:tcPr>
          <w:p>
            <w:pPr>
              <w:spacing w:after="0"/>
              <w:rPr>
                <w:sz w:val="21"/>
                <w:szCs w:val="21"/>
                <w:color w:val="auto"/>
              </w:rPr>
            </w:pPr>
          </w:p>
        </w:tc>
        <w:tc>
          <w:tcPr>
            <w:tcW w:w="120" w:type="dxa"/>
            <w:vAlign w:val="bottom"/>
            <w:tcBorders>
              <w:bottom w:val="single" w:sz="8" w:color="CFF0FC"/>
            </w:tcBorders>
            <w:shd w:val="clear" w:color="auto" w:fill="CFF0FC"/>
          </w:tcPr>
          <w:p>
            <w:pPr>
              <w:spacing w:after="0"/>
              <w:rPr>
                <w:sz w:val="21"/>
                <w:szCs w:val="21"/>
                <w:color w:val="auto"/>
              </w:rPr>
            </w:pPr>
          </w:p>
        </w:tc>
        <w:tc>
          <w:tcPr>
            <w:tcW w:w="340" w:type="dxa"/>
            <w:vAlign w:val="bottom"/>
            <w:tcBorders>
              <w:bottom w:val="single" w:sz="8" w:color="CFF0FC"/>
            </w:tcBorders>
            <w:shd w:val="clear" w:color="auto" w:fill="CFF0FC"/>
          </w:tcPr>
          <w:p>
            <w:pPr>
              <w:spacing w:after="0"/>
              <w:rPr>
                <w:sz w:val="21"/>
                <w:szCs w:val="21"/>
                <w:color w:val="auto"/>
              </w:rPr>
            </w:pPr>
          </w:p>
        </w:tc>
        <w:tc>
          <w:tcPr>
            <w:tcW w:w="900" w:type="dxa"/>
            <w:vAlign w:val="bottom"/>
            <w:tcBorders>
              <w:bottom w:val="single" w:sz="8" w:color="CFF0FC"/>
            </w:tcBorders>
            <w:shd w:val="clear" w:color="auto" w:fill="CFF0FC"/>
          </w:tcPr>
          <w:p>
            <w:pPr>
              <w:spacing w:after="0"/>
              <w:rPr>
                <w:sz w:val="21"/>
                <w:szCs w:val="21"/>
                <w:color w:val="auto"/>
              </w:rPr>
            </w:pP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Franchise segment revenue - U.S.</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ind w:right="34"/>
              <w:spacing w:after="0"/>
              <w:rPr>
                <w:sz w:val="20"/>
                <w:szCs w:val="20"/>
                <w:color w:val="auto"/>
              </w:rPr>
            </w:pPr>
            <w:r>
              <w:rPr>
                <w:rFonts w:ascii="Arial" w:cs="Arial" w:eastAsia="Arial" w:hAnsi="Arial"/>
                <w:sz w:val="18"/>
                <w:szCs w:val="18"/>
                <w:color w:val="auto"/>
              </w:rPr>
              <w:t>57,252</w:t>
            </w:r>
          </w:p>
        </w:tc>
        <w:tc>
          <w:tcPr>
            <w:tcW w:w="100" w:type="dxa"/>
            <w:vAlign w:val="bottom"/>
          </w:tcPr>
          <w:p>
            <w:pPr>
              <w:spacing w:after="0"/>
              <w:rPr>
                <w:sz w:val="21"/>
                <w:szCs w:val="21"/>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920" w:type="dxa"/>
            <w:vAlign w:val="bottom"/>
          </w:tcPr>
          <w:p>
            <w:pPr>
              <w:jc w:val="right"/>
              <w:ind w:right="32"/>
              <w:spacing w:after="0"/>
              <w:rPr>
                <w:sz w:val="20"/>
                <w:szCs w:val="20"/>
                <w:color w:val="auto"/>
              </w:rPr>
            </w:pPr>
            <w:r>
              <w:rPr>
                <w:rFonts w:ascii="Arial" w:cs="Arial" w:eastAsia="Arial" w:hAnsi="Arial"/>
                <w:sz w:val="18"/>
                <w:szCs w:val="18"/>
                <w:color w:val="auto"/>
              </w:rPr>
              <w:t>37,017</w:t>
            </w:r>
          </w:p>
        </w:tc>
        <w:tc>
          <w:tcPr>
            <w:tcW w:w="10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940" w:type="dxa"/>
            <w:vAlign w:val="bottom"/>
          </w:tcPr>
          <w:p>
            <w:pPr>
              <w:jc w:val="right"/>
              <w:ind w:right="14"/>
              <w:spacing w:after="0"/>
              <w:rPr>
                <w:sz w:val="20"/>
                <w:szCs w:val="20"/>
                <w:color w:val="auto"/>
              </w:rPr>
            </w:pPr>
            <w:r>
              <w:rPr>
                <w:rFonts w:ascii="Arial" w:cs="Arial" w:eastAsia="Arial" w:hAnsi="Arial"/>
                <w:sz w:val="18"/>
                <w:szCs w:val="18"/>
                <w:color w:val="auto"/>
              </w:rPr>
              <w:t>110,697</w:t>
            </w:r>
          </w:p>
        </w:tc>
        <w:tc>
          <w:tcPr>
            <w:tcW w:w="120" w:type="dxa"/>
            <w:vAlign w:val="bottom"/>
          </w:tcPr>
          <w:p>
            <w:pPr>
              <w:spacing w:after="0"/>
              <w:rPr>
                <w:sz w:val="21"/>
                <w:szCs w:val="21"/>
                <w:color w:val="auto"/>
              </w:rPr>
            </w:pP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900" w:type="dxa"/>
            <w:vAlign w:val="bottom"/>
          </w:tcPr>
          <w:p>
            <w:pPr>
              <w:jc w:val="right"/>
              <w:ind w:right="32"/>
              <w:spacing w:after="0"/>
              <w:rPr>
                <w:sz w:val="20"/>
                <w:szCs w:val="20"/>
                <w:color w:val="auto"/>
              </w:rPr>
            </w:pPr>
            <w:r>
              <w:rPr>
                <w:rFonts w:ascii="Arial" w:cs="Arial" w:eastAsia="Arial" w:hAnsi="Arial"/>
                <w:sz w:val="18"/>
                <w:szCs w:val="18"/>
                <w:color w:val="auto"/>
              </w:rPr>
              <w:t>73,445</w:t>
            </w:r>
          </w:p>
        </w:tc>
      </w:tr>
      <w:tr>
        <w:trPr>
          <w:trHeight w:val="27"/>
        </w:trPr>
        <w:tc>
          <w:tcPr>
            <w:tcW w:w="6060" w:type="dxa"/>
            <w:vAlign w:val="bottom"/>
          </w:tcPr>
          <w:p>
            <w:pPr>
              <w:spacing w:after="0"/>
              <w:rPr>
                <w:sz w:val="2"/>
                <w:szCs w:val="2"/>
                <w:color w:val="auto"/>
              </w:rPr>
            </w:pPr>
          </w:p>
        </w:tc>
        <w:tc>
          <w:tcPr>
            <w:tcW w:w="3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900" w:type="dxa"/>
            <w:vAlign w:val="bottom"/>
          </w:tcPr>
          <w:p>
            <w:pPr>
              <w:spacing w:after="0"/>
              <w:rPr>
                <w:sz w:val="2"/>
                <w:szCs w:val="2"/>
                <w:color w:val="auto"/>
              </w:rPr>
            </w:pPr>
          </w:p>
        </w:tc>
      </w:tr>
      <w:tr>
        <w:trPr>
          <w:trHeight w:val="270"/>
        </w:trPr>
        <w:tc>
          <w:tcPr>
            <w:tcW w:w="606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Franchise segment revenue - International</w:t>
            </w:r>
          </w:p>
        </w:tc>
        <w:tc>
          <w:tcPr>
            <w:tcW w:w="300" w:type="dxa"/>
            <w:vAlign w:val="bottom"/>
            <w:tcBorders>
              <w:bottom w:val="single" w:sz="8" w:color="CFF0FC"/>
            </w:tcBorders>
            <w:shd w:val="clear" w:color="auto" w:fill="CFF0FC"/>
          </w:tcPr>
          <w:p>
            <w:pPr>
              <w:spacing w:after="0"/>
              <w:rPr>
                <w:sz w:val="23"/>
                <w:szCs w:val="23"/>
                <w:color w:val="auto"/>
              </w:rPr>
            </w:pPr>
          </w:p>
        </w:tc>
        <w:tc>
          <w:tcPr>
            <w:tcW w:w="980" w:type="dxa"/>
            <w:vAlign w:val="bottom"/>
            <w:tcBorders>
              <w:bottom w:val="single" w:sz="8" w:color="CFF0FC"/>
            </w:tcBorders>
            <w:shd w:val="clear" w:color="auto" w:fill="CFF0FC"/>
          </w:tcPr>
          <w:p>
            <w:pPr>
              <w:jc w:val="right"/>
              <w:ind w:right="34"/>
              <w:spacing w:after="0"/>
              <w:rPr>
                <w:sz w:val="20"/>
                <w:szCs w:val="20"/>
                <w:color w:val="auto"/>
              </w:rPr>
            </w:pPr>
            <w:r>
              <w:rPr>
                <w:rFonts w:ascii="Arial" w:cs="Arial" w:eastAsia="Arial" w:hAnsi="Arial"/>
                <w:sz w:val="18"/>
                <w:szCs w:val="18"/>
                <w:color w:val="auto"/>
              </w:rPr>
              <w:t>898</w:t>
            </w:r>
          </w:p>
        </w:tc>
        <w:tc>
          <w:tcPr>
            <w:tcW w:w="100" w:type="dxa"/>
            <w:vAlign w:val="bottom"/>
            <w:tcBorders>
              <w:bottom w:val="single" w:sz="8" w:color="CFF0FC"/>
            </w:tcBorders>
            <w:shd w:val="clear" w:color="auto" w:fill="CFF0FC"/>
          </w:tcPr>
          <w:p>
            <w:pPr>
              <w:spacing w:after="0"/>
              <w:rPr>
                <w:sz w:val="23"/>
                <w:szCs w:val="23"/>
                <w:color w:val="auto"/>
              </w:rPr>
            </w:pPr>
          </w:p>
        </w:tc>
        <w:tc>
          <w:tcPr>
            <w:tcW w:w="340" w:type="dxa"/>
            <w:vAlign w:val="bottom"/>
            <w:tcBorders>
              <w:bottom w:val="single" w:sz="8" w:color="CFF0FC"/>
            </w:tcBorders>
            <w:shd w:val="clear" w:color="auto" w:fill="CFF0FC"/>
          </w:tcPr>
          <w:p>
            <w:pPr>
              <w:spacing w:after="0"/>
              <w:rPr>
                <w:sz w:val="23"/>
                <w:szCs w:val="23"/>
                <w:color w:val="auto"/>
              </w:rPr>
            </w:pPr>
          </w:p>
        </w:tc>
        <w:tc>
          <w:tcPr>
            <w:tcW w:w="920" w:type="dxa"/>
            <w:vAlign w:val="bottom"/>
            <w:tcBorders>
              <w:bottom w:val="single" w:sz="8" w:color="CFF0FC"/>
            </w:tcBorders>
            <w:shd w:val="clear" w:color="auto" w:fill="CFF0FC"/>
          </w:tcPr>
          <w:p>
            <w:pPr>
              <w:jc w:val="right"/>
              <w:ind w:right="32"/>
              <w:spacing w:after="0"/>
              <w:rPr>
                <w:sz w:val="20"/>
                <w:szCs w:val="20"/>
                <w:color w:val="auto"/>
              </w:rPr>
            </w:pPr>
            <w:r>
              <w:rPr>
                <w:rFonts w:ascii="Arial" w:cs="Arial" w:eastAsia="Arial" w:hAnsi="Arial"/>
                <w:sz w:val="18"/>
                <w:szCs w:val="18"/>
                <w:color w:val="auto"/>
              </w:rPr>
              <w:t>777</w:t>
            </w:r>
          </w:p>
        </w:tc>
        <w:tc>
          <w:tcPr>
            <w:tcW w:w="100" w:type="dxa"/>
            <w:vAlign w:val="bottom"/>
            <w:tcBorders>
              <w:bottom w:val="single" w:sz="8" w:color="CFF0FC"/>
            </w:tcBorders>
            <w:shd w:val="clear" w:color="auto" w:fill="CFF0FC"/>
          </w:tcPr>
          <w:p>
            <w:pPr>
              <w:spacing w:after="0"/>
              <w:rPr>
                <w:sz w:val="23"/>
                <w:szCs w:val="23"/>
                <w:color w:val="auto"/>
              </w:rPr>
            </w:pPr>
          </w:p>
        </w:tc>
        <w:tc>
          <w:tcPr>
            <w:tcW w:w="300" w:type="dxa"/>
            <w:vAlign w:val="bottom"/>
            <w:tcBorders>
              <w:bottom w:val="single" w:sz="8" w:color="CFF0FC"/>
            </w:tcBorders>
            <w:shd w:val="clear" w:color="auto" w:fill="CFF0FC"/>
          </w:tcPr>
          <w:p>
            <w:pPr>
              <w:spacing w:after="0"/>
              <w:rPr>
                <w:sz w:val="23"/>
                <w:szCs w:val="23"/>
                <w:color w:val="auto"/>
              </w:rPr>
            </w:pPr>
          </w:p>
        </w:tc>
        <w:tc>
          <w:tcPr>
            <w:tcW w:w="940" w:type="dxa"/>
            <w:vAlign w:val="bottom"/>
            <w:tcBorders>
              <w:bottom w:val="single" w:sz="8" w:color="CFF0FC"/>
            </w:tcBorders>
            <w:shd w:val="clear" w:color="auto" w:fill="CFF0FC"/>
          </w:tcPr>
          <w:p>
            <w:pPr>
              <w:jc w:val="right"/>
              <w:ind w:right="14"/>
              <w:spacing w:after="0"/>
              <w:rPr>
                <w:sz w:val="20"/>
                <w:szCs w:val="20"/>
                <w:color w:val="auto"/>
              </w:rPr>
            </w:pPr>
            <w:r>
              <w:rPr>
                <w:rFonts w:ascii="Arial" w:cs="Arial" w:eastAsia="Arial" w:hAnsi="Arial"/>
                <w:sz w:val="18"/>
                <w:szCs w:val="18"/>
                <w:color w:val="auto"/>
              </w:rPr>
              <w:t>2,065</w:t>
            </w:r>
          </w:p>
        </w:tc>
        <w:tc>
          <w:tcPr>
            <w:tcW w:w="120" w:type="dxa"/>
            <w:vAlign w:val="bottom"/>
            <w:tcBorders>
              <w:bottom w:val="single" w:sz="8" w:color="CFF0FC"/>
            </w:tcBorders>
            <w:shd w:val="clear" w:color="auto" w:fill="CFF0FC"/>
          </w:tcPr>
          <w:p>
            <w:pPr>
              <w:spacing w:after="0"/>
              <w:rPr>
                <w:sz w:val="23"/>
                <w:szCs w:val="23"/>
                <w:color w:val="auto"/>
              </w:rPr>
            </w:pPr>
          </w:p>
        </w:tc>
        <w:tc>
          <w:tcPr>
            <w:tcW w:w="340" w:type="dxa"/>
            <w:vAlign w:val="bottom"/>
            <w:tcBorders>
              <w:bottom w:val="single" w:sz="8" w:color="CFF0FC"/>
            </w:tcBorders>
            <w:shd w:val="clear" w:color="auto" w:fill="CFF0FC"/>
          </w:tcPr>
          <w:p>
            <w:pPr>
              <w:spacing w:after="0"/>
              <w:rPr>
                <w:sz w:val="23"/>
                <w:szCs w:val="23"/>
                <w:color w:val="auto"/>
              </w:rPr>
            </w:pPr>
          </w:p>
        </w:tc>
        <w:tc>
          <w:tcPr>
            <w:tcW w:w="900" w:type="dxa"/>
            <w:vAlign w:val="bottom"/>
            <w:tcBorders>
              <w:bottom w:val="single" w:sz="8" w:color="CFF0FC"/>
            </w:tcBorders>
            <w:shd w:val="clear" w:color="auto" w:fill="CFF0FC"/>
          </w:tcPr>
          <w:p>
            <w:pPr>
              <w:jc w:val="right"/>
              <w:ind w:right="32"/>
              <w:spacing w:after="0"/>
              <w:rPr>
                <w:sz w:val="20"/>
                <w:szCs w:val="20"/>
                <w:color w:val="auto"/>
              </w:rPr>
            </w:pPr>
            <w:r>
              <w:rPr>
                <w:rFonts w:ascii="Arial" w:cs="Arial" w:eastAsia="Arial" w:hAnsi="Arial"/>
                <w:sz w:val="18"/>
                <w:szCs w:val="18"/>
                <w:color w:val="auto"/>
              </w:rPr>
              <w:t>1,146</w:t>
            </w:r>
          </w:p>
        </w:tc>
      </w:tr>
      <w:tr>
        <w:trPr>
          <w:trHeight w:val="237"/>
        </w:trPr>
        <w:tc>
          <w:tcPr>
            <w:tcW w:w="6060" w:type="dxa"/>
            <w:vAlign w:val="bottom"/>
          </w:tcPr>
          <w:p>
            <w:pPr>
              <w:ind w:left="380"/>
              <w:spacing w:after="0"/>
              <w:rPr>
                <w:sz w:val="20"/>
                <w:szCs w:val="20"/>
                <w:color w:val="auto"/>
              </w:rPr>
            </w:pPr>
            <w:r>
              <w:rPr>
                <w:rFonts w:ascii="Arial" w:cs="Arial" w:eastAsia="Arial" w:hAnsi="Arial"/>
                <w:sz w:val="18"/>
                <w:szCs w:val="18"/>
                <w:color w:val="auto"/>
              </w:rPr>
              <w:t>Franchise segment total</w:t>
            </w:r>
          </w:p>
        </w:tc>
        <w:tc>
          <w:tcPr>
            <w:tcW w:w="30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34"/>
              <w:spacing w:after="0"/>
              <w:rPr>
                <w:sz w:val="20"/>
                <w:szCs w:val="20"/>
                <w:color w:val="auto"/>
              </w:rPr>
            </w:pPr>
            <w:r>
              <w:rPr>
                <w:rFonts w:ascii="Arial" w:cs="Arial" w:eastAsia="Arial" w:hAnsi="Arial"/>
                <w:sz w:val="18"/>
                <w:szCs w:val="18"/>
                <w:color w:val="auto"/>
              </w:rPr>
              <w:t>58,150</w:t>
            </w:r>
          </w:p>
        </w:tc>
        <w:tc>
          <w:tcPr>
            <w:tcW w:w="10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92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37,794</w:t>
            </w: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112,762</w:t>
            </w:r>
          </w:p>
        </w:tc>
        <w:tc>
          <w:tcPr>
            <w:tcW w:w="12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74,591</w:t>
            </w:r>
          </w:p>
        </w:tc>
      </w:tr>
      <w:tr>
        <w:trPr>
          <w:trHeight w:val="27"/>
        </w:trPr>
        <w:tc>
          <w:tcPr>
            <w:tcW w:w="6060" w:type="dxa"/>
            <w:vAlign w:val="bottom"/>
          </w:tcPr>
          <w:p>
            <w:pPr>
              <w:spacing w:after="0"/>
              <w:rPr>
                <w:sz w:val="2"/>
                <w:szCs w:val="2"/>
                <w:color w:val="auto"/>
              </w:rPr>
            </w:pPr>
          </w:p>
        </w:tc>
        <w:tc>
          <w:tcPr>
            <w:tcW w:w="3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900" w:type="dxa"/>
            <w:vAlign w:val="bottom"/>
          </w:tcPr>
          <w:p>
            <w:pPr>
              <w:spacing w:after="0"/>
              <w:rPr>
                <w:sz w:val="2"/>
                <w:szCs w:val="2"/>
                <w:color w:val="auto"/>
              </w:rPr>
            </w:pPr>
          </w:p>
        </w:tc>
      </w:tr>
      <w:tr>
        <w:trPr>
          <w:trHeight w:val="250"/>
        </w:trPr>
        <w:tc>
          <w:tcPr>
            <w:tcW w:w="606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Corporate-owned stores - U.S.</w:t>
            </w:r>
          </w:p>
        </w:tc>
        <w:tc>
          <w:tcPr>
            <w:tcW w:w="300" w:type="dxa"/>
            <w:vAlign w:val="bottom"/>
            <w:tcBorders>
              <w:bottom w:val="single" w:sz="8" w:color="CFF0FC"/>
            </w:tcBorders>
            <w:shd w:val="clear" w:color="auto" w:fill="CFF0FC"/>
          </w:tcPr>
          <w:p>
            <w:pPr>
              <w:spacing w:after="0"/>
              <w:rPr>
                <w:sz w:val="21"/>
                <w:szCs w:val="21"/>
                <w:color w:val="auto"/>
              </w:rPr>
            </w:pPr>
          </w:p>
        </w:tc>
        <w:tc>
          <w:tcPr>
            <w:tcW w:w="980" w:type="dxa"/>
            <w:vAlign w:val="bottom"/>
            <w:tcBorders>
              <w:bottom w:val="single" w:sz="8" w:color="CFF0FC"/>
            </w:tcBorders>
            <w:shd w:val="clear" w:color="auto" w:fill="CFF0FC"/>
          </w:tcPr>
          <w:p>
            <w:pPr>
              <w:jc w:val="right"/>
              <w:ind w:right="34"/>
              <w:spacing w:after="0"/>
              <w:rPr>
                <w:sz w:val="20"/>
                <w:szCs w:val="20"/>
                <w:color w:val="auto"/>
              </w:rPr>
            </w:pPr>
            <w:r>
              <w:rPr>
                <w:rFonts w:ascii="Arial" w:cs="Arial" w:eastAsia="Arial" w:hAnsi="Arial"/>
                <w:sz w:val="18"/>
                <w:szCs w:val="18"/>
                <w:color w:val="auto"/>
              </w:rPr>
              <w:t>33,125</w:t>
            </w:r>
          </w:p>
        </w:tc>
        <w:tc>
          <w:tcPr>
            <w:tcW w:w="100" w:type="dxa"/>
            <w:vAlign w:val="bottom"/>
            <w:tcBorders>
              <w:bottom w:val="single" w:sz="8" w:color="CFF0FC"/>
            </w:tcBorders>
            <w:shd w:val="clear" w:color="auto" w:fill="CFF0FC"/>
          </w:tcPr>
          <w:p>
            <w:pPr>
              <w:spacing w:after="0"/>
              <w:rPr>
                <w:sz w:val="21"/>
                <w:szCs w:val="21"/>
                <w:color w:val="auto"/>
              </w:rPr>
            </w:pPr>
          </w:p>
        </w:tc>
        <w:tc>
          <w:tcPr>
            <w:tcW w:w="340" w:type="dxa"/>
            <w:vAlign w:val="bottom"/>
            <w:tcBorders>
              <w:bottom w:val="single" w:sz="8" w:color="CFF0FC"/>
            </w:tcBorders>
            <w:shd w:val="clear" w:color="auto" w:fill="CFF0FC"/>
          </w:tcPr>
          <w:p>
            <w:pPr>
              <w:spacing w:after="0"/>
              <w:rPr>
                <w:sz w:val="21"/>
                <w:szCs w:val="21"/>
                <w:color w:val="auto"/>
              </w:rPr>
            </w:pPr>
          </w:p>
        </w:tc>
        <w:tc>
          <w:tcPr>
            <w:tcW w:w="920" w:type="dxa"/>
            <w:vAlign w:val="bottom"/>
            <w:tcBorders>
              <w:bottom w:val="single" w:sz="8" w:color="CFF0FC"/>
            </w:tcBorders>
            <w:shd w:val="clear" w:color="auto" w:fill="CFF0FC"/>
          </w:tcPr>
          <w:p>
            <w:pPr>
              <w:jc w:val="right"/>
              <w:ind w:right="32"/>
              <w:spacing w:after="0"/>
              <w:rPr>
                <w:sz w:val="20"/>
                <w:szCs w:val="20"/>
                <w:color w:val="auto"/>
              </w:rPr>
            </w:pPr>
            <w:r>
              <w:rPr>
                <w:rFonts w:ascii="Arial" w:cs="Arial" w:eastAsia="Arial" w:hAnsi="Arial"/>
                <w:sz w:val="18"/>
                <w:szCs w:val="18"/>
                <w:color w:val="auto"/>
              </w:rPr>
              <w:t>27,210</w:t>
            </w:r>
          </w:p>
        </w:tc>
        <w:tc>
          <w:tcPr>
            <w:tcW w:w="10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CFF0FC"/>
            </w:tcBorders>
            <w:shd w:val="clear" w:color="auto" w:fill="CFF0FC"/>
          </w:tcPr>
          <w:p>
            <w:pPr>
              <w:spacing w:after="0"/>
              <w:rPr>
                <w:sz w:val="21"/>
                <w:szCs w:val="21"/>
                <w:color w:val="auto"/>
              </w:rPr>
            </w:pPr>
          </w:p>
        </w:tc>
        <w:tc>
          <w:tcPr>
            <w:tcW w:w="940" w:type="dxa"/>
            <w:vAlign w:val="bottom"/>
            <w:tcBorders>
              <w:bottom w:val="single" w:sz="8" w:color="CFF0FC"/>
            </w:tcBorders>
            <w:shd w:val="clear" w:color="auto" w:fill="CFF0FC"/>
          </w:tcPr>
          <w:p>
            <w:pPr>
              <w:jc w:val="right"/>
              <w:ind w:right="14"/>
              <w:spacing w:after="0"/>
              <w:rPr>
                <w:sz w:val="20"/>
                <w:szCs w:val="20"/>
                <w:color w:val="auto"/>
              </w:rPr>
            </w:pPr>
            <w:r>
              <w:rPr>
                <w:rFonts w:ascii="Arial" w:cs="Arial" w:eastAsia="Arial" w:hAnsi="Arial"/>
                <w:sz w:val="18"/>
                <w:szCs w:val="18"/>
                <w:color w:val="auto"/>
              </w:rPr>
              <w:t>64,697</w:t>
            </w:r>
          </w:p>
        </w:tc>
        <w:tc>
          <w:tcPr>
            <w:tcW w:w="120" w:type="dxa"/>
            <w:vAlign w:val="bottom"/>
            <w:tcBorders>
              <w:bottom w:val="single" w:sz="8" w:color="CFF0FC"/>
            </w:tcBorders>
            <w:shd w:val="clear" w:color="auto" w:fill="CFF0FC"/>
          </w:tcPr>
          <w:p>
            <w:pPr>
              <w:spacing w:after="0"/>
              <w:rPr>
                <w:sz w:val="21"/>
                <w:szCs w:val="21"/>
                <w:color w:val="auto"/>
              </w:rPr>
            </w:pPr>
          </w:p>
        </w:tc>
        <w:tc>
          <w:tcPr>
            <w:tcW w:w="340" w:type="dxa"/>
            <w:vAlign w:val="bottom"/>
            <w:tcBorders>
              <w:bottom w:val="single" w:sz="8" w:color="CFF0FC"/>
            </w:tcBorders>
            <w:shd w:val="clear" w:color="auto" w:fill="CFF0FC"/>
          </w:tcPr>
          <w:p>
            <w:pPr>
              <w:spacing w:after="0"/>
              <w:rPr>
                <w:sz w:val="21"/>
                <w:szCs w:val="21"/>
                <w:color w:val="auto"/>
              </w:rPr>
            </w:pPr>
          </w:p>
        </w:tc>
        <w:tc>
          <w:tcPr>
            <w:tcW w:w="900" w:type="dxa"/>
            <w:vAlign w:val="bottom"/>
            <w:tcBorders>
              <w:bottom w:val="single" w:sz="8" w:color="CFF0FC"/>
            </w:tcBorders>
            <w:shd w:val="clear" w:color="auto" w:fill="CFF0FC"/>
          </w:tcPr>
          <w:p>
            <w:pPr>
              <w:jc w:val="right"/>
              <w:ind w:right="32"/>
              <w:spacing w:after="0"/>
              <w:rPr>
                <w:sz w:val="20"/>
                <w:szCs w:val="20"/>
                <w:color w:val="auto"/>
              </w:rPr>
            </w:pPr>
            <w:r>
              <w:rPr>
                <w:rFonts w:ascii="Arial" w:cs="Arial" w:eastAsia="Arial" w:hAnsi="Arial"/>
                <w:sz w:val="18"/>
                <w:szCs w:val="18"/>
                <w:color w:val="auto"/>
              </w:rPr>
              <w:t>53,183</w:t>
            </w: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Corporate-owned stores - International</w:t>
            </w:r>
          </w:p>
        </w:tc>
        <w:tc>
          <w:tcPr>
            <w:tcW w:w="300" w:type="dxa"/>
            <w:vAlign w:val="bottom"/>
          </w:tcPr>
          <w:p>
            <w:pPr>
              <w:spacing w:after="0"/>
              <w:rPr>
                <w:sz w:val="21"/>
                <w:szCs w:val="21"/>
                <w:color w:val="auto"/>
              </w:rPr>
            </w:pPr>
          </w:p>
        </w:tc>
        <w:tc>
          <w:tcPr>
            <w:tcW w:w="980" w:type="dxa"/>
            <w:vAlign w:val="bottom"/>
          </w:tcPr>
          <w:p>
            <w:pPr>
              <w:jc w:val="right"/>
              <w:ind w:right="34"/>
              <w:spacing w:after="0"/>
              <w:rPr>
                <w:sz w:val="20"/>
                <w:szCs w:val="20"/>
                <w:color w:val="auto"/>
              </w:rPr>
            </w:pPr>
            <w:r>
              <w:rPr>
                <w:rFonts w:ascii="Arial" w:cs="Arial" w:eastAsia="Arial" w:hAnsi="Arial"/>
                <w:sz w:val="18"/>
                <w:szCs w:val="18"/>
                <w:color w:val="auto"/>
              </w:rPr>
              <w:t>1,127</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20" w:type="dxa"/>
            <w:vAlign w:val="bottom"/>
          </w:tcPr>
          <w:p>
            <w:pPr>
              <w:jc w:val="right"/>
              <w:ind w:right="32"/>
              <w:spacing w:after="0"/>
              <w:rPr>
                <w:sz w:val="20"/>
                <w:szCs w:val="20"/>
                <w:color w:val="auto"/>
              </w:rPr>
            </w:pPr>
            <w:r>
              <w:rPr>
                <w:rFonts w:ascii="Arial" w:cs="Arial" w:eastAsia="Arial" w:hAnsi="Arial"/>
                <w:sz w:val="18"/>
                <w:szCs w:val="18"/>
                <w:color w:val="auto"/>
              </w:rPr>
              <w:t>1,075</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40" w:type="dxa"/>
            <w:vAlign w:val="bottom"/>
          </w:tcPr>
          <w:p>
            <w:pPr>
              <w:jc w:val="right"/>
              <w:ind w:right="14"/>
              <w:spacing w:after="0"/>
              <w:rPr>
                <w:sz w:val="20"/>
                <w:szCs w:val="20"/>
                <w:color w:val="auto"/>
              </w:rPr>
            </w:pPr>
            <w:r>
              <w:rPr>
                <w:rFonts w:ascii="Arial" w:cs="Arial" w:eastAsia="Arial" w:hAnsi="Arial"/>
                <w:sz w:val="18"/>
                <w:szCs w:val="18"/>
                <w:color w:val="auto"/>
              </w:rPr>
              <w:t>2,262</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00" w:type="dxa"/>
            <w:vAlign w:val="bottom"/>
          </w:tcPr>
          <w:p>
            <w:pPr>
              <w:jc w:val="right"/>
              <w:ind w:right="32"/>
              <w:spacing w:after="0"/>
              <w:rPr>
                <w:sz w:val="20"/>
                <w:szCs w:val="20"/>
                <w:color w:val="auto"/>
              </w:rPr>
            </w:pPr>
            <w:r>
              <w:rPr>
                <w:rFonts w:ascii="Arial" w:cs="Arial" w:eastAsia="Arial" w:hAnsi="Arial"/>
                <w:sz w:val="18"/>
                <w:szCs w:val="18"/>
                <w:color w:val="auto"/>
              </w:rPr>
              <w:t>2,143</w:t>
            </w:r>
          </w:p>
        </w:tc>
      </w:tr>
      <w:tr>
        <w:trPr>
          <w:trHeight w:val="27"/>
        </w:trPr>
        <w:tc>
          <w:tcPr>
            <w:tcW w:w="6060" w:type="dxa"/>
            <w:vAlign w:val="bottom"/>
            <w:tcBorders>
              <w:bottom w:val="single" w:sz="8" w:color="CFF0FC"/>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r>
      <w:tr>
        <w:trPr>
          <w:trHeight w:val="244"/>
        </w:trPr>
        <w:tc>
          <w:tcPr>
            <w:tcW w:w="6060" w:type="dxa"/>
            <w:vAlign w:val="bottom"/>
            <w:tcBorders>
              <w:bottom w:val="single" w:sz="8" w:color="CFF0FC"/>
            </w:tcBorders>
            <w:shd w:val="clear" w:color="auto" w:fill="CFF0FC"/>
          </w:tcPr>
          <w:p>
            <w:pPr>
              <w:ind w:left="380"/>
              <w:spacing w:after="0"/>
              <w:rPr>
                <w:sz w:val="20"/>
                <w:szCs w:val="20"/>
                <w:color w:val="auto"/>
              </w:rPr>
            </w:pPr>
            <w:r>
              <w:rPr>
                <w:rFonts w:ascii="Arial" w:cs="Arial" w:eastAsia="Arial" w:hAnsi="Arial"/>
                <w:sz w:val="18"/>
                <w:szCs w:val="18"/>
                <w:color w:val="auto"/>
              </w:rPr>
              <w:t>Corporate-owned stores total</w:t>
            </w:r>
          </w:p>
        </w:tc>
        <w:tc>
          <w:tcPr>
            <w:tcW w:w="300" w:type="dxa"/>
            <w:vAlign w:val="bottom"/>
            <w:tcBorders>
              <w:bottom w:val="single" w:sz="8" w:color="CFF0FC"/>
            </w:tcBorders>
            <w:shd w:val="clear" w:color="auto" w:fill="CFF0FC"/>
          </w:tcPr>
          <w:p>
            <w:pPr>
              <w:spacing w:after="0"/>
              <w:rPr>
                <w:sz w:val="21"/>
                <w:szCs w:val="21"/>
                <w:color w:val="auto"/>
              </w:rPr>
            </w:pPr>
          </w:p>
        </w:tc>
        <w:tc>
          <w:tcPr>
            <w:tcW w:w="980" w:type="dxa"/>
            <w:vAlign w:val="bottom"/>
            <w:tcBorders>
              <w:bottom w:val="single" w:sz="8" w:color="CFF0FC"/>
            </w:tcBorders>
            <w:shd w:val="clear" w:color="auto" w:fill="CFF0FC"/>
          </w:tcPr>
          <w:p>
            <w:pPr>
              <w:jc w:val="right"/>
              <w:ind w:right="34"/>
              <w:spacing w:after="0"/>
              <w:rPr>
                <w:sz w:val="20"/>
                <w:szCs w:val="20"/>
                <w:color w:val="auto"/>
              </w:rPr>
            </w:pPr>
            <w:r>
              <w:rPr>
                <w:rFonts w:ascii="Arial" w:cs="Arial" w:eastAsia="Arial" w:hAnsi="Arial"/>
                <w:sz w:val="18"/>
                <w:szCs w:val="18"/>
                <w:color w:val="auto"/>
              </w:rPr>
              <w:t>34,252</w:t>
            </w:r>
          </w:p>
        </w:tc>
        <w:tc>
          <w:tcPr>
            <w:tcW w:w="100" w:type="dxa"/>
            <w:vAlign w:val="bottom"/>
            <w:tcBorders>
              <w:bottom w:val="single" w:sz="8" w:color="CFF0FC"/>
            </w:tcBorders>
            <w:shd w:val="clear" w:color="auto" w:fill="CFF0FC"/>
          </w:tcPr>
          <w:p>
            <w:pPr>
              <w:spacing w:after="0"/>
              <w:rPr>
                <w:sz w:val="21"/>
                <w:szCs w:val="21"/>
                <w:color w:val="auto"/>
              </w:rPr>
            </w:pPr>
          </w:p>
        </w:tc>
        <w:tc>
          <w:tcPr>
            <w:tcW w:w="340" w:type="dxa"/>
            <w:vAlign w:val="bottom"/>
            <w:tcBorders>
              <w:bottom w:val="single" w:sz="8" w:color="CFF0FC"/>
            </w:tcBorders>
            <w:shd w:val="clear" w:color="auto" w:fill="CFF0FC"/>
          </w:tcPr>
          <w:p>
            <w:pPr>
              <w:spacing w:after="0"/>
              <w:rPr>
                <w:sz w:val="21"/>
                <w:szCs w:val="21"/>
                <w:color w:val="auto"/>
              </w:rPr>
            </w:pPr>
          </w:p>
        </w:tc>
        <w:tc>
          <w:tcPr>
            <w:tcW w:w="920" w:type="dxa"/>
            <w:vAlign w:val="bottom"/>
            <w:tcBorders>
              <w:bottom w:val="single" w:sz="8" w:color="CFF0FC"/>
            </w:tcBorders>
            <w:shd w:val="clear" w:color="auto" w:fill="CFF0FC"/>
          </w:tcPr>
          <w:p>
            <w:pPr>
              <w:jc w:val="right"/>
              <w:ind w:right="32"/>
              <w:spacing w:after="0"/>
              <w:rPr>
                <w:sz w:val="20"/>
                <w:szCs w:val="20"/>
                <w:color w:val="auto"/>
              </w:rPr>
            </w:pPr>
            <w:r>
              <w:rPr>
                <w:rFonts w:ascii="Arial" w:cs="Arial" w:eastAsia="Arial" w:hAnsi="Arial"/>
                <w:sz w:val="18"/>
                <w:szCs w:val="18"/>
                <w:color w:val="auto"/>
              </w:rPr>
              <w:t>28,285</w:t>
            </w:r>
          </w:p>
        </w:tc>
        <w:tc>
          <w:tcPr>
            <w:tcW w:w="10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CFF0FC"/>
            </w:tcBorders>
            <w:shd w:val="clear" w:color="auto" w:fill="CFF0FC"/>
          </w:tcPr>
          <w:p>
            <w:pPr>
              <w:spacing w:after="0"/>
              <w:rPr>
                <w:sz w:val="21"/>
                <w:szCs w:val="21"/>
                <w:color w:val="auto"/>
              </w:rPr>
            </w:pPr>
          </w:p>
        </w:tc>
        <w:tc>
          <w:tcPr>
            <w:tcW w:w="940" w:type="dxa"/>
            <w:vAlign w:val="bottom"/>
            <w:tcBorders>
              <w:bottom w:val="single" w:sz="8" w:color="CFF0FC"/>
            </w:tcBorders>
            <w:shd w:val="clear" w:color="auto" w:fill="CFF0FC"/>
          </w:tcPr>
          <w:p>
            <w:pPr>
              <w:jc w:val="right"/>
              <w:ind w:right="14"/>
              <w:spacing w:after="0"/>
              <w:rPr>
                <w:sz w:val="20"/>
                <w:szCs w:val="20"/>
                <w:color w:val="auto"/>
              </w:rPr>
            </w:pPr>
            <w:r>
              <w:rPr>
                <w:rFonts w:ascii="Arial" w:cs="Arial" w:eastAsia="Arial" w:hAnsi="Arial"/>
                <w:sz w:val="18"/>
                <w:szCs w:val="18"/>
                <w:color w:val="auto"/>
              </w:rPr>
              <w:t>66,959</w:t>
            </w:r>
          </w:p>
        </w:tc>
        <w:tc>
          <w:tcPr>
            <w:tcW w:w="120" w:type="dxa"/>
            <w:vAlign w:val="bottom"/>
            <w:tcBorders>
              <w:bottom w:val="single" w:sz="8" w:color="CFF0FC"/>
            </w:tcBorders>
            <w:shd w:val="clear" w:color="auto" w:fill="CFF0FC"/>
          </w:tcPr>
          <w:p>
            <w:pPr>
              <w:spacing w:after="0"/>
              <w:rPr>
                <w:sz w:val="21"/>
                <w:szCs w:val="21"/>
                <w:color w:val="auto"/>
              </w:rPr>
            </w:pPr>
          </w:p>
        </w:tc>
        <w:tc>
          <w:tcPr>
            <w:tcW w:w="340" w:type="dxa"/>
            <w:vAlign w:val="bottom"/>
            <w:tcBorders>
              <w:bottom w:val="single" w:sz="8" w:color="CFF0FC"/>
            </w:tcBorders>
            <w:shd w:val="clear" w:color="auto" w:fill="CFF0FC"/>
          </w:tcPr>
          <w:p>
            <w:pPr>
              <w:spacing w:after="0"/>
              <w:rPr>
                <w:sz w:val="21"/>
                <w:szCs w:val="21"/>
                <w:color w:val="auto"/>
              </w:rPr>
            </w:pPr>
          </w:p>
        </w:tc>
        <w:tc>
          <w:tcPr>
            <w:tcW w:w="900" w:type="dxa"/>
            <w:vAlign w:val="bottom"/>
            <w:tcBorders>
              <w:bottom w:val="single" w:sz="8" w:color="CFF0FC"/>
            </w:tcBorders>
            <w:shd w:val="clear" w:color="auto" w:fill="CFF0FC"/>
          </w:tcPr>
          <w:p>
            <w:pPr>
              <w:jc w:val="right"/>
              <w:ind w:right="32"/>
              <w:spacing w:after="0"/>
              <w:rPr>
                <w:sz w:val="20"/>
                <w:szCs w:val="20"/>
                <w:color w:val="auto"/>
              </w:rPr>
            </w:pPr>
            <w:r>
              <w:rPr>
                <w:rFonts w:ascii="Arial" w:cs="Arial" w:eastAsia="Arial" w:hAnsi="Arial"/>
                <w:sz w:val="18"/>
                <w:szCs w:val="18"/>
                <w:color w:val="auto"/>
              </w:rPr>
              <w:t>55,326</w:t>
            </w: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Equipment segment - U.S.</w:t>
            </w:r>
          </w:p>
        </w:tc>
        <w:tc>
          <w:tcPr>
            <w:tcW w:w="300" w:type="dxa"/>
            <w:vAlign w:val="bottom"/>
          </w:tcPr>
          <w:p>
            <w:pPr>
              <w:spacing w:after="0"/>
              <w:rPr>
                <w:sz w:val="21"/>
                <w:szCs w:val="21"/>
                <w:color w:val="auto"/>
              </w:rPr>
            </w:pPr>
          </w:p>
        </w:tc>
        <w:tc>
          <w:tcPr>
            <w:tcW w:w="980" w:type="dxa"/>
            <w:vAlign w:val="bottom"/>
          </w:tcPr>
          <w:p>
            <w:pPr>
              <w:jc w:val="right"/>
              <w:ind w:right="34"/>
              <w:spacing w:after="0"/>
              <w:rPr>
                <w:sz w:val="20"/>
                <w:szCs w:val="20"/>
                <w:color w:val="auto"/>
              </w:rPr>
            </w:pPr>
            <w:r>
              <w:rPr>
                <w:rFonts w:ascii="Arial" w:cs="Arial" w:eastAsia="Arial" w:hAnsi="Arial"/>
                <w:sz w:val="18"/>
                <w:szCs w:val="18"/>
                <w:color w:val="auto"/>
              </w:rPr>
              <w:t>48,148</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20" w:type="dxa"/>
            <w:vAlign w:val="bottom"/>
          </w:tcPr>
          <w:p>
            <w:pPr>
              <w:jc w:val="right"/>
              <w:ind w:right="32"/>
              <w:spacing w:after="0"/>
              <w:rPr>
                <w:sz w:val="20"/>
                <w:szCs w:val="20"/>
                <w:color w:val="auto"/>
              </w:rPr>
            </w:pPr>
            <w:r>
              <w:rPr>
                <w:rFonts w:ascii="Arial" w:cs="Arial" w:eastAsia="Arial" w:hAnsi="Arial"/>
                <w:sz w:val="18"/>
                <w:szCs w:val="18"/>
                <w:color w:val="auto"/>
              </w:rPr>
              <w:t>41,237</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40" w:type="dxa"/>
            <w:vAlign w:val="bottom"/>
          </w:tcPr>
          <w:p>
            <w:pPr>
              <w:jc w:val="right"/>
              <w:ind w:right="14"/>
              <w:spacing w:after="0"/>
              <w:rPr>
                <w:sz w:val="20"/>
                <w:szCs w:val="20"/>
                <w:color w:val="auto"/>
              </w:rPr>
            </w:pPr>
            <w:r>
              <w:rPr>
                <w:rFonts w:ascii="Arial" w:cs="Arial" w:eastAsia="Arial" w:hAnsi="Arial"/>
                <w:sz w:val="18"/>
                <w:szCs w:val="18"/>
                <w:color w:val="auto"/>
              </w:rPr>
              <w:t>82,161</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00" w:type="dxa"/>
            <w:vAlign w:val="bottom"/>
          </w:tcPr>
          <w:p>
            <w:pPr>
              <w:jc w:val="right"/>
              <w:ind w:right="32"/>
              <w:spacing w:after="0"/>
              <w:rPr>
                <w:sz w:val="20"/>
                <w:szCs w:val="20"/>
                <w:color w:val="auto"/>
              </w:rPr>
            </w:pPr>
            <w:r>
              <w:rPr>
                <w:rFonts w:ascii="Arial" w:cs="Arial" w:eastAsia="Arial" w:hAnsi="Arial"/>
                <w:sz w:val="18"/>
                <w:szCs w:val="18"/>
                <w:color w:val="auto"/>
              </w:rPr>
              <w:t>68,501</w:t>
            </w:r>
          </w:p>
        </w:tc>
      </w:tr>
      <w:tr>
        <w:trPr>
          <w:trHeight w:val="27"/>
        </w:trPr>
        <w:tc>
          <w:tcPr>
            <w:tcW w:w="6060" w:type="dxa"/>
            <w:vAlign w:val="bottom"/>
            <w:tcBorders>
              <w:bottom w:val="single" w:sz="8" w:color="CFF0FC"/>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r>
      <w:tr>
        <w:trPr>
          <w:trHeight w:val="264"/>
        </w:trPr>
        <w:tc>
          <w:tcPr>
            <w:tcW w:w="6060" w:type="dxa"/>
            <w:vAlign w:val="bottom"/>
            <w:tcBorders>
              <w:bottom w:val="single" w:sz="8" w:color="CFF0FC"/>
            </w:tcBorders>
            <w:shd w:val="clear" w:color="auto" w:fill="CFF0FC"/>
          </w:tcPr>
          <w:p>
            <w:pPr>
              <w:ind w:left="380"/>
              <w:spacing w:after="0"/>
              <w:rPr>
                <w:sz w:val="20"/>
                <w:szCs w:val="20"/>
                <w:color w:val="auto"/>
              </w:rPr>
            </w:pPr>
            <w:r>
              <w:rPr>
                <w:rFonts w:ascii="Arial" w:cs="Arial" w:eastAsia="Arial" w:hAnsi="Arial"/>
                <w:sz w:val="18"/>
                <w:szCs w:val="18"/>
                <w:color w:val="auto"/>
              </w:rPr>
              <w:t>Equipment segment total</w:t>
            </w:r>
          </w:p>
        </w:tc>
        <w:tc>
          <w:tcPr>
            <w:tcW w:w="300" w:type="dxa"/>
            <w:vAlign w:val="bottom"/>
            <w:tcBorders>
              <w:bottom w:val="single" w:sz="8" w:color="CFF0FC"/>
            </w:tcBorders>
            <w:shd w:val="clear" w:color="auto" w:fill="CFF0FC"/>
          </w:tcPr>
          <w:p>
            <w:pPr>
              <w:spacing w:after="0"/>
              <w:rPr>
                <w:sz w:val="22"/>
                <w:szCs w:val="22"/>
                <w:color w:val="auto"/>
              </w:rPr>
            </w:pPr>
          </w:p>
        </w:tc>
        <w:tc>
          <w:tcPr>
            <w:tcW w:w="980" w:type="dxa"/>
            <w:vAlign w:val="bottom"/>
            <w:tcBorders>
              <w:bottom w:val="single" w:sz="8" w:color="CFF0FC"/>
            </w:tcBorders>
            <w:shd w:val="clear" w:color="auto" w:fill="CFF0FC"/>
          </w:tcPr>
          <w:p>
            <w:pPr>
              <w:jc w:val="right"/>
              <w:ind w:right="34"/>
              <w:spacing w:after="0"/>
              <w:rPr>
                <w:sz w:val="20"/>
                <w:szCs w:val="20"/>
                <w:color w:val="auto"/>
              </w:rPr>
            </w:pPr>
            <w:r>
              <w:rPr>
                <w:rFonts w:ascii="Arial" w:cs="Arial" w:eastAsia="Arial" w:hAnsi="Arial"/>
                <w:sz w:val="18"/>
                <w:szCs w:val="18"/>
                <w:color w:val="auto"/>
              </w:rPr>
              <w:t>48,148</w:t>
            </w:r>
          </w:p>
        </w:tc>
        <w:tc>
          <w:tcPr>
            <w:tcW w:w="100" w:type="dxa"/>
            <w:vAlign w:val="bottom"/>
            <w:tcBorders>
              <w:bottom w:val="single" w:sz="8" w:color="CFF0FC"/>
            </w:tcBorders>
            <w:shd w:val="clear" w:color="auto" w:fill="CFF0FC"/>
          </w:tcPr>
          <w:p>
            <w:pPr>
              <w:spacing w:after="0"/>
              <w:rPr>
                <w:sz w:val="22"/>
                <w:szCs w:val="22"/>
                <w:color w:val="auto"/>
              </w:rPr>
            </w:pPr>
          </w:p>
        </w:tc>
        <w:tc>
          <w:tcPr>
            <w:tcW w:w="340" w:type="dxa"/>
            <w:vAlign w:val="bottom"/>
            <w:tcBorders>
              <w:bottom w:val="single" w:sz="8" w:color="CFF0FC"/>
            </w:tcBorders>
            <w:shd w:val="clear" w:color="auto" w:fill="CFF0FC"/>
          </w:tcPr>
          <w:p>
            <w:pPr>
              <w:spacing w:after="0"/>
              <w:rPr>
                <w:sz w:val="22"/>
                <w:szCs w:val="22"/>
                <w:color w:val="auto"/>
              </w:rPr>
            </w:pPr>
          </w:p>
        </w:tc>
        <w:tc>
          <w:tcPr>
            <w:tcW w:w="920" w:type="dxa"/>
            <w:vAlign w:val="bottom"/>
            <w:tcBorders>
              <w:bottom w:val="single" w:sz="8" w:color="CFF0FC"/>
            </w:tcBorders>
            <w:shd w:val="clear" w:color="auto" w:fill="CFF0FC"/>
          </w:tcPr>
          <w:p>
            <w:pPr>
              <w:jc w:val="right"/>
              <w:ind w:right="32"/>
              <w:spacing w:after="0"/>
              <w:rPr>
                <w:sz w:val="20"/>
                <w:szCs w:val="20"/>
                <w:color w:val="auto"/>
              </w:rPr>
            </w:pPr>
            <w:r>
              <w:rPr>
                <w:rFonts w:ascii="Arial" w:cs="Arial" w:eastAsia="Arial" w:hAnsi="Arial"/>
                <w:sz w:val="18"/>
                <w:szCs w:val="18"/>
                <w:color w:val="auto"/>
              </w:rPr>
              <w:t>41,237</w:t>
            </w:r>
          </w:p>
        </w:tc>
        <w:tc>
          <w:tcPr>
            <w:tcW w:w="100" w:type="dxa"/>
            <w:vAlign w:val="bottom"/>
            <w:tcBorders>
              <w:bottom w:val="single" w:sz="8" w:color="CFF0FC"/>
            </w:tcBorders>
            <w:shd w:val="clear" w:color="auto" w:fill="CFF0FC"/>
          </w:tcPr>
          <w:p>
            <w:pPr>
              <w:spacing w:after="0"/>
              <w:rPr>
                <w:sz w:val="22"/>
                <w:szCs w:val="22"/>
                <w:color w:val="auto"/>
              </w:rPr>
            </w:pPr>
          </w:p>
        </w:tc>
        <w:tc>
          <w:tcPr>
            <w:tcW w:w="300" w:type="dxa"/>
            <w:vAlign w:val="bottom"/>
            <w:tcBorders>
              <w:bottom w:val="single" w:sz="8" w:color="CFF0FC"/>
            </w:tcBorders>
            <w:shd w:val="clear" w:color="auto" w:fill="CFF0FC"/>
          </w:tcPr>
          <w:p>
            <w:pPr>
              <w:spacing w:after="0"/>
              <w:rPr>
                <w:sz w:val="22"/>
                <w:szCs w:val="22"/>
                <w:color w:val="auto"/>
              </w:rPr>
            </w:pPr>
          </w:p>
        </w:tc>
        <w:tc>
          <w:tcPr>
            <w:tcW w:w="940" w:type="dxa"/>
            <w:vAlign w:val="bottom"/>
            <w:tcBorders>
              <w:bottom w:val="single" w:sz="8" w:color="CFF0FC"/>
            </w:tcBorders>
            <w:shd w:val="clear" w:color="auto" w:fill="CFF0FC"/>
          </w:tcPr>
          <w:p>
            <w:pPr>
              <w:jc w:val="right"/>
              <w:ind w:right="14"/>
              <w:spacing w:after="0"/>
              <w:rPr>
                <w:sz w:val="20"/>
                <w:szCs w:val="20"/>
                <w:color w:val="auto"/>
              </w:rPr>
            </w:pPr>
            <w:r>
              <w:rPr>
                <w:rFonts w:ascii="Arial" w:cs="Arial" w:eastAsia="Arial" w:hAnsi="Arial"/>
                <w:sz w:val="18"/>
                <w:szCs w:val="18"/>
                <w:color w:val="auto"/>
              </w:rPr>
              <w:t>82,161</w:t>
            </w:r>
          </w:p>
        </w:tc>
        <w:tc>
          <w:tcPr>
            <w:tcW w:w="120" w:type="dxa"/>
            <w:vAlign w:val="bottom"/>
            <w:tcBorders>
              <w:bottom w:val="single" w:sz="8" w:color="CFF0FC"/>
            </w:tcBorders>
            <w:shd w:val="clear" w:color="auto" w:fill="CFF0FC"/>
          </w:tcPr>
          <w:p>
            <w:pPr>
              <w:spacing w:after="0"/>
              <w:rPr>
                <w:sz w:val="22"/>
                <w:szCs w:val="22"/>
                <w:color w:val="auto"/>
              </w:rPr>
            </w:pPr>
          </w:p>
        </w:tc>
        <w:tc>
          <w:tcPr>
            <w:tcW w:w="340" w:type="dxa"/>
            <w:vAlign w:val="bottom"/>
            <w:tcBorders>
              <w:bottom w:val="single" w:sz="8" w:color="CFF0FC"/>
            </w:tcBorders>
            <w:shd w:val="clear" w:color="auto" w:fill="CFF0FC"/>
          </w:tcPr>
          <w:p>
            <w:pPr>
              <w:spacing w:after="0"/>
              <w:rPr>
                <w:sz w:val="22"/>
                <w:szCs w:val="22"/>
                <w:color w:val="auto"/>
              </w:rPr>
            </w:pPr>
          </w:p>
        </w:tc>
        <w:tc>
          <w:tcPr>
            <w:tcW w:w="900" w:type="dxa"/>
            <w:vAlign w:val="bottom"/>
            <w:tcBorders>
              <w:bottom w:val="single" w:sz="8" w:color="CFF0FC"/>
            </w:tcBorders>
            <w:shd w:val="clear" w:color="auto" w:fill="CFF0FC"/>
          </w:tcPr>
          <w:p>
            <w:pPr>
              <w:jc w:val="right"/>
              <w:ind w:right="32"/>
              <w:spacing w:after="0"/>
              <w:rPr>
                <w:sz w:val="20"/>
                <w:szCs w:val="20"/>
                <w:color w:val="auto"/>
              </w:rPr>
            </w:pPr>
            <w:r>
              <w:rPr>
                <w:rFonts w:ascii="Arial" w:cs="Arial" w:eastAsia="Arial" w:hAnsi="Arial"/>
                <w:sz w:val="18"/>
                <w:szCs w:val="18"/>
                <w:color w:val="auto"/>
              </w:rPr>
              <w:t>68,501</w:t>
            </w:r>
          </w:p>
        </w:tc>
      </w:tr>
      <w:tr>
        <w:trPr>
          <w:trHeight w:val="257"/>
        </w:trPr>
        <w:tc>
          <w:tcPr>
            <w:tcW w:w="6060" w:type="dxa"/>
            <w:vAlign w:val="bottom"/>
          </w:tcPr>
          <w:p>
            <w:pPr>
              <w:ind w:left="500"/>
              <w:spacing w:after="0"/>
              <w:rPr>
                <w:sz w:val="20"/>
                <w:szCs w:val="20"/>
                <w:color w:val="auto"/>
              </w:rPr>
            </w:pPr>
            <w:r>
              <w:rPr>
                <w:rFonts w:ascii="Arial" w:cs="Arial" w:eastAsia="Arial" w:hAnsi="Arial"/>
                <w:sz w:val="18"/>
                <w:szCs w:val="18"/>
                <w:color w:val="auto"/>
              </w:rPr>
              <w:t>Total revenue</w:t>
            </w:r>
          </w:p>
        </w:tc>
        <w:tc>
          <w:tcPr>
            <w:tcW w:w="30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980" w:type="dxa"/>
            <w:vAlign w:val="bottom"/>
            <w:tcBorders>
              <w:top w:val="single" w:sz="8" w:color="auto"/>
              <w:bottom w:val="single" w:sz="8" w:color="auto"/>
            </w:tcBorders>
          </w:tcPr>
          <w:p>
            <w:pPr>
              <w:jc w:val="right"/>
              <w:ind w:right="34"/>
              <w:spacing w:after="0"/>
              <w:rPr>
                <w:sz w:val="20"/>
                <w:szCs w:val="20"/>
                <w:color w:val="auto"/>
              </w:rPr>
            </w:pPr>
            <w:r>
              <w:rPr>
                <w:rFonts w:ascii="Arial" w:cs="Arial" w:eastAsia="Arial" w:hAnsi="Arial"/>
                <w:sz w:val="18"/>
                <w:szCs w:val="18"/>
                <w:color w:val="auto"/>
              </w:rPr>
              <w:t>140,550</w:t>
            </w:r>
          </w:p>
        </w:tc>
        <w:tc>
          <w:tcPr>
            <w:tcW w:w="100" w:type="dxa"/>
            <w:vAlign w:val="bottom"/>
          </w:tcPr>
          <w:p>
            <w:pPr>
              <w:spacing w:after="0"/>
              <w:rPr>
                <w:sz w:val="22"/>
                <w:szCs w:val="22"/>
                <w:color w:val="auto"/>
              </w:rPr>
            </w:pPr>
          </w:p>
        </w:tc>
        <w:tc>
          <w:tcPr>
            <w:tcW w:w="34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920" w:type="dxa"/>
            <w:vAlign w:val="bottom"/>
            <w:tcBorders>
              <w:top w:val="single" w:sz="8" w:color="auto"/>
              <w:bottom w:val="single" w:sz="8" w:color="auto"/>
            </w:tcBorders>
          </w:tcPr>
          <w:p>
            <w:pPr>
              <w:jc w:val="right"/>
              <w:ind w:right="32"/>
              <w:spacing w:after="0"/>
              <w:rPr>
                <w:sz w:val="20"/>
                <w:szCs w:val="20"/>
                <w:color w:val="auto"/>
              </w:rPr>
            </w:pPr>
            <w:r>
              <w:rPr>
                <w:rFonts w:ascii="Arial" w:cs="Arial" w:eastAsia="Arial" w:hAnsi="Arial"/>
                <w:sz w:val="18"/>
                <w:szCs w:val="18"/>
                <w:color w:val="auto"/>
              </w:rPr>
              <w:t>107,316</w:t>
            </w:r>
          </w:p>
        </w:tc>
        <w:tc>
          <w:tcPr>
            <w:tcW w:w="100" w:type="dxa"/>
            <w:vAlign w:val="bottom"/>
          </w:tcPr>
          <w:p>
            <w:pPr>
              <w:spacing w:after="0"/>
              <w:rPr>
                <w:sz w:val="22"/>
                <w:szCs w:val="22"/>
                <w:color w:val="auto"/>
              </w:rPr>
            </w:pPr>
          </w:p>
        </w:tc>
        <w:tc>
          <w:tcPr>
            <w:tcW w:w="30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94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261,882</w:t>
            </w:r>
          </w:p>
        </w:tc>
        <w:tc>
          <w:tcPr>
            <w:tcW w:w="120" w:type="dxa"/>
            <w:vAlign w:val="bottom"/>
          </w:tcPr>
          <w:p>
            <w:pPr>
              <w:spacing w:after="0"/>
              <w:rPr>
                <w:sz w:val="22"/>
                <w:szCs w:val="22"/>
                <w:color w:val="auto"/>
              </w:rPr>
            </w:pPr>
          </w:p>
        </w:tc>
        <w:tc>
          <w:tcPr>
            <w:tcW w:w="34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bottom w:val="single" w:sz="8" w:color="auto"/>
            </w:tcBorders>
          </w:tcPr>
          <w:p>
            <w:pPr>
              <w:jc w:val="right"/>
              <w:ind w:right="32"/>
              <w:spacing w:after="0"/>
              <w:rPr>
                <w:sz w:val="20"/>
                <w:szCs w:val="20"/>
                <w:color w:val="auto"/>
              </w:rPr>
            </w:pPr>
            <w:r>
              <w:rPr>
                <w:rFonts w:ascii="Arial" w:cs="Arial" w:eastAsia="Arial" w:hAnsi="Arial"/>
                <w:sz w:val="18"/>
                <w:szCs w:val="18"/>
                <w:color w:val="auto"/>
              </w:rPr>
              <w:t>198,418</w:t>
            </w:r>
          </w:p>
        </w:tc>
      </w:tr>
      <w:tr>
        <w:trPr>
          <w:trHeight w:val="20"/>
        </w:trPr>
        <w:tc>
          <w:tcPr>
            <w:tcW w:w="606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Franchise segment revenue includes franchise revenue, national advertising fund revenue, and commission income.</w:t>
      </w:r>
    </w:p>
    <w:p>
      <w:pPr>
        <w:spacing w:after="0" w:line="225" w:lineRule="exact"/>
        <w:rPr>
          <w:sz w:val="20"/>
          <w:szCs w:val="20"/>
          <w:color w:val="auto"/>
        </w:rPr>
      </w:pPr>
    </w:p>
    <w:p>
      <w:pPr>
        <w:ind w:right="940"/>
        <w:spacing w:after="0" w:line="277" w:lineRule="auto"/>
        <w:rPr>
          <w:sz w:val="20"/>
          <w:szCs w:val="20"/>
          <w:color w:val="auto"/>
        </w:rPr>
      </w:pPr>
      <w:r>
        <w:rPr>
          <w:rFonts w:ascii="Arial" w:cs="Arial" w:eastAsia="Arial" w:hAnsi="Arial"/>
          <w:sz w:val="18"/>
          <w:szCs w:val="18"/>
          <w:color w:val="auto"/>
        </w:rPr>
        <w:t>Franchise revenue includes revenue generated from placement services of $3,079 and $2,871 for the three months ended June 30, 2018 and 2017, respectively, and $5,177 and $4,977 for the six months June 30, 2018 and 2017, respectively.</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20"/>
          </w:cols>
          <w:pgMar w:left="240" w:top="229" w:right="23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3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0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320" w:type="dxa"/>
            <w:vAlign w:val="bottom"/>
            <w:gridSpan w:val="4"/>
          </w:tcPr>
          <w:p>
            <w:pPr>
              <w:jc w:val="center"/>
              <w:ind w:right="213"/>
              <w:spacing w:after="0"/>
              <w:rPr>
                <w:sz w:val="20"/>
                <w:szCs w:val="20"/>
                <w:color w:val="auto"/>
              </w:rPr>
            </w:pPr>
            <w:r>
              <w:rPr>
                <w:rFonts w:ascii="Arial" w:cs="Arial" w:eastAsia="Arial" w:hAnsi="Arial"/>
                <w:sz w:val="14"/>
                <w:szCs w:val="14"/>
                <w:b w:val="1"/>
                <w:bCs w:val="1"/>
                <w:color w:val="auto"/>
                <w:w w:val="91"/>
              </w:rPr>
              <w:t>Three months ended</w:t>
            </w:r>
          </w:p>
        </w:tc>
        <w:tc>
          <w:tcPr>
            <w:tcW w:w="1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80" w:type="dxa"/>
            <w:vAlign w:val="bottom"/>
            <w:gridSpan w:val="6"/>
          </w:tcPr>
          <w:p>
            <w:pPr>
              <w:jc w:val="center"/>
              <w:ind w:right="720"/>
              <w:spacing w:after="0"/>
              <w:rPr>
                <w:sz w:val="20"/>
                <w:szCs w:val="20"/>
                <w:color w:val="auto"/>
              </w:rPr>
            </w:pPr>
            <w:r>
              <w:rPr>
                <w:rFonts w:ascii="Arial" w:cs="Arial" w:eastAsia="Arial" w:hAnsi="Arial"/>
                <w:sz w:val="14"/>
                <w:szCs w:val="14"/>
                <w:b w:val="1"/>
                <w:bCs w:val="1"/>
                <w:color w:val="auto"/>
                <w:w w:val="89"/>
              </w:rPr>
              <w:t>Six months ended</w:t>
            </w:r>
          </w:p>
        </w:tc>
        <w:tc>
          <w:tcPr>
            <w:tcW w:w="0" w:type="dxa"/>
            <w:vAlign w:val="bottom"/>
          </w:tcPr>
          <w:p>
            <w:pPr>
              <w:spacing w:after="0"/>
              <w:rPr>
                <w:sz w:val="1"/>
                <w:szCs w:val="1"/>
                <w:color w:val="auto"/>
              </w:rPr>
            </w:pPr>
          </w:p>
        </w:tc>
      </w:tr>
      <w:tr>
        <w:trPr>
          <w:trHeight w:val="192"/>
        </w:trPr>
        <w:tc>
          <w:tcPr>
            <w:tcW w:w="608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460" w:type="dxa"/>
            <w:vAlign w:val="bottom"/>
            <w:tcBorders>
              <w:bottom w:val="single" w:sz="8" w:color="auto"/>
            </w:tcBorders>
            <w:gridSpan w:val="3"/>
          </w:tcPr>
          <w:p>
            <w:pPr>
              <w:jc w:val="center"/>
              <w:ind w:left="496"/>
              <w:spacing w:after="0"/>
              <w:rPr>
                <w:sz w:val="20"/>
                <w:szCs w:val="20"/>
                <w:color w:val="auto"/>
              </w:rPr>
            </w:pPr>
            <w:r>
              <w:rPr>
                <w:rFonts w:ascii="Arial" w:cs="Arial" w:eastAsia="Arial" w:hAnsi="Arial"/>
                <w:sz w:val="14"/>
                <w:szCs w:val="14"/>
                <w:b w:val="1"/>
                <w:bCs w:val="1"/>
                <w:color w:val="auto"/>
                <w:w w:val="92"/>
              </w:rPr>
              <w:t>June 30,</w:t>
            </w:r>
          </w:p>
        </w:tc>
        <w:tc>
          <w:tcPr>
            <w:tcW w:w="8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gridSpan w:val="3"/>
          </w:tcPr>
          <w:p>
            <w:pPr>
              <w:jc w:val="center"/>
              <w:ind w:left="48"/>
              <w:spacing w:after="0"/>
              <w:rPr>
                <w:sz w:val="20"/>
                <w:szCs w:val="20"/>
                <w:color w:val="auto"/>
              </w:rPr>
            </w:pPr>
            <w:r>
              <w:rPr>
                <w:rFonts w:ascii="Arial" w:cs="Arial" w:eastAsia="Arial" w:hAnsi="Arial"/>
                <w:sz w:val="14"/>
                <w:szCs w:val="14"/>
                <w:b w:val="1"/>
                <w:bCs w:val="1"/>
                <w:color w:val="auto"/>
                <w:w w:val="92"/>
              </w:rPr>
              <w:t>June 30,</w:t>
            </w:r>
          </w:p>
        </w:tc>
        <w:tc>
          <w:tcPr>
            <w:tcW w:w="900" w:type="dxa"/>
            <w:vAlign w:val="bottom"/>
            <w:tcBorders>
              <w:bottom w:val="single" w:sz="8" w:color="auto"/>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3"/>
        </w:trPr>
        <w:tc>
          <w:tcPr>
            <w:tcW w:w="6080" w:type="dxa"/>
            <w:vAlign w:val="bottom"/>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396"/>
              <w:spacing w:after="0"/>
              <w:rPr>
                <w:sz w:val="20"/>
                <w:szCs w:val="20"/>
                <w:color w:val="auto"/>
              </w:rPr>
            </w:pPr>
            <w:r>
              <w:rPr>
                <w:rFonts w:ascii="Arial" w:cs="Arial" w:eastAsia="Arial" w:hAnsi="Arial"/>
                <w:sz w:val="14"/>
                <w:szCs w:val="14"/>
                <w:b w:val="1"/>
                <w:bCs w:val="1"/>
                <w:color w:val="auto"/>
              </w:rPr>
              <w:t>2018</w:t>
            </w:r>
          </w:p>
        </w:tc>
        <w:tc>
          <w:tcPr>
            <w:tcW w:w="120" w:type="dxa"/>
            <w:vAlign w:val="bottom"/>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413"/>
              <w:spacing w:after="0"/>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460" w:type="dxa"/>
            <w:vAlign w:val="bottom"/>
            <w:tcBorders>
              <w:bottom w:val="single" w:sz="8" w:color="auto"/>
            </w:tcBorders>
            <w:gridSpan w:val="3"/>
          </w:tcPr>
          <w:p>
            <w:pPr>
              <w:jc w:val="right"/>
              <w:ind w:right="8"/>
              <w:spacing w:after="0"/>
              <w:rPr>
                <w:sz w:val="20"/>
                <w:szCs w:val="20"/>
                <w:color w:val="auto"/>
              </w:rPr>
            </w:pPr>
            <w:r>
              <w:rPr>
                <w:rFonts w:ascii="Arial" w:cs="Arial" w:eastAsia="Arial" w:hAnsi="Arial"/>
                <w:sz w:val="14"/>
                <w:szCs w:val="14"/>
                <w:b w:val="1"/>
                <w:bCs w:val="1"/>
                <w:color w:val="auto"/>
              </w:rPr>
              <w:t>2018</w:t>
            </w:r>
          </w:p>
        </w:tc>
        <w:tc>
          <w:tcPr>
            <w:tcW w:w="400" w:type="dxa"/>
            <w:vAlign w:val="bottom"/>
            <w:tcBorders>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332"/>
              <w:spacing w:after="0"/>
              <w:rPr>
                <w:sz w:val="20"/>
                <w:szCs w:val="20"/>
                <w:color w:val="auto"/>
              </w:rPr>
            </w:pPr>
            <w:r>
              <w:rPr>
                <w:rFonts w:ascii="Arial" w:cs="Arial" w:eastAsia="Arial" w:hAnsi="Arial"/>
                <w:sz w:val="14"/>
                <w:szCs w:val="14"/>
                <w:b w:val="1"/>
                <w:bCs w:val="1"/>
                <w:color w:val="auto"/>
              </w:rPr>
              <w:t>2017</w:t>
            </w:r>
          </w:p>
        </w:tc>
        <w:tc>
          <w:tcPr>
            <w:tcW w:w="6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43"/>
        </w:trPr>
        <w:tc>
          <w:tcPr>
            <w:tcW w:w="6080" w:type="dxa"/>
            <w:vAlign w:val="bottom"/>
          </w:tcPr>
          <w:p>
            <w:pPr>
              <w:ind w:left="40"/>
              <w:spacing w:after="0"/>
              <w:rPr>
                <w:sz w:val="20"/>
                <w:szCs w:val="20"/>
                <w:color w:val="auto"/>
              </w:rPr>
            </w:pPr>
            <w:r>
              <w:rPr>
                <w:rFonts w:ascii="Arial" w:cs="Arial" w:eastAsia="Arial" w:hAnsi="Arial"/>
                <w:sz w:val="18"/>
                <w:szCs w:val="18"/>
                <w:color w:val="auto"/>
              </w:rPr>
              <w:t>Segment EBITDA</w:t>
            </w:r>
          </w:p>
        </w:tc>
        <w:tc>
          <w:tcPr>
            <w:tcW w:w="30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08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0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8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Franchise</w:t>
            </w:r>
          </w:p>
        </w:tc>
        <w:tc>
          <w:tcPr>
            <w:tcW w:w="300" w:type="dxa"/>
            <w:vAlign w:val="bottom"/>
            <w:tcBorders>
              <w:bottom w:val="single" w:sz="8" w:color="CFF0FC"/>
            </w:tcBorders>
            <w:shd w:val="clear" w:color="auto" w:fill="CFF0FC"/>
          </w:tcPr>
          <w:p>
            <w:pPr>
              <w:jc w:val="right"/>
              <w:ind w:right="110"/>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CFF0FC"/>
            </w:tcBorders>
            <w:shd w:val="clear" w:color="auto" w:fill="CFF0FC"/>
          </w:tcPr>
          <w:p>
            <w:pPr>
              <w:jc w:val="right"/>
              <w:ind w:right="16"/>
              <w:spacing w:after="0"/>
              <w:rPr>
                <w:sz w:val="20"/>
                <w:szCs w:val="20"/>
                <w:color w:val="auto"/>
              </w:rPr>
            </w:pPr>
            <w:r>
              <w:rPr>
                <w:rFonts w:ascii="Arial" w:cs="Arial" w:eastAsia="Arial" w:hAnsi="Arial"/>
                <w:sz w:val="18"/>
                <w:szCs w:val="18"/>
                <w:color w:val="auto"/>
              </w:rPr>
              <w:t>40,041</w:t>
            </w:r>
          </w:p>
        </w:tc>
        <w:tc>
          <w:tcPr>
            <w:tcW w:w="120" w:type="dxa"/>
            <w:vAlign w:val="bottom"/>
            <w:tcBorders>
              <w:bottom w:val="single" w:sz="8" w:color="CFF0FC"/>
            </w:tcBorders>
            <w:shd w:val="clear" w:color="auto" w:fill="CFF0FC"/>
          </w:tcPr>
          <w:p>
            <w:pPr>
              <w:spacing w:after="0"/>
              <w:rPr>
                <w:sz w:val="21"/>
                <w:szCs w:val="21"/>
                <w:color w:val="auto"/>
              </w:rPr>
            </w:pPr>
          </w:p>
        </w:tc>
        <w:tc>
          <w:tcPr>
            <w:tcW w:w="400" w:type="dxa"/>
            <w:vAlign w:val="bottom"/>
            <w:tcBorders>
              <w:bottom w:val="single" w:sz="8" w:color="CFF0FC"/>
            </w:tcBorders>
            <w:shd w:val="clear" w:color="auto" w:fill="CFF0FC"/>
          </w:tcPr>
          <w:p>
            <w:pPr>
              <w:jc w:val="right"/>
              <w:ind w:right="19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FF0FC"/>
            </w:tcBorders>
            <w:shd w:val="clear" w:color="auto" w:fill="CFF0FC"/>
          </w:tcPr>
          <w:p>
            <w:pPr>
              <w:jc w:val="right"/>
              <w:ind w:right="33"/>
              <w:spacing w:after="0"/>
              <w:rPr>
                <w:sz w:val="20"/>
                <w:szCs w:val="20"/>
                <w:color w:val="auto"/>
              </w:rPr>
            </w:pPr>
            <w:r>
              <w:rPr>
                <w:rFonts w:ascii="Arial" w:cs="Arial" w:eastAsia="Arial" w:hAnsi="Arial"/>
                <w:sz w:val="18"/>
                <w:szCs w:val="18"/>
                <w:color w:val="auto"/>
              </w:rPr>
              <w:t>32,487</w:t>
            </w:r>
          </w:p>
        </w:tc>
        <w:tc>
          <w:tcPr>
            <w:tcW w:w="500" w:type="dxa"/>
            <w:vAlign w:val="bottom"/>
            <w:tcBorders>
              <w:bottom w:val="single" w:sz="8" w:color="CFF0FC"/>
            </w:tcBorders>
            <w:gridSpan w:val="2"/>
            <w:shd w:val="clear" w:color="auto" w:fill="CFF0FC"/>
          </w:tcPr>
          <w:p>
            <w:pPr>
              <w:jc w:val="right"/>
              <w:ind w:right="28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FF0FC"/>
            </w:tcBorders>
            <w:shd w:val="clear" w:color="auto" w:fill="CFF0FC"/>
          </w:tcPr>
          <w:p>
            <w:pPr>
              <w:spacing w:after="0"/>
              <w:rPr>
                <w:sz w:val="21"/>
                <w:szCs w:val="21"/>
                <w:color w:val="auto"/>
              </w:rPr>
            </w:pPr>
          </w:p>
        </w:tc>
        <w:tc>
          <w:tcPr>
            <w:tcW w:w="620" w:type="dxa"/>
            <w:vAlign w:val="bottom"/>
            <w:tcBorders>
              <w:bottom w:val="single" w:sz="8" w:color="CFF0FC"/>
            </w:tcBorders>
            <w:gridSpan w:val="3"/>
            <w:shd w:val="clear" w:color="auto" w:fill="CFF0FC"/>
          </w:tcPr>
          <w:p>
            <w:pPr>
              <w:jc w:val="right"/>
              <w:ind w:right="48"/>
              <w:spacing w:after="0"/>
              <w:rPr>
                <w:sz w:val="20"/>
                <w:szCs w:val="20"/>
                <w:color w:val="auto"/>
              </w:rPr>
            </w:pPr>
            <w:r>
              <w:rPr>
                <w:rFonts w:ascii="Arial" w:cs="Arial" w:eastAsia="Arial" w:hAnsi="Arial"/>
                <w:sz w:val="18"/>
                <w:szCs w:val="18"/>
                <w:color w:val="auto"/>
                <w:w w:val="87"/>
              </w:rPr>
              <w:t>76,719</w:t>
            </w:r>
          </w:p>
        </w:tc>
        <w:tc>
          <w:tcPr>
            <w:tcW w:w="10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CFF0FC"/>
            </w:tcBorders>
            <w:shd w:val="clear" w:color="auto" w:fill="CFF0FC"/>
          </w:tcPr>
          <w:p>
            <w:pPr>
              <w:jc w:val="right"/>
              <w:ind w:right="9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64,519</w:t>
            </w:r>
          </w:p>
        </w:tc>
        <w:tc>
          <w:tcPr>
            <w:tcW w:w="60" w:type="dxa"/>
            <w:vAlign w:val="bottom"/>
            <w:tcBorders>
              <w:bottom w:val="single" w:sz="8" w:color="CFF0FC"/>
            </w:tcBorders>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80" w:type="dxa"/>
            <w:vAlign w:val="bottom"/>
          </w:tcPr>
          <w:p>
            <w:pPr>
              <w:ind w:left="280"/>
              <w:spacing w:after="0"/>
              <w:rPr>
                <w:sz w:val="20"/>
                <w:szCs w:val="20"/>
                <w:color w:val="auto"/>
              </w:rPr>
            </w:pPr>
            <w:r>
              <w:rPr>
                <w:rFonts w:ascii="Arial" w:cs="Arial" w:eastAsia="Arial" w:hAnsi="Arial"/>
                <w:sz w:val="18"/>
                <w:szCs w:val="18"/>
                <w:color w:val="auto"/>
              </w:rPr>
              <w:t>Corporate-owned stores</w:t>
            </w:r>
          </w:p>
        </w:tc>
        <w:tc>
          <w:tcPr>
            <w:tcW w:w="300" w:type="dxa"/>
            <w:vAlign w:val="bottom"/>
          </w:tcPr>
          <w:p>
            <w:pPr>
              <w:spacing w:after="0"/>
              <w:rPr>
                <w:sz w:val="21"/>
                <w:szCs w:val="21"/>
                <w:color w:val="auto"/>
              </w:rPr>
            </w:pPr>
          </w:p>
        </w:tc>
        <w:tc>
          <w:tcPr>
            <w:tcW w:w="940" w:type="dxa"/>
            <w:vAlign w:val="bottom"/>
          </w:tcPr>
          <w:p>
            <w:pPr>
              <w:jc w:val="right"/>
              <w:ind w:right="16"/>
              <w:spacing w:after="0"/>
              <w:rPr>
                <w:sz w:val="20"/>
                <w:szCs w:val="20"/>
                <w:color w:val="auto"/>
              </w:rPr>
            </w:pPr>
            <w:r>
              <w:rPr>
                <w:rFonts w:ascii="Arial" w:cs="Arial" w:eastAsia="Arial" w:hAnsi="Arial"/>
                <w:sz w:val="18"/>
                <w:szCs w:val="18"/>
                <w:color w:val="auto"/>
              </w:rPr>
              <w:t>14,666</w:t>
            </w: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860" w:type="dxa"/>
            <w:vAlign w:val="bottom"/>
          </w:tcPr>
          <w:p>
            <w:pPr>
              <w:jc w:val="right"/>
              <w:ind w:right="33"/>
              <w:spacing w:after="0"/>
              <w:rPr>
                <w:sz w:val="20"/>
                <w:szCs w:val="20"/>
                <w:color w:val="auto"/>
              </w:rPr>
            </w:pPr>
            <w:r>
              <w:rPr>
                <w:rFonts w:ascii="Arial" w:cs="Arial" w:eastAsia="Arial" w:hAnsi="Arial"/>
                <w:sz w:val="18"/>
                <w:szCs w:val="18"/>
                <w:color w:val="auto"/>
              </w:rPr>
              <w:t>12,840</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620" w:type="dxa"/>
            <w:vAlign w:val="bottom"/>
            <w:gridSpan w:val="3"/>
          </w:tcPr>
          <w:p>
            <w:pPr>
              <w:jc w:val="right"/>
              <w:ind w:right="48"/>
              <w:spacing w:after="0"/>
              <w:rPr>
                <w:sz w:val="20"/>
                <w:szCs w:val="20"/>
                <w:color w:val="auto"/>
              </w:rPr>
            </w:pPr>
            <w:r>
              <w:rPr>
                <w:rFonts w:ascii="Arial" w:cs="Arial" w:eastAsia="Arial" w:hAnsi="Arial"/>
                <w:sz w:val="18"/>
                <w:szCs w:val="18"/>
                <w:color w:val="auto"/>
                <w:w w:val="87"/>
              </w:rPr>
              <w:t>26,837</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23,533</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08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0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8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Equipment</w:t>
            </w:r>
          </w:p>
        </w:tc>
        <w:tc>
          <w:tcPr>
            <w:tcW w:w="300" w:type="dxa"/>
            <w:vAlign w:val="bottom"/>
            <w:tcBorders>
              <w:bottom w:val="single" w:sz="8" w:color="CFF0FC"/>
            </w:tcBorders>
            <w:shd w:val="clear" w:color="auto" w:fill="CFF0FC"/>
          </w:tcPr>
          <w:p>
            <w:pPr>
              <w:spacing w:after="0"/>
              <w:rPr>
                <w:sz w:val="21"/>
                <w:szCs w:val="21"/>
                <w:color w:val="auto"/>
              </w:rPr>
            </w:pPr>
          </w:p>
        </w:tc>
        <w:tc>
          <w:tcPr>
            <w:tcW w:w="940" w:type="dxa"/>
            <w:vAlign w:val="bottom"/>
            <w:tcBorders>
              <w:bottom w:val="single" w:sz="8" w:color="CFF0FC"/>
            </w:tcBorders>
            <w:shd w:val="clear" w:color="auto" w:fill="CFF0FC"/>
          </w:tcPr>
          <w:p>
            <w:pPr>
              <w:jc w:val="right"/>
              <w:ind w:right="16"/>
              <w:spacing w:after="0"/>
              <w:rPr>
                <w:sz w:val="20"/>
                <w:szCs w:val="20"/>
                <w:color w:val="auto"/>
              </w:rPr>
            </w:pPr>
            <w:r>
              <w:rPr>
                <w:rFonts w:ascii="Arial" w:cs="Arial" w:eastAsia="Arial" w:hAnsi="Arial"/>
                <w:sz w:val="18"/>
                <w:szCs w:val="18"/>
                <w:color w:val="auto"/>
              </w:rPr>
              <w:t>11,457</w:t>
            </w:r>
          </w:p>
        </w:tc>
        <w:tc>
          <w:tcPr>
            <w:tcW w:w="120" w:type="dxa"/>
            <w:vAlign w:val="bottom"/>
            <w:tcBorders>
              <w:bottom w:val="single" w:sz="8" w:color="CFF0FC"/>
            </w:tcBorders>
            <w:shd w:val="clear" w:color="auto" w:fill="CFF0FC"/>
          </w:tcPr>
          <w:p>
            <w:pPr>
              <w:spacing w:after="0"/>
              <w:rPr>
                <w:sz w:val="21"/>
                <w:szCs w:val="21"/>
                <w:color w:val="auto"/>
              </w:rPr>
            </w:pPr>
          </w:p>
        </w:tc>
        <w:tc>
          <w:tcPr>
            <w:tcW w:w="400" w:type="dxa"/>
            <w:vAlign w:val="bottom"/>
            <w:tcBorders>
              <w:bottom w:val="single" w:sz="8" w:color="CFF0FC"/>
            </w:tcBorders>
            <w:shd w:val="clear" w:color="auto" w:fill="CFF0FC"/>
          </w:tcPr>
          <w:p>
            <w:pPr>
              <w:spacing w:after="0"/>
              <w:rPr>
                <w:sz w:val="21"/>
                <w:szCs w:val="21"/>
                <w:color w:val="auto"/>
              </w:rPr>
            </w:pPr>
          </w:p>
        </w:tc>
        <w:tc>
          <w:tcPr>
            <w:tcW w:w="860" w:type="dxa"/>
            <w:vAlign w:val="bottom"/>
            <w:tcBorders>
              <w:bottom w:val="single" w:sz="8" w:color="CFF0FC"/>
            </w:tcBorders>
            <w:shd w:val="clear" w:color="auto" w:fill="CFF0FC"/>
          </w:tcPr>
          <w:p>
            <w:pPr>
              <w:jc w:val="right"/>
              <w:ind w:right="33"/>
              <w:spacing w:after="0"/>
              <w:rPr>
                <w:sz w:val="20"/>
                <w:szCs w:val="20"/>
                <w:color w:val="auto"/>
              </w:rPr>
            </w:pPr>
            <w:r>
              <w:rPr>
                <w:rFonts w:ascii="Arial" w:cs="Arial" w:eastAsia="Arial" w:hAnsi="Arial"/>
                <w:sz w:val="18"/>
                <w:szCs w:val="18"/>
                <w:color w:val="auto"/>
              </w:rPr>
              <w:t>9,809</w:t>
            </w:r>
          </w:p>
        </w:tc>
        <w:tc>
          <w:tcPr>
            <w:tcW w:w="100" w:type="dxa"/>
            <w:vAlign w:val="bottom"/>
            <w:tcBorders>
              <w:bottom w:val="single" w:sz="8" w:color="CFF0FC"/>
            </w:tcBorders>
            <w:shd w:val="clear" w:color="auto" w:fill="CFF0FC"/>
          </w:tcPr>
          <w:p>
            <w:pPr>
              <w:spacing w:after="0"/>
              <w:rPr>
                <w:sz w:val="21"/>
                <w:szCs w:val="21"/>
                <w:color w:val="auto"/>
              </w:rPr>
            </w:pPr>
          </w:p>
        </w:tc>
        <w:tc>
          <w:tcPr>
            <w:tcW w:w="400" w:type="dxa"/>
            <w:vAlign w:val="bottom"/>
            <w:tcBorders>
              <w:bottom w:val="single" w:sz="8" w:color="CFF0FC"/>
            </w:tcBorders>
            <w:shd w:val="clear" w:color="auto" w:fill="CFF0FC"/>
          </w:tcPr>
          <w:p>
            <w:pPr>
              <w:spacing w:after="0"/>
              <w:rPr>
                <w:sz w:val="21"/>
                <w:szCs w:val="21"/>
                <w:color w:val="auto"/>
              </w:rPr>
            </w:pPr>
          </w:p>
        </w:tc>
        <w:tc>
          <w:tcPr>
            <w:tcW w:w="240" w:type="dxa"/>
            <w:vAlign w:val="bottom"/>
            <w:tcBorders>
              <w:bottom w:val="single" w:sz="8" w:color="CFF0FC"/>
            </w:tcBorders>
            <w:shd w:val="clear" w:color="auto" w:fill="CFF0FC"/>
          </w:tcPr>
          <w:p>
            <w:pPr>
              <w:spacing w:after="0"/>
              <w:rPr>
                <w:sz w:val="21"/>
                <w:szCs w:val="21"/>
                <w:color w:val="auto"/>
              </w:rPr>
            </w:pPr>
          </w:p>
        </w:tc>
        <w:tc>
          <w:tcPr>
            <w:tcW w:w="620" w:type="dxa"/>
            <w:vAlign w:val="bottom"/>
            <w:tcBorders>
              <w:bottom w:val="single" w:sz="8" w:color="CFF0FC"/>
            </w:tcBorders>
            <w:gridSpan w:val="3"/>
            <w:shd w:val="clear" w:color="auto" w:fill="CFF0FC"/>
          </w:tcPr>
          <w:p>
            <w:pPr>
              <w:jc w:val="right"/>
              <w:ind w:right="48"/>
              <w:spacing w:after="0"/>
              <w:rPr>
                <w:sz w:val="20"/>
                <w:szCs w:val="20"/>
                <w:color w:val="auto"/>
              </w:rPr>
            </w:pPr>
            <w:r>
              <w:rPr>
                <w:rFonts w:ascii="Arial" w:cs="Arial" w:eastAsia="Arial" w:hAnsi="Arial"/>
                <w:sz w:val="18"/>
                <w:szCs w:val="18"/>
                <w:color w:val="auto"/>
                <w:w w:val="87"/>
              </w:rPr>
              <w:t>18,925</w:t>
            </w:r>
          </w:p>
        </w:tc>
        <w:tc>
          <w:tcPr>
            <w:tcW w:w="10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CFF0FC"/>
            </w:tcBorders>
            <w:shd w:val="clear" w:color="auto" w:fill="CFF0FC"/>
          </w:tcPr>
          <w:p>
            <w:pPr>
              <w:spacing w:after="0"/>
              <w:rPr>
                <w:sz w:val="21"/>
                <w:szCs w:val="21"/>
                <w:color w:val="auto"/>
              </w:rPr>
            </w:pPr>
          </w:p>
        </w:tc>
        <w:tc>
          <w:tcPr>
            <w:tcW w:w="90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15,904</w:t>
            </w:r>
          </w:p>
        </w:tc>
        <w:tc>
          <w:tcPr>
            <w:tcW w:w="60" w:type="dxa"/>
            <w:vAlign w:val="bottom"/>
            <w:tcBorders>
              <w:bottom w:val="single" w:sz="8" w:color="CFF0FC"/>
            </w:tcBorders>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80" w:type="dxa"/>
            <w:vAlign w:val="bottom"/>
          </w:tcPr>
          <w:p>
            <w:pPr>
              <w:ind w:left="280"/>
              <w:spacing w:after="0"/>
              <w:rPr>
                <w:sz w:val="20"/>
                <w:szCs w:val="20"/>
                <w:color w:val="auto"/>
              </w:rPr>
            </w:pPr>
            <w:r>
              <w:rPr>
                <w:rFonts w:ascii="Arial" w:cs="Arial" w:eastAsia="Arial" w:hAnsi="Arial"/>
                <w:sz w:val="18"/>
                <w:szCs w:val="18"/>
                <w:color w:val="auto"/>
              </w:rPr>
              <w:t>Corporate and other</w:t>
            </w:r>
          </w:p>
        </w:tc>
        <w:tc>
          <w:tcPr>
            <w:tcW w:w="30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(9,236)</w:t>
            </w: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(9,925)</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860" w:type="dxa"/>
            <w:vAlign w:val="bottom"/>
            <w:gridSpan w:val="4"/>
          </w:tcPr>
          <w:p>
            <w:pPr>
              <w:jc w:val="right"/>
              <w:spacing w:after="0"/>
              <w:rPr>
                <w:sz w:val="20"/>
                <w:szCs w:val="20"/>
                <w:color w:val="auto"/>
              </w:rPr>
            </w:pPr>
            <w:r>
              <w:rPr>
                <w:rFonts w:ascii="Arial" w:cs="Arial" w:eastAsia="Arial" w:hAnsi="Arial"/>
                <w:sz w:val="18"/>
                <w:szCs w:val="18"/>
                <w:color w:val="auto"/>
              </w:rPr>
              <w:t>(17,978)</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(17,057)</w:t>
            </w:r>
          </w:p>
        </w:tc>
        <w:tc>
          <w:tcPr>
            <w:tcW w:w="0" w:type="dxa"/>
            <w:vAlign w:val="bottom"/>
          </w:tcPr>
          <w:p>
            <w:pPr>
              <w:spacing w:after="0"/>
              <w:rPr>
                <w:sz w:val="1"/>
                <w:szCs w:val="1"/>
                <w:color w:val="auto"/>
              </w:rPr>
            </w:pPr>
          </w:p>
        </w:tc>
      </w:tr>
      <w:tr>
        <w:trPr>
          <w:trHeight w:val="27"/>
        </w:trPr>
        <w:tc>
          <w:tcPr>
            <w:tcW w:w="6080" w:type="dxa"/>
            <w:vAlign w:val="bottom"/>
            <w:tcBorders>
              <w:bottom w:val="single" w:sz="8" w:color="CFF0FC"/>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080" w:type="dxa"/>
            <w:vAlign w:val="bottom"/>
            <w:shd w:val="clear" w:color="auto" w:fill="CFF0FC"/>
          </w:tcPr>
          <w:p>
            <w:pPr>
              <w:ind w:left="500"/>
              <w:spacing w:after="0"/>
              <w:rPr>
                <w:sz w:val="20"/>
                <w:szCs w:val="20"/>
                <w:color w:val="auto"/>
              </w:rPr>
            </w:pPr>
            <w:r>
              <w:rPr>
                <w:rFonts w:ascii="Arial" w:cs="Arial" w:eastAsia="Arial" w:hAnsi="Arial"/>
                <w:sz w:val="18"/>
                <w:szCs w:val="18"/>
                <w:color w:val="auto"/>
              </w:rPr>
              <w:t>Total Segment EBITDA</w:t>
            </w:r>
          </w:p>
        </w:tc>
        <w:tc>
          <w:tcPr>
            <w:tcW w:w="300" w:type="dxa"/>
            <w:vAlign w:val="bottom"/>
            <w:shd w:val="clear" w:color="auto" w:fill="CFF0FC"/>
          </w:tcPr>
          <w:p>
            <w:pPr>
              <w:jc w:val="right"/>
              <w:ind w:right="110"/>
              <w:spacing w:after="0"/>
              <w:rPr>
                <w:sz w:val="20"/>
                <w:szCs w:val="20"/>
                <w:color w:val="auto"/>
              </w:rPr>
            </w:pPr>
            <w:r>
              <w:rPr>
                <w:rFonts w:ascii="Arial" w:cs="Arial" w:eastAsia="Arial" w:hAnsi="Arial"/>
                <w:sz w:val="18"/>
                <w:szCs w:val="18"/>
                <w:color w:val="auto"/>
                <w:w w:val="79"/>
              </w:rPr>
              <w:t>$</w:t>
            </w:r>
          </w:p>
        </w:tc>
        <w:tc>
          <w:tcPr>
            <w:tcW w:w="940" w:type="dxa"/>
            <w:vAlign w:val="bottom"/>
            <w:shd w:val="clear" w:color="auto" w:fill="CFF0FC"/>
          </w:tcPr>
          <w:p>
            <w:pPr>
              <w:jc w:val="right"/>
              <w:ind w:right="16"/>
              <w:spacing w:after="0"/>
              <w:rPr>
                <w:sz w:val="20"/>
                <w:szCs w:val="20"/>
                <w:color w:val="auto"/>
              </w:rPr>
            </w:pPr>
            <w:r>
              <w:rPr>
                <w:rFonts w:ascii="Arial" w:cs="Arial" w:eastAsia="Arial" w:hAnsi="Arial"/>
                <w:sz w:val="18"/>
                <w:szCs w:val="18"/>
                <w:color w:val="auto"/>
              </w:rPr>
              <w:t>56,928</w:t>
            </w:r>
          </w:p>
        </w:tc>
        <w:tc>
          <w:tcPr>
            <w:tcW w:w="120" w:type="dxa"/>
            <w:vAlign w:val="bottom"/>
            <w:shd w:val="clear" w:color="auto" w:fill="CFF0FC"/>
          </w:tcPr>
          <w:p>
            <w:pPr>
              <w:spacing w:after="0"/>
              <w:rPr>
                <w:sz w:val="22"/>
                <w:szCs w:val="22"/>
                <w:color w:val="auto"/>
              </w:rPr>
            </w:pPr>
          </w:p>
        </w:tc>
        <w:tc>
          <w:tcPr>
            <w:tcW w:w="400" w:type="dxa"/>
            <w:vAlign w:val="bottom"/>
            <w:shd w:val="clear" w:color="auto" w:fill="CFF0FC"/>
          </w:tcPr>
          <w:p>
            <w:pPr>
              <w:jc w:val="right"/>
              <w:ind w:right="190"/>
              <w:spacing w:after="0"/>
              <w:rPr>
                <w:sz w:val="20"/>
                <w:szCs w:val="20"/>
                <w:color w:val="auto"/>
              </w:rPr>
            </w:pPr>
            <w:r>
              <w:rPr>
                <w:rFonts w:ascii="Arial" w:cs="Arial" w:eastAsia="Arial" w:hAnsi="Arial"/>
                <w:sz w:val="18"/>
                <w:szCs w:val="18"/>
                <w:color w:val="auto"/>
                <w:w w:val="99"/>
              </w:rPr>
              <w:t>$</w:t>
            </w:r>
          </w:p>
        </w:tc>
        <w:tc>
          <w:tcPr>
            <w:tcW w:w="860" w:type="dxa"/>
            <w:vAlign w:val="bottom"/>
            <w:shd w:val="clear" w:color="auto" w:fill="CFF0FC"/>
          </w:tcPr>
          <w:p>
            <w:pPr>
              <w:jc w:val="right"/>
              <w:ind w:right="33"/>
              <w:spacing w:after="0"/>
              <w:rPr>
                <w:sz w:val="20"/>
                <w:szCs w:val="20"/>
                <w:color w:val="auto"/>
              </w:rPr>
            </w:pPr>
            <w:r>
              <w:rPr>
                <w:rFonts w:ascii="Arial" w:cs="Arial" w:eastAsia="Arial" w:hAnsi="Arial"/>
                <w:sz w:val="18"/>
                <w:szCs w:val="18"/>
                <w:color w:val="auto"/>
              </w:rPr>
              <w:t>45,211</w:t>
            </w:r>
          </w:p>
        </w:tc>
        <w:tc>
          <w:tcPr>
            <w:tcW w:w="500" w:type="dxa"/>
            <w:vAlign w:val="bottom"/>
            <w:gridSpan w:val="2"/>
            <w:shd w:val="clear" w:color="auto" w:fill="CFF0FC"/>
          </w:tcPr>
          <w:p>
            <w:pPr>
              <w:jc w:val="right"/>
              <w:ind w:right="280"/>
              <w:spacing w:after="0"/>
              <w:rPr>
                <w:sz w:val="20"/>
                <w:szCs w:val="20"/>
                <w:color w:val="auto"/>
              </w:rPr>
            </w:pPr>
            <w:r>
              <w:rPr>
                <w:rFonts w:ascii="Arial" w:cs="Arial" w:eastAsia="Arial" w:hAnsi="Arial"/>
                <w:sz w:val="18"/>
                <w:szCs w:val="18"/>
                <w:color w:val="auto"/>
              </w:rPr>
              <w:t>$</w:t>
            </w:r>
          </w:p>
        </w:tc>
        <w:tc>
          <w:tcPr>
            <w:tcW w:w="860" w:type="dxa"/>
            <w:vAlign w:val="bottom"/>
            <w:gridSpan w:val="4"/>
            <w:shd w:val="clear" w:color="auto" w:fill="CFF0FC"/>
          </w:tcPr>
          <w:p>
            <w:pPr>
              <w:jc w:val="right"/>
              <w:ind w:right="48"/>
              <w:spacing w:after="0"/>
              <w:rPr>
                <w:sz w:val="20"/>
                <w:szCs w:val="20"/>
                <w:color w:val="auto"/>
              </w:rPr>
            </w:pPr>
            <w:r>
              <w:rPr>
                <w:rFonts w:ascii="Arial" w:cs="Arial" w:eastAsia="Arial" w:hAnsi="Arial"/>
                <w:sz w:val="18"/>
                <w:szCs w:val="18"/>
                <w:color w:val="auto"/>
              </w:rPr>
              <w:t>104,503</w:t>
            </w:r>
          </w:p>
        </w:tc>
        <w:tc>
          <w:tcPr>
            <w:tcW w:w="100" w:type="dxa"/>
            <w:vAlign w:val="bottom"/>
            <w:shd w:val="clear" w:color="auto" w:fill="CFF0FC"/>
          </w:tcPr>
          <w:p>
            <w:pPr>
              <w:spacing w:after="0"/>
              <w:rPr>
                <w:sz w:val="22"/>
                <w:szCs w:val="22"/>
                <w:color w:val="auto"/>
              </w:rPr>
            </w:pPr>
          </w:p>
        </w:tc>
        <w:tc>
          <w:tcPr>
            <w:tcW w:w="300" w:type="dxa"/>
            <w:vAlign w:val="bottom"/>
            <w:shd w:val="clear" w:color="auto" w:fill="CFF0FC"/>
          </w:tcPr>
          <w:p>
            <w:pPr>
              <w:jc w:val="right"/>
              <w:ind w:right="90"/>
              <w:spacing w:after="0"/>
              <w:rPr>
                <w:sz w:val="20"/>
                <w:szCs w:val="20"/>
                <w:color w:val="auto"/>
              </w:rPr>
            </w:pPr>
            <w:r>
              <w:rPr>
                <w:rFonts w:ascii="Arial" w:cs="Arial" w:eastAsia="Arial" w:hAnsi="Arial"/>
                <w:sz w:val="18"/>
                <w:szCs w:val="18"/>
                <w:color w:val="auto"/>
                <w:w w:val="99"/>
              </w:rPr>
              <w:t>$</w:t>
            </w: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86,899</w:t>
            </w:r>
          </w:p>
        </w:tc>
        <w:tc>
          <w:tcPr>
            <w:tcW w:w="60" w:type="dxa"/>
            <w:vAlign w:val="bottom"/>
            <w:shd w:val="clear" w:color="auto" w:fill="CFF0FC"/>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080" w:type="dxa"/>
            <w:vAlign w:val="bottom"/>
            <w:tcBorders>
              <w:top w:val="single" w:sz="8" w:color="CFF0FC"/>
              <w:bottom w:val="single" w:sz="8" w:color="CFF0FC"/>
            </w:tcBorders>
            <w:vMerge w:val="restart"/>
          </w:tcPr>
          <w:p>
            <w:pPr>
              <w:spacing w:after="0"/>
              <w:rPr>
                <w:sz w:val="20"/>
                <w:szCs w:val="20"/>
                <w:color w:val="auto"/>
              </w:rPr>
            </w:pPr>
            <w:r>
              <w:rPr>
                <w:rFonts w:ascii="Arial" w:cs="Arial" w:eastAsia="Arial" w:hAnsi="Arial"/>
                <w:sz w:val="18"/>
                <w:szCs w:val="18"/>
                <w:color w:val="auto"/>
                <w:w w:val="98"/>
              </w:rPr>
              <w:t>The following table reconciles total Segment EBITDA to income before taxes:</w:t>
            </w:r>
          </w:p>
        </w:tc>
        <w:tc>
          <w:tcPr>
            <w:tcW w:w="3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9"/>
        </w:trPr>
        <w:tc>
          <w:tcPr>
            <w:tcW w:w="6080" w:type="dxa"/>
            <w:vAlign w:val="bottom"/>
            <w:vMerge w:val="continue"/>
          </w:tcPr>
          <w:p>
            <w:pPr>
              <w:spacing w:after="0"/>
              <w:rPr>
                <w:sz w:val="24"/>
                <w:szCs w:val="24"/>
                <w:color w:val="auto"/>
              </w:rPr>
            </w:pPr>
          </w:p>
        </w:tc>
        <w:tc>
          <w:tcPr>
            <w:tcW w:w="3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4"/>
        </w:trPr>
        <w:tc>
          <w:tcPr>
            <w:tcW w:w="60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320" w:type="dxa"/>
            <w:vAlign w:val="bottom"/>
            <w:gridSpan w:val="4"/>
          </w:tcPr>
          <w:p>
            <w:pPr>
              <w:jc w:val="center"/>
              <w:ind w:right="213"/>
              <w:spacing w:after="0"/>
              <w:rPr>
                <w:sz w:val="20"/>
                <w:szCs w:val="20"/>
                <w:color w:val="auto"/>
              </w:rPr>
            </w:pPr>
            <w:r>
              <w:rPr>
                <w:rFonts w:ascii="Arial" w:cs="Arial" w:eastAsia="Arial" w:hAnsi="Arial"/>
                <w:sz w:val="14"/>
                <w:szCs w:val="14"/>
                <w:b w:val="1"/>
                <w:bCs w:val="1"/>
                <w:color w:val="auto"/>
                <w:w w:val="91"/>
              </w:rPr>
              <w:t>Three months ended</w:t>
            </w: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80" w:type="dxa"/>
            <w:vAlign w:val="bottom"/>
            <w:gridSpan w:val="6"/>
          </w:tcPr>
          <w:p>
            <w:pPr>
              <w:jc w:val="center"/>
              <w:ind w:right="720"/>
              <w:spacing w:after="0"/>
              <w:rPr>
                <w:sz w:val="20"/>
                <w:szCs w:val="20"/>
                <w:color w:val="auto"/>
              </w:rPr>
            </w:pPr>
            <w:r>
              <w:rPr>
                <w:rFonts w:ascii="Arial" w:cs="Arial" w:eastAsia="Arial" w:hAnsi="Arial"/>
                <w:sz w:val="14"/>
                <w:szCs w:val="14"/>
                <w:b w:val="1"/>
                <w:bCs w:val="1"/>
                <w:color w:val="auto"/>
                <w:w w:val="89"/>
              </w:rPr>
              <w:t>Six months ended</w:t>
            </w:r>
          </w:p>
        </w:tc>
        <w:tc>
          <w:tcPr>
            <w:tcW w:w="0" w:type="dxa"/>
            <w:vAlign w:val="bottom"/>
          </w:tcPr>
          <w:p>
            <w:pPr>
              <w:spacing w:after="0"/>
              <w:rPr>
                <w:sz w:val="1"/>
                <w:szCs w:val="1"/>
                <w:color w:val="auto"/>
              </w:rPr>
            </w:pPr>
          </w:p>
        </w:tc>
      </w:tr>
      <w:tr>
        <w:trPr>
          <w:trHeight w:val="192"/>
        </w:trPr>
        <w:tc>
          <w:tcPr>
            <w:tcW w:w="608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460" w:type="dxa"/>
            <w:vAlign w:val="bottom"/>
            <w:tcBorders>
              <w:bottom w:val="single" w:sz="8" w:color="auto"/>
            </w:tcBorders>
            <w:gridSpan w:val="3"/>
          </w:tcPr>
          <w:p>
            <w:pPr>
              <w:jc w:val="center"/>
              <w:ind w:left="496"/>
              <w:spacing w:after="0"/>
              <w:rPr>
                <w:sz w:val="20"/>
                <w:szCs w:val="20"/>
                <w:color w:val="auto"/>
              </w:rPr>
            </w:pPr>
            <w:r>
              <w:rPr>
                <w:rFonts w:ascii="Arial" w:cs="Arial" w:eastAsia="Arial" w:hAnsi="Arial"/>
                <w:sz w:val="14"/>
                <w:szCs w:val="14"/>
                <w:b w:val="1"/>
                <w:bCs w:val="1"/>
                <w:color w:val="auto"/>
                <w:w w:val="92"/>
              </w:rPr>
              <w:t>June 30,</w:t>
            </w:r>
          </w:p>
        </w:tc>
        <w:tc>
          <w:tcPr>
            <w:tcW w:w="8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gridSpan w:val="3"/>
          </w:tcPr>
          <w:p>
            <w:pPr>
              <w:jc w:val="center"/>
              <w:ind w:left="48"/>
              <w:spacing w:after="0"/>
              <w:rPr>
                <w:sz w:val="20"/>
                <w:szCs w:val="20"/>
                <w:color w:val="auto"/>
              </w:rPr>
            </w:pPr>
            <w:r>
              <w:rPr>
                <w:rFonts w:ascii="Arial" w:cs="Arial" w:eastAsia="Arial" w:hAnsi="Arial"/>
                <w:sz w:val="14"/>
                <w:szCs w:val="14"/>
                <w:b w:val="1"/>
                <w:bCs w:val="1"/>
                <w:color w:val="auto"/>
                <w:w w:val="92"/>
              </w:rPr>
              <w:t>June 30,</w:t>
            </w:r>
          </w:p>
        </w:tc>
        <w:tc>
          <w:tcPr>
            <w:tcW w:w="900" w:type="dxa"/>
            <w:vAlign w:val="bottom"/>
            <w:tcBorders>
              <w:bottom w:val="single" w:sz="8" w:color="auto"/>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6080" w:type="dxa"/>
            <w:vAlign w:val="bottom"/>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396"/>
              <w:spacing w:after="0"/>
              <w:rPr>
                <w:sz w:val="20"/>
                <w:szCs w:val="20"/>
                <w:color w:val="auto"/>
              </w:rPr>
            </w:pPr>
            <w:r>
              <w:rPr>
                <w:rFonts w:ascii="Arial" w:cs="Arial" w:eastAsia="Arial" w:hAnsi="Arial"/>
                <w:sz w:val="14"/>
                <w:szCs w:val="14"/>
                <w:b w:val="1"/>
                <w:bCs w:val="1"/>
                <w:color w:val="auto"/>
              </w:rPr>
              <w:t>2018</w:t>
            </w:r>
          </w:p>
        </w:tc>
        <w:tc>
          <w:tcPr>
            <w:tcW w:w="120" w:type="dxa"/>
            <w:vAlign w:val="bottom"/>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413"/>
              <w:spacing w:after="0"/>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460" w:type="dxa"/>
            <w:vAlign w:val="bottom"/>
            <w:tcBorders>
              <w:bottom w:val="single" w:sz="8" w:color="auto"/>
            </w:tcBorders>
            <w:gridSpan w:val="3"/>
          </w:tcPr>
          <w:p>
            <w:pPr>
              <w:jc w:val="right"/>
              <w:ind w:right="8"/>
              <w:spacing w:after="0"/>
              <w:rPr>
                <w:sz w:val="20"/>
                <w:szCs w:val="20"/>
                <w:color w:val="auto"/>
              </w:rPr>
            </w:pPr>
            <w:r>
              <w:rPr>
                <w:rFonts w:ascii="Arial" w:cs="Arial" w:eastAsia="Arial" w:hAnsi="Arial"/>
                <w:sz w:val="14"/>
                <w:szCs w:val="14"/>
                <w:b w:val="1"/>
                <w:bCs w:val="1"/>
                <w:color w:val="auto"/>
              </w:rPr>
              <w:t>2018</w:t>
            </w:r>
          </w:p>
        </w:tc>
        <w:tc>
          <w:tcPr>
            <w:tcW w:w="400" w:type="dxa"/>
            <w:vAlign w:val="bottom"/>
            <w:tcBorders>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332"/>
              <w:spacing w:after="0"/>
              <w:rPr>
                <w:sz w:val="20"/>
                <w:szCs w:val="20"/>
                <w:color w:val="auto"/>
              </w:rPr>
            </w:pPr>
            <w:r>
              <w:rPr>
                <w:rFonts w:ascii="Arial" w:cs="Arial" w:eastAsia="Arial" w:hAnsi="Arial"/>
                <w:sz w:val="14"/>
                <w:szCs w:val="14"/>
                <w:b w:val="1"/>
                <w:bCs w:val="1"/>
                <w:color w:val="auto"/>
              </w:rPr>
              <w:t>2017</w:t>
            </w:r>
          </w:p>
        </w:tc>
        <w:tc>
          <w:tcPr>
            <w:tcW w:w="6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43"/>
        </w:trPr>
        <w:tc>
          <w:tcPr>
            <w:tcW w:w="6080" w:type="dxa"/>
            <w:vAlign w:val="bottom"/>
          </w:tcPr>
          <w:p>
            <w:pPr>
              <w:ind w:left="40"/>
              <w:spacing w:after="0"/>
              <w:rPr>
                <w:sz w:val="20"/>
                <w:szCs w:val="20"/>
                <w:color w:val="auto"/>
              </w:rPr>
            </w:pPr>
            <w:r>
              <w:rPr>
                <w:rFonts w:ascii="Arial" w:cs="Arial" w:eastAsia="Arial" w:hAnsi="Arial"/>
                <w:sz w:val="18"/>
                <w:szCs w:val="18"/>
                <w:color w:val="auto"/>
              </w:rPr>
              <w:t>Total Segment EBITDA</w:t>
            </w:r>
          </w:p>
        </w:tc>
        <w:tc>
          <w:tcPr>
            <w:tcW w:w="300" w:type="dxa"/>
            <w:vAlign w:val="bottom"/>
          </w:tcPr>
          <w:p>
            <w:pPr>
              <w:jc w:val="right"/>
              <w:ind w:right="110"/>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ind w:right="16"/>
              <w:spacing w:after="0"/>
              <w:rPr>
                <w:sz w:val="20"/>
                <w:szCs w:val="20"/>
                <w:color w:val="auto"/>
              </w:rPr>
            </w:pPr>
            <w:r>
              <w:rPr>
                <w:rFonts w:ascii="Arial" w:cs="Arial" w:eastAsia="Arial" w:hAnsi="Arial"/>
                <w:sz w:val="18"/>
                <w:szCs w:val="18"/>
                <w:color w:val="auto"/>
              </w:rPr>
              <w:t>56,928</w:t>
            </w:r>
          </w:p>
        </w:tc>
        <w:tc>
          <w:tcPr>
            <w:tcW w:w="120" w:type="dxa"/>
            <w:vAlign w:val="bottom"/>
          </w:tcPr>
          <w:p>
            <w:pPr>
              <w:spacing w:after="0"/>
              <w:rPr>
                <w:sz w:val="21"/>
                <w:szCs w:val="21"/>
                <w:color w:val="auto"/>
              </w:rPr>
            </w:pPr>
          </w:p>
        </w:tc>
        <w:tc>
          <w:tcPr>
            <w:tcW w:w="400" w:type="dxa"/>
            <w:vAlign w:val="bottom"/>
          </w:tcPr>
          <w:p>
            <w:pPr>
              <w:jc w:val="right"/>
              <w:ind w:right="190"/>
              <w:spacing w:after="0"/>
              <w:rPr>
                <w:sz w:val="20"/>
                <w:szCs w:val="20"/>
                <w:color w:val="auto"/>
              </w:rPr>
            </w:pPr>
            <w:r>
              <w:rPr>
                <w:rFonts w:ascii="Arial" w:cs="Arial" w:eastAsia="Arial" w:hAnsi="Arial"/>
                <w:sz w:val="18"/>
                <w:szCs w:val="18"/>
                <w:color w:val="auto"/>
                <w:w w:val="99"/>
              </w:rPr>
              <w:t>$</w:t>
            </w:r>
          </w:p>
        </w:tc>
        <w:tc>
          <w:tcPr>
            <w:tcW w:w="860" w:type="dxa"/>
            <w:vAlign w:val="bottom"/>
          </w:tcPr>
          <w:p>
            <w:pPr>
              <w:jc w:val="right"/>
              <w:ind w:right="33"/>
              <w:spacing w:after="0"/>
              <w:rPr>
                <w:sz w:val="20"/>
                <w:szCs w:val="20"/>
                <w:color w:val="auto"/>
              </w:rPr>
            </w:pPr>
            <w:r>
              <w:rPr>
                <w:rFonts w:ascii="Arial" w:cs="Arial" w:eastAsia="Arial" w:hAnsi="Arial"/>
                <w:sz w:val="18"/>
                <w:szCs w:val="18"/>
                <w:color w:val="auto"/>
              </w:rPr>
              <w:t>45,211</w:t>
            </w:r>
          </w:p>
        </w:tc>
        <w:tc>
          <w:tcPr>
            <w:tcW w:w="50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860" w:type="dxa"/>
            <w:vAlign w:val="bottom"/>
            <w:gridSpan w:val="4"/>
          </w:tcPr>
          <w:p>
            <w:pPr>
              <w:jc w:val="right"/>
              <w:ind w:right="48"/>
              <w:spacing w:after="0"/>
              <w:rPr>
                <w:sz w:val="20"/>
                <w:szCs w:val="20"/>
                <w:color w:val="auto"/>
              </w:rPr>
            </w:pPr>
            <w:r>
              <w:rPr>
                <w:rFonts w:ascii="Arial" w:cs="Arial" w:eastAsia="Arial" w:hAnsi="Arial"/>
                <w:sz w:val="18"/>
                <w:szCs w:val="18"/>
                <w:color w:val="auto"/>
              </w:rPr>
              <w:t>104,503</w:t>
            </w:r>
          </w:p>
        </w:tc>
        <w:tc>
          <w:tcPr>
            <w:tcW w:w="10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86,899</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08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0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8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Less:</w:t>
            </w:r>
          </w:p>
        </w:tc>
        <w:tc>
          <w:tcPr>
            <w:tcW w:w="300" w:type="dxa"/>
            <w:vAlign w:val="bottom"/>
            <w:tcBorders>
              <w:bottom w:val="single" w:sz="8" w:color="CFF0FC"/>
            </w:tcBorders>
            <w:shd w:val="clear" w:color="auto" w:fill="CFF0FC"/>
          </w:tcPr>
          <w:p>
            <w:pPr>
              <w:spacing w:after="0"/>
              <w:rPr>
                <w:sz w:val="21"/>
                <w:szCs w:val="21"/>
                <w:color w:val="auto"/>
              </w:rPr>
            </w:pPr>
          </w:p>
        </w:tc>
        <w:tc>
          <w:tcPr>
            <w:tcW w:w="940" w:type="dxa"/>
            <w:vAlign w:val="bottom"/>
            <w:tcBorders>
              <w:bottom w:val="single" w:sz="8" w:color="CFF0FC"/>
            </w:tcBorders>
            <w:shd w:val="clear" w:color="auto" w:fill="CFF0FC"/>
          </w:tcPr>
          <w:p>
            <w:pPr>
              <w:spacing w:after="0"/>
              <w:rPr>
                <w:sz w:val="21"/>
                <w:szCs w:val="21"/>
                <w:color w:val="auto"/>
              </w:rPr>
            </w:pPr>
          </w:p>
        </w:tc>
        <w:tc>
          <w:tcPr>
            <w:tcW w:w="120" w:type="dxa"/>
            <w:vAlign w:val="bottom"/>
            <w:tcBorders>
              <w:bottom w:val="single" w:sz="8" w:color="CFF0FC"/>
            </w:tcBorders>
            <w:shd w:val="clear" w:color="auto" w:fill="CFF0FC"/>
          </w:tcPr>
          <w:p>
            <w:pPr>
              <w:spacing w:after="0"/>
              <w:rPr>
                <w:sz w:val="21"/>
                <w:szCs w:val="21"/>
                <w:color w:val="auto"/>
              </w:rPr>
            </w:pPr>
          </w:p>
        </w:tc>
        <w:tc>
          <w:tcPr>
            <w:tcW w:w="400" w:type="dxa"/>
            <w:vAlign w:val="bottom"/>
            <w:tcBorders>
              <w:bottom w:val="single" w:sz="8" w:color="CFF0FC"/>
            </w:tcBorders>
            <w:shd w:val="clear" w:color="auto" w:fill="CFF0FC"/>
          </w:tcPr>
          <w:p>
            <w:pPr>
              <w:spacing w:after="0"/>
              <w:rPr>
                <w:sz w:val="21"/>
                <w:szCs w:val="21"/>
                <w:color w:val="auto"/>
              </w:rPr>
            </w:pPr>
          </w:p>
        </w:tc>
        <w:tc>
          <w:tcPr>
            <w:tcW w:w="860" w:type="dxa"/>
            <w:vAlign w:val="bottom"/>
            <w:tcBorders>
              <w:bottom w:val="single" w:sz="8" w:color="CFF0FC"/>
            </w:tcBorders>
            <w:shd w:val="clear" w:color="auto" w:fill="CFF0FC"/>
          </w:tcPr>
          <w:p>
            <w:pPr>
              <w:spacing w:after="0"/>
              <w:rPr>
                <w:sz w:val="21"/>
                <w:szCs w:val="21"/>
                <w:color w:val="auto"/>
              </w:rPr>
            </w:pPr>
          </w:p>
        </w:tc>
        <w:tc>
          <w:tcPr>
            <w:tcW w:w="100" w:type="dxa"/>
            <w:vAlign w:val="bottom"/>
            <w:tcBorders>
              <w:bottom w:val="single" w:sz="8" w:color="CFF0FC"/>
            </w:tcBorders>
            <w:shd w:val="clear" w:color="auto" w:fill="CFF0FC"/>
          </w:tcPr>
          <w:p>
            <w:pPr>
              <w:spacing w:after="0"/>
              <w:rPr>
                <w:sz w:val="21"/>
                <w:szCs w:val="21"/>
                <w:color w:val="auto"/>
              </w:rPr>
            </w:pPr>
          </w:p>
        </w:tc>
        <w:tc>
          <w:tcPr>
            <w:tcW w:w="400" w:type="dxa"/>
            <w:vAlign w:val="bottom"/>
            <w:tcBorders>
              <w:bottom w:val="single" w:sz="8" w:color="CFF0FC"/>
            </w:tcBorders>
            <w:shd w:val="clear" w:color="auto" w:fill="CFF0FC"/>
          </w:tcPr>
          <w:p>
            <w:pPr>
              <w:spacing w:after="0"/>
              <w:rPr>
                <w:sz w:val="21"/>
                <w:szCs w:val="21"/>
                <w:color w:val="auto"/>
              </w:rPr>
            </w:pPr>
          </w:p>
        </w:tc>
        <w:tc>
          <w:tcPr>
            <w:tcW w:w="240" w:type="dxa"/>
            <w:vAlign w:val="bottom"/>
            <w:tcBorders>
              <w:bottom w:val="single" w:sz="8" w:color="CFF0FC"/>
            </w:tcBorders>
            <w:shd w:val="clear" w:color="auto" w:fill="CFF0FC"/>
          </w:tcPr>
          <w:p>
            <w:pPr>
              <w:spacing w:after="0"/>
              <w:rPr>
                <w:sz w:val="21"/>
                <w:szCs w:val="21"/>
                <w:color w:val="auto"/>
              </w:rPr>
            </w:pPr>
          </w:p>
        </w:tc>
        <w:tc>
          <w:tcPr>
            <w:tcW w:w="100" w:type="dxa"/>
            <w:vAlign w:val="bottom"/>
            <w:tcBorders>
              <w:bottom w:val="single" w:sz="8" w:color="CFF0FC"/>
            </w:tcBorders>
            <w:shd w:val="clear" w:color="auto" w:fill="CFF0FC"/>
          </w:tcPr>
          <w:p>
            <w:pPr>
              <w:spacing w:after="0"/>
              <w:rPr>
                <w:sz w:val="21"/>
                <w:szCs w:val="21"/>
                <w:color w:val="auto"/>
              </w:rPr>
            </w:pPr>
          </w:p>
        </w:tc>
        <w:tc>
          <w:tcPr>
            <w:tcW w:w="120" w:type="dxa"/>
            <w:vAlign w:val="bottom"/>
            <w:tcBorders>
              <w:bottom w:val="single" w:sz="8" w:color="CFF0FC"/>
            </w:tcBorders>
            <w:shd w:val="clear" w:color="auto" w:fill="CFF0FC"/>
          </w:tcPr>
          <w:p>
            <w:pPr>
              <w:spacing w:after="0"/>
              <w:rPr>
                <w:sz w:val="21"/>
                <w:szCs w:val="21"/>
                <w:color w:val="auto"/>
              </w:rPr>
            </w:pPr>
          </w:p>
        </w:tc>
        <w:tc>
          <w:tcPr>
            <w:tcW w:w="400" w:type="dxa"/>
            <w:vAlign w:val="bottom"/>
            <w:tcBorders>
              <w:bottom w:val="single" w:sz="8" w:color="CFF0FC"/>
            </w:tcBorders>
            <w:shd w:val="clear" w:color="auto" w:fill="CFF0FC"/>
          </w:tcPr>
          <w:p>
            <w:pPr>
              <w:spacing w:after="0"/>
              <w:rPr>
                <w:sz w:val="21"/>
                <w:szCs w:val="21"/>
                <w:color w:val="auto"/>
              </w:rPr>
            </w:pPr>
          </w:p>
        </w:tc>
        <w:tc>
          <w:tcPr>
            <w:tcW w:w="10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CFF0FC"/>
            </w:tcBorders>
            <w:shd w:val="clear" w:color="auto" w:fill="CFF0FC"/>
          </w:tcPr>
          <w:p>
            <w:pPr>
              <w:spacing w:after="0"/>
              <w:rPr>
                <w:sz w:val="21"/>
                <w:szCs w:val="21"/>
                <w:color w:val="auto"/>
              </w:rPr>
            </w:pPr>
          </w:p>
        </w:tc>
        <w:tc>
          <w:tcPr>
            <w:tcW w:w="900" w:type="dxa"/>
            <w:vAlign w:val="bottom"/>
            <w:tcBorders>
              <w:bottom w:val="single" w:sz="8" w:color="CFF0FC"/>
            </w:tcBorders>
            <w:shd w:val="clear" w:color="auto" w:fill="CFF0FC"/>
          </w:tcPr>
          <w:p>
            <w:pPr>
              <w:spacing w:after="0"/>
              <w:rPr>
                <w:sz w:val="21"/>
                <w:szCs w:val="21"/>
                <w:color w:val="auto"/>
              </w:rPr>
            </w:pPr>
          </w:p>
        </w:tc>
        <w:tc>
          <w:tcPr>
            <w:tcW w:w="60" w:type="dxa"/>
            <w:vAlign w:val="bottom"/>
            <w:tcBorders>
              <w:bottom w:val="single" w:sz="8" w:color="CFF0FC"/>
            </w:tcBorders>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80" w:type="dxa"/>
            <w:vAlign w:val="bottom"/>
          </w:tcPr>
          <w:p>
            <w:pPr>
              <w:ind w:left="280"/>
              <w:spacing w:after="0"/>
              <w:rPr>
                <w:sz w:val="20"/>
                <w:szCs w:val="20"/>
                <w:color w:val="auto"/>
              </w:rPr>
            </w:pPr>
            <w:r>
              <w:rPr>
                <w:rFonts w:ascii="Arial" w:cs="Arial" w:eastAsia="Arial" w:hAnsi="Arial"/>
                <w:sz w:val="18"/>
                <w:szCs w:val="18"/>
                <w:color w:val="auto"/>
              </w:rPr>
              <w:t>Depreciation and amortization</w:t>
            </w:r>
          </w:p>
        </w:tc>
        <w:tc>
          <w:tcPr>
            <w:tcW w:w="300" w:type="dxa"/>
            <w:vAlign w:val="bottom"/>
          </w:tcPr>
          <w:p>
            <w:pPr>
              <w:spacing w:after="0"/>
              <w:rPr>
                <w:sz w:val="21"/>
                <w:szCs w:val="21"/>
                <w:color w:val="auto"/>
              </w:rPr>
            </w:pPr>
          </w:p>
        </w:tc>
        <w:tc>
          <w:tcPr>
            <w:tcW w:w="940" w:type="dxa"/>
            <w:vAlign w:val="bottom"/>
          </w:tcPr>
          <w:p>
            <w:pPr>
              <w:jc w:val="right"/>
              <w:ind w:right="16"/>
              <w:spacing w:after="0"/>
              <w:rPr>
                <w:sz w:val="20"/>
                <w:szCs w:val="20"/>
                <w:color w:val="auto"/>
              </w:rPr>
            </w:pPr>
            <w:r>
              <w:rPr>
                <w:rFonts w:ascii="Arial" w:cs="Arial" w:eastAsia="Arial" w:hAnsi="Arial"/>
                <w:sz w:val="18"/>
                <w:szCs w:val="18"/>
                <w:color w:val="auto"/>
              </w:rPr>
              <w:t>8,619</w:t>
            </w: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860" w:type="dxa"/>
            <w:vAlign w:val="bottom"/>
          </w:tcPr>
          <w:p>
            <w:pPr>
              <w:jc w:val="right"/>
              <w:ind w:right="33"/>
              <w:spacing w:after="0"/>
              <w:rPr>
                <w:sz w:val="20"/>
                <w:szCs w:val="20"/>
                <w:color w:val="auto"/>
              </w:rPr>
            </w:pPr>
            <w:r>
              <w:rPr>
                <w:rFonts w:ascii="Arial" w:cs="Arial" w:eastAsia="Arial" w:hAnsi="Arial"/>
                <w:sz w:val="18"/>
                <w:szCs w:val="18"/>
                <w:color w:val="auto"/>
              </w:rPr>
              <w:t>7,894</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620" w:type="dxa"/>
            <w:vAlign w:val="bottom"/>
            <w:gridSpan w:val="3"/>
          </w:tcPr>
          <w:p>
            <w:pPr>
              <w:jc w:val="right"/>
              <w:ind w:right="48"/>
              <w:spacing w:after="0"/>
              <w:rPr>
                <w:sz w:val="20"/>
                <w:szCs w:val="20"/>
                <w:color w:val="auto"/>
              </w:rPr>
            </w:pPr>
            <w:r>
              <w:rPr>
                <w:rFonts w:ascii="Arial" w:cs="Arial" w:eastAsia="Arial" w:hAnsi="Arial"/>
                <w:sz w:val="18"/>
                <w:szCs w:val="18"/>
                <w:color w:val="auto"/>
                <w:w w:val="87"/>
              </w:rPr>
              <w:t>17,084</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15,845</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08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0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08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Other expense</w:t>
            </w:r>
          </w:p>
        </w:tc>
        <w:tc>
          <w:tcPr>
            <w:tcW w:w="300" w:type="dxa"/>
            <w:vAlign w:val="bottom"/>
            <w:tcBorders>
              <w:bottom w:val="single" w:sz="8" w:color="CFF0FC"/>
            </w:tcBorders>
            <w:shd w:val="clear" w:color="auto" w:fill="CFF0FC"/>
          </w:tcPr>
          <w:p>
            <w:pPr>
              <w:spacing w:after="0"/>
              <w:rPr>
                <w:sz w:val="23"/>
                <w:szCs w:val="23"/>
                <w:color w:val="auto"/>
              </w:rPr>
            </w:pPr>
          </w:p>
        </w:tc>
        <w:tc>
          <w:tcPr>
            <w:tcW w:w="9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(502)</w:t>
            </w:r>
          </w:p>
        </w:tc>
        <w:tc>
          <w:tcPr>
            <w:tcW w:w="120" w:type="dxa"/>
            <w:vAlign w:val="bottom"/>
            <w:tcBorders>
              <w:bottom w:val="single" w:sz="8" w:color="CFF0FC"/>
            </w:tcBorders>
            <w:shd w:val="clear" w:color="auto" w:fill="CFF0FC"/>
          </w:tcPr>
          <w:p>
            <w:pPr>
              <w:spacing w:after="0"/>
              <w:rPr>
                <w:sz w:val="23"/>
                <w:szCs w:val="23"/>
                <w:color w:val="auto"/>
              </w:rPr>
            </w:pPr>
          </w:p>
        </w:tc>
        <w:tc>
          <w:tcPr>
            <w:tcW w:w="400" w:type="dxa"/>
            <w:vAlign w:val="bottom"/>
            <w:tcBorders>
              <w:bottom w:val="single" w:sz="8" w:color="CFF0FC"/>
            </w:tcBorders>
            <w:shd w:val="clear" w:color="auto" w:fill="CFF0FC"/>
          </w:tcPr>
          <w:p>
            <w:pPr>
              <w:spacing w:after="0"/>
              <w:rPr>
                <w:sz w:val="23"/>
                <w:szCs w:val="23"/>
                <w:color w:val="auto"/>
              </w:rPr>
            </w:pPr>
          </w:p>
        </w:tc>
        <w:tc>
          <w:tcPr>
            <w:tcW w:w="86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(933)</w:t>
            </w:r>
          </w:p>
        </w:tc>
        <w:tc>
          <w:tcPr>
            <w:tcW w:w="100" w:type="dxa"/>
            <w:vAlign w:val="bottom"/>
            <w:tcBorders>
              <w:bottom w:val="single" w:sz="8" w:color="CFF0FC"/>
            </w:tcBorders>
            <w:shd w:val="clear" w:color="auto" w:fill="CFF0FC"/>
          </w:tcPr>
          <w:p>
            <w:pPr>
              <w:spacing w:after="0"/>
              <w:rPr>
                <w:sz w:val="23"/>
                <w:szCs w:val="23"/>
                <w:color w:val="auto"/>
              </w:rPr>
            </w:pPr>
          </w:p>
        </w:tc>
        <w:tc>
          <w:tcPr>
            <w:tcW w:w="400" w:type="dxa"/>
            <w:vAlign w:val="bottom"/>
            <w:tcBorders>
              <w:bottom w:val="single" w:sz="8" w:color="CFF0FC"/>
            </w:tcBorders>
            <w:shd w:val="clear" w:color="auto" w:fill="CFF0FC"/>
          </w:tcPr>
          <w:p>
            <w:pPr>
              <w:spacing w:after="0"/>
              <w:rPr>
                <w:sz w:val="23"/>
                <w:szCs w:val="23"/>
                <w:color w:val="auto"/>
              </w:rPr>
            </w:pPr>
          </w:p>
        </w:tc>
        <w:tc>
          <w:tcPr>
            <w:tcW w:w="240" w:type="dxa"/>
            <w:vAlign w:val="bottom"/>
            <w:tcBorders>
              <w:bottom w:val="single" w:sz="8" w:color="CFF0FC"/>
            </w:tcBorders>
            <w:shd w:val="clear" w:color="auto" w:fill="CFF0FC"/>
          </w:tcPr>
          <w:p>
            <w:pPr>
              <w:spacing w:after="0"/>
              <w:rPr>
                <w:sz w:val="23"/>
                <w:szCs w:val="23"/>
                <w:color w:val="auto"/>
              </w:rPr>
            </w:pPr>
          </w:p>
        </w:tc>
        <w:tc>
          <w:tcPr>
            <w:tcW w:w="620" w:type="dxa"/>
            <w:vAlign w:val="bottom"/>
            <w:tcBorders>
              <w:bottom w:val="single" w:sz="8" w:color="CFF0FC"/>
            </w:tcBorders>
            <w:gridSpan w:val="3"/>
            <w:shd w:val="clear" w:color="auto" w:fill="CFF0FC"/>
          </w:tcPr>
          <w:p>
            <w:pPr>
              <w:jc w:val="right"/>
              <w:spacing w:after="0"/>
              <w:rPr>
                <w:sz w:val="20"/>
                <w:szCs w:val="20"/>
                <w:color w:val="auto"/>
              </w:rPr>
            </w:pPr>
            <w:r>
              <w:rPr>
                <w:rFonts w:ascii="Arial" w:cs="Arial" w:eastAsia="Arial" w:hAnsi="Arial"/>
                <w:sz w:val="18"/>
                <w:szCs w:val="18"/>
                <w:color w:val="auto"/>
              </w:rPr>
              <w:t>(310)</w:t>
            </w:r>
          </w:p>
        </w:tc>
        <w:tc>
          <w:tcPr>
            <w:tcW w:w="100" w:type="dxa"/>
            <w:vAlign w:val="bottom"/>
            <w:tcBorders>
              <w:bottom w:val="single" w:sz="8" w:color="CFF0FC"/>
            </w:tcBorders>
            <w:shd w:val="clear" w:color="auto" w:fill="CFF0FC"/>
          </w:tcPr>
          <w:p>
            <w:pPr>
              <w:spacing w:after="0"/>
              <w:rPr>
                <w:sz w:val="23"/>
                <w:szCs w:val="23"/>
                <w:color w:val="auto"/>
              </w:rPr>
            </w:pPr>
          </w:p>
        </w:tc>
        <w:tc>
          <w:tcPr>
            <w:tcW w:w="300" w:type="dxa"/>
            <w:vAlign w:val="bottom"/>
            <w:tcBorders>
              <w:bottom w:val="single" w:sz="8" w:color="CFF0FC"/>
            </w:tcBorders>
            <w:shd w:val="clear" w:color="auto" w:fill="CFF0FC"/>
          </w:tcPr>
          <w:p>
            <w:pPr>
              <w:spacing w:after="0"/>
              <w:rPr>
                <w:sz w:val="23"/>
                <w:szCs w:val="23"/>
                <w:color w:val="auto"/>
              </w:rPr>
            </w:pPr>
          </w:p>
        </w:tc>
        <w:tc>
          <w:tcPr>
            <w:tcW w:w="960" w:type="dxa"/>
            <w:vAlign w:val="bottom"/>
            <w:tcBorders>
              <w:bottom w:val="single" w:sz="8" w:color="CFF0FC"/>
            </w:tcBorders>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(251)</w:t>
            </w:r>
          </w:p>
        </w:tc>
        <w:tc>
          <w:tcPr>
            <w:tcW w:w="0" w:type="dxa"/>
            <w:vAlign w:val="bottom"/>
          </w:tcPr>
          <w:p>
            <w:pPr>
              <w:spacing w:after="0"/>
              <w:rPr>
                <w:sz w:val="1"/>
                <w:szCs w:val="1"/>
                <w:color w:val="auto"/>
              </w:rPr>
            </w:pPr>
          </w:p>
        </w:tc>
      </w:tr>
      <w:tr>
        <w:trPr>
          <w:trHeight w:val="237"/>
        </w:trPr>
        <w:tc>
          <w:tcPr>
            <w:tcW w:w="6080" w:type="dxa"/>
            <w:vAlign w:val="bottom"/>
          </w:tcPr>
          <w:p>
            <w:pPr>
              <w:ind w:left="500"/>
              <w:spacing w:after="0"/>
              <w:rPr>
                <w:sz w:val="20"/>
                <w:szCs w:val="20"/>
                <w:color w:val="auto"/>
              </w:rPr>
            </w:pPr>
            <w:r>
              <w:rPr>
                <w:rFonts w:ascii="Arial" w:cs="Arial" w:eastAsia="Arial" w:hAnsi="Arial"/>
                <w:sz w:val="18"/>
                <w:szCs w:val="18"/>
                <w:color w:val="auto"/>
              </w:rPr>
              <w:t>Income from operations</w:t>
            </w:r>
          </w:p>
        </w:tc>
        <w:tc>
          <w:tcPr>
            <w:tcW w:w="30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jc w:val="right"/>
              <w:ind w:right="16"/>
              <w:spacing w:after="0"/>
              <w:rPr>
                <w:sz w:val="20"/>
                <w:szCs w:val="20"/>
                <w:color w:val="auto"/>
              </w:rPr>
            </w:pPr>
            <w:r>
              <w:rPr>
                <w:rFonts w:ascii="Arial" w:cs="Arial" w:eastAsia="Arial" w:hAnsi="Arial"/>
                <w:sz w:val="18"/>
                <w:szCs w:val="18"/>
                <w:color w:val="auto"/>
              </w:rPr>
              <w:t>48,811</w:t>
            </w:r>
          </w:p>
        </w:tc>
        <w:tc>
          <w:tcPr>
            <w:tcW w:w="120" w:type="dxa"/>
            <w:vAlign w:val="bottom"/>
          </w:tcPr>
          <w:p>
            <w:pPr>
              <w:spacing w:after="0"/>
              <w:rPr>
                <w:sz w:val="20"/>
                <w:szCs w:val="20"/>
                <w:color w:val="auto"/>
              </w:rPr>
            </w:pPr>
          </w:p>
        </w:tc>
        <w:tc>
          <w:tcPr>
            <w:tcW w:w="40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38,250</w:t>
            </w:r>
          </w:p>
        </w:tc>
        <w:tc>
          <w:tcPr>
            <w:tcW w:w="100" w:type="dxa"/>
            <w:vAlign w:val="bottom"/>
          </w:tcPr>
          <w:p>
            <w:pPr>
              <w:spacing w:after="0"/>
              <w:rPr>
                <w:sz w:val="20"/>
                <w:szCs w:val="20"/>
                <w:color w:val="auto"/>
              </w:rPr>
            </w:pPr>
          </w:p>
        </w:tc>
        <w:tc>
          <w:tcPr>
            <w:tcW w:w="400" w:type="dxa"/>
            <w:vAlign w:val="bottom"/>
            <w:tcBorders>
              <w:top w:val="single" w:sz="8" w:color="auto"/>
            </w:tcBorders>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620" w:type="dxa"/>
            <w:vAlign w:val="bottom"/>
            <w:tcBorders>
              <w:top w:val="single" w:sz="8" w:color="auto"/>
            </w:tcBorders>
            <w:gridSpan w:val="3"/>
          </w:tcPr>
          <w:p>
            <w:pPr>
              <w:jc w:val="right"/>
              <w:ind w:right="48"/>
              <w:spacing w:after="0"/>
              <w:rPr>
                <w:sz w:val="20"/>
                <w:szCs w:val="20"/>
                <w:color w:val="auto"/>
              </w:rPr>
            </w:pPr>
            <w:r>
              <w:rPr>
                <w:rFonts w:ascii="Arial" w:cs="Arial" w:eastAsia="Arial" w:hAnsi="Arial"/>
                <w:sz w:val="18"/>
                <w:szCs w:val="18"/>
                <w:color w:val="auto"/>
                <w:w w:val="87"/>
              </w:rPr>
              <w:t>87,729</w:t>
            </w: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71,305</w:t>
            </w:r>
          </w:p>
        </w:tc>
        <w:tc>
          <w:tcPr>
            <w:tcW w:w="6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608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34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0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8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Interest expense, net</w:t>
            </w:r>
          </w:p>
        </w:tc>
        <w:tc>
          <w:tcPr>
            <w:tcW w:w="300" w:type="dxa"/>
            <w:vAlign w:val="bottom"/>
            <w:tcBorders>
              <w:bottom w:val="single" w:sz="8" w:color="CFF0FC"/>
            </w:tcBorders>
            <w:shd w:val="clear" w:color="auto" w:fill="CFF0FC"/>
          </w:tcPr>
          <w:p>
            <w:pPr>
              <w:spacing w:after="0"/>
              <w:rPr>
                <w:sz w:val="21"/>
                <w:szCs w:val="21"/>
                <w:color w:val="auto"/>
              </w:rPr>
            </w:pPr>
          </w:p>
        </w:tc>
        <w:tc>
          <w:tcPr>
            <w:tcW w:w="9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(8,628)</w:t>
            </w:r>
          </w:p>
        </w:tc>
        <w:tc>
          <w:tcPr>
            <w:tcW w:w="120" w:type="dxa"/>
            <w:vAlign w:val="bottom"/>
            <w:tcBorders>
              <w:bottom w:val="single" w:sz="8" w:color="CFF0FC"/>
            </w:tcBorders>
            <w:shd w:val="clear" w:color="auto" w:fill="CFF0FC"/>
          </w:tcPr>
          <w:p>
            <w:pPr>
              <w:spacing w:after="0"/>
              <w:rPr>
                <w:sz w:val="21"/>
                <w:szCs w:val="21"/>
                <w:color w:val="auto"/>
              </w:rPr>
            </w:pPr>
          </w:p>
        </w:tc>
        <w:tc>
          <w:tcPr>
            <w:tcW w:w="400" w:type="dxa"/>
            <w:vAlign w:val="bottom"/>
            <w:tcBorders>
              <w:bottom w:val="single" w:sz="8" w:color="CFF0FC"/>
            </w:tcBorders>
            <w:shd w:val="clear" w:color="auto" w:fill="CFF0FC"/>
          </w:tcPr>
          <w:p>
            <w:pPr>
              <w:spacing w:after="0"/>
              <w:rPr>
                <w:sz w:val="21"/>
                <w:szCs w:val="21"/>
                <w:color w:val="auto"/>
              </w:rPr>
            </w:pPr>
          </w:p>
        </w:tc>
        <w:tc>
          <w:tcPr>
            <w:tcW w:w="86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(9,028)</w:t>
            </w:r>
          </w:p>
        </w:tc>
        <w:tc>
          <w:tcPr>
            <w:tcW w:w="100" w:type="dxa"/>
            <w:vAlign w:val="bottom"/>
            <w:tcBorders>
              <w:bottom w:val="single" w:sz="8" w:color="CFF0FC"/>
            </w:tcBorders>
            <w:shd w:val="clear" w:color="auto" w:fill="CFF0FC"/>
          </w:tcPr>
          <w:p>
            <w:pPr>
              <w:spacing w:after="0"/>
              <w:rPr>
                <w:sz w:val="21"/>
                <w:szCs w:val="21"/>
                <w:color w:val="auto"/>
              </w:rPr>
            </w:pPr>
          </w:p>
        </w:tc>
        <w:tc>
          <w:tcPr>
            <w:tcW w:w="400" w:type="dxa"/>
            <w:vAlign w:val="bottom"/>
            <w:tcBorders>
              <w:bottom w:val="single" w:sz="8" w:color="CFF0FC"/>
            </w:tcBorders>
            <w:shd w:val="clear" w:color="auto" w:fill="CFF0FC"/>
          </w:tcPr>
          <w:p>
            <w:pPr>
              <w:spacing w:after="0"/>
              <w:rPr>
                <w:sz w:val="21"/>
                <w:szCs w:val="21"/>
                <w:color w:val="auto"/>
              </w:rPr>
            </w:pPr>
          </w:p>
        </w:tc>
        <w:tc>
          <w:tcPr>
            <w:tcW w:w="860" w:type="dxa"/>
            <w:vAlign w:val="bottom"/>
            <w:tcBorders>
              <w:bottom w:val="single" w:sz="8" w:color="CFF0FC"/>
            </w:tcBorders>
            <w:gridSpan w:val="4"/>
            <w:shd w:val="clear" w:color="auto" w:fill="CFF0FC"/>
          </w:tcPr>
          <w:p>
            <w:pPr>
              <w:jc w:val="right"/>
              <w:spacing w:after="0"/>
              <w:rPr>
                <w:sz w:val="20"/>
                <w:szCs w:val="20"/>
                <w:color w:val="auto"/>
              </w:rPr>
            </w:pPr>
            <w:r>
              <w:rPr>
                <w:rFonts w:ascii="Arial" w:cs="Arial" w:eastAsia="Arial" w:hAnsi="Arial"/>
                <w:sz w:val="18"/>
                <w:szCs w:val="18"/>
                <w:color w:val="auto"/>
              </w:rPr>
              <w:t>(17,361)</w:t>
            </w:r>
          </w:p>
        </w:tc>
        <w:tc>
          <w:tcPr>
            <w:tcW w:w="10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CFF0FC"/>
            </w:tcBorders>
            <w:shd w:val="clear" w:color="auto" w:fill="CFF0FC"/>
          </w:tcPr>
          <w:p>
            <w:pPr>
              <w:spacing w:after="0"/>
              <w:rPr>
                <w:sz w:val="21"/>
                <w:szCs w:val="21"/>
                <w:color w:val="auto"/>
              </w:rPr>
            </w:pPr>
          </w:p>
        </w:tc>
        <w:tc>
          <w:tcPr>
            <w:tcW w:w="960" w:type="dxa"/>
            <w:vAlign w:val="bottom"/>
            <w:tcBorders>
              <w:bottom w:val="single" w:sz="8" w:color="CFF0FC"/>
            </w:tcBorders>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(17,791)</w:t>
            </w:r>
          </w:p>
        </w:tc>
        <w:tc>
          <w:tcPr>
            <w:tcW w:w="0" w:type="dxa"/>
            <w:vAlign w:val="bottom"/>
          </w:tcPr>
          <w:p>
            <w:pPr>
              <w:spacing w:after="0"/>
              <w:rPr>
                <w:sz w:val="1"/>
                <w:szCs w:val="1"/>
                <w:color w:val="auto"/>
              </w:rPr>
            </w:pPr>
          </w:p>
        </w:tc>
      </w:tr>
      <w:tr>
        <w:trPr>
          <w:trHeight w:val="243"/>
        </w:trPr>
        <w:tc>
          <w:tcPr>
            <w:tcW w:w="6080" w:type="dxa"/>
            <w:vAlign w:val="bottom"/>
          </w:tcPr>
          <w:p>
            <w:pPr>
              <w:ind w:left="280"/>
              <w:spacing w:after="0"/>
              <w:rPr>
                <w:sz w:val="20"/>
                <w:szCs w:val="20"/>
                <w:color w:val="auto"/>
              </w:rPr>
            </w:pPr>
            <w:r>
              <w:rPr>
                <w:rFonts w:ascii="Arial" w:cs="Arial" w:eastAsia="Arial" w:hAnsi="Arial"/>
                <w:sz w:val="18"/>
                <w:szCs w:val="18"/>
                <w:color w:val="auto"/>
              </w:rPr>
              <w:t>Other expense</w:t>
            </w:r>
          </w:p>
        </w:tc>
        <w:tc>
          <w:tcPr>
            <w:tcW w:w="30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(502)</w:t>
            </w: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(933)</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620" w:type="dxa"/>
            <w:vAlign w:val="bottom"/>
            <w:gridSpan w:val="3"/>
          </w:tcPr>
          <w:p>
            <w:pPr>
              <w:jc w:val="right"/>
              <w:spacing w:after="0"/>
              <w:rPr>
                <w:sz w:val="20"/>
                <w:szCs w:val="20"/>
                <w:color w:val="auto"/>
              </w:rPr>
            </w:pPr>
            <w:r>
              <w:rPr>
                <w:rFonts w:ascii="Arial" w:cs="Arial" w:eastAsia="Arial" w:hAnsi="Arial"/>
                <w:sz w:val="18"/>
                <w:szCs w:val="18"/>
                <w:color w:val="auto"/>
              </w:rPr>
              <w:t>(310)</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(251)</w:t>
            </w:r>
          </w:p>
        </w:tc>
        <w:tc>
          <w:tcPr>
            <w:tcW w:w="0" w:type="dxa"/>
            <w:vAlign w:val="bottom"/>
          </w:tcPr>
          <w:p>
            <w:pPr>
              <w:spacing w:after="0"/>
              <w:rPr>
                <w:sz w:val="1"/>
                <w:szCs w:val="1"/>
                <w:color w:val="auto"/>
              </w:rPr>
            </w:pPr>
          </w:p>
        </w:tc>
      </w:tr>
      <w:tr>
        <w:trPr>
          <w:trHeight w:val="27"/>
        </w:trPr>
        <w:tc>
          <w:tcPr>
            <w:tcW w:w="6080" w:type="dxa"/>
            <w:vAlign w:val="bottom"/>
            <w:tcBorders>
              <w:bottom w:val="single" w:sz="8" w:color="CFF0FC"/>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080" w:type="dxa"/>
            <w:vAlign w:val="bottom"/>
            <w:shd w:val="clear" w:color="auto" w:fill="CFF0FC"/>
          </w:tcPr>
          <w:p>
            <w:pPr>
              <w:ind w:left="500"/>
              <w:spacing w:after="0"/>
              <w:rPr>
                <w:sz w:val="20"/>
                <w:szCs w:val="20"/>
                <w:color w:val="auto"/>
              </w:rPr>
            </w:pPr>
            <w:r>
              <w:rPr>
                <w:rFonts w:ascii="Arial" w:cs="Arial" w:eastAsia="Arial" w:hAnsi="Arial"/>
                <w:sz w:val="18"/>
                <w:szCs w:val="18"/>
                <w:color w:val="auto"/>
              </w:rPr>
              <w:t>Income before income taxes</w:t>
            </w:r>
          </w:p>
        </w:tc>
        <w:tc>
          <w:tcPr>
            <w:tcW w:w="300" w:type="dxa"/>
            <w:vAlign w:val="bottom"/>
            <w:shd w:val="clear" w:color="auto" w:fill="CFF0FC"/>
          </w:tcPr>
          <w:p>
            <w:pPr>
              <w:jc w:val="right"/>
              <w:ind w:right="110"/>
              <w:spacing w:after="0"/>
              <w:rPr>
                <w:sz w:val="20"/>
                <w:szCs w:val="20"/>
                <w:color w:val="auto"/>
              </w:rPr>
            </w:pPr>
            <w:r>
              <w:rPr>
                <w:rFonts w:ascii="Arial" w:cs="Arial" w:eastAsia="Arial" w:hAnsi="Arial"/>
                <w:sz w:val="18"/>
                <w:szCs w:val="18"/>
                <w:color w:val="auto"/>
                <w:w w:val="79"/>
              </w:rPr>
              <w:t>$</w:t>
            </w:r>
          </w:p>
        </w:tc>
        <w:tc>
          <w:tcPr>
            <w:tcW w:w="940" w:type="dxa"/>
            <w:vAlign w:val="bottom"/>
            <w:shd w:val="clear" w:color="auto" w:fill="CFF0FC"/>
          </w:tcPr>
          <w:p>
            <w:pPr>
              <w:jc w:val="right"/>
              <w:ind w:right="16"/>
              <w:spacing w:after="0"/>
              <w:rPr>
                <w:sz w:val="20"/>
                <w:szCs w:val="20"/>
                <w:color w:val="auto"/>
              </w:rPr>
            </w:pPr>
            <w:r>
              <w:rPr>
                <w:rFonts w:ascii="Arial" w:cs="Arial" w:eastAsia="Arial" w:hAnsi="Arial"/>
                <w:sz w:val="18"/>
                <w:szCs w:val="18"/>
                <w:color w:val="auto"/>
              </w:rPr>
              <w:t>39,681</w:t>
            </w:r>
          </w:p>
        </w:tc>
        <w:tc>
          <w:tcPr>
            <w:tcW w:w="120" w:type="dxa"/>
            <w:vAlign w:val="bottom"/>
            <w:shd w:val="clear" w:color="auto" w:fill="CFF0FC"/>
          </w:tcPr>
          <w:p>
            <w:pPr>
              <w:spacing w:after="0"/>
              <w:rPr>
                <w:sz w:val="22"/>
                <w:szCs w:val="22"/>
                <w:color w:val="auto"/>
              </w:rPr>
            </w:pPr>
          </w:p>
        </w:tc>
        <w:tc>
          <w:tcPr>
            <w:tcW w:w="400" w:type="dxa"/>
            <w:vAlign w:val="bottom"/>
            <w:shd w:val="clear" w:color="auto" w:fill="CFF0FC"/>
          </w:tcPr>
          <w:p>
            <w:pPr>
              <w:jc w:val="right"/>
              <w:ind w:right="190"/>
              <w:spacing w:after="0"/>
              <w:rPr>
                <w:sz w:val="20"/>
                <w:szCs w:val="20"/>
                <w:color w:val="auto"/>
              </w:rPr>
            </w:pPr>
            <w:r>
              <w:rPr>
                <w:rFonts w:ascii="Arial" w:cs="Arial" w:eastAsia="Arial" w:hAnsi="Arial"/>
                <w:sz w:val="18"/>
                <w:szCs w:val="18"/>
                <w:color w:val="auto"/>
                <w:w w:val="99"/>
              </w:rPr>
              <w:t>$</w:t>
            </w:r>
          </w:p>
        </w:tc>
        <w:tc>
          <w:tcPr>
            <w:tcW w:w="860" w:type="dxa"/>
            <w:vAlign w:val="bottom"/>
            <w:shd w:val="clear" w:color="auto" w:fill="CFF0FC"/>
          </w:tcPr>
          <w:p>
            <w:pPr>
              <w:jc w:val="right"/>
              <w:ind w:right="33"/>
              <w:spacing w:after="0"/>
              <w:rPr>
                <w:sz w:val="20"/>
                <w:szCs w:val="20"/>
                <w:color w:val="auto"/>
              </w:rPr>
            </w:pPr>
            <w:r>
              <w:rPr>
                <w:rFonts w:ascii="Arial" w:cs="Arial" w:eastAsia="Arial" w:hAnsi="Arial"/>
                <w:sz w:val="18"/>
                <w:szCs w:val="18"/>
                <w:color w:val="auto"/>
              </w:rPr>
              <w:t>28,289</w:t>
            </w:r>
          </w:p>
        </w:tc>
        <w:tc>
          <w:tcPr>
            <w:tcW w:w="500" w:type="dxa"/>
            <w:vAlign w:val="bottom"/>
            <w:gridSpan w:val="2"/>
            <w:shd w:val="clear" w:color="auto" w:fill="CFF0FC"/>
          </w:tcPr>
          <w:p>
            <w:pPr>
              <w:jc w:val="right"/>
              <w:ind w:right="280"/>
              <w:spacing w:after="0"/>
              <w:rPr>
                <w:sz w:val="20"/>
                <w:szCs w:val="20"/>
                <w:color w:val="auto"/>
              </w:rPr>
            </w:pPr>
            <w:r>
              <w:rPr>
                <w:rFonts w:ascii="Arial" w:cs="Arial" w:eastAsia="Arial" w:hAnsi="Arial"/>
                <w:sz w:val="18"/>
                <w:szCs w:val="18"/>
                <w:color w:val="auto"/>
              </w:rPr>
              <w:t>$</w:t>
            </w:r>
          </w:p>
        </w:tc>
        <w:tc>
          <w:tcPr>
            <w:tcW w:w="240" w:type="dxa"/>
            <w:vAlign w:val="bottom"/>
            <w:shd w:val="clear" w:color="auto" w:fill="CFF0FC"/>
          </w:tcPr>
          <w:p>
            <w:pPr>
              <w:spacing w:after="0"/>
              <w:rPr>
                <w:sz w:val="22"/>
                <w:szCs w:val="22"/>
                <w:color w:val="auto"/>
              </w:rPr>
            </w:pPr>
          </w:p>
        </w:tc>
        <w:tc>
          <w:tcPr>
            <w:tcW w:w="620" w:type="dxa"/>
            <w:vAlign w:val="bottom"/>
            <w:gridSpan w:val="3"/>
            <w:shd w:val="clear" w:color="auto" w:fill="CFF0FC"/>
          </w:tcPr>
          <w:p>
            <w:pPr>
              <w:jc w:val="right"/>
              <w:ind w:right="48"/>
              <w:spacing w:after="0"/>
              <w:rPr>
                <w:sz w:val="20"/>
                <w:szCs w:val="20"/>
                <w:color w:val="auto"/>
              </w:rPr>
            </w:pPr>
            <w:r>
              <w:rPr>
                <w:rFonts w:ascii="Arial" w:cs="Arial" w:eastAsia="Arial" w:hAnsi="Arial"/>
                <w:sz w:val="18"/>
                <w:szCs w:val="18"/>
                <w:color w:val="auto"/>
                <w:w w:val="87"/>
              </w:rPr>
              <w:t>70,058</w:t>
            </w:r>
          </w:p>
        </w:tc>
        <w:tc>
          <w:tcPr>
            <w:tcW w:w="100" w:type="dxa"/>
            <w:vAlign w:val="bottom"/>
            <w:shd w:val="clear" w:color="auto" w:fill="CFF0FC"/>
          </w:tcPr>
          <w:p>
            <w:pPr>
              <w:spacing w:after="0"/>
              <w:rPr>
                <w:sz w:val="22"/>
                <w:szCs w:val="22"/>
                <w:color w:val="auto"/>
              </w:rPr>
            </w:pPr>
          </w:p>
        </w:tc>
        <w:tc>
          <w:tcPr>
            <w:tcW w:w="300" w:type="dxa"/>
            <w:vAlign w:val="bottom"/>
            <w:shd w:val="clear" w:color="auto" w:fill="CFF0FC"/>
          </w:tcPr>
          <w:p>
            <w:pPr>
              <w:jc w:val="right"/>
              <w:ind w:right="90"/>
              <w:spacing w:after="0"/>
              <w:rPr>
                <w:sz w:val="20"/>
                <w:szCs w:val="20"/>
                <w:color w:val="auto"/>
              </w:rPr>
            </w:pPr>
            <w:r>
              <w:rPr>
                <w:rFonts w:ascii="Arial" w:cs="Arial" w:eastAsia="Arial" w:hAnsi="Arial"/>
                <w:sz w:val="18"/>
                <w:szCs w:val="18"/>
                <w:color w:val="auto"/>
                <w:w w:val="99"/>
              </w:rPr>
              <w:t>$</w:t>
            </w: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53,263</w:t>
            </w:r>
          </w:p>
        </w:tc>
        <w:tc>
          <w:tcPr>
            <w:tcW w:w="60" w:type="dxa"/>
            <w:vAlign w:val="bottom"/>
            <w:shd w:val="clear" w:color="auto" w:fill="CFF0FC"/>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080" w:type="dxa"/>
            <w:vAlign w:val="bottom"/>
            <w:tcBorders>
              <w:top w:val="single" w:sz="8" w:color="CFF0FC"/>
              <w:bottom w:val="single" w:sz="8" w:color="CFF0FC"/>
            </w:tcBorders>
            <w:vMerge w:val="restart"/>
          </w:tcPr>
          <w:p>
            <w:pPr>
              <w:spacing w:after="0"/>
              <w:rPr>
                <w:sz w:val="20"/>
                <w:szCs w:val="20"/>
                <w:color w:val="auto"/>
              </w:rPr>
            </w:pPr>
            <w:r>
              <w:rPr>
                <w:rFonts w:ascii="Arial" w:cs="Arial" w:eastAsia="Arial" w:hAnsi="Arial"/>
                <w:sz w:val="18"/>
                <w:szCs w:val="18"/>
                <w:color w:val="auto"/>
                <w:w w:val="97"/>
              </w:rPr>
              <w:t>The following table summarizes the Company’s assets by reportable segment:</w:t>
            </w:r>
          </w:p>
        </w:tc>
        <w:tc>
          <w:tcPr>
            <w:tcW w:w="3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6"/>
        </w:trPr>
        <w:tc>
          <w:tcPr>
            <w:tcW w:w="6080" w:type="dxa"/>
            <w:vAlign w:val="bottom"/>
            <w:vMerge w:val="continue"/>
          </w:tcPr>
          <w:p>
            <w:pPr>
              <w:spacing w:after="0"/>
              <w:rPr>
                <w:sz w:val="24"/>
                <w:szCs w:val="24"/>
                <w:color w:val="auto"/>
              </w:rPr>
            </w:pPr>
          </w:p>
        </w:tc>
        <w:tc>
          <w:tcPr>
            <w:tcW w:w="3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9"/>
        </w:trPr>
        <w:tc>
          <w:tcPr>
            <w:tcW w:w="6080" w:type="dxa"/>
            <w:vAlign w:val="bottom"/>
            <w:tcBorders>
              <w:bottom w:val="single" w:sz="8" w:color="CFF0FC"/>
            </w:tcBorders>
          </w:tcPr>
          <w:p>
            <w:pPr>
              <w:spacing w:after="0"/>
              <w:rPr>
                <w:sz w:val="24"/>
                <w:szCs w:val="24"/>
                <w:color w:val="auto"/>
              </w:rPr>
            </w:pPr>
          </w:p>
        </w:tc>
        <w:tc>
          <w:tcPr>
            <w:tcW w:w="300" w:type="dxa"/>
            <w:vAlign w:val="bottom"/>
            <w:tcBorders>
              <w:bottom w:val="single" w:sz="8" w:color="CFF0FC"/>
            </w:tcBorders>
          </w:tcPr>
          <w:p>
            <w:pPr>
              <w:spacing w:after="0"/>
              <w:rPr>
                <w:sz w:val="24"/>
                <w:szCs w:val="24"/>
                <w:color w:val="auto"/>
              </w:rPr>
            </w:pPr>
          </w:p>
        </w:tc>
        <w:tc>
          <w:tcPr>
            <w:tcW w:w="940" w:type="dxa"/>
            <w:vAlign w:val="bottom"/>
            <w:tcBorders>
              <w:bottom w:val="single" w:sz="8" w:color="CFF0FC"/>
            </w:tcBorders>
          </w:tcPr>
          <w:p>
            <w:pPr>
              <w:spacing w:after="0"/>
              <w:rPr>
                <w:sz w:val="24"/>
                <w:szCs w:val="24"/>
                <w:color w:val="auto"/>
              </w:rPr>
            </w:pPr>
          </w:p>
        </w:tc>
        <w:tc>
          <w:tcPr>
            <w:tcW w:w="120" w:type="dxa"/>
            <w:vAlign w:val="bottom"/>
            <w:tcBorders>
              <w:bottom w:val="single" w:sz="8" w:color="CFF0FC"/>
            </w:tcBorders>
          </w:tcPr>
          <w:p>
            <w:pPr>
              <w:spacing w:after="0"/>
              <w:rPr>
                <w:sz w:val="24"/>
                <w:szCs w:val="24"/>
                <w:color w:val="auto"/>
              </w:rPr>
            </w:pPr>
          </w:p>
        </w:tc>
        <w:tc>
          <w:tcPr>
            <w:tcW w:w="400" w:type="dxa"/>
            <w:vAlign w:val="bottom"/>
            <w:tcBorders>
              <w:bottom w:val="single" w:sz="8" w:color="CFF0FC"/>
            </w:tcBorders>
          </w:tcPr>
          <w:p>
            <w:pPr>
              <w:spacing w:after="0"/>
              <w:rPr>
                <w:sz w:val="24"/>
                <w:szCs w:val="24"/>
                <w:color w:val="auto"/>
              </w:rPr>
            </w:pPr>
          </w:p>
        </w:tc>
        <w:tc>
          <w:tcPr>
            <w:tcW w:w="1360" w:type="dxa"/>
            <w:vAlign w:val="bottom"/>
            <w:tcBorders>
              <w:bottom w:val="single" w:sz="8" w:color="auto"/>
            </w:tcBorders>
            <w:gridSpan w:val="3"/>
          </w:tcPr>
          <w:p>
            <w:pPr>
              <w:jc w:val="right"/>
              <w:ind w:right="100"/>
              <w:spacing w:after="0"/>
              <w:rPr>
                <w:sz w:val="20"/>
                <w:szCs w:val="20"/>
                <w:color w:val="auto"/>
              </w:rPr>
            </w:pPr>
            <w:r>
              <w:rPr>
                <w:rFonts w:ascii="Arial" w:cs="Arial" w:eastAsia="Arial" w:hAnsi="Arial"/>
                <w:sz w:val="14"/>
                <w:szCs w:val="14"/>
                <w:b w:val="1"/>
                <w:bCs w:val="1"/>
                <w:color w:val="auto"/>
              </w:rPr>
              <w:t>June 30, 2018</w:t>
            </w:r>
          </w:p>
        </w:tc>
        <w:tc>
          <w:tcPr>
            <w:tcW w:w="2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CFF0FC"/>
            </w:tcBorders>
          </w:tcPr>
          <w:p>
            <w:pPr>
              <w:spacing w:after="0"/>
              <w:rPr>
                <w:sz w:val="24"/>
                <w:szCs w:val="24"/>
                <w:color w:val="auto"/>
              </w:rPr>
            </w:pPr>
          </w:p>
        </w:tc>
        <w:tc>
          <w:tcPr>
            <w:tcW w:w="1700" w:type="dxa"/>
            <w:vAlign w:val="bottom"/>
            <w:tcBorders>
              <w:bottom w:val="single" w:sz="8" w:color="auto"/>
            </w:tcBorders>
            <w:gridSpan w:val="4"/>
          </w:tcPr>
          <w:p>
            <w:pPr>
              <w:jc w:val="right"/>
              <w:ind w:right="192"/>
              <w:spacing w:after="0"/>
              <w:rPr>
                <w:sz w:val="20"/>
                <w:szCs w:val="20"/>
                <w:color w:val="auto"/>
              </w:rPr>
            </w:pPr>
            <w:r>
              <w:rPr>
                <w:rFonts w:ascii="Arial" w:cs="Arial" w:eastAsia="Arial" w:hAnsi="Arial"/>
                <w:sz w:val="14"/>
                <w:szCs w:val="14"/>
                <w:b w:val="1"/>
                <w:bCs w:val="1"/>
                <w:color w:val="auto"/>
              </w:rPr>
              <w:t>December 31, 2017</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608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Franchise</w:t>
            </w:r>
          </w:p>
        </w:tc>
        <w:tc>
          <w:tcPr>
            <w:tcW w:w="300" w:type="dxa"/>
            <w:vAlign w:val="bottom"/>
            <w:tcBorders>
              <w:bottom w:val="single" w:sz="8" w:color="CFF0FC"/>
            </w:tcBorders>
            <w:shd w:val="clear" w:color="auto" w:fill="CFF0FC"/>
          </w:tcPr>
          <w:p>
            <w:pPr>
              <w:spacing w:after="0"/>
              <w:rPr>
                <w:sz w:val="21"/>
                <w:szCs w:val="21"/>
                <w:color w:val="auto"/>
              </w:rPr>
            </w:pPr>
          </w:p>
        </w:tc>
        <w:tc>
          <w:tcPr>
            <w:tcW w:w="940" w:type="dxa"/>
            <w:vAlign w:val="bottom"/>
            <w:tcBorders>
              <w:bottom w:val="single" w:sz="8" w:color="CFF0FC"/>
            </w:tcBorders>
            <w:shd w:val="clear" w:color="auto" w:fill="CFF0FC"/>
          </w:tcPr>
          <w:p>
            <w:pPr>
              <w:spacing w:after="0"/>
              <w:rPr>
                <w:sz w:val="21"/>
                <w:szCs w:val="21"/>
                <w:color w:val="auto"/>
              </w:rPr>
            </w:pPr>
          </w:p>
        </w:tc>
        <w:tc>
          <w:tcPr>
            <w:tcW w:w="120" w:type="dxa"/>
            <w:vAlign w:val="bottom"/>
            <w:tcBorders>
              <w:bottom w:val="single" w:sz="8" w:color="CFF0FC"/>
            </w:tcBorders>
            <w:shd w:val="clear" w:color="auto" w:fill="CFF0FC"/>
          </w:tcPr>
          <w:p>
            <w:pPr>
              <w:spacing w:after="0"/>
              <w:rPr>
                <w:sz w:val="21"/>
                <w:szCs w:val="21"/>
                <w:color w:val="auto"/>
              </w:rPr>
            </w:pPr>
          </w:p>
        </w:tc>
        <w:tc>
          <w:tcPr>
            <w:tcW w:w="400" w:type="dxa"/>
            <w:vAlign w:val="bottom"/>
            <w:tcBorders>
              <w:bottom w:val="single" w:sz="8" w:color="CFF0FC"/>
            </w:tcBorders>
            <w:shd w:val="clear" w:color="auto" w:fill="CFF0FC"/>
          </w:tcPr>
          <w:p>
            <w:pPr>
              <w:spacing w:after="0"/>
              <w:rPr>
                <w:sz w:val="21"/>
                <w:szCs w:val="21"/>
                <w:color w:val="auto"/>
              </w:rPr>
            </w:pPr>
          </w:p>
        </w:tc>
        <w:tc>
          <w:tcPr>
            <w:tcW w:w="860" w:type="dxa"/>
            <w:vAlign w:val="bottom"/>
            <w:tcBorders>
              <w:bottom w:val="single" w:sz="8" w:color="CFF0FC"/>
            </w:tcBorders>
            <w:shd w:val="clear" w:color="auto" w:fill="CFF0FC"/>
          </w:tcPr>
          <w:p>
            <w:pPr>
              <w:jc w:val="right"/>
              <w:ind w:right="653"/>
              <w:spacing w:after="0"/>
              <w:rPr>
                <w:sz w:val="20"/>
                <w:szCs w:val="20"/>
                <w:color w:val="auto"/>
              </w:rPr>
            </w:pPr>
            <w:r>
              <w:rPr>
                <w:rFonts w:ascii="Arial" w:cs="Arial" w:eastAsia="Arial" w:hAnsi="Arial"/>
                <w:sz w:val="18"/>
                <w:szCs w:val="18"/>
                <w:color w:val="auto"/>
                <w:w w:val="99"/>
              </w:rPr>
              <w:t>$</w:t>
            </w:r>
          </w:p>
        </w:tc>
        <w:tc>
          <w:tcPr>
            <w:tcW w:w="740" w:type="dxa"/>
            <w:vAlign w:val="bottom"/>
            <w:tcBorders>
              <w:bottom w:val="single" w:sz="8" w:color="CFF0FC"/>
            </w:tcBorders>
            <w:gridSpan w:val="3"/>
            <w:shd w:val="clear" w:color="auto" w:fill="CFF0FC"/>
          </w:tcPr>
          <w:p>
            <w:pPr>
              <w:jc w:val="right"/>
              <w:spacing w:after="0"/>
              <w:rPr>
                <w:sz w:val="20"/>
                <w:szCs w:val="20"/>
                <w:color w:val="auto"/>
              </w:rPr>
            </w:pPr>
            <w:r>
              <w:rPr>
                <w:rFonts w:ascii="Arial" w:cs="Arial" w:eastAsia="Arial" w:hAnsi="Arial"/>
                <w:sz w:val="18"/>
                <w:szCs w:val="18"/>
                <w:color w:val="auto"/>
              </w:rPr>
              <w:t>239,226</w:t>
            </w:r>
          </w:p>
        </w:tc>
        <w:tc>
          <w:tcPr>
            <w:tcW w:w="620" w:type="dxa"/>
            <w:vAlign w:val="bottom"/>
            <w:tcBorders>
              <w:bottom w:val="single" w:sz="8" w:color="CFF0FC"/>
            </w:tcBorders>
            <w:gridSpan w:val="3"/>
            <w:shd w:val="clear" w:color="auto" w:fill="CFF0FC"/>
          </w:tcPr>
          <w:p>
            <w:pPr>
              <w:jc w:val="right"/>
              <w:ind w:right="228"/>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CFF0FC"/>
            </w:tcBorders>
            <w:shd w:val="clear" w:color="auto" w:fill="CFF0FC"/>
          </w:tcPr>
          <w:p>
            <w:pPr>
              <w:spacing w:after="0"/>
              <w:rPr>
                <w:sz w:val="21"/>
                <w:szCs w:val="21"/>
                <w:color w:val="auto"/>
              </w:rPr>
            </w:pPr>
          </w:p>
        </w:tc>
        <w:tc>
          <w:tcPr>
            <w:tcW w:w="900" w:type="dxa"/>
            <w:vAlign w:val="bottom"/>
            <w:tcBorders>
              <w:bottom w:val="single" w:sz="8" w:color="CFF0FC"/>
            </w:tcBorders>
            <w:shd w:val="clear" w:color="auto" w:fill="CFF0FC"/>
          </w:tcPr>
          <w:p>
            <w:pPr>
              <w:jc w:val="right"/>
              <w:ind w:right="32"/>
              <w:spacing w:after="0"/>
              <w:rPr>
                <w:sz w:val="20"/>
                <w:szCs w:val="20"/>
                <w:color w:val="auto"/>
              </w:rPr>
            </w:pPr>
            <w:r>
              <w:rPr>
                <w:rFonts w:ascii="Arial" w:cs="Arial" w:eastAsia="Arial" w:hAnsi="Arial"/>
                <w:sz w:val="18"/>
                <w:szCs w:val="18"/>
                <w:color w:val="auto"/>
              </w:rPr>
              <w:t>243,348</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80" w:type="dxa"/>
            <w:vAlign w:val="bottom"/>
          </w:tcPr>
          <w:p>
            <w:pPr>
              <w:ind w:left="40"/>
              <w:spacing w:after="0"/>
              <w:rPr>
                <w:sz w:val="20"/>
                <w:szCs w:val="20"/>
                <w:color w:val="auto"/>
              </w:rPr>
            </w:pPr>
            <w:r>
              <w:rPr>
                <w:rFonts w:ascii="Arial" w:cs="Arial" w:eastAsia="Arial" w:hAnsi="Arial"/>
                <w:sz w:val="18"/>
                <w:szCs w:val="18"/>
                <w:color w:val="auto"/>
              </w:rPr>
              <w:t>Corporate-owned stores</w:t>
            </w:r>
          </w:p>
        </w:tc>
        <w:tc>
          <w:tcPr>
            <w:tcW w:w="30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740" w:type="dxa"/>
            <w:vAlign w:val="bottom"/>
            <w:gridSpan w:val="3"/>
          </w:tcPr>
          <w:p>
            <w:pPr>
              <w:jc w:val="right"/>
              <w:spacing w:after="0"/>
              <w:rPr>
                <w:sz w:val="20"/>
                <w:szCs w:val="20"/>
                <w:color w:val="auto"/>
              </w:rPr>
            </w:pPr>
            <w:r>
              <w:rPr>
                <w:rFonts w:ascii="Arial" w:cs="Arial" w:eastAsia="Arial" w:hAnsi="Arial"/>
                <w:sz w:val="18"/>
                <w:szCs w:val="18"/>
                <w:color w:val="auto"/>
              </w:rPr>
              <w:t>191,473</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00" w:type="dxa"/>
            <w:vAlign w:val="bottom"/>
          </w:tcPr>
          <w:p>
            <w:pPr>
              <w:jc w:val="right"/>
              <w:ind w:right="32"/>
              <w:spacing w:after="0"/>
              <w:rPr>
                <w:sz w:val="20"/>
                <w:szCs w:val="20"/>
                <w:color w:val="auto"/>
              </w:rPr>
            </w:pPr>
            <w:r>
              <w:rPr>
                <w:rFonts w:ascii="Arial" w:cs="Arial" w:eastAsia="Arial" w:hAnsi="Arial"/>
                <w:sz w:val="18"/>
                <w:szCs w:val="18"/>
                <w:color w:val="auto"/>
              </w:rPr>
              <w:t>167,367</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08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860" w:type="dxa"/>
            <w:vAlign w:val="bottom"/>
          </w:tcPr>
          <w:p>
            <w:pPr>
              <w:spacing w:after="0"/>
              <w:rPr>
                <w:sz w:val="2"/>
                <w:szCs w:val="2"/>
                <w:color w:val="auto"/>
              </w:rPr>
            </w:pPr>
          </w:p>
        </w:tc>
        <w:tc>
          <w:tcPr>
            <w:tcW w:w="740" w:type="dxa"/>
            <w:vAlign w:val="bottom"/>
            <w:gridSpan w:val="3"/>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0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8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Equipment</w:t>
            </w:r>
          </w:p>
        </w:tc>
        <w:tc>
          <w:tcPr>
            <w:tcW w:w="300" w:type="dxa"/>
            <w:vAlign w:val="bottom"/>
            <w:tcBorders>
              <w:bottom w:val="single" w:sz="8" w:color="CFF0FC"/>
            </w:tcBorders>
            <w:shd w:val="clear" w:color="auto" w:fill="CFF0FC"/>
          </w:tcPr>
          <w:p>
            <w:pPr>
              <w:spacing w:after="0"/>
              <w:rPr>
                <w:sz w:val="21"/>
                <w:szCs w:val="21"/>
                <w:color w:val="auto"/>
              </w:rPr>
            </w:pPr>
          </w:p>
        </w:tc>
        <w:tc>
          <w:tcPr>
            <w:tcW w:w="940" w:type="dxa"/>
            <w:vAlign w:val="bottom"/>
            <w:tcBorders>
              <w:bottom w:val="single" w:sz="8" w:color="CFF0FC"/>
            </w:tcBorders>
            <w:shd w:val="clear" w:color="auto" w:fill="CFF0FC"/>
          </w:tcPr>
          <w:p>
            <w:pPr>
              <w:spacing w:after="0"/>
              <w:rPr>
                <w:sz w:val="21"/>
                <w:szCs w:val="21"/>
                <w:color w:val="auto"/>
              </w:rPr>
            </w:pPr>
          </w:p>
        </w:tc>
        <w:tc>
          <w:tcPr>
            <w:tcW w:w="120" w:type="dxa"/>
            <w:vAlign w:val="bottom"/>
            <w:tcBorders>
              <w:bottom w:val="single" w:sz="8" w:color="CFF0FC"/>
            </w:tcBorders>
            <w:shd w:val="clear" w:color="auto" w:fill="CFF0FC"/>
          </w:tcPr>
          <w:p>
            <w:pPr>
              <w:spacing w:after="0"/>
              <w:rPr>
                <w:sz w:val="21"/>
                <w:szCs w:val="21"/>
                <w:color w:val="auto"/>
              </w:rPr>
            </w:pPr>
          </w:p>
        </w:tc>
        <w:tc>
          <w:tcPr>
            <w:tcW w:w="400" w:type="dxa"/>
            <w:vAlign w:val="bottom"/>
            <w:tcBorders>
              <w:bottom w:val="single" w:sz="8" w:color="CFF0FC"/>
            </w:tcBorders>
            <w:shd w:val="clear" w:color="auto" w:fill="CFF0FC"/>
          </w:tcPr>
          <w:p>
            <w:pPr>
              <w:spacing w:after="0"/>
              <w:rPr>
                <w:sz w:val="21"/>
                <w:szCs w:val="21"/>
                <w:color w:val="auto"/>
              </w:rPr>
            </w:pPr>
          </w:p>
        </w:tc>
        <w:tc>
          <w:tcPr>
            <w:tcW w:w="860" w:type="dxa"/>
            <w:vAlign w:val="bottom"/>
            <w:tcBorders>
              <w:bottom w:val="single" w:sz="8" w:color="CFF0FC"/>
            </w:tcBorders>
            <w:shd w:val="clear" w:color="auto" w:fill="CFF0FC"/>
          </w:tcPr>
          <w:p>
            <w:pPr>
              <w:spacing w:after="0"/>
              <w:rPr>
                <w:sz w:val="21"/>
                <w:szCs w:val="21"/>
                <w:color w:val="auto"/>
              </w:rPr>
            </w:pPr>
          </w:p>
        </w:tc>
        <w:tc>
          <w:tcPr>
            <w:tcW w:w="740" w:type="dxa"/>
            <w:vAlign w:val="bottom"/>
            <w:tcBorders>
              <w:bottom w:val="single" w:sz="8" w:color="CFF0FC"/>
            </w:tcBorders>
            <w:gridSpan w:val="3"/>
            <w:shd w:val="clear" w:color="auto" w:fill="CFF0FC"/>
          </w:tcPr>
          <w:p>
            <w:pPr>
              <w:jc w:val="right"/>
              <w:spacing w:after="0"/>
              <w:rPr>
                <w:sz w:val="20"/>
                <w:szCs w:val="20"/>
                <w:color w:val="auto"/>
              </w:rPr>
            </w:pPr>
            <w:r>
              <w:rPr>
                <w:rFonts w:ascii="Arial" w:cs="Arial" w:eastAsia="Arial" w:hAnsi="Arial"/>
                <w:sz w:val="18"/>
                <w:szCs w:val="18"/>
                <w:color w:val="auto"/>
              </w:rPr>
              <w:t>185,594</w:t>
            </w:r>
          </w:p>
        </w:tc>
        <w:tc>
          <w:tcPr>
            <w:tcW w:w="100" w:type="dxa"/>
            <w:vAlign w:val="bottom"/>
            <w:tcBorders>
              <w:bottom w:val="single" w:sz="8" w:color="CFF0FC"/>
            </w:tcBorders>
            <w:shd w:val="clear" w:color="auto" w:fill="CFF0FC"/>
          </w:tcPr>
          <w:p>
            <w:pPr>
              <w:spacing w:after="0"/>
              <w:rPr>
                <w:sz w:val="21"/>
                <w:szCs w:val="21"/>
                <w:color w:val="auto"/>
              </w:rPr>
            </w:pPr>
          </w:p>
        </w:tc>
        <w:tc>
          <w:tcPr>
            <w:tcW w:w="120" w:type="dxa"/>
            <w:vAlign w:val="bottom"/>
            <w:tcBorders>
              <w:bottom w:val="single" w:sz="8" w:color="CFF0FC"/>
            </w:tcBorders>
            <w:shd w:val="clear" w:color="auto" w:fill="CFF0FC"/>
          </w:tcPr>
          <w:p>
            <w:pPr>
              <w:spacing w:after="0"/>
              <w:rPr>
                <w:sz w:val="21"/>
                <w:szCs w:val="21"/>
                <w:color w:val="auto"/>
              </w:rPr>
            </w:pPr>
          </w:p>
        </w:tc>
        <w:tc>
          <w:tcPr>
            <w:tcW w:w="400" w:type="dxa"/>
            <w:vAlign w:val="bottom"/>
            <w:tcBorders>
              <w:bottom w:val="single" w:sz="8" w:color="CFF0FC"/>
            </w:tcBorders>
            <w:shd w:val="clear" w:color="auto" w:fill="CFF0FC"/>
          </w:tcPr>
          <w:p>
            <w:pPr>
              <w:spacing w:after="0"/>
              <w:rPr>
                <w:sz w:val="21"/>
                <w:szCs w:val="21"/>
                <w:color w:val="auto"/>
              </w:rPr>
            </w:pPr>
          </w:p>
        </w:tc>
        <w:tc>
          <w:tcPr>
            <w:tcW w:w="10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CFF0FC"/>
            </w:tcBorders>
            <w:shd w:val="clear" w:color="auto" w:fill="CFF0FC"/>
          </w:tcPr>
          <w:p>
            <w:pPr>
              <w:spacing w:after="0"/>
              <w:rPr>
                <w:sz w:val="21"/>
                <w:szCs w:val="21"/>
                <w:color w:val="auto"/>
              </w:rPr>
            </w:pPr>
          </w:p>
        </w:tc>
        <w:tc>
          <w:tcPr>
            <w:tcW w:w="900" w:type="dxa"/>
            <w:vAlign w:val="bottom"/>
            <w:tcBorders>
              <w:bottom w:val="single" w:sz="8" w:color="CFF0FC"/>
            </w:tcBorders>
            <w:shd w:val="clear" w:color="auto" w:fill="CFF0FC"/>
          </w:tcPr>
          <w:p>
            <w:pPr>
              <w:jc w:val="right"/>
              <w:ind w:right="32"/>
              <w:spacing w:after="0"/>
              <w:rPr>
                <w:sz w:val="20"/>
                <w:szCs w:val="20"/>
                <w:color w:val="auto"/>
              </w:rPr>
            </w:pPr>
            <w:r>
              <w:rPr>
                <w:rFonts w:ascii="Arial" w:cs="Arial" w:eastAsia="Arial" w:hAnsi="Arial"/>
                <w:sz w:val="18"/>
                <w:szCs w:val="18"/>
                <w:color w:val="auto"/>
              </w:rPr>
              <w:t>206,632</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80" w:type="dxa"/>
            <w:vAlign w:val="bottom"/>
          </w:tcPr>
          <w:p>
            <w:pPr>
              <w:ind w:left="40"/>
              <w:spacing w:after="0"/>
              <w:rPr>
                <w:sz w:val="20"/>
                <w:szCs w:val="20"/>
                <w:color w:val="auto"/>
              </w:rPr>
            </w:pPr>
            <w:r>
              <w:rPr>
                <w:rFonts w:ascii="Arial" w:cs="Arial" w:eastAsia="Arial" w:hAnsi="Arial"/>
                <w:sz w:val="18"/>
                <w:szCs w:val="18"/>
                <w:color w:val="auto"/>
              </w:rPr>
              <w:t>Unallocated</w:t>
            </w:r>
          </w:p>
        </w:tc>
        <w:tc>
          <w:tcPr>
            <w:tcW w:w="30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740" w:type="dxa"/>
            <w:vAlign w:val="bottom"/>
            <w:gridSpan w:val="3"/>
          </w:tcPr>
          <w:p>
            <w:pPr>
              <w:jc w:val="right"/>
              <w:spacing w:after="0"/>
              <w:rPr>
                <w:sz w:val="20"/>
                <w:szCs w:val="20"/>
                <w:color w:val="auto"/>
              </w:rPr>
            </w:pPr>
            <w:r>
              <w:rPr>
                <w:rFonts w:ascii="Arial" w:cs="Arial" w:eastAsia="Arial" w:hAnsi="Arial"/>
                <w:sz w:val="18"/>
                <w:szCs w:val="18"/>
                <w:color w:val="auto"/>
              </w:rPr>
              <w:t>508,428</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00" w:type="dxa"/>
            <w:vAlign w:val="bottom"/>
          </w:tcPr>
          <w:p>
            <w:pPr>
              <w:jc w:val="right"/>
              <w:ind w:right="32"/>
              <w:spacing w:after="0"/>
              <w:rPr>
                <w:sz w:val="20"/>
                <w:szCs w:val="20"/>
                <w:color w:val="auto"/>
              </w:rPr>
            </w:pPr>
            <w:r>
              <w:rPr>
                <w:rFonts w:ascii="Arial" w:cs="Arial" w:eastAsia="Arial" w:hAnsi="Arial"/>
                <w:sz w:val="18"/>
                <w:szCs w:val="18"/>
                <w:color w:val="auto"/>
              </w:rPr>
              <w:t>475,118</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080" w:type="dxa"/>
            <w:vAlign w:val="bottom"/>
            <w:tcBorders>
              <w:bottom w:val="single" w:sz="8" w:color="CFF0FC"/>
            </w:tcBorders>
          </w:tcPr>
          <w:p>
            <w:pPr>
              <w:spacing w:after="0"/>
              <w:rPr>
                <w:sz w:val="2"/>
                <w:szCs w:val="2"/>
                <w:color w:val="auto"/>
              </w:rPr>
            </w:pPr>
          </w:p>
        </w:tc>
        <w:tc>
          <w:tcPr>
            <w:tcW w:w="300" w:type="dxa"/>
            <w:vAlign w:val="bottom"/>
            <w:tcBorders>
              <w:bottom w:val="single" w:sz="8" w:color="CFF0FC"/>
            </w:tcBorders>
          </w:tcPr>
          <w:p>
            <w:pPr>
              <w:spacing w:after="0"/>
              <w:rPr>
                <w:sz w:val="2"/>
                <w:szCs w:val="2"/>
                <w:color w:val="auto"/>
              </w:rPr>
            </w:pPr>
          </w:p>
        </w:tc>
        <w:tc>
          <w:tcPr>
            <w:tcW w:w="940" w:type="dxa"/>
            <w:vAlign w:val="bottom"/>
            <w:tcBorders>
              <w:bottom w:val="single" w:sz="8" w:color="CFF0FC"/>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400" w:type="dxa"/>
            <w:vAlign w:val="bottom"/>
            <w:tcBorders>
              <w:bottom w:val="single" w:sz="8" w:color="CFF0FC"/>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gridSpan w:val="3"/>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080" w:type="dxa"/>
            <w:vAlign w:val="bottom"/>
            <w:shd w:val="clear" w:color="auto" w:fill="CFF0FC"/>
          </w:tcPr>
          <w:p>
            <w:pPr>
              <w:ind w:left="280"/>
              <w:spacing w:after="0"/>
              <w:rPr>
                <w:sz w:val="20"/>
                <w:szCs w:val="20"/>
                <w:color w:val="auto"/>
              </w:rPr>
            </w:pPr>
            <w:r>
              <w:rPr>
                <w:rFonts w:ascii="Arial" w:cs="Arial" w:eastAsia="Arial" w:hAnsi="Arial"/>
                <w:sz w:val="18"/>
                <w:szCs w:val="18"/>
                <w:color w:val="auto"/>
              </w:rPr>
              <w:t>Total consolidated assets</w:t>
            </w:r>
          </w:p>
        </w:tc>
        <w:tc>
          <w:tcPr>
            <w:tcW w:w="300" w:type="dxa"/>
            <w:vAlign w:val="bottom"/>
            <w:shd w:val="clear" w:color="auto" w:fill="CFF0FC"/>
          </w:tcPr>
          <w:p>
            <w:pPr>
              <w:spacing w:after="0"/>
              <w:rPr>
                <w:sz w:val="22"/>
                <w:szCs w:val="22"/>
                <w:color w:val="auto"/>
              </w:rPr>
            </w:pPr>
          </w:p>
        </w:tc>
        <w:tc>
          <w:tcPr>
            <w:tcW w:w="940" w:type="dxa"/>
            <w:vAlign w:val="bottom"/>
            <w:shd w:val="clear" w:color="auto" w:fill="CFF0FC"/>
          </w:tcPr>
          <w:p>
            <w:pPr>
              <w:spacing w:after="0"/>
              <w:rPr>
                <w:sz w:val="22"/>
                <w:szCs w:val="22"/>
                <w:color w:val="auto"/>
              </w:rPr>
            </w:pPr>
          </w:p>
        </w:tc>
        <w:tc>
          <w:tcPr>
            <w:tcW w:w="120" w:type="dxa"/>
            <w:vAlign w:val="bottom"/>
            <w:shd w:val="clear" w:color="auto" w:fill="CFF0FC"/>
          </w:tcPr>
          <w:p>
            <w:pPr>
              <w:spacing w:after="0"/>
              <w:rPr>
                <w:sz w:val="22"/>
                <w:szCs w:val="22"/>
                <w:color w:val="auto"/>
              </w:rPr>
            </w:pPr>
          </w:p>
        </w:tc>
        <w:tc>
          <w:tcPr>
            <w:tcW w:w="400" w:type="dxa"/>
            <w:vAlign w:val="bottom"/>
            <w:shd w:val="clear" w:color="auto" w:fill="CFF0FC"/>
          </w:tcPr>
          <w:p>
            <w:pPr>
              <w:spacing w:after="0"/>
              <w:rPr>
                <w:sz w:val="22"/>
                <w:szCs w:val="22"/>
                <w:color w:val="auto"/>
              </w:rPr>
            </w:pPr>
          </w:p>
        </w:tc>
        <w:tc>
          <w:tcPr>
            <w:tcW w:w="860" w:type="dxa"/>
            <w:vAlign w:val="bottom"/>
            <w:shd w:val="clear" w:color="auto" w:fill="CFF0FC"/>
          </w:tcPr>
          <w:p>
            <w:pPr>
              <w:jc w:val="right"/>
              <w:ind w:right="653"/>
              <w:spacing w:after="0"/>
              <w:rPr>
                <w:sz w:val="20"/>
                <w:szCs w:val="20"/>
                <w:color w:val="auto"/>
              </w:rPr>
            </w:pPr>
            <w:r>
              <w:rPr>
                <w:rFonts w:ascii="Arial" w:cs="Arial" w:eastAsia="Arial" w:hAnsi="Arial"/>
                <w:sz w:val="18"/>
                <w:szCs w:val="18"/>
                <w:color w:val="auto"/>
                <w:w w:val="99"/>
              </w:rPr>
              <w:t>$</w:t>
            </w:r>
          </w:p>
        </w:tc>
        <w:tc>
          <w:tcPr>
            <w:tcW w:w="740" w:type="dxa"/>
            <w:vAlign w:val="bottom"/>
            <w:gridSpan w:val="3"/>
            <w:shd w:val="clear" w:color="auto" w:fill="CFF0FC"/>
          </w:tcPr>
          <w:p>
            <w:pPr>
              <w:jc w:val="right"/>
              <w:spacing w:after="0"/>
              <w:rPr>
                <w:sz w:val="20"/>
                <w:szCs w:val="20"/>
                <w:color w:val="auto"/>
              </w:rPr>
            </w:pPr>
            <w:r>
              <w:rPr>
                <w:rFonts w:ascii="Arial" w:cs="Arial" w:eastAsia="Arial" w:hAnsi="Arial"/>
                <w:sz w:val="18"/>
                <w:szCs w:val="18"/>
                <w:color w:val="auto"/>
                <w:w w:val="89"/>
              </w:rPr>
              <w:t>1,124,721</w:t>
            </w:r>
          </w:p>
        </w:tc>
        <w:tc>
          <w:tcPr>
            <w:tcW w:w="620" w:type="dxa"/>
            <w:vAlign w:val="bottom"/>
            <w:gridSpan w:val="3"/>
            <w:shd w:val="clear" w:color="auto" w:fill="CFF0FC"/>
          </w:tcPr>
          <w:p>
            <w:pPr>
              <w:jc w:val="right"/>
              <w:ind w:right="228"/>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22"/>
                <w:szCs w:val="22"/>
                <w:color w:val="auto"/>
              </w:rPr>
            </w:pPr>
          </w:p>
        </w:tc>
        <w:tc>
          <w:tcPr>
            <w:tcW w:w="300" w:type="dxa"/>
            <w:vAlign w:val="bottom"/>
            <w:shd w:val="clear" w:color="auto" w:fill="CFF0FC"/>
          </w:tcPr>
          <w:p>
            <w:pPr>
              <w:spacing w:after="0"/>
              <w:rPr>
                <w:sz w:val="22"/>
                <w:szCs w:val="22"/>
                <w:color w:val="auto"/>
              </w:rPr>
            </w:pPr>
          </w:p>
        </w:tc>
        <w:tc>
          <w:tcPr>
            <w:tcW w:w="900" w:type="dxa"/>
            <w:vAlign w:val="bottom"/>
            <w:shd w:val="clear" w:color="auto" w:fill="CFF0FC"/>
          </w:tcPr>
          <w:p>
            <w:pPr>
              <w:jc w:val="right"/>
              <w:ind w:right="32"/>
              <w:spacing w:after="0"/>
              <w:rPr>
                <w:sz w:val="20"/>
                <w:szCs w:val="20"/>
                <w:color w:val="auto"/>
              </w:rPr>
            </w:pPr>
            <w:r>
              <w:rPr>
                <w:rFonts w:ascii="Arial" w:cs="Arial" w:eastAsia="Arial" w:hAnsi="Arial"/>
                <w:sz w:val="18"/>
                <w:szCs w:val="18"/>
                <w:color w:val="auto"/>
                <w:w w:val="94"/>
              </w:rPr>
              <w:t>1,092,465</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080" w:type="dxa"/>
            <w:vAlign w:val="bottom"/>
            <w:tcBorders>
              <w:top w:val="single" w:sz="8" w:color="CFF0FC"/>
            </w:tcBorders>
          </w:tcPr>
          <w:p>
            <w:pPr>
              <w:spacing w:after="0" w:line="20" w:lineRule="exact"/>
              <w:rPr>
                <w:sz w:val="1"/>
                <w:szCs w:val="1"/>
                <w:color w:val="auto"/>
              </w:rPr>
            </w:pPr>
          </w:p>
        </w:tc>
        <w:tc>
          <w:tcPr>
            <w:tcW w:w="300" w:type="dxa"/>
            <w:vAlign w:val="bottom"/>
            <w:tcBorders>
              <w:top w:val="single" w:sz="8" w:color="CFF0FC"/>
            </w:tcBorders>
          </w:tcPr>
          <w:p>
            <w:pPr>
              <w:spacing w:after="0" w:line="20" w:lineRule="exact"/>
              <w:rPr>
                <w:sz w:val="1"/>
                <w:szCs w:val="1"/>
                <w:color w:val="auto"/>
              </w:rPr>
            </w:pPr>
          </w:p>
        </w:tc>
        <w:tc>
          <w:tcPr>
            <w:tcW w:w="94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400" w:type="dxa"/>
            <w:vAlign w:val="bottom"/>
            <w:tcBorders>
              <w:top w:val="single" w:sz="8" w:color="CFF0FC"/>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table above includes $2,191 and $2,558 of long-lived assets located in the Company’s corporate-owned stores in Canada as of June 30, 2018 and December 31, 2017, respectively. All other assets are located in the U.S.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summarizes the Company’s goodwill by reportable segment:</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8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540" w:type="dxa"/>
            <w:vAlign w:val="bottom"/>
            <w:gridSpan w:val="2"/>
          </w:tcPr>
          <w:p>
            <w:pPr>
              <w:ind w:left="160"/>
              <w:spacing w:after="0"/>
              <w:rPr>
                <w:sz w:val="20"/>
                <w:szCs w:val="20"/>
                <w:color w:val="auto"/>
              </w:rPr>
            </w:pPr>
            <w:r>
              <w:rPr>
                <w:rFonts w:ascii="Arial" w:cs="Arial" w:eastAsia="Arial" w:hAnsi="Arial"/>
                <w:sz w:val="14"/>
                <w:szCs w:val="14"/>
                <w:b w:val="1"/>
                <w:bCs w:val="1"/>
                <w:color w:val="auto"/>
              </w:rPr>
              <w:t>June 30, 2018</w:t>
            </w:r>
          </w:p>
        </w:tc>
        <w:tc>
          <w:tcPr>
            <w:tcW w:w="180" w:type="dxa"/>
            <w:vAlign w:val="bottom"/>
          </w:tcPr>
          <w:p>
            <w:pPr>
              <w:spacing w:after="0"/>
              <w:rPr>
                <w:sz w:val="16"/>
                <w:szCs w:val="16"/>
                <w:color w:val="auto"/>
              </w:rPr>
            </w:pPr>
          </w:p>
        </w:tc>
        <w:tc>
          <w:tcPr>
            <w:tcW w:w="1520" w:type="dxa"/>
            <w:vAlign w:val="bottom"/>
          </w:tcPr>
          <w:p>
            <w:pPr>
              <w:jc w:val="right"/>
              <w:ind w:right="194"/>
              <w:spacing w:after="0"/>
              <w:rPr>
                <w:sz w:val="20"/>
                <w:szCs w:val="20"/>
                <w:color w:val="auto"/>
              </w:rPr>
            </w:pPr>
            <w:r>
              <w:rPr>
                <w:rFonts w:ascii="Arial" w:cs="Arial" w:eastAsia="Arial" w:hAnsi="Arial"/>
                <w:sz w:val="14"/>
                <w:szCs w:val="14"/>
                <w:b w:val="1"/>
                <w:bCs w:val="1"/>
                <w:color w:val="auto"/>
                <w:w w:val="96"/>
              </w:rPr>
              <w:t>December 31, 2017</w:t>
            </w:r>
          </w:p>
        </w:tc>
      </w:tr>
      <w:tr>
        <w:trPr>
          <w:trHeight w:val="250"/>
        </w:trPr>
        <w:tc>
          <w:tcPr>
            <w:tcW w:w="7840" w:type="dxa"/>
            <w:vAlign w:val="bottom"/>
            <w:tcBorders>
              <w:top w:val="single" w:sz="8" w:color="CFF0FC"/>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Franchise</w:t>
            </w:r>
          </w:p>
        </w:tc>
        <w:tc>
          <w:tcPr>
            <w:tcW w:w="280" w:type="dxa"/>
            <w:vAlign w:val="bottom"/>
            <w:tcBorders>
              <w:top w:val="single" w:sz="8" w:color="auto"/>
              <w:bottom w:val="single" w:sz="8" w:color="CFF0FC"/>
            </w:tcBorders>
            <w:shd w:val="clear" w:color="auto" w:fill="CFF0FC"/>
          </w:tcPr>
          <w:p>
            <w:pPr>
              <w:jc w:val="right"/>
              <w:ind w:right="70"/>
              <w:spacing w:after="0"/>
              <w:rPr>
                <w:sz w:val="20"/>
                <w:szCs w:val="20"/>
                <w:color w:val="auto"/>
              </w:rPr>
            </w:pPr>
            <w:r>
              <w:rPr>
                <w:rFonts w:ascii="Arial" w:cs="Arial" w:eastAsia="Arial" w:hAnsi="Arial"/>
                <w:sz w:val="18"/>
                <w:szCs w:val="18"/>
                <w:color w:val="auto"/>
                <w:w w:val="99"/>
              </w:rPr>
              <w:t>$</w:t>
            </w:r>
          </w:p>
        </w:tc>
        <w:tc>
          <w:tcPr>
            <w:tcW w:w="1420" w:type="dxa"/>
            <w:vAlign w:val="bottom"/>
            <w:tcBorders>
              <w:top w:val="single" w:sz="8" w:color="auto"/>
              <w:bottom w:val="single" w:sz="8" w:color="CFF0FC"/>
            </w:tcBorders>
            <w:shd w:val="clear" w:color="auto" w:fill="CFF0FC"/>
          </w:tcPr>
          <w:p>
            <w:pPr>
              <w:jc w:val="right"/>
              <w:ind w:right="14"/>
              <w:spacing w:after="0"/>
              <w:rPr>
                <w:sz w:val="20"/>
                <w:szCs w:val="20"/>
                <w:color w:val="auto"/>
              </w:rPr>
            </w:pPr>
            <w:r>
              <w:rPr>
                <w:rFonts w:ascii="Arial" w:cs="Arial" w:eastAsia="Arial" w:hAnsi="Arial"/>
                <w:sz w:val="18"/>
                <w:szCs w:val="18"/>
                <w:color w:val="auto"/>
              </w:rPr>
              <w:t>16,938</w:t>
            </w:r>
          </w:p>
        </w:tc>
        <w:tc>
          <w:tcPr>
            <w:tcW w:w="120" w:type="dxa"/>
            <w:vAlign w:val="bottom"/>
            <w:tcBorders>
              <w:top w:val="single" w:sz="8" w:color="CFF0FC"/>
              <w:bottom w:val="single" w:sz="8" w:color="CFF0FC"/>
            </w:tcBorders>
            <w:shd w:val="clear" w:color="auto" w:fill="CFF0FC"/>
          </w:tcPr>
          <w:p>
            <w:pPr>
              <w:spacing w:after="0"/>
              <w:rPr>
                <w:sz w:val="21"/>
                <w:szCs w:val="21"/>
                <w:color w:val="auto"/>
              </w:rPr>
            </w:pPr>
          </w:p>
        </w:tc>
        <w:tc>
          <w:tcPr>
            <w:tcW w:w="180" w:type="dxa"/>
            <w:vAlign w:val="bottom"/>
            <w:tcBorders>
              <w:top w:val="single" w:sz="8" w:color="auto"/>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520" w:type="dxa"/>
            <w:vAlign w:val="bottom"/>
            <w:tcBorders>
              <w:top w:val="single" w:sz="8" w:color="auto"/>
              <w:bottom w:val="single" w:sz="8" w:color="CFF0FC"/>
            </w:tcBorders>
            <w:shd w:val="clear" w:color="auto" w:fill="CFF0FC"/>
          </w:tcPr>
          <w:p>
            <w:pPr>
              <w:jc w:val="right"/>
              <w:ind w:right="34"/>
              <w:spacing w:after="0"/>
              <w:rPr>
                <w:sz w:val="20"/>
                <w:szCs w:val="20"/>
                <w:color w:val="auto"/>
              </w:rPr>
            </w:pPr>
            <w:r>
              <w:rPr>
                <w:rFonts w:ascii="Arial" w:cs="Arial" w:eastAsia="Arial" w:hAnsi="Arial"/>
                <w:sz w:val="18"/>
                <w:szCs w:val="18"/>
                <w:color w:val="auto"/>
              </w:rPr>
              <w:t>16,938</w:t>
            </w:r>
          </w:p>
        </w:tc>
      </w:tr>
      <w:tr>
        <w:trPr>
          <w:trHeight w:val="243"/>
        </w:trPr>
        <w:tc>
          <w:tcPr>
            <w:tcW w:w="7840" w:type="dxa"/>
            <w:vAlign w:val="bottom"/>
          </w:tcPr>
          <w:p>
            <w:pPr>
              <w:ind w:left="40"/>
              <w:spacing w:after="0"/>
              <w:rPr>
                <w:sz w:val="20"/>
                <w:szCs w:val="20"/>
                <w:color w:val="auto"/>
              </w:rPr>
            </w:pPr>
            <w:r>
              <w:rPr>
                <w:rFonts w:ascii="Arial" w:cs="Arial" w:eastAsia="Arial" w:hAnsi="Arial"/>
                <w:sz w:val="18"/>
                <w:szCs w:val="18"/>
                <w:color w:val="auto"/>
              </w:rPr>
              <w:t>Corporate-owned stores</w:t>
            </w:r>
          </w:p>
        </w:tc>
        <w:tc>
          <w:tcPr>
            <w:tcW w:w="280" w:type="dxa"/>
            <w:vAlign w:val="bottom"/>
          </w:tcPr>
          <w:p>
            <w:pPr>
              <w:spacing w:after="0"/>
              <w:rPr>
                <w:sz w:val="21"/>
                <w:szCs w:val="21"/>
                <w:color w:val="auto"/>
              </w:rPr>
            </w:pPr>
          </w:p>
        </w:tc>
        <w:tc>
          <w:tcPr>
            <w:tcW w:w="1420" w:type="dxa"/>
            <w:vAlign w:val="bottom"/>
          </w:tcPr>
          <w:p>
            <w:pPr>
              <w:jc w:val="right"/>
              <w:ind w:right="14"/>
              <w:spacing w:after="0"/>
              <w:rPr>
                <w:sz w:val="20"/>
                <w:szCs w:val="20"/>
                <w:color w:val="auto"/>
              </w:rPr>
            </w:pPr>
            <w:r>
              <w:rPr>
                <w:rFonts w:ascii="Arial" w:cs="Arial" w:eastAsia="Arial" w:hAnsi="Arial"/>
                <w:sz w:val="18"/>
                <w:szCs w:val="18"/>
                <w:color w:val="auto"/>
              </w:rPr>
              <w:t>81,434</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520" w:type="dxa"/>
            <w:vAlign w:val="bottom"/>
          </w:tcPr>
          <w:p>
            <w:pPr>
              <w:jc w:val="right"/>
              <w:ind w:right="34"/>
              <w:spacing w:after="0"/>
              <w:rPr>
                <w:sz w:val="20"/>
                <w:szCs w:val="20"/>
                <w:color w:val="auto"/>
              </w:rPr>
            </w:pPr>
            <w:r>
              <w:rPr>
                <w:rFonts w:ascii="Arial" w:cs="Arial" w:eastAsia="Arial" w:hAnsi="Arial"/>
                <w:sz w:val="18"/>
                <w:szCs w:val="18"/>
                <w:color w:val="auto"/>
              </w:rPr>
              <w:t>67,377</w:t>
            </w:r>
          </w:p>
        </w:tc>
      </w:tr>
      <w:tr>
        <w:trPr>
          <w:trHeight w:val="27"/>
        </w:trPr>
        <w:tc>
          <w:tcPr>
            <w:tcW w:w="78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70"/>
        </w:trPr>
        <w:tc>
          <w:tcPr>
            <w:tcW w:w="784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Equipment</w:t>
            </w:r>
          </w:p>
        </w:tc>
        <w:tc>
          <w:tcPr>
            <w:tcW w:w="280" w:type="dxa"/>
            <w:vAlign w:val="bottom"/>
            <w:tcBorders>
              <w:bottom w:val="single" w:sz="8" w:color="CFF0FC"/>
            </w:tcBorders>
            <w:shd w:val="clear" w:color="auto" w:fill="CFF0FC"/>
          </w:tcPr>
          <w:p>
            <w:pPr>
              <w:spacing w:after="0"/>
              <w:rPr>
                <w:sz w:val="23"/>
                <w:szCs w:val="23"/>
                <w:color w:val="auto"/>
              </w:rPr>
            </w:pPr>
          </w:p>
        </w:tc>
        <w:tc>
          <w:tcPr>
            <w:tcW w:w="1420" w:type="dxa"/>
            <w:vAlign w:val="bottom"/>
            <w:tcBorders>
              <w:bottom w:val="single" w:sz="8" w:color="CFF0FC"/>
            </w:tcBorders>
            <w:shd w:val="clear" w:color="auto" w:fill="CFF0FC"/>
          </w:tcPr>
          <w:p>
            <w:pPr>
              <w:jc w:val="right"/>
              <w:ind w:right="14"/>
              <w:spacing w:after="0"/>
              <w:rPr>
                <w:sz w:val="20"/>
                <w:szCs w:val="20"/>
                <w:color w:val="auto"/>
              </w:rPr>
            </w:pPr>
            <w:r>
              <w:rPr>
                <w:rFonts w:ascii="Arial" w:cs="Arial" w:eastAsia="Arial" w:hAnsi="Arial"/>
                <w:sz w:val="18"/>
                <w:szCs w:val="18"/>
                <w:color w:val="auto"/>
              </w:rPr>
              <w:t>92,666</w:t>
            </w:r>
          </w:p>
        </w:tc>
        <w:tc>
          <w:tcPr>
            <w:tcW w:w="120" w:type="dxa"/>
            <w:vAlign w:val="bottom"/>
            <w:tcBorders>
              <w:bottom w:val="single" w:sz="8" w:color="CFF0FC"/>
            </w:tcBorders>
            <w:shd w:val="clear" w:color="auto" w:fill="CFF0FC"/>
          </w:tcPr>
          <w:p>
            <w:pPr>
              <w:spacing w:after="0"/>
              <w:rPr>
                <w:sz w:val="23"/>
                <w:szCs w:val="23"/>
                <w:color w:val="auto"/>
              </w:rPr>
            </w:pPr>
          </w:p>
        </w:tc>
        <w:tc>
          <w:tcPr>
            <w:tcW w:w="180" w:type="dxa"/>
            <w:vAlign w:val="bottom"/>
            <w:tcBorders>
              <w:bottom w:val="single" w:sz="8" w:color="CFF0FC"/>
            </w:tcBorders>
            <w:shd w:val="clear" w:color="auto" w:fill="CFF0FC"/>
          </w:tcPr>
          <w:p>
            <w:pPr>
              <w:spacing w:after="0"/>
              <w:rPr>
                <w:sz w:val="23"/>
                <w:szCs w:val="23"/>
                <w:color w:val="auto"/>
              </w:rPr>
            </w:pPr>
          </w:p>
        </w:tc>
        <w:tc>
          <w:tcPr>
            <w:tcW w:w="1520" w:type="dxa"/>
            <w:vAlign w:val="bottom"/>
            <w:tcBorders>
              <w:bottom w:val="single" w:sz="8" w:color="CFF0FC"/>
            </w:tcBorders>
            <w:shd w:val="clear" w:color="auto" w:fill="CFF0FC"/>
          </w:tcPr>
          <w:p>
            <w:pPr>
              <w:jc w:val="right"/>
              <w:ind w:right="34"/>
              <w:spacing w:after="0"/>
              <w:rPr>
                <w:sz w:val="20"/>
                <w:szCs w:val="20"/>
                <w:color w:val="auto"/>
              </w:rPr>
            </w:pPr>
            <w:r>
              <w:rPr>
                <w:rFonts w:ascii="Arial" w:cs="Arial" w:eastAsia="Arial" w:hAnsi="Arial"/>
                <w:sz w:val="18"/>
                <w:szCs w:val="18"/>
                <w:color w:val="auto"/>
              </w:rPr>
              <w:t>92,666</w:t>
            </w:r>
          </w:p>
        </w:tc>
      </w:tr>
      <w:tr>
        <w:trPr>
          <w:trHeight w:val="257"/>
        </w:trPr>
        <w:tc>
          <w:tcPr>
            <w:tcW w:w="7840" w:type="dxa"/>
            <w:vAlign w:val="bottom"/>
          </w:tcPr>
          <w:p>
            <w:pPr>
              <w:ind w:left="280"/>
              <w:spacing w:after="0"/>
              <w:rPr>
                <w:sz w:val="20"/>
                <w:szCs w:val="20"/>
                <w:color w:val="auto"/>
              </w:rPr>
            </w:pPr>
            <w:r>
              <w:rPr>
                <w:rFonts w:ascii="Arial" w:cs="Arial" w:eastAsia="Arial" w:hAnsi="Arial"/>
                <w:sz w:val="18"/>
                <w:szCs w:val="18"/>
                <w:color w:val="auto"/>
              </w:rPr>
              <w:t>Consolidated goodwill</w:t>
            </w:r>
          </w:p>
        </w:tc>
        <w:tc>
          <w:tcPr>
            <w:tcW w:w="28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42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191,038</w:t>
            </w:r>
          </w:p>
        </w:tc>
        <w:tc>
          <w:tcPr>
            <w:tcW w:w="12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520" w:type="dxa"/>
            <w:vAlign w:val="bottom"/>
            <w:tcBorders>
              <w:top w:val="single" w:sz="8" w:color="auto"/>
              <w:bottom w:val="single" w:sz="8" w:color="auto"/>
            </w:tcBorders>
          </w:tcPr>
          <w:p>
            <w:pPr>
              <w:jc w:val="right"/>
              <w:ind w:right="34"/>
              <w:spacing w:after="0"/>
              <w:rPr>
                <w:sz w:val="20"/>
                <w:szCs w:val="20"/>
                <w:color w:val="auto"/>
              </w:rPr>
            </w:pPr>
            <w:r>
              <w:rPr>
                <w:rFonts w:ascii="Arial" w:cs="Arial" w:eastAsia="Arial" w:hAnsi="Arial"/>
                <w:sz w:val="18"/>
                <w:szCs w:val="18"/>
                <w:color w:val="auto"/>
              </w:rPr>
              <w:t>176,981</w:t>
            </w:r>
          </w:p>
        </w:tc>
      </w:tr>
      <w:tr>
        <w:trPr>
          <w:trHeight w:val="20"/>
        </w:trPr>
        <w:tc>
          <w:tcPr>
            <w:tcW w:w="784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229" w:right="239" w:bottom="1440" w:gutter="0" w:footer="0" w:header="0"/>
        </w:sectPr>
      </w:pPr>
    </w:p>
    <w:p>
      <w:pPr>
        <w:spacing w:after="0" w:line="200" w:lineRule="exact"/>
        <w:rPr>
          <w:sz w:val="20"/>
          <w:szCs w:val="20"/>
          <w:color w:val="auto"/>
        </w:rPr>
      </w:pPr>
    </w:p>
    <w:p>
      <w:pPr>
        <w:spacing w:after="0" w:line="26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20</w:t>
      </w:r>
    </w:p>
    <w:p>
      <w:pPr>
        <w:sectPr>
          <w:pgSz w:w="11900" w:h="16838" w:orient="portrait"/>
          <w:cols w:equalWidth="0" w:num="1">
            <w:col w:w="11420"/>
          </w:cols>
          <w:pgMar w:left="240" w:top="229" w:right="239" w:bottom="1440" w:gutter="0" w:footer="0" w:header="0"/>
          <w:type w:val="continuous"/>
        </w:sectPr>
      </w:pPr>
    </w:p>
    <w:bookmarkStart w:id="21" w:name="page22"/>
    <w:bookmarkEnd w:id="21"/>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(14) Corporate-Owned and Franchisee-Owned Stores</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The following table shows changes in our corporate-owned and franchisee-owned stores for the three and six months ended June 30, 2018 and 2017:</w:t>
      </w:r>
    </w:p>
    <w:p>
      <w:pPr>
        <w:sectPr>
          <w:pgSz w:w="11900" w:h="16838" w:orient="portrait"/>
          <w:cols w:equalWidth="0" w:num="1">
            <w:col w:w="11420"/>
          </w:cols>
          <w:pgMar w:left="240" w:top="229" w:right="239" w:bottom="1440" w:gutter="0" w:footer="0" w:header="0"/>
        </w:sectPr>
      </w:pPr>
    </w:p>
    <w:p>
      <w:pPr>
        <w:spacing w:after="0" w:line="186" w:lineRule="exact"/>
        <w:rPr>
          <w:sz w:val="20"/>
          <w:szCs w:val="20"/>
          <w:color w:val="auto"/>
        </w:rPr>
      </w:pPr>
    </w:p>
    <w:p>
      <w:pPr>
        <w:jc w:val="center"/>
        <w:ind w:left="6280"/>
        <w:spacing w:after="0"/>
        <w:rPr>
          <w:sz w:val="20"/>
          <w:szCs w:val="20"/>
          <w:color w:val="auto"/>
        </w:rPr>
      </w:pPr>
      <w:r>
        <w:rPr>
          <w:rFonts w:ascii="Arial" w:cs="Arial" w:eastAsia="Arial" w:hAnsi="Arial"/>
          <w:sz w:val="12"/>
          <w:szCs w:val="12"/>
          <w:b w:val="1"/>
          <w:bCs w:val="1"/>
          <w:color w:val="auto"/>
        </w:rPr>
        <w:t>For the three months ended</w:t>
      </w:r>
    </w:p>
    <w:p>
      <w:pPr>
        <w:spacing w:after="0" w:line="27" w:lineRule="exact"/>
        <w:rPr>
          <w:sz w:val="20"/>
          <w:szCs w:val="20"/>
          <w:color w:val="auto"/>
        </w:rPr>
      </w:pPr>
    </w:p>
    <w:p>
      <w:pPr>
        <w:jc w:val="center"/>
        <w:ind w:left="6280"/>
        <w:spacing w:after="0"/>
        <w:rPr>
          <w:sz w:val="20"/>
          <w:szCs w:val="20"/>
          <w:color w:val="auto"/>
        </w:rPr>
      </w:pPr>
      <w:r>
        <w:rPr>
          <w:rFonts w:ascii="Arial" w:cs="Arial" w:eastAsia="Arial" w:hAnsi="Arial"/>
          <w:sz w:val="14"/>
          <w:szCs w:val="14"/>
          <w:b w:val="1"/>
          <w:bCs w:val="1"/>
          <w:color w:val="auto"/>
        </w:rPr>
        <w:t>June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3855720</wp:posOffset>
            </wp:positionH>
            <wp:positionV relativeFrom="paragraph">
              <wp:posOffset>13335</wp:posOffset>
            </wp:positionV>
            <wp:extent cx="168084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680845" cy="8890"/>
                    </a:xfrm>
                    <a:prstGeom prst="rect">
                      <a:avLst/>
                    </a:prstGeom>
                    <a:noFill/>
                  </pic:spPr>
                </pic:pic>
              </a:graphicData>
            </a:graphic>
          </wp:anchor>
        </w:drawing>
      </w:r>
    </w:p>
    <w:p>
      <w:pPr>
        <w:spacing w:after="0" w:line="87" w:lineRule="exact"/>
        <w:rPr>
          <w:sz w:val="20"/>
          <w:szCs w:val="20"/>
          <w:color w:val="auto"/>
        </w:rPr>
      </w:pPr>
    </w:p>
    <w:p>
      <w:pPr>
        <w:ind w:left="6560"/>
        <w:spacing w:after="0"/>
        <w:tabs>
          <w:tab w:leader="none" w:pos="7920" w:val="left"/>
        </w:tabs>
        <w:rPr>
          <w:sz w:val="20"/>
          <w:szCs w:val="20"/>
          <w:color w:val="auto"/>
        </w:rPr>
      </w:pPr>
      <w:r>
        <w:rPr>
          <w:rFonts w:ascii="Arial" w:cs="Arial" w:eastAsia="Arial" w:hAnsi="Arial"/>
          <w:sz w:val="14"/>
          <w:szCs w:val="14"/>
          <w:b w:val="1"/>
          <w:bCs w:val="1"/>
          <w:color w:val="auto"/>
        </w:rPr>
        <w:t>2018</w:t>
      </w:r>
      <w:r>
        <w:rPr>
          <w:sz w:val="20"/>
          <w:szCs w:val="20"/>
          <w:color w:val="auto"/>
        </w:rPr>
        <w:tab/>
      </w:r>
      <w:r>
        <w:rPr>
          <w:rFonts w:ascii="Arial" w:cs="Arial" w:eastAsia="Arial" w:hAnsi="Arial"/>
          <w:sz w:val="14"/>
          <w:szCs w:val="14"/>
          <w:b w:val="1"/>
          <w:bCs w:val="1"/>
          <w:color w:val="auto"/>
        </w:rPr>
        <w:t>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246620" cy="1803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18034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66" w:lineRule="exact"/>
        <w:rPr>
          <w:sz w:val="20"/>
          <w:szCs w:val="20"/>
          <w:color w:val="auto"/>
        </w:rPr>
      </w:pPr>
    </w:p>
    <w:p>
      <w:pPr>
        <w:jc w:val="center"/>
        <w:ind w:right="400"/>
        <w:spacing w:after="0"/>
        <w:rPr>
          <w:sz w:val="20"/>
          <w:szCs w:val="20"/>
          <w:color w:val="auto"/>
        </w:rPr>
      </w:pPr>
      <w:r>
        <w:rPr>
          <w:rFonts w:ascii="Arial" w:cs="Arial" w:eastAsia="Arial" w:hAnsi="Arial"/>
          <w:sz w:val="13"/>
          <w:szCs w:val="13"/>
          <w:b w:val="1"/>
          <w:bCs w:val="1"/>
          <w:color w:val="auto"/>
        </w:rPr>
        <w:t>For the six months ended</w:t>
      </w:r>
    </w:p>
    <w:p>
      <w:pPr>
        <w:spacing w:after="0" w:line="15" w:lineRule="exact"/>
        <w:rPr>
          <w:sz w:val="20"/>
          <w:szCs w:val="20"/>
          <w:color w:val="auto"/>
        </w:rPr>
      </w:pPr>
    </w:p>
    <w:p>
      <w:pPr>
        <w:jc w:val="center"/>
        <w:ind w:right="400"/>
        <w:spacing w:after="0"/>
        <w:rPr>
          <w:sz w:val="20"/>
          <w:szCs w:val="20"/>
          <w:color w:val="auto"/>
        </w:rPr>
      </w:pPr>
      <w:r>
        <w:rPr>
          <w:rFonts w:ascii="Arial" w:cs="Arial" w:eastAsia="Arial" w:hAnsi="Arial"/>
          <w:sz w:val="14"/>
          <w:szCs w:val="14"/>
          <w:b w:val="1"/>
          <w:bCs w:val="1"/>
          <w:color w:val="auto"/>
        </w:rPr>
        <w:t>June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-274320</wp:posOffset>
            </wp:positionH>
            <wp:positionV relativeFrom="paragraph">
              <wp:posOffset>13335</wp:posOffset>
            </wp:positionV>
            <wp:extent cx="164655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646555" cy="8890"/>
                    </a:xfrm>
                    <a:prstGeom prst="rect">
                      <a:avLst/>
                    </a:prstGeom>
                    <a:noFill/>
                  </pic:spPr>
                </pic:pic>
              </a:graphicData>
            </a:graphic>
          </wp:anchor>
        </w:drawing>
      </w:r>
    </w:p>
    <w:p>
      <w:pPr>
        <w:spacing w:after="0" w:line="23" w:lineRule="exact"/>
        <w:rPr>
          <w:sz w:val="20"/>
          <w:szCs w:val="20"/>
          <w:color w:val="auto"/>
        </w:rPr>
      </w:pPr>
    </w:p>
    <w:p>
      <w:pPr>
        <w:spacing w:after="0"/>
        <w:tabs>
          <w:tab w:leader="none" w:pos="1340" w:val="left"/>
        </w:tabs>
        <w:rPr>
          <w:sz w:val="20"/>
          <w:szCs w:val="20"/>
          <w:color w:val="auto"/>
        </w:rPr>
      </w:pPr>
      <w:r>
        <w:rPr>
          <w:rFonts w:ascii="Arial" w:cs="Arial" w:eastAsia="Arial" w:hAnsi="Arial"/>
          <w:sz w:val="16"/>
          <w:szCs w:val="16"/>
          <w:b w:val="1"/>
          <w:bCs w:val="1"/>
          <w:color w:val="auto"/>
        </w:rPr>
        <w:t>2018</w:t>
      </w:r>
      <w:r>
        <w:rPr>
          <w:sz w:val="20"/>
          <w:szCs w:val="20"/>
          <w:color w:val="auto"/>
        </w:rPr>
        <w:tab/>
      </w:r>
      <w:r>
        <w:rPr>
          <w:rFonts w:ascii="Arial" w:cs="Arial" w:eastAsia="Arial" w:hAnsi="Arial"/>
          <w:sz w:val="16"/>
          <w:szCs w:val="16"/>
          <w:b w:val="1"/>
          <w:bCs w:val="1"/>
          <w:color w:val="auto"/>
        </w:rPr>
        <w:t>2017</w:t>
      </w:r>
    </w:p>
    <w:p>
      <w:pPr>
        <w:spacing w:after="0" w:line="99" w:lineRule="exact"/>
        <w:rPr>
          <w:sz w:val="20"/>
          <w:szCs w:val="20"/>
          <w:color w:val="auto"/>
        </w:rPr>
      </w:pPr>
    </w:p>
    <w:p>
      <w:pPr>
        <w:sectPr>
          <w:pgSz w:w="11900" w:h="16838" w:orient="portrait"/>
          <w:cols w:equalWidth="0" w:num="2">
            <w:col w:w="8540" w:space="720"/>
            <w:col w:w="2160"/>
          </w:cols>
          <w:pgMar w:left="240" w:top="229" w:right="239" w:bottom="1440" w:gutter="0" w:footer="0" w:header="0"/>
          <w:type w:val="continuous"/>
        </w:sectPr>
      </w:pPr>
    </w:p>
    <w:p>
      <w:pPr>
        <w:ind w:left="40"/>
        <w:spacing w:after="0"/>
        <w:rPr>
          <w:sz w:val="20"/>
          <w:szCs w:val="20"/>
          <w:color w:val="auto"/>
        </w:rPr>
      </w:pPr>
      <w:r>
        <w:rPr>
          <w:rFonts w:ascii="Arial" w:cs="Arial" w:eastAsia="Arial" w:hAnsi="Arial"/>
          <w:sz w:val="18"/>
          <w:szCs w:val="18"/>
          <w:b w:val="1"/>
          <w:bCs w:val="1"/>
          <w:color w:val="auto"/>
        </w:rPr>
        <w:t>Franchisee-owned stores:</w:t>
      </w:r>
    </w:p>
    <w:p>
      <w:pPr>
        <w:spacing w:after="0" w:line="6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080" w:type="dxa"/>
            <w:vAlign w:val="bottom"/>
          </w:tcPr>
          <w:p>
            <w:pPr>
              <w:ind w:left="40"/>
              <w:spacing w:after="0"/>
              <w:rPr>
                <w:sz w:val="20"/>
                <w:szCs w:val="20"/>
                <w:color w:val="auto"/>
              </w:rPr>
            </w:pPr>
            <w:r>
              <w:rPr>
                <w:rFonts w:ascii="Arial" w:cs="Arial" w:eastAsia="Arial" w:hAnsi="Arial"/>
                <w:sz w:val="18"/>
                <w:szCs w:val="18"/>
                <w:color w:val="auto"/>
              </w:rPr>
              <w:t>Stores operated at beginning of period</w:t>
            </w: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1,497</w:t>
            </w:r>
          </w:p>
        </w:tc>
        <w:tc>
          <w:tcPr>
            <w:tcW w:w="120" w:type="dxa"/>
            <w:vAlign w:val="bottom"/>
          </w:tcPr>
          <w:p>
            <w:pPr>
              <w:spacing w:after="0"/>
              <w:rPr>
                <w:sz w:val="20"/>
                <w:szCs w:val="20"/>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1,309</w:t>
            </w:r>
          </w:p>
        </w:tc>
        <w:tc>
          <w:tcPr>
            <w:tcW w:w="100" w:type="dxa"/>
            <w:vAlign w:val="bottom"/>
          </w:tcPr>
          <w:p>
            <w:pPr>
              <w:spacing w:after="0"/>
              <w:rPr>
                <w:sz w:val="20"/>
                <w:szCs w:val="20"/>
                <w:color w:val="auto"/>
              </w:rPr>
            </w:pPr>
          </w:p>
        </w:tc>
        <w:tc>
          <w:tcPr>
            <w:tcW w:w="1240" w:type="dxa"/>
            <w:vAlign w:val="bottom"/>
          </w:tcPr>
          <w:p>
            <w:pPr>
              <w:jc w:val="right"/>
              <w:ind w:right="10"/>
              <w:spacing w:after="0"/>
              <w:rPr>
                <w:sz w:val="20"/>
                <w:szCs w:val="20"/>
                <w:color w:val="auto"/>
              </w:rPr>
            </w:pPr>
            <w:r>
              <w:rPr>
                <w:rFonts w:ascii="Arial" w:cs="Arial" w:eastAsia="Arial" w:hAnsi="Arial"/>
                <w:sz w:val="18"/>
                <w:szCs w:val="18"/>
                <w:color w:val="auto"/>
              </w:rPr>
              <w:t>1,456</w:t>
            </w:r>
          </w:p>
        </w:tc>
        <w:tc>
          <w:tcPr>
            <w:tcW w:w="120" w:type="dxa"/>
            <w:vAlign w:val="bottom"/>
          </w:tcPr>
          <w:p>
            <w:pPr>
              <w:spacing w:after="0"/>
              <w:rPr>
                <w:sz w:val="20"/>
                <w:szCs w:val="20"/>
                <w:color w:val="auto"/>
              </w:rPr>
            </w:pPr>
          </w:p>
        </w:tc>
        <w:tc>
          <w:tcPr>
            <w:tcW w:w="1240" w:type="dxa"/>
            <w:vAlign w:val="bottom"/>
          </w:tcPr>
          <w:p>
            <w:pPr>
              <w:jc w:val="right"/>
              <w:ind w:right="10"/>
              <w:spacing w:after="0"/>
              <w:rPr>
                <w:sz w:val="20"/>
                <w:szCs w:val="20"/>
                <w:color w:val="auto"/>
              </w:rPr>
            </w:pPr>
            <w:r>
              <w:rPr>
                <w:rFonts w:ascii="Arial" w:cs="Arial" w:eastAsia="Arial" w:hAnsi="Arial"/>
                <w:sz w:val="18"/>
                <w:szCs w:val="18"/>
                <w:color w:val="auto"/>
              </w:rPr>
              <w:t>1,255</w:t>
            </w:r>
          </w:p>
        </w:tc>
        <w:tc>
          <w:tcPr>
            <w:tcW w:w="0" w:type="dxa"/>
            <w:vAlign w:val="bottom"/>
          </w:tcPr>
          <w:p>
            <w:pPr>
              <w:spacing w:after="0"/>
              <w:rPr>
                <w:sz w:val="1"/>
                <w:szCs w:val="1"/>
                <w:color w:val="auto"/>
              </w:rPr>
            </w:pPr>
          </w:p>
        </w:tc>
      </w:tr>
      <w:tr>
        <w:trPr>
          <w:trHeight w:val="27"/>
        </w:trPr>
        <w:tc>
          <w:tcPr>
            <w:tcW w:w="60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8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New stores opened</w:t>
            </w:r>
          </w:p>
        </w:tc>
        <w:tc>
          <w:tcPr>
            <w:tcW w:w="1260" w:type="dxa"/>
            <w:vAlign w:val="bottom"/>
            <w:tcBorders>
              <w:bottom w:val="single" w:sz="8" w:color="CFF0FC"/>
            </w:tcBorders>
            <w:shd w:val="clear" w:color="auto" w:fill="CFF0FC"/>
          </w:tcPr>
          <w:p>
            <w:pPr>
              <w:jc w:val="right"/>
              <w:ind w:right="30"/>
              <w:spacing w:after="0"/>
              <w:rPr>
                <w:sz w:val="20"/>
                <w:szCs w:val="20"/>
                <w:color w:val="auto"/>
              </w:rPr>
            </w:pPr>
            <w:r>
              <w:rPr>
                <w:rFonts w:ascii="Arial" w:cs="Arial" w:eastAsia="Arial" w:hAnsi="Arial"/>
                <w:sz w:val="18"/>
                <w:szCs w:val="18"/>
                <w:color w:val="auto"/>
              </w:rPr>
              <w:t>44</w:t>
            </w:r>
          </w:p>
        </w:tc>
        <w:tc>
          <w:tcPr>
            <w:tcW w:w="120" w:type="dxa"/>
            <w:vAlign w:val="bottom"/>
            <w:tcBorders>
              <w:bottom w:val="single" w:sz="8" w:color="CFF0FC"/>
            </w:tcBorders>
            <w:shd w:val="clear" w:color="auto" w:fill="CFF0FC"/>
          </w:tcPr>
          <w:p>
            <w:pPr>
              <w:spacing w:after="0"/>
              <w:rPr>
                <w:sz w:val="21"/>
                <w:szCs w:val="21"/>
                <w:color w:val="auto"/>
              </w:rPr>
            </w:pPr>
          </w:p>
        </w:tc>
        <w:tc>
          <w:tcPr>
            <w:tcW w:w="1260" w:type="dxa"/>
            <w:vAlign w:val="bottom"/>
            <w:tcBorders>
              <w:bottom w:val="single" w:sz="8" w:color="CFF0FC"/>
            </w:tcBorders>
            <w:shd w:val="clear" w:color="auto" w:fill="CFF0FC"/>
          </w:tcPr>
          <w:p>
            <w:pPr>
              <w:jc w:val="right"/>
              <w:ind w:right="10"/>
              <w:spacing w:after="0"/>
              <w:rPr>
                <w:sz w:val="20"/>
                <w:szCs w:val="20"/>
                <w:color w:val="auto"/>
              </w:rPr>
            </w:pPr>
            <w:r>
              <w:rPr>
                <w:rFonts w:ascii="Arial" w:cs="Arial" w:eastAsia="Arial" w:hAnsi="Arial"/>
                <w:sz w:val="18"/>
                <w:szCs w:val="18"/>
                <w:color w:val="auto"/>
              </w:rPr>
              <w:t>37</w:t>
            </w:r>
          </w:p>
        </w:tc>
        <w:tc>
          <w:tcPr>
            <w:tcW w:w="100" w:type="dxa"/>
            <w:vAlign w:val="bottom"/>
            <w:tcBorders>
              <w:bottom w:val="single" w:sz="8" w:color="CFF0FC"/>
            </w:tcBorders>
            <w:shd w:val="clear" w:color="auto" w:fill="CFF0FC"/>
          </w:tcPr>
          <w:p>
            <w:pPr>
              <w:spacing w:after="0"/>
              <w:rPr>
                <w:sz w:val="21"/>
                <w:szCs w:val="21"/>
                <w:color w:val="auto"/>
              </w:rPr>
            </w:pPr>
          </w:p>
        </w:tc>
        <w:tc>
          <w:tcPr>
            <w:tcW w:w="1240" w:type="dxa"/>
            <w:vAlign w:val="bottom"/>
            <w:tcBorders>
              <w:bottom w:val="single" w:sz="8" w:color="CFF0FC"/>
            </w:tcBorders>
            <w:shd w:val="clear" w:color="auto" w:fill="CFF0FC"/>
          </w:tcPr>
          <w:p>
            <w:pPr>
              <w:jc w:val="right"/>
              <w:ind w:right="10"/>
              <w:spacing w:after="0"/>
              <w:rPr>
                <w:sz w:val="20"/>
                <w:szCs w:val="20"/>
                <w:color w:val="auto"/>
              </w:rPr>
            </w:pPr>
            <w:r>
              <w:rPr>
                <w:rFonts w:ascii="Arial" w:cs="Arial" w:eastAsia="Arial" w:hAnsi="Arial"/>
                <w:sz w:val="18"/>
                <w:szCs w:val="18"/>
                <w:color w:val="auto"/>
              </w:rPr>
              <w:t>91</w:t>
            </w:r>
          </w:p>
        </w:tc>
        <w:tc>
          <w:tcPr>
            <w:tcW w:w="120" w:type="dxa"/>
            <w:vAlign w:val="bottom"/>
            <w:tcBorders>
              <w:bottom w:val="single" w:sz="8" w:color="CFF0FC"/>
            </w:tcBorders>
            <w:shd w:val="clear" w:color="auto" w:fill="CFF0FC"/>
          </w:tcPr>
          <w:p>
            <w:pPr>
              <w:spacing w:after="0"/>
              <w:rPr>
                <w:sz w:val="21"/>
                <w:szCs w:val="21"/>
                <w:color w:val="auto"/>
              </w:rPr>
            </w:pPr>
          </w:p>
        </w:tc>
        <w:tc>
          <w:tcPr>
            <w:tcW w:w="1240" w:type="dxa"/>
            <w:vAlign w:val="bottom"/>
            <w:tcBorders>
              <w:bottom w:val="single" w:sz="8" w:color="CFF0FC"/>
            </w:tcBorders>
            <w:shd w:val="clear" w:color="auto" w:fill="CFF0FC"/>
          </w:tcPr>
          <w:p>
            <w:pPr>
              <w:jc w:val="right"/>
              <w:ind w:right="10"/>
              <w:spacing w:after="0"/>
              <w:rPr>
                <w:sz w:val="20"/>
                <w:szCs w:val="20"/>
                <w:color w:val="auto"/>
              </w:rPr>
            </w:pPr>
            <w:r>
              <w:rPr>
                <w:rFonts w:ascii="Arial" w:cs="Arial" w:eastAsia="Arial" w:hAnsi="Arial"/>
                <w:sz w:val="18"/>
                <w:szCs w:val="18"/>
                <w:color w:val="auto"/>
              </w:rPr>
              <w:t>91</w:t>
            </w:r>
          </w:p>
        </w:tc>
        <w:tc>
          <w:tcPr>
            <w:tcW w:w="0" w:type="dxa"/>
            <w:vAlign w:val="bottom"/>
          </w:tcPr>
          <w:p>
            <w:pPr>
              <w:spacing w:after="0"/>
              <w:rPr>
                <w:sz w:val="1"/>
                <w:szCs w:val="1"/>
                <w:color w:val="auto"/>
              </w:rPr>
            </w:pPr>
          </w:p>
        </w:tc>
      </w:tr>
      <w:tr>
        <w:trPr>
          <w:trHeight w:val="270"/>
        </w:trPr>
        <w:tc>
          <w:tcPr>
            <w:tcW w:w="6080" w:type="dxa"/>
            <w:vAlign w:val="bottom"/>
            <w:tcBorders>
              <w:bottom w:val="single" w:sz="8" w:color="CFF0FC"/>
            </w:tcBorders>
          </w:tcPr>
          <w:p>
            <w:pPr>
              <w:ind w:left="40"/>
              <w:spacing w:after="0" w:line="270" w:lineRule="exact"/>
              <w:rPr>
                <w:sz w:val="20"/>
                <w:szCs w:val="20"/>
                <w:color w:val="auto"/>
              </w:rPr>
            </w:pPr>
            <w:r>
              <w:rPr>
                <w:rFonts w:ascii="Arial" w:cs="Arial" w:eastAsia="Arial" w:hAnsi="Arial"/>
                <w:sz w:val="18"/>
                <w:szCs w:val="18"/>
                <w:color w:val="auto"/>
              </w:rPr>
              <w:t>Stores debranded, sold or consolidated</w:t>
            </w:r>
            <w:r>
              <w:rPr>
                <w:rFonts w:ascii="Arial" w:cs="Arial" w:eastAsia="Arial" w:hAnsi="Arial"/>
                <w:sz w:val="25"/>
                <w:szCs w:val="25"/>
                <w:color w:val="auto"/>
                <w:vertAlign w:val="superscript"/>
              </w:rPr>
              <w:t>(1)</w:t>
            </w: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20" w:type="dxa"/>
            <w:vAlign w:val="bottom"/>
            <w:tcBorders>
              <w:bottom w:val="single" w:sz="8" w:color="CFF0FC"/>
            </w:tcBorders>
          </w:tcPr>
          <w:p>
            <w:pPr>
              <w:spacing w:after="0"/>
              <w:rPr>
                <w:sz w:val="23"/>
                <w:szCs w:val="23"/>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00" w:type="dxa"/>
            <w:vAlign w:val="bottom"/>
            <w:tcBorders>
              <w:bottom w:val="single" w:sz="8" w:color="CFF0FC"/>
            </w:tcBorders>
          </w:tcPr>
          <w:p>
            <w:pPr>
              <w:spacing w:after="0"/>
              <w:rPr>
                <w:sz w:val="23"/>
                <w:szCs w:val="23"/>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w:t>
            </w:r>
          </w:p>
        </w:tc>
        <w:tc>
          <w:tcPr>
            <w:tcW w:w="120" w:type="dxa"/>
            <w:vAlign w:val="bottom"/>
            <w:tcBorders>
              <w:bottom w:val="single" w:sz="8" w:color="CFF0FC"/>
            </w:tcBorders>
          </w:tcPr>
          <w:p>
            <w:pPr>
              <w:spacing w:after="0"/>
              <w:rPr>
                <w:sz w:val="23"/>
                <w:szCs w:val="23"/>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57"/>
        </w:trPr>
        <w:tc>
          <w:tcPr>
            <w:tcW w:w="608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Stores operated at end of period</w:t>
            </w:r>
          </w:p>
        </w:tc>
        <w:tc>
          <w:tcPr>
            <w:tcW w:w="126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1,540</w:t>
            </w:r>
          </w:p>
        </w:tc>
        <w:tc>
          <w:tcPr>
            <w:tcW w:w="120" w:type="dxa"/>
            <w:vAlign w:val="bottom"/>
            <w:tcBorders>
              <w:bottom w:val="single" w:sz="8" w:color="CFF0FC"/>
            </w:tcBorders>
            <w:shd w:val="clear" w:color="auto" w:fill="CFF0FC"/>
          </w:tcPr>
          <w:p>
            <w:pPr>
              <w:spacing w:after="0"/>
              <w:rPr>
                <w:sz w:val="22"/>
                <w:szCs w:val="22"/>
                <w:color w:val="auto"/>
              </w:rPr>
            </w:pPr>
          </w:p>
        </w:tc>
        <w:tc>
          <w:tcPr>
            <w:tcW w:w="1260" w:type="dxa"/>
            <w:vAlign w:val="bottom"/>
            <w:tcBorders>
              <w:bottom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rPr>
              <w:t>1,345</w:t>
            </w:r>
          </w:p>
        </w:tc>
        <w:tc>
          <w:tcPr>
            <w:tcW w:w="100" w:type="dxa"/>
            <w:vAlign w:val="bottom"/>
            <w:tcBorders>
              <w:bottom w:val="single" w:sz="8" w:color="CFF0FC"/>
            </w:tcBorders>
            <w:shd w:val="clear" w:color="auto" w:fill="CFF0FC"/>
          </w:tcPr>
          <w:p>
            <w:pPr>
              <w:spacing w:after="0"/>
              <w:rPr>
                <w:sz w:val="22"/>
                <w:szCs w:val="22"/>
                <w:color w:val="auto"/>
              </w:rPr>
            </w:pPr>
          </w:p>
        </w:tc>
        <w:tc>
          <w:tcPr>
            <w:tcW w:w="1240" w:type="dxa"/>
            <w:vAlign w:val="bottom"/>
            <w:tcBorders>
              <w:bottom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rPr>
              <w:t>1,540</w:t>
            </w:r>
          </w:p>
        </w:tc>
        <w:tc>
          <w:tcPr>
            <w:tcW w:w="120" w:type="dxa"/>
            <w:vAlign w:val="bottom"/>
            <w:tcBorders>
              <w:bottom w:val="single" w:sz="8" w:color="CFF0FC"/>
            </w:tcBorders>
            <w:shd w:val="clear" w:color="auto" w:fill="CFF0FC"/>
          </w:tcPr>
          <w:p>
            <w:pPr>
              <w:spacing w:after="0"/>
              <w:rPr>
                <w:sz w:val="22"/>
                <w:szCs w:val="22"/>
                <w:color w:val="auto"/>
              </w:rPr>
            </w:pPr>
          </w:p>
        </w:tc>
        <w:tc>
          <w:tcPr>
            <w:tcW w:w="1240" w:type="dxa"/>
            <w:vAlign w:val="bottom"/>
            <w:tcBorders>
              <w:bottom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rPr>
              <w:t>1,345</w:t>
            </w:r>
          </w:p>
        </w:tc>
        <w:tc>
          <w:tcPr>
            <w:tcW w:w="0" w:type="dxa"/>
            <w:vAlign w:val="bottom"/>
          </w:tcPr>
          <w:p>
            <w:pPr>
              <w:spacing w:after="0"/>
              <w:rPr>
                <w:sz w:val="1"/>
                <w:szCs w:val="1"/>
                <w:color w:val="auto"/>
              </w:rPr>
            </w:pPr>
          </w:p>
        </w:tc>
      </w:tr>
      <w:tr>
        <w:trPr>
          <w:trHeight w:val="20"/>
        </w:trPr>
        <w:tc>
          <w:tcPr>
            <w:tcW w:w="6080" w:type="dxa"/>
            <w:vAlign w:val="bottom"/>
            <w:vMerge w:val="restart"/>
          </w:tcPr>
          <w:p>
            <w:pPr>
              <w:ind w:left="40"/>
              <w:spacing w:after="0"/>
              <w:rPr>
                <w:sz w:val="20"/>
                <w:szCs w:val="20"/>
                <w:color w:val="auto"/>
              </w:rPr>
            </w:pPr>
            <w:r>
              <w:rPr>
                <w:rFonts w:ascii="Arial" w:cs="Arial" w:eastAsia="Arial" w:hAnsi="Arial"/>
                <w:sz w:val="18"/>
                <w:szCs w:val="18"/>
                <w:b w:val="1"/>
                <w:bCs w:val="1"/>
                <w:color w:val="auto"/>
              </w:rPr>
              <w:t>Corporate-owned stores:</w:t>
            </w:r>
          </w:p>
        </w:tc>
        <w:tc>
          <w:tcPr>
            <w:tcW w:w="12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27"/>
        </w:trPr>
        <w:tc>
          <w:tcPr>
            <w:tcW w:w="6080" w:type="dxa"/>
            <w:vAlign w:val="bottom"/>
            <w:vMerge w:val="continue"/>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60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Stores operated at beginning of period</w:t>
            </w: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68</w:t>
            </w: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58</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62</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58</w:t>
            </w:r>
          </w:p>
        </w:tc>
        <w:tc>
          <w:tcPr>
            <w:tcW w:w="0" w:type="dxa"/>
            <w:vAlign w:val="bottom"/>
          </w:tcPr>
          <w:p>
            <w:pPr>
              <w:spacing w:after="0"/>
              <w:rPr>
                <w:sz w:val="1"/>
                <w:szCs w:val="1"/>
                <w:color w:val="auto"/>
              </w:rPr>
            </w:pPr>
          </w:p>
        </w:tc>
      </w:tr>
      <w:tr>
        <w:trPr>
          <w:trHeight w:val="243"/>
        </w:trPr>
        <w:tc>
          <w:tcPr>
            <w:tcW w:w="6080" w:type="dxa"/>
            <w:vAlign w:val="bottom"/>
          </w:tcPr>
          <w:p>
            <w:pPr>
              <w:ind w:left="40"/>
              <w:spacing w:after="0"/>
              <w:rPr>
                <w:sz w:val="20"/>
                <w:szCs w:val="20"/>
                <w:color w:val="auto"/>
              </w:rPr>
            </w:pPr>
            <w:r>
              <w:rPr>
                <w:rFonts w:ascii="Arial" w:cs="Arial" w:eastAsia="Arial" w:hAnsi="Arial"/>
                <w:sz w:val="18"/>
                <w:szCs w:val="18"/>
                <w:color w:val="auto"/>
              </w:rPr>
              <w:t>New stores opened</w:t>
            </w:r>
          </w:p>
        </w:tc>
        <w:tc>
          <w:tcPr>
            <w:tcW w:w="13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3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24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60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Stores acquired from franchisees</w:t>
            </w:r>
          </w:p>
        </w:tc>
        <w:tc>
          <w:tcPr>
            <w:tcW w:w="138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3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w:t>
            </w:r>
          </w:p>
        </w:tc>
        <w:tc>
          <w:tcPr>
            <w:tcW w:w="12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57"/>
        </w:trPr>
        <w:tc>
          <w:tcPr>
            <w:tcW w:w="6080" w:type="dxa"/>
            <w:vAlign w:val="bottom"/>
          </w:tcPr>
          <w:p>
            <w:pPr>
              <w:ind w:left="40"/>
              <w:spacing w:after="0"/>
              <w:rPr>
                <w:sz w:val="20"/>
                <w:szCs w:val="20"/>
                <w:color w:val="auto"/>
              </w:rPr>
            </w:pPr>
            <w:r>
              <w:rPr>
                <w:rFonts w:ascii="Arial" w:cs="Arial" w:eastAsia="Arial" w:hAnsi="Arial"/>
                <w:sz w:val="18"/>
                <w:szCs w:val="18"/>
                <w:color w:val="auto"/>
              </w:rPr>
              <w:t>Stores operated at end of period</w:t>
            </w:r>
          </w:p>
        </w:tc>
        <w:tc>
          <w:tcPr>
            <w:tcW w:w="126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68</w:t>
            </w:r>
          </w:p>
        </w:tc>
        <w:tc>
          <w:tcPr>
            <w:tcW w:w="120" w:type="dxa"/>
            <w:vAlign w:val="bottom"/>
          </w:tcPr>
          <w:p>
            <w:pPr>
              <w:spacing w:after="0"/>
              <w:rPr>
                <w:sz w:val="22"/>
                <w:szCs w:val="22"/>
                <w:color w:val="auto"/>
              </w:rPr>
            </w:pPr>
          </w:p>
        </w:tc>
        <w:tc>
          <w:tcPr>
            <w:tcW w:w="126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58</w:t>
            </w:r>
          </w:p>
        </w:tc>
        <w:tc>
          <w:tcPr>
            <w:tcW w:w="100" w:type="dxa"/>
            <w:vAlign w:val="bottom"/>
          </w:tcPr>
          <w:p>
            <w:pPr>
              <w:spacing w:after="0"/>
              <w:rPr>
                <w:sz w:val="22"/>
                <w:szCs w:val="22"/>
                <w:color w:val="auto"/>
              </w:rPr>
            </w:pPr>
          </w:p>
        </w:tc>
        <w:tc>
          <w:tcPr>
            <w:tcW w:w="12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68</w:t>
            </w:r>
          </w:p>
        </w:tc>
        <w:tc>
          <w:tcPr>
            <w:tcW w:w="120" w:type="dxa"/>
            <w:vAlign w:val="bottom"/>
          </w:tcPr>
          <w:p>
            <w:pPr>
              <w:spacing w:after="0"/>
              <w:rPr>
                <w:sz w:val="22"/>
                <w:szCs w:val="22"/>
                <w:color w:val="auto"/>
              </w:rPr>
            </w:pPr>
          </w:p>
        </w:tc>
        <w:tc>
          <w:tcPr>
            <w:tcW w:w="12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58</w:t>
            </w:r>
          </w:p>
        </w:tc>
        <w:tc>
          <w:tcPr>
            <w:tcW w:w="0" w:type="dxa"/>
            <w:vAlign w:val="bottom"/>
          </w:tcPr>
          <w:p>
            <w:pPr>
              <w:spacing w:after="0"/>
              <w:rPr>
                <w:sz w:val="1"/>
                <w:szCs w:val="1"/>
                <w:color w:val="auto"/>
              </w:rPr>
            </w:pPr>
          </w:p>
        </w:tc>
      </w:tr>
      <w:tr>
        <w:trPr>
          <w:trHeight w:val="20"/>
        </w:trPr>
        <w:tc>
          <w:tcPr>
            <w:tcW w:w="6080" w:type="dxa"/>
            <w:vAlign w:val="bottom"/>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84"/>
        </w:trPr>
        <w:tc>
          <w:tcPr>
            <w:tcW w:w="60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6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 stores:</w:t>
            </w:r>
          </w:p>
        </w:tc>
        <w:tc>
          <w:tcPr>
            <w:tcW w:w="12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80" w:type="dxa"/>
            <w:vAlign w:val="bottom"/>
          </w:tcPr>
          <w:p>
            <w:pPr>
              <w:ind w:left="40"/>
              <w:spacing w:after="0"/>
              <w:rPr>
                <w:sz w:val="20"/>
                <w:szCs w:val="20"/>
                <w:color w:val="auto"/>
              </w:rPr>
            </w:pPr>
            <w:r>
              <w:rPr>
                <w:rFonts w:ascii="Arial" w:cs="Arial" w:eastAsia="Arial" w:hAnsi="Arial"/>
                <w:sz w:val="18"/>
                <w:szCs w:val="18"/>
                <w:color w:val="auto"/>
              </w:rPr>
              <w:t>Stores operated at beginning of period</w:t>
            </w: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1,565</w:t>
            </w:r>
          </w:p>
        </w:tc>
        <w:tc>
          <w:tcPr>
            <w:tcW w:w="1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1,367</w:t>
            </w:r>
          </w:p>
        </w:tc>
        <w:tc>
          <w:tcPr>
            <w:tcW w:w="100" w:type="dxa"/>
            <w:vAlign w:val="bottom"/>
          </w:tcPr>
          <w:p>
            <w:pPr>
              <w:spacing w:after="0"/>
              <w:rPr>
                <w:sz w:val="21"/>
                <w:szCs w:val="21"/>
                <w:color w:val="auto"/>
              </w:rPr>
            </w:pPr>
          </w:p>
        </w:tc>
        <w:tc>
          <w:tcPr>
            <w:tcW w:w="1240" w:type="dxa"/>
            <w:vAlign w:val="bottom"/>
          </w:tcPr>
          <w:p>
            <w:pPr>
              <w:jc w:val="right"/>
              <w:ind w:right="10"/>
              <w:spacing w:after="0"/>
              <w:rPr>
                <w:sz w:val="20"/>
                <w:szCs w:val="20"/>
                <w:color w:val="auto"/>
              </w:rPr>
            </w:pPr>
            <w:r>
              <w:rPr>
                <w:rFonts w:ascii="Arial" w:cs="Arial" w:eastAsia="Arial" w:hAnsi="Arial"/>
                <w:sz w:val="18"/>
                <w:szCs w:val="18"/>
                <w:color w:val="auto"/>
              </w:rPr>
              <w:t>1,518</w:t>
            </w:r>
          </w:p>
        </w:tc>
        <w:tc>
          <w:tcPr>
            <w:tcW w:w="120" w:type="dxa"/>
            <w:vAlign w:val="bottom"/>
          </w:tcPr>
          <w:p>
            <w:pPr>
              <w:spacing w:after="0"/>
              <w:rPr>
                <w:sz w:val="21"/>
                <w:szCs w:val="21"/>
                <w:color w:val="auto"/>
              </w:rPr>
            </w:pPr>
          </w:p>
        </w:tc>
        <w:tc>
          <w:tcPr>
            <w:tcW w:w="1240" w:type="dxa"/>
            <w:vAlign w:val="bottom"/>
          </w:tcPr>
          <w:p>
            <w:pPr>
              <w:jc w:val="right"/>
              <w:ind w:right="10"/>
              <w:spacing w:after="0"/>
              <w:rPr>
                <w:sz w:val="20"/>
                <w:szCs w:val="20"/>
                <w:color w:val="auto"/>
              </w:rPr>
            </w:pPr>
            <w:r>
              <w:rPr>
                <w:rFonts w:ascii="Arial" w:cs="Arial" w:eastAsia="Arial" w:hAnsi="Arial"/>
                <w:sz w:val="18"/>
                <w:szCs w:val="18"/>
                <w:color w:val="auto"/>
              </w:rPr>
              <w:t>1,313</w:t>
            </w:r>
          </w:p>
        </w:tc>
        <w:tc>
          <w:tcPr>
            <w:tcW w:w="0" w:type="dxa"/>
            <w:vAlign w:val="bottom"/>
          </w:tcPr>
          <w:p>
            <w:pPr>
              <w:spacing w:after="0"/>
              <w:rPr>
                <w:sz w:val="1"/>
                <w:szCs w:val="1"/>
                <w:color w:val="auto"/>
              </w:rPr>
            </w:pPr>
          </w:p>
        </w:tc>
      </w:tr>
      <w:tr>
        <w:trPr>
          <w:trHeight w:val="27"/>
        </w:trPr>
        <w:tc>
          <w:tcPr>
            <w:tcW w:w="60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New stores opened</w:t>
            </w: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44</w:t>
            </w: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37</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91</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91</w:t>
            </w:r>
          </w:p>
        </w:tc>
        <w:tc>
          <w:tcPr>
            <w:tcW w:w="0" w:type="dxa"/>
            <w:vAlign w:val="bottom"/>
          </w:tcPr>
          <w:p>
            <w:pPr>
              <w:spacing w:after="0"/>
              <w:rPr>
                <w:sz w:val="1"/>
                <w:szCs w:val="1"/>
                <w:color w:val="auto"/>
              </w:rPr>
            </w:pPr>
          </w:p>
        </w:tc>
      </w:tr>
      <w:tr>
        <w:trPr>
          <w:trHeight w:val="270"/>
        </w:trPr>
        <w:tc>
          <w:tcPr>
            <w:tcW w:w="6080" w:type="dxa"/>
            <w:vAlign w:val="bottom"/>
            <w:tcBorders>
              <w:bottom w:val="single" w:sz="8" w:color="CCEEFF"/>
            </w:tcBorders>
          </w:tcPr>
          <w:p>
            <w:pPr>
              <w:ind w:left="40"/>
              <w:spacing w:after="0" w:line="270" w:lineRule="exact"/>
              <w:rPr>
                <w:sz w:val="20"/>
                <w:szCs w:val="20"/>
                <w:color w:val="auto"/>
              </w:rPr>
            </w:pPr>
            <w:r>
              <w:rPr>
                <w:rFonts w:ascii="Arial" w:cs="Arial" w:eastAsia="Arial" w:hAnsi="Arial"/>
                <w:sz w:val="18"/>
                <w:szCs w:val="18"/>
                <w:color w:val="auto"/>
              </w:rPr>
              <w:t>Stores acquired, debranded, sold or consolidated</w:t>
            </w:r>
            <w:r>
              <w:rPr>
                <w:rFonts w:ascii="Arial" w:cs="Arial" w:eastAsia="Arial" w:hAnsi="Arial"/>
                <w:sz w:val="25"/>
                <w:szCs w:val="25"/>
                <w:color w:val="auto"/>
                <w:vertAlign w:val="superscript"/>
              </w:rPr>
              <w:t>(1)</w:t>
            </w: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20" w:type="dxa"/>
            <w:vAlign w:val="bottom"/>
            <w:tcBorders>
              <w:bottom w:val="single" w:sz="8" w:color="CCEEFF"/>
            </w:tcBorders>
          </w:tcPr>
          <w:p>
            <w:pPr>
              <w:spacing w:after="0"/>
              <w:rPr>
                <w:sz w:val="23"/>
                <w:szCs w:val="23"/>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00" w:type="dxa"/>
            <w:vAlign w:val="bottom"/>
            <w:tcBorders>
              <w:bottom w:val="single" w:sz="8" w:color="CCEEFF"/>
            </w:tcBorders>
          </w:tcPr>
          <w:p>
            <w:pPr>
              <w:spacing w:after="0"/>
              <w:rPr>
                <w:sz w:val="23"/>
                <w:szCs w:val="23"/>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20" w:type="dxa"/>
            <w:vAlign w:val="bottom"/>
            <w:tcBorders>
              <w:bottom w:val="single" w:sz="8" w:color="CCEEFF"/>
            </w:tcBorders>
          </w:tcPr>
          <w:p>
            <w:pPr>
              <w:spacing w:after="0"/>
              <w:rPr>
                <w:sz w:val="23"/>
                <w:szCs w:val="23"/>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57"/>
        </w:trPr>
        <w:tc>
          <w:tcPr>
            <w:tcW w:w="6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Stores operated at end of period</w:t>
            </w:r>
          </w:p>
        </w:tc>
        <w:tc>
          <w:tcPr>
            <w:tcW w:w="126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1,608</w:t>
            </w:r>
          </w:p>
        </w:tc>
        <w:tc>
          <w:tcPr>
            <w:tcW w:w="12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1,403</w:t>
            </w:r>
          </w:p>
        </w:tc>
        <w:tc>
          <w:tcPr>
            <w:tcW w:w="10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1,608</w:t>
            </w:r>
          </w:p>
        </w:tc>
        <w:tc>
          <w:tcPr>
            <w:tcW w:w="12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1,403</w:t>
            </w:r>
          </w:p>
        </w:tc>
        <w:tc>
          <w:tcPr>
            <w:tcW w:w="0" w:type="dxa"/>
            <w:vAlign w:val="bottom"/>
          </w:tcPr>
          <w:p>
            <w:pPr>
              <w:spacing w:after="0"/>
              <w:rPr>
                <w:sz w:val="1"/>
                <w:szCs w:val="1"/>
                <w:color w:val="auto"/>
              </w:rPr>
            </w:pPr>
          </w:p>
        </w:tc>
      </w:tr>
      <w:tr>
        <w:trPr>
          <w:trHeight w:val="20"/>
        </w:trPr>
        <w:tc>
          <w:tcPr>
            <w:tcW w:w="6080" w:type="dxa"/>
            <w:vAlign w:val="bottom"/>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jc w:val="both"/>
        <w:ind w:left="340" w:hanging="287"/>
        <w:spacing w:after="0" w:line="254" w:lineRule="auto"/>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term “debrand” refers to a franchisee-owned store whose right to use the Planet Fitness brand and marks has been terminated in accordance with the franchise agreement. We retain the right to prevent debranded stores from continuing to operate as fitness centers. The term “consolidated” refers to the combination of a franchisee’s store with another store located in close proximity with our prior approval. This often coincides with an enlargement, re-equipment and/or refurbishment of the remaining store.</w:t>
      </w: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229" w:right="239" w:bottom="1440" w:gutter="0" w:footer="0" w:header="0"/>
          <w:type w:val="continuous"/>
        </w:sectPr>
      </w:pPr>
    </w:p>
    <w:bookmarkStart w:id="22" w:name="page23"/>
    <w:bookmarkEnd w:id="22"/>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(15) Revenue recognition</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Revenue from Contracts with Customers</w:t>
      </w:r>
    </w:p>
    <w:p>
      <w:pPr>
        <w:spacing w:after="0" w:line="12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 xml:space="preserve">We transitioned to FASB Accounting Standards Codification (“ASC”) Topic 606, </w:t>
      </w:r>
      <w:r>
        <w:rPr>
          <w:rFonts w:ascii="Arial" w:cs="Arial" w:eastAsia="Arial" w:hAnsi="Arial"/>
          <w:sz w:val="18"/>
          <w:szCs w:val="18"/>
          <w:i w:val="1"/>
          <w:iCs w:val="1"/>
          <w:color w:val="auto"/>
        </w:rPr>
        <w:t>Revenue From Contracts with Customers</w:t>
      </w:r>
      <w:r>
        <w:rPr>
          <w:rFonts w:ascii="Arial" w:cs="Arial" w:eastAsia="Arial" w:hAnsi="Arial"/>
          <w:sz w:val="18"/>
          <w:szCs w:val="18"/>
          <w:color w:val="auto"/>
        </w:rPr>
        <w:t xml:space="preserve"> (“ASC 606”), from ASC Topic 605, </w:t>
      </w:r>
      <w:r>
        <w:rPr>
          <w:rFonts w:ascii="Arial" w:cs="Arial" w:eastAsia="Arial" w:hAnsi="Arial"/>
          <w:sz w:val="18"/>
          <w:szCs w:val="18"/>
          <w:i w:val="1"/>
          <w:iCs w:val="1"/>
          <w:color w:val="auto"/>
        </w:rPr>
        <w:t>Revenue Recognition</w:t>
      </w:r>
      <w:r>
        <w:rPr>
          <w:rFonts w:ascii="Arial" w:cs="Arial" w:eastAsia="Arial" w:hAnsi="Arial"/>
          <w:sz w:val="18"/>
          <w:szCs w:val="18"/>
          <w:color w:val="auto"/>
        </w:rPr>
        <w:t xml:space="preserve"> and ASC Subtopic 952-605, </w:t>
      </w:r>
      <w:r>
        <w:rPr>
          <w:rFonts w:ascii="Arial" w:cs="Arial" w:eastAsia="Arial" w:hAnsi="Arial"/>
          <w:sz w:val="18"/>
          <w:szCs w:val="18"/>
          <w:i w:val="1"/>
          <w:iCs w:val="1"/>
          <w:color w:val="auto"/>
        </w:rPr>
        <w:t>Franchisors - Revenue Recognition</w:t>
      </w:r>
      <w:r>
        <w:rPr>
          <w:rFonts w:ascii="Arial" w:cs="Arial" w:eastAsia="Arial" w:hAnsi="Arial"/>
          <w:sz w:val="18"/>
          <w:szCs w:val="18"/>
          <w:color w:val="auto"/>
        </w:rPr>
        <w:t xml:space="preserve"> (together, the “Previous Standards”) on January 1, 2018 using the modified retrospective transition method. Our Financial Statements reflect the application of ASC 606 guidance beginning in 2018, while our consolidated financial statements for prior periods were prepared under the guidance of Previous Standards. The $9,192 cumulative effect of our transition to ASC 606 is reflected as an adjustment to January 1, 2018 stockholders' deficit.</w:t>
      </w:r>
    </w:p>
    <w:p>
      <w:pPr>
        <w:spacing w:after="0" w:line="8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Our transition to ASC 606 represents a change in accounting principle. ASC 606 eliminates industry-specific guidance and provides a single revenue recognition model for recognizing revenue from contracts with customers. The core principle of ASC 606 is that a reporting entity should recognize revenue to depict the transfer of promised goods or services to customers in an amount that reflects the consideration to which the reporting entity expects to be entitled in exchange for those goods or services.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Revenue Recognition Significant Accounting Policies under ASC 606</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The Company's revenues are comprised of franchise revenue, equipment revenue, and corporate-owned stores revenue.</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Franchise revenue</w:t>
      </w:r>
    </w:p>
    <w:p>
      <w:pPr>
        <w:spacing w:after="0" w:line="11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Franchise revenues consist primarily of royalties, national advertising fund contributions, initial and renewal franchise fees and upfront fees from area development agreements ("ADAs"), transfer fees, equipment placement revenue, other fees and commission income.</w:t>
      </w:r>
    </w:p>
    <w:p>
      <w:pPr>
        <w:spacing w:after="0" w:line="6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Company's primary performance obligation under the franchise license is granting certain rights to use the Company's intellectual property, and all other services the Company provides under the ADA and franchise agreement are highly interrelated, not distinct within the contract, and therefore accounted for under ASC 606 as a single performance obligation, which is satisfied by granting certain rights to use our intellectual property over the term of each franchise agreement.</w:t>
      </w:r>
    </w:p>
    <w:p>
      <w:pPr>
        <w:spacing w:after="0" w:line="79"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Royalties, including franchisee contributions to national advertising funds, are calculated as a percentage of franchise sales over the term of the franchise agreement. Under our franchise agreements, advertising contributions paid by franchisees must be spent on advertising, marketing and related activities. Initial and renewal franchise fees are payable by the franchisee upon signing a new franchise agreement or renewal of an existing franchise agreement, and transfer fees are paid to the Company when one franchisee transfers a franchise agreement to a different franchisee. Our franchise royalties, as well as our advertising fund contributions, represent sales-based royalties that are related entirely to our performance obligation under the franchise agreement and are recognized as franchise sales occur.</w:t>
      </w:r>
    </w:p>
    <w:p>
      <w:pPr>
        <w:spacing w:after="0" w:line="85"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Additionally, under ASC 606, initial and renewal franchise fees as well as transfer fees are recognized as revenue on a straight-line basis over the term of the respective franchise agreement. Under the Previous Standards, initial franchise fees were recognized as revenue when the related franchisees signed a lease and completed the Company's new franchisee training. Renewal franchise fees and transfer fees were recognized as revenue upon execution of a new franchise agreement. Our performance obligation under area development agreements generally consists of an obligation to grant geographic exclusive area development rights. These development rights are not distinct from franchise agreements, so upfront fees paid by franchisees for exclusive development rights are deferred and apportioned to each franchise agreement signed by the franchisee. The pro-rata amount apportioned to each franchise agreement is accounted for identically to the initial franchise fee.</w:t>
      </w:r>
    </w:p>
    <w:p>
      <w:pPr>
        <w:spacing w:after="0" w:line="70"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Company is generally responsible for assembly and placement of equipment it sells to U.S. based franchisee-owned stores. Placement revenue is recognized upon completion and acceptance of the services at the franchise location.</w:t>
      </w:r>
    </w:p>
    <w:p>
      <w:pPr>
        <w:spacing w:after="0" w:line="6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Company recognizes commission income from certain of its franchisees’ use of certain preferred vendor arrangements. Commissions are recognized when amounts have been earned and collectability from the vendor is reasonably assured.</w:t>
      </w:r>
    </w:p>
    <w:p>
      <w:pPr>
        <w:spacing w:after="0" w:line="62"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Online member join fees are paid to the Company by franchisees for processing new membership transactions when a new member signs up for a membership to a franchisee-owned store through the Company’s website. These fees are recognized as revenue as each transaction occurs.</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20"/>
          </w:cols>
          <w:pgMar w:left="240" w:top="229" w:right="23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36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Billing transaction fees are paid to the Company by certain of its franchisees for the processing of franchisee membership dues and annual fees through the Company’s third-party hosted point-of-sale system and are recognized as revenue as they are earned.</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Equipment revenue</w:t>
      </w:r>
    </w:p>
    <w:p>
      <w:pPr>
        <w:spacing w:after="0" w:line="117"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The Company sells and delivers equipment purchased from third-party equipment manufacturers to U.S. based franchisee-owned stores. Revenue is recognized upon transfer of control of ordered items, generally upon delivery to the customer, which is when the customer obtains physical possession of the goods, legal title is transferred, the customer has all risks and rewards of ownership and an obligation to pay for the goods is created. Franchisees are charged for all freight costs incurred for the delivery of equipment. Freight revenue is recorded within equipment revenue and freight costs are recorded within cost of revenue. The Company recognizes revenue on a gross basis in these transactions as management has determined the Company to be the principal in these transactions. Management determined the Company to be the principal in the transaction because the Company controls the equipment prior to delivery to the final customer as evidenced by its pricing discretion over the goods, inventory transfer of title and risk of loss while the inventory is in transit, and having the primary responsibility to fulfill the customer order and direct the third-party vendor.</w:t>
      </w:r>
    </w:p>
    <w:p>
      <w:pPr>
        <w:spacing w:after="0" w:line="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Corporate-owned stores revenue</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The following revenues are generated from stores owned and operated by the Company.</w:t>
      </w:r>
    </w:p>
    <w:p>
      <w:pPr>
        <w:spacing w:after="0" w:line="11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Customers are offered multiple membership choices varying in length. Membership dues are earned and recognized over the membership term on a straight-line basis.</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Enrollment fee revenue</w:t>
      </w:r>
    </w:p>
    <w:p>
      <w:pPr>
        <w:spacing w:after="0" w:line="11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Enrollment fees are charged to new members at the commencement of their membership. The Company recognizes enrollment fees ratably over the estimated duration of the membership life, which is generally two years.</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Annual membership fee revenue</w:t>
      </w:r>
    </w:p>
    <w:p>
      <w:pPr>
        <w:spacing w:after="0" w:line="11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Annual membership fees are annual fees charged to members in addition to and in order to maintain low monthly membership dues. The Company recognizes annual membership fees ratably over the 12-month membership period.</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Retail sales</w:t>
      </w:r>
    </w:p>
    <w:p>
      <w:pPr>
        <w:spacing w:after="0" w:line="117" w:lineRule="exact"/>
        <w:rPr>
          <w:sz w:val="20"/>
          <w:szCs w:val="20"/>
          <w:color w:val="auto"/>
        </w:rPr>
      </w:pPr>
    </w:p>
    <w:p>
      <w:pPr>
        <w:spacing w:after="0"/>
        <w:rPr>
          <w:sz w:val="20"/>
          <w:szCs w:val="20"/>
          <w:color w:val="auto"/>
        </w:rPr>
      </w:pPr>
      <w:r>
        <w:rPr>
          <w:rFonts w:ascii="Arial" w:cs="Arial" w:eastAsia="Arial" w:hAnsi="Arial"/>
          <w:sz w:val="16"/>
          <w:szCs w:val="16"/>
          <w:color w:val="auto"/>
        </w:rPr>
        <w:t>The Company sells Planet Fitness branded apparel, food, beverages, and other accessories. The revenue for these items is recognized at the point of sale.</w:t>
      </w:r>
    </w:p>
    <w:p>
      <w:pPr>
        <w:spacing w:after="0" w:line="2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 Liabilities</w:t>
      </w:r>
    </w:p>
    <w:p>
      <w:pPr>
        <w:spacing w:after="0" w:line="229"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Contract liabilities consist of deferred revenue resulting from initial and renewal franchise fees and ADA fees paid by franchisees, as well as transfer fees, which are generally recognized on a straight-line basis over the term of the underlying franchise agreement. Also included are corporate store enrollment fees, annual fees and monthly fees. We classify these contract liabilities as deferred revenue in our condensed consolidated balance sheets. The following table reflects the change in contract liabilities between the date of adoption (January 1, 2018) and June 30, 2018,</w:t>
      </w:r>
    </w:p>
    <w:p>
      <w:pPr>
        <w:spacing w:after="0" w:line="33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94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720" w:type="dxa"/>
            <w:vAlign w:val="bottom"/>
          </w:tcPr>
          <w:p>
            <w:pPr>
              <w:jc w:val="right"/>
              <w:ind w:right="210"/>
              <w:spacing w:after="0"/>
              <w:rPr>
                <w:sz w:val="20"/>
                <w:szCs w:val="20"/>
                <w:color w:val="auto"/>
              </w:rPr>
            </w:pPr>
            <w:r>
              <w:rPr>
                <w:rFonts w:ascii="Arial" w:cs="Arial" w:eastAsia="Arial" w:hAnsi="Arial"/>
                <w:sz w:val="18"/>
                <w:szCs w:val="18"/>
                <w:color w:val="auto"/>
                <w:w w:val="99"/>
              </w:rPr>
              <w:t>Contract liabilities</w:t>
            </w:r>
          </w:p>
        </w:tc>
      </w:tr>
      <w:tr>
        <w:trPr>
          <w:trHeight w:val="27"/>
        </w:trPr>
        <w:tc>
          <w:tcPr>
            <w:tcW w:w="94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r>
      <w:tr>
        <w:trPr>
          <w:trHeight w:val="244"/>
        </w:trPr>
        <w:tc>
          <w:tcPr>
            <w:tcW w:w="94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January 1, 2018</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7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40,000</w:t>
            </w:r>
          </w:p>
        </w:tc>
      </w:tr>
      <w:tr>
        <w:trPr>
          <w:trHeight w:val="243"/>
        </w:trPr>
        <w:tc>
          <w:tcPr>
            <w:tcW w:w="9480" w:type="dxa"/>
            <w:vAlign w:val="bottom"/>
          </w:tcPr>
          <w:p>
            <w:pPr>
              <w:ind w:left="40"/>
              <w:spacing w:after="0"/>
              <w:rPr>
                <w:sz w:val="20"/>
                <w:szCs w:val="20"/>
                <w:color w:val="auto"/>
              </w:rPr>
            </w:pPr>
            <w:r>
              <w:rPr>
                <w:rFonts w:ascii="Arial" w:cs="Arial" w:eastAsia="Arial" w:hAnsi="Arial"/>
                <w:sz w:val="18"/>
                <w:szCs w:val="18"/>
                <w:color w:val="auto"/>
              </w:rPr>
              <w:t>Revenue recognized that was included in the contract liability at the beginning of the year</w:t>
            </w:r>
          </w:p>
        </w:tc>
        <w:tc>
          <w:tcPr>
            <w:tcW w:w="220" w:type="dxa"/>
            <w:vAlign w:val="bottom"/>
          </w:tcPr>
          <w:p>
            <w:pPr>
              <w:spacing w:after="0"/>
              <w:rPr>
                <w:sz w:val="21"/>
                <w:szCs w:val="21"/>
                <w:color w:val="auto"/>
              </w:rPr>
            </w:pPr>
          </w:p>
        </w:tc>
        <w:tc>
          <w:tcPr>
            <w:tcW w:w="1720" w:type="dxa"/>
            <w:vAlign w:val="bottom"/>
          </w:tcPr>
          <w:p>
            <w:pPr>
              <w:jc w:val="right"/>
              <w:spacing w:after="0"/>
              <w:rPr>
                <w:sz w:val="20"/>
                <w:szCs w:val="20"/>
                <w:color w:val="auto"/>
              </w:rPr>
            </w:pPr>
            <w:r>
              <w:rPr>
                <w:rFonts w:ascii="Arial" w:cs="Arial" w:eastAsia="Arial" w:hAnsi="Arial"/>
                <w:sz w:val="18"/>
                <w:szCs w:val="18"/>
                <w:color w:val="auto"/>
              </w:rPr>
              <w:t>(16,107)</w:t>
            </w:r>
          </w:p>
        </w:tc>
      </w:tr>
      <w:tr>
        <w:trPr>
          <w:trHeight w:val="27"/>
        </w:trPr>
        <w:tc>
          <w:tcPr>
            <w:tcW w:w="94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720" w:type="dxa"/>
            <w:vAlign w:val="bottom"/>
          </w:tcPr>
          <w:p>
            <w:pPr>
              <w:spacing w:after="0"/>
              <w:rPr>
                <w:sz w:val="2"/>
                <w:szCs w:val="2"/>
                <w:color w:val="auto"/>
              </w:rPr>
            </w:pPr>
          </w:p>
        </w:tc>
      </w:tr>
      <w:tr>
        <w:trPr>
          <w:trHeight w:val="270"/>
        </w:trPr>
        <w:tc>
          <w:tcPr>
            <w:tcW w:w="94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Increase, excluding amounts recognized as revenue during the period</w:t>
            </w:r>
          </w:p>
        </w:tc>
        <w:tc>
          <w:tcPr>
            <w:tcW w:w="220" w:type="dxa"/>
            <w:vAlign w:val="bottom"/>
            <w:tcBorders>
              <w:bottom w:val="single" w:sz="8" w:color="CCEEFF"/>
            </w:tcBorders>
            <w:shd w:val="clear" w:color="auto" w:fill="CCEEFF"/>
          </w:tcPr>
          <w:p>
            <w:pPr>
              <w:spacing w:after="0"/>
              <w:rPr>
                <w:sz w:val="23"/>
                <w:szCs w:val="23"/>
                <w:color w:val="auto"/>
              </w:rPr>
            </w:pPr>
          </w:p>
        </w:tc>
        <w:tc>
          <w:tcPr>
            <w:tcW w:w="17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22,548</w:t>
            </w:r>
          </w:p>
        </w:tc>
      </w:tr>
      <w:tr>
        <w:trPr>
          <w:trHeight w:val="257"/>
        </w:trPr>
        <w:tc>
          <w:tcPr>
            <w:tcW w:w="9480" w:type="dxa"/>
            <w:vAlign w:val="bottom"/>
          </w:tcPr>
          <w:p>
            <w:pPr>
              <w:ind w:left="40"/>
              <w:spacing w:after="0"/>
              <w:rPr>
                <w:sz w:val="20"/>
                <w:szCs w:val="20"/>
                <w:color w:val="auto"/>
              </w:rPr>
            </w:pPr>
            <w:r>
              <w:rPr>
                <w:rFonts w:ascii="Arial" w:cs="Arial" w:eastAsia="Arial" w:hAnsi="Arial"/>
                <w:sz w:val="18"/>
                <w:szCs w:val="18"/>
                <w:color w:val="auto"/>
              </w:rPr>
              <w:t>Balance at June 30, 2018</w:t>
            </w: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7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46,441</w:t>
            </w:r>
          </w:p>
        </w:tc>
      </w:tr>
      <w:tr>
        <w:trPr>
          <w:trHeight w:val="20"/>
        </w:trPr>
        <w:tc>
          <w:tcPr>
            <w:tcW w:w="94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following table illustrates estimated revenues expected to be recognized in the future related to performance obligations that are unsatisfied (or partially unsatisfied) as of June 30, 2018. The Company has elected to exclude short term contracts, sales and usage based royalties and any other variable consideration recognized on an "as invoiced" basis.</w:t>
      </w: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229" w:right="23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11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200" w:type="dxa"/>
            <w:vAlign w:val="bottom"/>
          </w:tcPr>
          <w:p>
            <w:pPr>
              <w:spacing w:after="0"/>
              <w:rPr>
                <w:sz w:val="18"/>
                <w:szCs w:val="18"/>
                <w:color w:val="auto"/>
              </w:rPr>
            </w:pPr>
          </w:p>
        </w:tc>
        <w:tc>
          <w:tcPr>
            <w:tcW w:w="6680" w:type="dxa"/>
            <w:vAlign w:val="bottom"/>
            <w:gridSpan w:val="2"/>
          </w:tcPr>
          <w:p>
            <w:pPr>
              <w:jc w:val="center"/>
              <w:ind w:right="1660"/>
              <w:spacing w:after="0"/>
              <w:rPr>
                <w:sz w:val="20"/>
                <w:szCs w:val="20"/>
                <w:color w:val="auto"/>
              </w:rPr>
            </w:pPr>
            <w:r>
              <w:rPr>
                <w:rFonts w:ascii="Arial" w:cs="Arial" w:eastAsia="Arial" w:hAnsi="Arial"/>
                <w:sz w:val="18"/>
                <w:szCs w:val="18"/>
                <w:b w:val="1"/>
                <w:bCs w:val="1"/>
                <w:color w:val="auto"/>
                <w:w w:val="88"/>
              </w:rPr>
              <w:t>Planet Fitness, Inc. and subsidiaries</w:t>
            </w:r>
          </w:p>
        </w:tc>
        <w:tc>
          <w:tcPr>
            <w:tcW w:w="1540" w:type="dxa"/>
            <w:vAlign w:val="bottom"/>
          </w:tcPr>
          <w:p>
            <w:pPr>
              <w:spacing w:after="0"/>
              <w:rPr>
                <w:sz w:val="18"/>
                <w:szCs w:val="18"/>
                <w:color w:val="auto"/>
              </w:rPr>
            </w:pPr>
          </w:p>
        </w:tc>
      </w:tr>
      <w:tr>
        <w:trPr>
          <w:trHeight w:val="216"/>
        </w:trPr>
        <w:tc>
          <w:tcPr>
            <w:tcW w:w="3200" w:type="dxa"/>
            <w:vAlign w:val="bottom"/>
          </w:tcPr>
          <w:p>
            <w:pPr>
              <w:spacing w:after="0"/>
              <w:rPr>
                <w:sz w:val="18"/>
                <w:szCs w:val="18"/>
                <w:color w:val="auto"/>
              </w:rPr>
            </w:pPr>
          </w:p>
        </w:tc>
        <w:tc>
          <w:tcPr>
            <w:tcW w:w="6680" w:type="dxa"/>
            <w:vAlign w:val="bottom"/>
            <w:gridSpan w:val="2"/>
          </w:tcPr>
          <w:p>
            <w:pPr>
              <w:jc w:val="center"/>
              <w:ind w:right="1640"/>
              <w:spacing w:after="0"/>
              <w:rPr>
                <w:sz w:val="20"/>
                <w:szCs w:val="20"/>
                <w:color w:val="auto"/>
              </w:rPr>
            </w:pPr>
            <w:r>
              <w:rPr>
                <w:rFonts w:ascii="Arial" w:cs="Arial" w:eastAsia="Arial" w:hAnsi="Arial"/>
                <w:sz w:val="18"/>
                <w:szCs w:val="18"/>
                <w:b w:val="1"/>
                <w:bCs w:val="1"/>
                <w:color w:val="auto"/>
                <w:w w:val="88"/>
              </w:rPr>
              <w:t>Notes to Condensed Consolidated financial statements</w:t>
            </w:r>
          </w:p>
        </w:tc>
        <w:tc>
          <w:tcPr>
            <w:tcW w:w="1540" w:type="dxa"/>
            <w:vAlign w:val="bottom"/>
          </w:tcPr>
          <w:p>
            <w:pPr>
              <w:spacing w:after="0"/>
              <w:rPr>
                <w:sz w:val="18"/>
                <w:szCs w:val="18"/>
                <w:color w:val="auto"/>
              </w:rPr>
            </w:pPr>
          </w:p>
        </w:tc>
      </w:tr>
      <w:tr>
        <w:trPr>
          <w:trHeight w:val="216"/>
        </w:trPr>
        <w:tc>
          <w:tcPr>
            <w:tcW w:w="3200" w:type="dxa"/>
            <w:vAlign w:val="bottom"/>
          </w:tcPr>
          <w:p>
            <w:pPr>
              <w:spacing w:after="0"/>
              <w:rPr>
                <w:sz w:val="18"/>
                <w:szCs w:val="18"/>
                <w:color w:val="auto"/>
              </w:rPr>
            </w:pPr>
          </w:p>
        </w:tc>
        <w:tc>
          <w:tcPr>
            <w:tcW w:w="6680" w:type="dxa"/>
            <w:vAlign w:val="bottom"/>
            <w:gridSpan w:val="2"/>
          </w:tcPr>
          <w:p>
            <w:pPr>
              <w:jc w:val="center"/>
              <w:ind w:right="1660"/>
              <w:spacing w:after="0"/>
              <w:rPr>
                <w:sz w:val="20"/>
                <w:szCs w:val="20"/>
                <w:color w:val="auto"/>
              </w:rPr>
            </w:pPr>
            <w:r>
              <w:rPr>
                <w:rFonts w:ascii="Arial" w:cs="Arial" w:eastAsia="Arial" w:hAnsi="Arial"/>
                <w:sz w:val="18"/>
                <w:szCs w:val="18"/>
                <w:b w:val="1"/>
                <w:bCs w:val="1"/>
                <w:color w:val="auto"/>
                <w:w w:val="93"/>
              </w:rPr>
              <w:t>(Unaudited)</w:t>
            </w:r>
          </w:p>
        </w:tc>
        <w:tc>
          <w:tcPr>
            <w:tcW w:w="1540" w:type="dxa"/>
            <w:vAlign w:val="bottom"/>
          </w:tcPr>
          <w:p>
            <w:pPr>
              <w:spacing w:after="0"/>
              <w:rPr>
                <w:sz w:val="18"/>
                <w:szCs w:val="18"/>
                <w:color w:val="auto"/>
              </w:rPr>
            </w:pPr>
          </w:p>
        </w:tc>
      </w:tr>
      <w:tr>
        <w:trPr>
          <w:trHeight w:val="234"/>
        </w:trPr>
        <w:tc>
          <w:tcPr>
            <w:tcW w:w="3200" w:type="dxa"/>
            <w:vAlign w:val="bottom"/>
          </w:tcPr>
          <w:p>
            <w:pPr>
              <w:spacing w:after="0"/>
              <w:rPr>
                <w:sz w:val="20"/>
                <w:szCs w:val="20"/>
                <w:color w:val="auto"/>
              </w:rPr>
            </w:pPr>
          </w:p>
        </w:tc>
        <w:tc>
          <w:tcPr>
            <w:tcW w:w="6680" w:type="dxa"/>
            <w:vAlign w:val="bottom"/>
            <w:gridSpan w:val="2"/>
          </w:tcPr>
          <w:p>
            <w:pPr>
              <w:jc w:val="center"/>
              <w:ind w:right="1660"/>
              <w:spacing w:after="0"/>
              <w:rPr>
                <w:sz w:val="20"/>
                <w:szCs w:val="20"/>
                <w:color w:val="auto"/>
              </w:rPr>
            </w:pPr>
            <w:r>
              <w:rPr>
                <w:rFonts w:ascii="Arial" w:cs="Arial" w:eastAsia="Arial" w:hAnsi="Arial"/>
                <w:sz w:val="18"/>
                <w:szCs w:val="18"/>
                <w:b w:val="1"/>
                <w:bCs w:val="1"/>
                <w:color w:val="auto"/>
                <w:w w:val="88"/>
              </w:rPr>
              <w:t>(Amounts in thousands, except share and per share amounts)</w:t>
            </w:r>
          </w:p>
        </w:tc>
        <w:tc>
          <w:tcPr>
            <w:tcW w:w="1540" w:type="dxa"/>
            <w:vAlign w:val="bottom"/>
          </w:tcPr>
          <w:p>
            <w:pPr>
              <w:spacing w:after="0"/>
              <w:rPr>
                <w:sz w:val="20"/>
                <w:szCs w:val="20"/>
                <w:color w:val="auto"/>
              </w:rPr>
            </w:pPr>
          </w:p>
        </w:tc>
      </w:tr>
      <w:tr>
        <w:trPr>
          <w:trHeight w:val="837"/>
        </w:trPr>
        <w:tc>
          <w:tcPr>
            <w:tcW w:w="3200" w:type="dxa"/>
            <w:vAlign w:val="bottom"/>
          </w:tcPr>
          <w:p>
            <w:pPr>
              <w:ind w:left="40"/>
              <w:spacing w:after="0"/>
              <w:rPr>
                <w:sz w:val="20"/>
                <w:szCs w:val="20"/>
                <w:color w:val="auto"/>
              </w:rPr>
            </w:pPr>
            <w:r>
              <w:rPr>
                <w:rFonts w:ascii="Arial" w:cs="Arial" w:eastAsia="Arial" w:hAnsi="Arial"/>
                <w:sz w:val="18"/>
                <w:szCs w:val="18"/>
                <w:b w:val="1"/>
                <w:bCs w:val="1"/>
                <w:color w:val="auto"/>
                <w:w w:val="94"/>
              </w:rPr>
              <w:t>Contract liabilities to be recognized in:</w:t>
            </w:r>
          </w:p>
        </w:tc>
        <w:tc>
          <w:tcPr>
            <w:tcW w:w="62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540" w:type="dxa"/>
            <w:vAlign w:val="bottom"/>
          </w:tcPr>
          <w:p>
            <w:pPr>
              <w:jc w:val="right"/>
              <w:ind w:right="590"/>
              <w:spacing w:after="0"/>
              <w:rPr>
                <w:sz w:val="20"/>
                <w:szCs w:val="20"/>
                <w:color w:val="auto"/>
              </w:rPr>
            </w:pPr>
            <w:r>
              <w:rPr>
                <w:rFonts w:ascii="Arial" w:cs="Arial" w:eastAsia="Arial" w:hAnsi="Arial"/>
                <w:sz w:val="18"/>
                <w:szCs w:val="18"/>
                <w:color w:val="auto"/>
              </w:rPr>
              <w:t>Amount</w:t>
            </w:r>
          </w:p>
        </w:tc>
      </w:tr>
      <w:tr>
        <w:trPr>
          <w:trHeight w:val="27"/>
        </w:trPr>
        <w:tc>
          <w:tcPr>
            <w:tcW w:w="3200" w:type="dxa"/>
            <w:vAlign w:val="bottom"/>
            <w:tcBorders>
              <w:bottom w:val="single" w:sz="8" w:color="CCEEFF"/>
            </w:tcBorders>
          </w:tcPr>
          <w:p>
            <w:pPr>
              <w:spacing w:after="0"/>
              <w:rPr>
                <w:sz w:val="2"/>
                <w:szCs w:val="2"/>
                <w:color w:val="auto"/>
              </w:rPr>
            </w:pPr>
          </w:p>
        </w:tc>
        <w:tc>
          <w:tcPr>
            <w:tcW w:w="628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r>
      <w:tr>
        <w:trPr>
          <w:trHeight w:val="244"/>
        </w:trPr>
        <w:tc>
          <w:tcPr>
            <w:tcW w:w="3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2018</w:t>
            </w:r>
          </w:p>
        </w:tc>
        <w:tc>
          <w:tcPr>
            <w:tcW w:w="6680" w:type="dxa"/>
            <w:vAlign w:val="bottom"/>
            <w:tcBorders>
              <w:bottom w:val="single" w:sz="8" w:color="CCEEFF"/>
            </w:tcBorders>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16,533</w:t>
            </w:r>
          </w:p>
        </w:tc>
      </w:tr>
      <w:tr>
        <w:trPr>
          <w:trHeight w:val="243"/>
        </w:trPr>
        <w:tc>
          <w:tcPr>
            <w:tcW w:w="3200" w:type="dxa"/>
            <w:vAlign w:val="bottom"/>
          </w:tcPr>
          <w:p>
            <w:pPr>
              <w:ind w:left="40"/>
              <w:spacing w:after="0"/>
              <w:rPr>
                <w:sz w:val="20"/>
                <w:szCs w:val="20"/>
                <w:color w:val="auto"/>
              </w:rPr>
            </w:pPr>
            <w:r>
              <w:rPr>
                <w:rFonts w:ascii="Arial" w:cs="Arial" w:eastAsia="Arial" w:hAnsi="Arial"/>
                <w:sz w:val="18"/>
                <w:szCs w:val="18"/>
                <w:color w:val="auto"/>
              </w:rPr>
              <w:t>2019</w:t>
            </w:r>
          </w:p>
        </w:tc>
        <w:tc>
          <w:tcPr>
            <w:tcW w:w="628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540" w:type="dxa"/>
            <w:vAlign w:val="bottom"/>
          </w:tcPr>
          <w:p>
            <w:pPr>
              <w:jc w:val="right"/>
              <w:ind w:right="10"/>
              <w:spacing w:after="0"/>
              <w:rPr>
                <w:sz w:val="20"/>
                <w:szCs w:val="20"/>
                <w:color w:val="auto"/>
              </w:rPr>
            </w:pPr>
            <w:r>
              <w:rPr>
                <w:rFonts w:ascii="Arial" w:cs="Arial" w:eastAsia="Arial" w:hAnsi="Arial"/>
                <w:sz w:val="18"/>
                <w:szCs w:val="18"/>
                <w:color w:val="auto"/>
              </w:rPr>
              <w:t>8,035</w:t>
            </w:r>
          </w:p>
        </w:tc>
      </w:tr>
      <w:tr>
        <w:trPr>
          <w:trHeight w:val="27"/>
        </w:trPr>
        <w:tc>
          <w:tcPr>
            <w:tcW w:w="3200" w:type="dxa"/>
            <w:vAlign w:val="bottom"/>
          </w:tcPr>
          <w:p>
            <w:pPr>
              <w:spacing w:after="0"/>
              <w:rPr>
                <w:sz w:val="2"/>
                <w:szCs w:val="2"/>
                <w:color w:val="auto"/>
              </w:rPr>
            </w:pPr>
          </w:p>
        </w:tc>
        <w:tc>
          <w:tcPr>
            <w:tcW w:w="6280" w:type="dxa"/>
            <w:vAlign w:val="bottom"/>
          </w:tcPr>
          <w:p>
            <w:pPr>
              <w:spacing w:after="0"/>
              <w:rPr>
                <w:sz w:val="2"/>
                <w:szCs w:val="2"/>
                <w:color w:val="auto"/>
              </w:rPr>
            </w:pPr>
          </w:p>
        </w:tc>
        <w:tc>
          <w:tcPr>
            <w:tcW w:w="40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250"/>
        </w:trPr>
        <w:tc>
          <w:tcPr>
            <w:tcW w:w="3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2020</w:t>
            </w:r>
          </w:p>
        </w:tc>
        <w:tc>
          <w:tcPr>
            <w:tcW w:w="628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2,179</w:t>
            </w:r>
          </w:p>
        </w:tc>
      </w:tr>
      <w:tr>
        <w:trPr>
          <w:trHeight w:val="243"/>
        </w:trPr>
        <w:tc>
          <w:tcPr>
            <w:tcW w:w="3200" w:type="dxa"/>
            <w:vAlign w:val="bottom"/>
          </w:tcPr>
          <w:p>
            <w:pPr>
              <w:ind w:left="40"/>
              <w:spacing w:after="0"/>
              <w:rPr>
                <w:sz w:val="20"/>
                <w:szCs w:val="20"/>
                <w:color w:val="auto"/>
              </w:rPr>
            </w:pPr>
            <w:r>
              <w:rPr>
                <w:rFonts w:ascii="Arial" w:cs="Arial" w:eastAsia="Arial" w:hAnsi="Arial"/>
                <w:sz w:val="18"/>
                <w:szCs w:val="18"/>
                <w:color w:val="auto"/>
              </w:rPr>
              <w:t>2021</w:t>
            </w:r>
          </w:p>
        </w:tc>
        <w:tc>
          <w:tcPr>
            <w:tcW w:w="628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540" w:type="dxa"/>
            <w:vAlign w:val="bottom"/>
          </w:tcPr>
          <w:p>
            <w:pPr>
              <w:jc w:val="right"/>
              <w:ind w:right="10"/>
              <w:spacing w:after="0"/>
              <w:rPr>
                <w:sz w:val="20"/>
                <w:szCs w:val="20"/>
                <w:color w:val="auto"/>
              </w:rPr>
            </w:pPr>
            <w:r>
              <w:rPr>
                <w:rFonts w:ascii="Arial" w:cs="Arial" w:eastAsia="Arial" w:hAnsi="Arial"/>
                <w:sz w:val="18"/>
                <w:szCs w:val="18"/>
                <w:color w:val="auto"/>
              </w:rPr>
              <w:t>2,012</w:t>
            </w:r>
          </w:p>
        </w:tc>
      </w:tr>
      <w:tr>
        <w:trPr>
          <w:trHeight w:val="27"/>
        </w:trPr>
        <w:tc>
          <w:tcPr>
            <w:tcW w:w="3200" w:type="dxa"/>
            <w:vAlign w:val="bottom"/>
          </w:tcPr>
          <w:p>
            <w:pPr>
              <w:spacing w:after="0"/>
              <w:rPr>
                <w:sz w:val="2"/>
                <w:szCs w:val="2"/>
                <w:color w:val="auto"/>
              </w:rPr>
            </w:pPr>
          </w:p>
        </w:tc>
        <w:tc>
          <w:tcPr>
            <w:tcW w:w="6280" w:type="dxa"/>
            <w:vAlign w:val="bottom"/>
          </w:tcPr>
          <w:p>
            <w:pPr>
              <w:spacing w:after="0"/>
              <w:rPr>
                <w:sz w:val="2"/>
                <w:szCs w:val="2"/>
                <w:color w:val="auto"/>
              </w:rPr>
            </w:pPr>
          </w:p>
        </w:tc>
        <w:tc>
          <w:tcPr>
            <w:tcW w:w="40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250"/>
        </w:trPr>
        <w:tc>
          <w:tcPr>
            <w:tcW w:w="3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2022</w:t>
            </w:r>
          </w:p>
        </w:tc>
        <w:tc>
          <w:tcPr>
            <w:tcW w:w="628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1,873</w:t>
            </w:r>
          </w:p>
        </w:tc>
      </w:tr>
      <w:tr>
        <w:trPr>
          <w:trHeight w:val="243"/>
        </w:trPr>
        <w:tc>
          <w:tcPr>
            <w:tcW w:w="3200" w:type="dxa"/>
            <w:vAlign w:val="bottom"/>
          </w:tcPr>
          <w:p>
            <w:pPr>
              <w:ind w:left="40"/>
              <w:spacing w:after="0"/>
              <w:rPr>
                <w:sz w:val="20"/>
                <w:szCs w:val="20"/>
                <w:color w:val="auto"/>
              </w:rPr>
            </w:pPr>
            <w:r>
              <w:rPr>
                <w:rFonts w:ascii="Arial" w:cs="Arial" w:eastAsia="Arial" w:hAnsi="Arial"/>
                <w:sz w:val="18"/>
                <w:szCs w:val="18"/>
                <w:color w:val="auto"/>
              </w:rPr>
              <w:t>Thereafter</w:t>
            </w:r>
          </w:p>
        </w:tc>
        <w:tc>
          <w:tcPr>
            <w:tcW w:w="628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540" w:type="dxa"/>
            <w:vAlign w:val="bottom"/>
          </w:tcPr>
          <w:p>
            <w:pPr>
              <w:jc w:val="right"/>
              <w:ind w:right="10"/>
              <w:spacing w:after="0"/>
              <w:rPr>
                <w:sz w:val="20"/>
                <w:szCs w:val="20"/>
                <w:color w:val="auto"/>
              </w:rPr>
            </w:pPr>
            <w:r>
              <w:rPr>
                <w:rFonts w:ascii="Arial" w:cs="Arial" w:eastAsia="Arial" w:hAnsi="Arial"/>
                <w:sz w:val="18"/>
                <w:szCs w:val="18"/>
                <w:color w:val="auto"/>
              </w:rPr>
              <w:t>15,809</w:t>
            </w:r>
          </w:p>
        </w:tc>
      </w:tr>
      <w:tr>
        <w:trPr>
          <w:trHeight w:val="27"/>
        </w:trPr>
        <w:tc>
          <w:tcPr>
            <w:tcW w:w="3200" w:type="dxa"/>
            <w:vAlign w:val="bottom"/>
            <w:tcBorders>
              <w:bottom w:val="single" w:sz="8" w:color="CCEEFF"/>
            </w:tcBorders>
          </w:tcPr>
          <w:p>
            <w:pPr>
              <w:spacing w:after="0"/>
              <w:rPr>
                <w:sz w:val="2"/>
                <w:szCs w:val="2"/>
                <w:color w:val="auto"/>
              </w:rPr>
            </w:pPr>
          </w:p>
        </w:tc>
        <w:tc>
          <w:tcPr>
            <w:tcW w:w="628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r>
      <w:tr>
        <w:trPr>
          <w:trHeight w:val="257"/>
        </w:trPr>
        <w:tc>
          <w:tcPr>
            <w:tcW w:w="3200" w:type="dxa"/>
            <w:vAlign w:val="bottom"/>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66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5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46,441</w:t>
            </w:r>
          </w:p>
        </w:tc>
      </w:tr>
      <w:tr>
        <w:trPr>
          <w:trHeight w:val="20"/>
        </w:trPr>
        <w:tc>
          <w:tcPr>
            <w:tcW w:w="3200" w:type="dxa"/>
            <w:vAlign w:val="bottom"/>
            <w:tcBorders>
              <w:top w:val="single" w:sz="8" w:color="CCEEFF"/>
            </w:tcBorders>
          </w:tcPr>
          <w:p>
            <w:pPr>
              <w:spacing w:after="0" w:line="20" w:lineRule="exact"/>
              <w:rPr>
                <w:sz w:val="1"/>
                <w:szCs w:val="1"/>
                <w:color w:val="auto"/>
              </w:rPr>
            </w:pPr>
          </w:p>
        </w:tc>
        <w:tc>
          <w:tcPr>
            <w:tcW w:w="628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540" w:type="dxa"/>
            <w:vAlign w:val="bottom"/>
            <w:tcBorders>
              <w:top w:val="single" w:sz="8" w:color="auto"/>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Financial Statement Impact of Transition to ASC 606</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As noted above, we transitioned to ASC 606 using the modified retrospective method on January 1, 2018. The cumulative effect of this transition to applicable contracts with customers that were not completed as of January 1, 2018 was recorded as an adjustment to stockholders' deficit as of that date. As a result of applying the modified retrospective method to transition to ASC 606, the following adjustments were made to the consolidated balance sheet as of January 1, 2018 (in millions):</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20"/>
          </w:cols>
          <w:pgMar w:left="240" w:top="229" w:right="23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820" w:type="dxa"/>
            <w:vAlign w:val="bottom"/>
          </w:tcPr>
          <w:p>
            <w:pPr>
              <w:spacing w:after="0"/>
              <w:rPr>
                <w:sz w:val="16"/>
                <w:szCs w:val="16"/>
                <w:color w:val="auto"/>
              </w:rPr>
            </w:pPr>
          </w:p>
        </w:tc>
        <w:tc>
          <w:tcPr>
            <w:tcW w:w="1960" w:type="dxa"/>
            <w:vAlign w:val="bottom"/>
            <w:gridSpan w:val="3"/>
          </w:tcPr>
          <w:p>
            <w:pPr>
              <w:ind w:left="60"/>
              <w:spacing w:after="0"/>
              <w:rPr>
                <w:sz w:val="20"/>
                <w:szCs w:val="20"/>
                <w:color w:val="auto"/>
              </w:rPr>
            </w:pPr>
            <w:r>
              <w:rPr>
                <w:rFonts w:ascii="Arial" w:cs="Arial" w:eastAsia="Arial" w:hAnsi="Arial"/>
                <w:sz w:val="14"/>
                <w:szCs w:val="14"/>
                <w:b w:val="1"/>
                <w:bCs w:val="1"/>
                <w:color w:val="auto"/>
              </w:rPr>
              <w:t>As Reported December 31,</w:t>
            </w:r>
          </w:p>
        </w:tc>
        <w:tc>
          <w:tcPr>
            <w:tcW w:w="220" w:type="dxa"/>
            <w:vAlign w:val="bottom"/>
          </w:tcPr>
          <w:p>
            <w:pPr>
              <w:spacing w:after="0"/>
              <w:rPr>
                <w:sz w:val="16"/>
                <w:szCs w:val="16"/>
                <w:color w:val="auto"/>
              </w:rPr>
            </w:pPr>
          </w:p>
        </w:tc>
        <w:tc>
          <w:tcPr>
            <w:tcW w:w="1740" w:type="dxa"/>
            <w:vAlign w:val="bottom"/>
            <w:gridSpan w:val="2"/>
          </w:tcPr>
          <w:p>
            <w:pPr>
              <w:ind w:left="100"/>
              <w:spacing w:after="0"/>
              <w:rPr>
                <w:sz w:val="20"/>
                <w:szCs w:val="20"/>
                <w:color w:val="auto"/>
              </w:rPr>
            </w:pPr>
            <w:r>
              <w:rPr>
                <w:rFonts w:ascii="Arial" w:cs="Arial" w:eastAsia="Arial" w:hAnsi="Arial"/>
                <w:sz w:val="14"/>
                <w:szCs w:val="14"/>
                <w:b w:val="1"/>
                <w:bCs w:val="1"/>
                <w:color w:val="auto"/>
              </w:rPr>
              <w:t>Total adjustments</w:t>
            </w:r>
          </w:p>
        </w:tc>
        <w:tc>
          <w:tcPr>
            <w:tcW w:w="160" w:type="dxa"/>
            <w:vAlign w:val="bottom"/>
          </w:tcPr>
          <w:p>
            <w:pPr>
              <w:spacing w:after="0"/>
              <w:rPr>
                <w:sz w:val="16"/>
                <w:szCs w:val="16"/>
                <w:color w:val="auto"/>
              </w:rPr>
            </w:pPr>
          </w:p>
        </w:tc>
        <w:tc>
          <w:tcPr>
            <w:tcW w:w="1520" w:type="dxa"/>
            <w:vAlign w:val="bottom"/>
          </w:tcPr>
          <w:p>
            <w:pPr>
              <w:jc w:val="right"/>
              <w:ind w:right="139"/>
              <w:spacing w:after="0"/>
              <w:rPr>
                <w:sz w:val="20"/>
                <w:szCs w:val="20"/>
                <w:color w:val="auto"/>
              </w:rPr>
            </w:pPr>
            <w:r>
              <w:rPr>
                <w:rFonts w:ascii="Arial" w:cs="Arial" w:eastAsia="Arial" w:hAnsi="Arial"/>
                <w:sz w:val="14"/>
                <w:szCs w:val="14"/>
                <w:b w:val="1"/>
                <w:bCs w:val="1"/>
                <w:color w:val="auto"/>
                <w:w w:val="96"/>
              </w:rPr>
              <w:t>Adjusted January 1,</w:t>
            </w:r>
          </w:p>
        </w:tc>
        <w:tc>
          <w:tcPr>
            <w:tcW w:w="0" w:type="dxa"/>
            <w:vAlign w:val="bottom"/>
          </w:tcPr>
          <w:p>
            <w:pPr>
              <w:spacing w:after="0"/>
              <w:rPr>
                <w:sz w:val="1"/>
                <w:szCs w:val="1"/>
                <w:color w:val="auto"/>
              </w:rPr>
            </w:pPr>
          </w:p>
        </w:tc>
      </w:tr>
      <w:tr>
        <w:trPr>
          <w:trHeight w:val="264"/>
        </w:trPr>
        <w:tc>
          <w:tcPr>
            <w:tcW w:w="5820" w:type="dxa"/>
            <w:vAlign w:val="bottom"/>
            <w:tcBorders>
              <w:bottom w:val="single" w:sz="8" w:color="CCEEFF"/>
            </w:tcBorders>
          </w:tcPr>
          <w:p>
            <w:pPr>
              <w:spacing w:after="0"/>
              <w:rPr>
                <w:sz w:val="22"/>
                <w:szCs w:val="22"/>
                <w:color w:val="auto"/>
              </w:rPr>
            </w:pPr>
          </w:p>
        </w:tc>
        <w:tc>
          <w:tcPr>
            <w:tcW w:w="420" w:type="dxa"/>
            <w:vAlign w:val="bottom"/>
            <w:tcBorders>
              <w:top w:val="single" w:sz="8" w:color="auto"/>
              <w:bottom w:val="single" w:sz="8" w:color="auto"/>
            </w:tcBorders>
          </w:tcPr>
          <w:p>
            <w:pPr>
              <w:spacing w:after="0"/>
              <w:rPr>
                <w:sz w:val="22"/>
                <w:szCs w:val="22"/>
                <w:color w:val="auto"/>
              </w:rPr>
            </w:pPr>
          </w:p>
        </w:tc>
        <w:tc>
          <w:tcPr>
            <w:tcW w:w="1320" w:type="dxa"/>
            <w:vAlign w:val="bottom"/>
            <w:tcBorders>
              <w:top w:val="single" w:sz="8" w:color="auto"/>
              <w:bottom w:val="single" w:sz="8" w:color="auto"/>
            </w:tcBorders>
          </w:tcPr>
          <w:p>
            <w:pPr>
              <w:jc w:val="right"/>
              <w:ind w:right="639"/>
              <w:spacing w:after="0"/>
              <w:rPr>
                <w:sz w:val="20"/>
                <w:szCs w:val="20"/>
                <w:color w:val="auto"/>
              </w:rPr>
            </w:pPr>
            <w:r>
              <w:rPr>
                <w:rFonts w:ascii="Arial" w:cs="Arial" w:eastAsia="Arial" w:hAnsi="Arial"/>
                <w:sz w:val="14"/>
                <w:szCs w:val="14"/>
                <w:b w:val="1"/>
                <w:bCs w:val="1"/>
                <w:color w:val="auto"/>
              </w:rPr>
              <w:t>2017</w:t>
            </w:r>
          </w:p>
        </w:tc>
        <w:tc>
          <w:tcPr>
            <w:tcW w:w="220" w:type="dxa"/>
            <w:vAlign w:val="bottom"/>
            <w:tcBorders>
              <w:bottom w:val="single" w:sz="8" w:color="CCEEFF"/>
            </w:tcBorders>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1520" w:type="dxa"/>
            <w:vAlign w:val="bottom"/>
            <w:tcBorders>
              <w:top w:val="single" w:sz="8" w:color="auto"/>
              <w:bottom w:val="single" w:sz="8" w:color="auto"/>
            </w:tcBorders>
          </w:tcPr>
          <w:p>
            <w:pPr>
              <w:spacing w:after="0"/>
              <w:rPr>
                <w:sz w:val="22"/>
                <w:szCs w:val="22"/>
                <w:color w:val="auto"/>
              </w:rPr>
            </w:pPr>
          </w:p>
        </w:tc>
        <w:tc>
          <w:tcPr>
            <w:tcW w:w="220" w:type="dxa"/>
            <w:vAlign w:val="bottom"/>
            <w:tcBorders>
              <w:bottom w:val="single" w:sz="8" w:color="CCEEFF"/>
            </w:tcBorders>
          </w:tcPr>
          <w:p>
            <w:pPr>
              <w:spacing w:after="0"/>
              <w:rPr>
                <w:sz w:val="22"/>
                <w:szCs w:val="22"/>
                <w:color w:val="auto"/>
              </w:rPr>
            </w:pPr>
          </w:p>
        </w:tc>
        <w:tc>
          <w:tcPr>
            <w:tcW w:w="160" w:type="dxa"/>
            <w:vAlign w:val="bottom"/>
            <w:tcBorders>
              <w:top w:val="single" w:sz="8" w:color="auto"/>
              <w:bottom w:val="single" w:sz="8" w:color="auto"/>
            </w:tcBorders>
          </w:tcPr>
          <w:p>
            <w:pPr>
              <w:spacing w:after="0"/>
              <w:rPr>
                <w:sz w:val="22"/>
                <w:szCs w:val="22"/>
                <w:color w:val="auto"/>
              </w:rPr>
            </w:pPr>
          </w:p>
        </w:tc>
        <w:tc>
          <w:tcPr>
            <w:tcW w:w="1520" w:type="dxa"/>
            <w:vAlign w:val="bottom"/>
            <w:tcBorders>
              <w:top w:val="single" w:sz="8" w:color="auto"/>
              <w:bottom w:val="single" w:sz="8" w:color="auto"/>
            </w:tcBorders>
          </w:tcPr>
          <w:p>
            <w:pPr>
              <w:jc w:val="right"/>
              <w:ind w:right="619"/>
              <w:spacing w:after="0"/>
              <w:rPr>
                <w:sz w:val="20"/>
                <w:szCs w:val="20"/>
                <w:color w:val="auto"/>
              </w:rPr>
            </w:pPr>
            <w:r>
              <w:rPr>
                <w:rFonts w:ascii="Arial" w:cs="Arial" w:eastAsia="Arial" w:hAnsi="Arial"/>
                <w:sz w:val="14"/>
                <w:szCs w:val="14"/>
                <w:b w:val="1"/>
                <w:bCs w:val="1"/>
                <w:color w:val="auto"/>
              </w:rPr>
              <w:t>2018</w:t>
            </w:r>
          </w:p>
        </w:tc>
        <w:tc>
          <w:tcPr>
            <w:tcW w:w="0" w:type="dxa"/>
            <w:vAlign w:val="bottom"/>
          </w:tcPr>
          <w:p>
            <w:pPr>
              <w:spacing w:after="0"/>
              <w:rPr>
                <w:sz w:val="1"/>
                <w:szCs w:val="1"/>
                <w:color w:val="auto"/>
              </w:rPr>
            </w:pPr>
          </w:p>
        </w:tc>
      </w:tr>
      <w:tr>
        <w:trPr>
          <w:trHeight w:val="250"/>
        </w:trPr>
        <w:tc>
          <w:tcPr>
            <w:tcW w:w="5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Assets</w:t>
            </w:r>
          </w:p>
        </w:tc>
        <w:tc>
          <w:tcPr>
            <w:tcW w:w="4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5820" w:type="dxa"/>
            <w:vAlign w:val="bottom"/>
          </w:tcPr>
          <w:p>
            <w:pPr>
              <w:ind w:left="40"/>
              <w:spacing w:after="0"/>
              <w:rPr>
                <w:sz w:val="20"/>
                <w:szCs w:val="20"/>
                <w:color w:val="auto"/>
              </w:rPr>
            </w:pPr>
            <w:r>
              <w:rPr>
                <w:rFonts w:ascii="Arial" w:cs="Arial" w:eastAsia="Arial" w:hAnsi="Arial"/>
                <w:sz w:val="16"/>
                <w:szCs w:val="16"/>
                <w:color w:val="auto"/>
              </w:rPr>
              <w:t>Current assets:</w:t>
            </w:r>
          </w:p>
        </w:tc>
        <w:tc>
          <w:tcPr>
            <w:tcW w:w="42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5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5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58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8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Cash and cash equivalents</w:t>
            </w:r>
          </w:p>
        </w:tc>
        <w:tc>
          <w:tcPr>
            <w:tcW w:w="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w:t>
            </w:r>
          </w:p>
        </w:tc>
        <w:tc>
          <w:tcPr>
            <w:tcW w:w="13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113,080</w:t>
            </w:r>
          </w:p>
        </w:tc>
        <w:tc>
          <w:tcPr>
            <w:tcW w:w="2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740" w:type="dxa"/>
            <w:vAlign w:val="bottom"/>
            <w:tcBorders>
              <w:bottom w:val="single" w:sz="8" w:color="CCEEFF"/>
            </w:tcBorders>
            <w:gridSpan w:val="2"/>
            <w:shd w:val="clear" w:color="auto" w:fill="CCEEFF"/>
          </w:tcPr>
          <w:p>
            <w:pPr>
              <w:jc w:val="right"/>
              <w:ind w:right="34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5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113,080</w:t>
            </w:r>
          </w:p>
        </w:tc>
        <w:tc>
          <w:tcPr>
            <w:tcW w:w="0" w:type="dxa"/>
            <w:vAlign w:val="bottom"/>
          </w:tcPr>
          <w:p>
            <w:pPr>
              <w:spacing w:after="0"/>
              <w:rPr>
                <w:sz w:val="1"/>
                <w:szCs w:val="1"/>
                <w:color w:val="auto"/>
              </w:rPr>
            </w:pPr>
          </w:p>
        </w:tc>
      </w:tr>
      <w:tr>
        <w:trPr>
          <w:trHeight w:val="237"/>
        </w:trPr>
        <w:tc>
          <w:tcPr>
            <w:tcW w:w="5820" w:type="dxa"/>
            <w:vAlign w:val="bottom"/>
          </w:tcPr>
          <w:p>
            <w:pPr>
              <w:ind w:left="180"/>
              <w:spacing w:after="0"/>
              <w:rPr>
                <w:sz w:val="20"/>
                <w:szCs w:val="20"/>
                <w:color w:val="auto"/>
              </w:rPr>
            </w:pPr>
            <w:r>
              <w:rPr>
                <w:rFonts w:ascii="Arial" w:cs="Arial" w:eastAsia="Arial" w:hAnsi="Arial"/>
                <w:sz w:val="16"/>
                <w:szCs w:val="16"/>
                <w:color w:val="auto"/>
              </w:rPr>
              <w:t>Accounts receivable, net</w:t>
            </w:r>
          </w:p>
        </w:tc>
        <w:tc>
          <w:tcPr>
            <w:tcW w:w="420" w:type="dxa"/>
            <w:vAlign w:val="bottom"/>
          </w:tcPr>
          <w:p>
            <w:pPr>
              <w:spacing w:after="0"/>
              <w:rPr>
                <w:sz w:val="20"/>
                <w:szCs w:val="20"/>
                <w:color w:val="auto"/>
              </w:rPr>
            </w:pPr>
          </w:p>
        </w:tc>
        <w:tc>
          <w:tcPr>
            <w:tcW w:w="1320" w:type="dxa"/>
            <w:vAlign w:val="bottom"/>
          </w:tcPr>
          <w:p>
            <w:pPr>
              <w:jc w:val="right"/>
              <w:ind w:right="39"/>
              <w:spacing w:after="0"/>
              <w:rPr>
                <w:sz w:val="20"/>
                <w:szCs w:val="20"/>
                <w:color w:val="auto"/>
              </w:rPr>
            </w:pPr>
            <w:r>
              <w:rPr>
                <w:rFonts w:ascii="Arial" w:cs="Arial" w:eastAsia="Arial" w:hAnsi="Arial"/>
                <w:sz w:val="16"/>
                <w:szCs w:val="16"/>
                <w:color w:val="auto"/>
              </w:rPr>
              <w:t>37,272</w:t>
            </w:r>
          </w:p>
        </w:tc>
        <w:tc>
          <w:tcPr>
            <w:tcW w:w="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740" w:type="dxa"/>
            <w:vAlign w:val="bottom"/>
            <w:gridSpan w:val="2"/>
          </w:tcPr>
          <w:p>
            <w:pPr>
              <w:jc w:val="right"/>
              <w:ind w:right="34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520" w:type="dxa"/>
            <w:vAlign w:val="bottom"/>
          </w:tcPr>
          <w:p>
            <w:pPr>
              <w:jc w:val="right"/>
              <w:ind w:right="19"/>
              <w:spacing w:after="0"/>
              <w:rPr>
                <w:sz w:val="20"/>
                <w:szCs w:val="20"/>
                <w:color w:val="auto"/>
              </w:rPr>
            </w:pPr>
            <w:r>
              <w:rPr>
                <w:rFonts w:ascii="Arial" w:cs="Arial" w:eastAsia="Arial" w:hAnsi="Arial"/>
                <w:sz w:val="16"/>
                <w:szCs w:val="16"/>
                <w:color w:val="auto"/>
              </w:rPr>
              <w:t>37,272</w:t>
            </w:r>
          </w:p>
        </w:tc>
        <w:tc>
          <w:tcPr>
            <w:tcW w:w="0" w:type="dxa"/>
            <w:vAlign w:val="bottom"/>
          </w:tcPr>
          <w:p>
            <w:pPr>
              <w:spacing w:after="0"/>
              <w:rPr>
                <w:sz w:val="1"/>
                <w:szCs w:val="1"/>
                <w:color w:val="auto"/>
              </w:rPr>
            </w:pPr>
          </w:p>
        </w:tc>
      </w:tr>
      <w:tr>
        <w:trPr>
          <w:trHeight w:val="33"/>
        </w:trPr>
        <w:tc>
          <w:tcPr>
            <w:tcW w:w="58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8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Due from related parties</w:t>
            </w:r>
          </w:p>
        </w:tc>
        <w:tc>
          <w:tcPr>
            <w:tcW w:w="4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3,020</w:t>
            </w:r>
          </w:p>
        </w:tc>
        <w:tc>
          <w:tcPr>
            <w:tcW w:w="2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gridSpan w:val="2"/>
            <w:shd w:val="clear" w:color="auto" w:fill="CCEEFF"/>
          </w:tcPr>
          <w:p>
            <w:pPr>
              <w:jc w:val="right"/>
              <w:ind w:right="34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3,020</w:t>
            </w:r>
          </w:p>
        </w:tc>
        <w:tc>
          <w:tcPr>
            <w:tcW w:w="0" w:type="dxa"/>
            <w:vAlign w:val="bottom"/>
          </w:tcPr>
          <w:p>
            <w:pPr>
              <w:spacing w:after="0"/>
              <w:rPr>
                <w:sz w:val="1"/>
                <w:szCs w:val="1"/>
                <w:color w:val="auto"/>
              </w:rPr>
            </w:pPr>
          </w:p>
        </w:tc>
      </w:tr>
      <w:tr>
        <w:trPr>
          <w:trHeight w:val="237"/>
        </w:trPr>
        <w:tc>
          <w:tcPr>
            <w:tcW w:w="5820" w:type="dxa"/>
            <w:vAlign w:val="bottom"/>
          </w:tcPr>
          <w:p>
            <w:pPr>
              <w:ind w:left="180"/>
              <w:spacing w:after="0"/>
              <w:rPr>
                <w:sz w:val="20"/>
                <w:szCs w:val="20"/>
                <w:color w:val="auto"/>
              </w:rPr>
            </w:pPr>
            <w:r>
              <w:rPr>
                <w:rFonts w:ascii="Arial" w:cs="Arial" w:eastAsia="Arial" w:hAnsi="Arial"/>
                <w:sz w:val="16"/>
                <w:szCs w:val="16"/>
                <w:color w:val="auto"/>
              </w:rPr>
              <w:t>Inventory</w:t>
            </w:r>
          </w:p>
        </w:tc>
        <w:tc>
          <w:tcPr>
            <w:tcW w:w="420" w:type="dxa"/>
            <w:vAlign w:val="bottom"/>
          </w:tcPr>
          <w:p>
            <w:pPr>
              <w:spacing w:after="0"/>
              <w:rPr>
                <w:sz w:val="20"/>
                <w:szCs w:val="20"/>
                <w:color w:val="auto"/>
              </w:rPr>
            </w:pPr>
          </w:p>
        </w:tc>
        <w:tc>
          <w:tcPr>
            <w:tcW w:w="1320" w:type="dxa"/>
            <w:vAlign w:val="bottom"/>
          </w:tcPr>
          <w:p>
            <w:pPr>
              <w:jc w:val="right"/>
              <w:ind w:right="39"/>
              <w:spacing w:after="0"/>
              <w:rPr>
                <w:sz w:val="20"/>
                <w:szCs w:val="20"/>
                <w:color w:val="auto"/>
              </w:rPr>
            </w:pPr>
            <w:r>
              <w:rPr>
                <w:rFonts w:ascii="Arial" w:cs="Arial" w:eastAsia="Arial" w:hAnsi="Arial"/>
                <w:sz w:val="16"/>
                <w:szCs w:val="16"/>
                <w:color w:val="auto"/>
              </w:rPr>
              <w:t>2,692</w:t>
            </w:r>
          </w:p>
        </w:tc>
        <w:tc>
          <w:tcPr>
            <w:tcW w:w="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740" w:type="dxa"/>
            <w:vAlign w:val="bottom"/>
            <w:gridSpan w:val="2"/>
          </w:tcPr>
          <w:p>
            <w:pPr>
              <w:jc w:val="right"/>
              <w:ind w:right="34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520" w:type="dxa"/>
            <w:vAlign w:val="bottom"/>
          </w:tcPr>
          <w:p>
            <w:pPr>
              <w:jc w:val="right"/>
              <w:ind w:right="19"/>
              <w:spacing w:after="0"/>
              <w:rPr>
                <w:sz w:val="20"/>
                <w:szCs w:val="20"/>
                <w:color w:val="auto"/>
              </w:rPr>
            </w:pPr>
            <w:r>
              <w:rPr>
                <w:rFonts w:ascii="Arial" w:cs="Arial" w:eastAsia="Arial" w:hAnsi="Arial"/>
                <w:sz w:val="16"/>
                <w:szCs w:val="16"/>
                <w:color w:val="auto"/>
              </w:rPr>
              <w:t>2,692</w:t>
            </w:r>
          </w:p>
        </w:tc>
        <w:tc>
          <w:tcPr>
            <w:tcW w:w="0" w:type="dxa"/>
            <w:vAlign w:val="bottom"/>
          </w:tcPr>
          <w:p>
            <w:pPr>
              <w:spacing w:after="0"/>
              <w:rPr>
                <w:sz w:val="1"/>
                <w:szCs w:val="1"/>
                <w:color w:val="auto"/>
              </w:rPr>
            </w:pPr>
          </w:p>
        </w:tc>
      </w:tr>
      <w:tr>
        <w:trPr>
          <w:trHeight w:val="33"/>
        </w:trPr>
        <w:tc>
          <w:tcPr>
            <w:tcW w:w="58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8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Restricted assets – national advertising fund</w:t>
            </w:r>
          </w:p>
        </w:tc>
        <w:tc>
          <w:tcPr>
            <w:tcW w:w="4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499</w:t>
            </w:r>
          </w:p>
        </w:tc>
        <w:tc>
          <w:tcPr>
            <w:tcW w:w="2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gridSpan w:val="2"/>
            <w:shd w:val="clear" w:color="auto" w:fill="CCEEFF"/>
          </w:tcPr>
          <w:p>
            <w:pPr>
              <w:jc w:val="right"/>
              <w:ind w:right="34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499</w:t>
            </w:r>
          </w:p>
        </w:tc>
        <w:tc>
          <w:tcPr>
            <w:tcW w:w="0" w:type="dxa"/>
            <w:vAlign w:val="bottom"/>
          </w:tcPr>
          <w:p>
            <w:pPr>
              <w:spacing w:after="0"/>
              <w:rPr>
                <w:sz w:val="1"/>
                <w:szCs w:val="1"/>
                <w:color w:val="auto"/>
              </w:rPr>
            </w:pPr>
          </w:p>
        </w:tc>
      </w:tr>
      <w:tr>
        <w:trPr>
          <w:trHeight w:val="237"/>
        </w:trPr>
        <w:tc>
          <w:tcPr>
            <w:tcW w:w="5820" w:type="dxa"/>
            <w:vAlign w:val="bottom"/>
          </w:tcPr>
          <w:p>
            <w:pPr>
              <w:ind w:left="180"/>
              <w:spacing w:after="0"/>
              <w:rPr>
                <w:sz w:val="20"/>
                <w:szCs w:val="20"/>
                <w:color w:val="auto"/>
              </w:rPr>
            </w:pPr>
            <w:r>
              <w:rPr>
                <w:rFonts w:ascii="Arial" w:cs="Arial" w:eastAsia="Arial" w:hAnsi="Arial"/>
                <w:sz w:val="16"/>
                <w:szCs w:val="16"/>
                <w:color w:val="auto"/>
              </w:rPr>
              <w:t>Prepaid expenses</w:t>
            </w:r>
          </w:p>
        </w:tc>
        <w:tc>
          <w:tcPr>
            <w:tcW w:w="420" w:type="dxa"/>
            <w:vAlign w:val="bottom"/>
          </w:tcPr>
          <w:p>
            <w:pPr>
              <w:spacing w:after="0"/>
              <w:rPr>
                <w:sz w:val="20"/>
                <w:szCs w:val="20"/>
                <w:color w:val="auto"/>
              </w:rPr>
            </w:pPr>
          </w:p>
        </w:tc>
        <w:tc>
          <w:tcPr>
            <w:tcW w:w="1320" w:type="dxa"/>
            <w:vAlign w:val="bottom"/>
          </w:tcPr>
          <w:p>
            <w:pPr>
              <w:jc w:val="right"/>
              <w:ind w:right="39"/>
              <w:spacing w:after="0"/>
              <w:rPr>
                <w:sz w:val="20"/>
                <w:szCs w:val="20"/>
                <w:color w:val="auto"/>
              </w:rPr>
            </w:pPr>
            <w:r>
              <w:rPr>
                <w:rFonts w:ascii="Arial" w:cs="Arial" w:eastAsia="Arial" w:hAnsi="Arial"/>
                <w:sz w:val="16"/>
                <w:szCs w:val="16"/>
                <w:color w:val="auto"/>
              </w:rPr>
              <w:t>3,929</w:t>
            </w:r>
          </w:p>
        </w:tc>
        <w:tc>
          <w:tcPr>
            <w:tcW w:w="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740" w:type="dxa"/>
            <w:vAlign w:val="bottom"/>
            <w:gridSpan w:val="2"/>
          </w:tcPr>
          <w:p>
            <w:pPr>
              <w:jc w:val="right"/>
              <w:ind w:right="34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520" w:type="dxa"/>
            <w:vAlign w:val="bottom"/>
          </w:tcPr>
          <w:p>
            <w:pPr>
              <w:jc w:val="right"/>
              <w:ind w:right="19"/>
              <w:spacing w:after="0"/>
              <w:rPr>
                <w:sz w:val="20"/>
                <w:szCs w:val="20"/>
                <w:color w:val="auto"/>
              </w:rPr>
            </w:pPr>
            <w:r>
              <w:rPr>
                <w:rFonts w:ascii="Arial" w:cs="Arial" w:eastAsia="Arial" w:hAnsi="Arial"/>
                <w:sz w:val="16"/>
                <w:szCs w:val="16"/>
                <w:color w:val="auto"/>
              </w:rPr>
              <w:t>3,929</w:t>
            </w:r>
          </w:p>
        </w:tc>
        <w:tc>
          <w:tcPr>
            <w:tcW w:w="0" w:type="dxa"/>
            <w:vAlign w:val="bottom"/>
          </w:tcPr>
          <w:p>
            <w:pPr>
              <w:spacing w:after="0"/>
              <w:rPr>
                <w:sz w:val="1"/>
                <w:szCs w:val="1"/>
                <w:color w:val="auto"/>
              </w:rPr>
            </w:pPr>
          </w:p>
        </w:tc>
      </w:tr>
      <w:tr>
        <w:trPr>
          <w:trHeight w:val="33"/>
        </w:trPr>
        <w:tc>
          <w:tcPr>
            <w:tcW w:w="58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8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Other receivables</w:t>
            </w:r>
          </w:p>
        </w:tc>
        <w:tc>
          <w:tcPr>
            <w:tcW w:w="4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9,562</w:t>
            </w:r>
          </w:p>
        </w:tc>
        <w:tc>
          <w:tcPr>
            <w:tcW w:w="2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gridSpan w:val="2"/>
            <w:shd w:val="clear" w:color="auto" w:fill="CCEEFF"/>
          </w:tcPr>
          <w:p>
            <w:pPr>
              <w:jc w:val="right"/>
              <w:ind w:right="34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9,562</w:t>
            </w:r>
          </w:p>
        </w:tc>
        <w:tc>
          <w:tcPr>
            <w:tcW w:w="0" w:type="dxa"/>
            <w:vAlign w:val="bottom"/>
          </w:tcPr>
          <w:p>
            <w:pPr>
              <w:spacing w:after="0"/>
              <w:rPr>
                <w:sz w:val="1"/>
                <w:szCs w:val="1"/>
                <w:color w:val="auto"/>
              </w:rPr>
            </w:pPr>
          </w:p>
        </w:tc>
      </w:tr>
      <w:tr>
        <w:trPr>
          <w:trHeight w:val="237"/>
        </w:trPr>
        <w:tc>
          <w:tcPr>
            <w:tcW w:w="5820" w:type="dxa"/>
            <w:vAlign w:val="bottom"/>
          </w:tcPr>
          <w:p>
            <w:pPr>
              <w:ind w:left="180"/>
              <w:spacing w:after="0"/>
              <w:rPr>
                <w:sz w:val="20"/>
                <w:szCs w:val="20"/>
                <w:color w:val="auto"/>
              </w:rPr>
            </w:pPr>
            <w:r>
              <w:rPr>
                <w:rFonts w:ascii="Arial" w:cs="Arial" w:eastAsia="Arial" w:hAnsi="Arial"/>
                <w:sz w:val="16"/>
                <w:szCs w:val="16"/>
                <w:color w:val="auto"/>
              </w:rPr>
              <w:t>Other current assets</w:t>
            </w:r>
          </w:p>
        </w:tc>
        <w:tc>
          <w:tcPr>
            <w:tcW w:w="420" w:type="dxa"/>
            <w:vAlign w:val="bottom"/>
          </w:tcPr>
          <w:p>
            <w:pPr>
              <w:spacing w:after="0"/>
              <w:rPr>
                <w:sz w:val="20"/>
                <w:szCs w:val="20"/>
                <w:color w:val="auto"/>
              </w:rPr>
            </w:pPr>
          </w:p>
        </w:tc>
        <w:tc>
          <w:tcPr>
            <w:tcW w:w="1320" w:type="dxa"/>
            <w:vAlign w:val="bottom"/>
          </w:tcPr>
          <w:p>
            <w:pPr>
              <w:jc w:val="right"/>
              <w:ind w:right="39"/>
              <w:spacing w:after="0"/>
              <w:rPr>
                <w:sz w:val="20"/>
                <w:szCs w:val="20"/>
                <w:color w:val="auto"/>
              </w:rPr>
            </w:pPr>
            <w:r>
              <w:rPr>
                <w:rFonts w:ascii="Arial" w:cs="Arial" w:eastAsia="Arial" w:hAnsi="Arial"/>
                <w:sz w:val="16"/>
                <w:szCs w:val="16"/>
                <w:color w:val="auto"/>
              </w:rPr>
              <w:t>6,947</w:t>
            </w:r>
          </w:p>
        </w:tc>
        <w:tc>
          <w:tcPr>
            <w:tcW w:w="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740" w:type="dxa"/>
            <w:vAlign w:val="bottom"/>
            <w:gridSpan w:val="2"/>
          </w:tcPr>
          <w:p>
            <w:pPr>
              <w:jc w:val="right"/>
              <w:ind w:right="34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520" w:type="dxa"/>
            <w:vAlign w:val="bottom"/>
          </w:tcPr>
          <w:p>
            <w:pPr>
              <w:jc w:val="right"/>
              <w:ind w:right="19"/>
              <w:spacing w:after="0"/>
              <w:rPr>
                <w:sz w:val="20"/>
                <w:szCs w:val="20"/>
                <w:color w:val="auto"/>
              </w:rPr>
            </w:pPr>
            <w:r>
              <w:rPr>
                <w:rFonts w:ascii="Arial" w:cs="Arial" w:eastAsia="Arial" w:hAnsi="Arial"/>
                <w:sz w:val="16"/>
                <w:szCs w:val="16"/>
                <w:color w:val="auto"/>
              </w:rPr>
              <w:t>6,947</w:t>
            </w:r>
          </w:p>
        </w:tc>
        <w:tc>
          <w:tcPr>
            <w:tcW w:w="0" w:type="dxa"/>
            <w:vAlign w:val="bottom"/>
          </w:tcPr>
          <w:p>
            <w:pPr>
              <w:spacing w:after="0"/>
              <w:rPr>
                <w:sz w:val="1"/>
                <w:szCs w:val="1"/>
                <w:color w:val="auto"/>
              </w:rPr>
            </w:pPr>
          </w:p>
        </w:tc>
      </w:tr>
      <w:tr>
        <w:trPr>
          <w:trHeight w:val="33"/>
        </w:trPr>
        <w:tc>
          <w:tcPr>
            <w:tcW w:w="582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58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Total current assets</w:t>
            </w:r>
          </w:p>
        </w:tc>
        <w:tc>
          <w:tcPr>
            <w:tcW w:w="420" w:type="dxa"/>
            <w:vAlign w:val="bottom"/>
            <w:tcBorders>
              <w:bottom w:val="single" w:sz="8" w:color="CCEEFF"/>
            </w:tcBorders>
            <w:shd w:val="clear" w:color="auto" w:fill="CCEEFF"/>
          </w:tcPr>
          <w:p>
            <w:pPr>
              <w:spacing w:after="0"/>
              <w:rPr>
                <w:sz w:val="20"/>
                <w:szCs w:val="20"/>
                <w:color w:val="auto"/>
              </w:rPr>
            </w:pPr>
          </w:p>
        </w:tc>
        <w:tc>
          <w:tcPr>
            <w:tcW w:w="13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177,001</w:t>
            </w:r>
          </w:p>
        </w:tc>
        <w:tc>
          <w:tcPr>
            <w:tcW w:w="2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740" w:type="dxa"/>
            <w:vAlign w:val="bottom"/>
            <w:tcBorders>
              <w:bottom w:val="single" w:sz="8" w:color="CCEEFF"/>
            </w:tcBorders>
            <w:gridSpan w:val="2"/>
            <w:shd w:val="clear" w:color="auto" w:fill="CCEEFF"/>
          </w:tcPr>
          <w:p>
            <w:pPr>
              <w:jc w:val="right"/>
              <w:ind w:right="34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0"/>
                <w:szCs w:val="20"/>
                <w:color w:val="auto"/>
              </w:rPr>
            </w:pPr>
          </w:p>
        </w:tc>
        <w:tc>
          <w:tcPr>
            <w:tcW w:w="15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177,001</w:t>
            </w:r>
          </w:p>
        </w:tc>
        <w:tc>
          <w:tcPr>
            <w:tcW w:w="0" w:type="dxa"/>
            <w:vAlign w:val="bottom"/>
          </w:tcPr>
          <w:p>
            <w:pPr>
              <w:spacing w:after="0"/>
              <w:rPr>
                <w:sz w:val="1"/>
                <w:szCs w:val="1"/>
                <w:color w:val="auto"/>
              </w:rPr>
            </w:pPr>
          </w:p>
        </w:tc>
      </w:tr>
      <w:tr>
        <w:trPr>
          <w:trHeight w:val="237"/>
        </w:trPr>
        <w:tc>
          <w:tcPr>
            <w:tcW w:w="5820" w:type="dxa"/>
            <w:vAlign w:val="bottom"/>
          </w:tcPr>
          <w:p>
            <w:pPr>
              <w:ind w:left="40"/>
              <w:spacing w:after="0"/>
              <w:rPr>
                <w:sz w:val="20"/>
                <w:szCs w:val="20"/>
                <w:color w:val="auto"/>
              </w:rPr>
            </w:pPr>
            <w:r>
              <w:rPr>
                <w:rFonts w:ascii="Arial" w:cs="Arial" w:eastAsia="Arial" w:hAnsi="Arial"/>
                <w:sz w:val="16"/>
                <w:szCs w:val="16"/>
                <w:color w:val="auto"/>
              </w:rPr>
              <w:t>Property and equipment, net</w:t>
            </w:r>
          </w:p>
        </w:tc>
        <w:tc>
          <w:tcPr>
            <w:tcW w:w="420" w:type="dxa"/>
            <w:vAlign w:val="bottom"/>
          </w:tcPr>
          <w:p>
            <w:pPr>
              <w:spacing w:after="0"/>
              <w:rPr>
                <w:sz w:val="20"/>
                <w:szCs w:val="20"/>
                <w:color w:val="auto"/>
              </w:rPr>
            </w:pPr>
          </w:p>
        </w:tc>
        <w:tc>
          <w:tcPr>
            <w:tcW w:w="1320" w:type="dxa"/>
            <w:vAlign w:val="bottom"/>
          </w:tcPr>
          <w:p>
            <w:pPr>
              <w:jc w:val="right"/>
              <w:ind w:right="39"/>
              <w:spacing w:after="0"/>
              <w:rPr>
                <w:sz w:val="20"/>
                <w:szCs w:val="20"/>
                <w:color w:val="auto"/>
              </w:rPr>
            </w:pPr>
            <w:r>
              <w:rPr>
                <w:rFonts w:ascii="Arial" w:cs="Arial" w:eastAsia="Arial" w:hAnsi="Arial"/>
                <w:sz w:val="16"/>
                <w:szCs w:val="16"/>
                <w:color w:val="auto"/>
              </w:rPr>
              <w:t>83,327</w:t>
            </w:r>
          </w:p>
        </w:tc>
        <w:tc>
          <w:tcPr>
            <w:tcW w:w="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740" w:type="dxa"/>
            <w:vAlign w:val="bottom"/>
            <w:gridSpan w:val="2"/>
          </w:tcPr>
          <w:p>
            <w:pPr>
              <w:jc w:val="right"/>
              <w:ind w:right="34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520" w:type="dxa"/>
            <w:vAlign w:val="bottom"/>
          </w:tcPr>
          <w:p>
            <w:pPr>
              <w:jc w:val="right"/>
              <w:ind w:right="19"/>
              <w:spacing w:after="0"/>
              <w:rPr>
                <w:sz w:val="20"/>
                <w:szCs w:val="20"/>
                <w:color w:val="auto"/>
              </w:rPr>
            </w:pPr>
            <w:r>
              <w:rPr>
                <w:rFonts w:ascii="Arial" w:cs="Arial" w:eastAsia="Arial" w:hAnsi="Arial"/>
                <w:sz w:val="16"/>
                <w:szCs w:val="16"/>
                <w:color w:val="auto"/>
              </w:rPr>
              <w:t>83,327</w:t>
            </w:r>
          </w:p>
        </w:tc>
        <w:tc>
          <w:tcPr>
            <w:tcW w:w="0" w:type="dxa"/>
            <w:vAlign w:val="bottom"/>
          </w:tcPr>
          <w:p>
            <w:pPr>
              <w:spacing w:after="0"/>
              <w:rPr>
                <w:sz w:val="1"/>
                <w:szCs w:val="1"/>
                <w:color w:val="auto"/>
              </w:rPr>
            </w:pPr>
          </w:p>
        </w:tc>
      </w:tr>
      <w:tr>
        <w:trPr>
          <w:trHeight w:val="33"/>
        </w:trPr>
        <w:tc>
          <w:tcPr>
            <w:tcW w:w="58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Intangible assets, net</w:t>
            </w:r>
          </w:p>
        </w:tc>
        <w:tc>
          <w:tcPr>
            <w:tcW w:w="4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235,657</w:t>
            </w:r>
          </w:p>
        </w:tc>
        <w:tc>
          <w:tcPr>
            <w:tcW w:w="2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gridSpan w:val="2"/>
            <w:shd w:val="clear" w:color="auto" w:fill="CCEEFF"/>
          </w:tcPr>
          <w:p>
            <w:pPr>
              <w:jc w:val="right"/>
              <w:ind w:right="34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235,657</w:t>
            </w:r>
          </w:p>
        </w:tc>
        <w:tc>
          <w:tcPr>
            <w:tcW w:w="0" w:type="dxa"/>
            <w:vAlign w:val="bottom"/>
          </w:tcPr>
          <w:p>
            <w:pPr>
              <w:spacing w:after="0"/>
              <w:rPr>
                <w:sz w:val="1"/>
                <w:szCs w:val="1"/>
                <w:color w:val="auto"/>
              </w:rPr>
            </w:pPr>
          </w:p>
        </w:tc>
      </w:tr>
      <w:tr>
        <w:trPr>
          <w:trHeight w:val="237"/>
        </w:trPr>
        <w:tc>
          <w:tcPr>
            <w:tcW w:w="5820" w:type="dxa"/>
            <w:vAlign w:val="bottom"/>
          </w:tcPr>
          <w:p>
            <w:pPr>
              <w:ind w:left="40"/>
              <w:spacing w:after="0"/>
              <w:rPr>
                <w:sz w:val="20"/>
                <w:szCs w:val="20"/>
                <w:color w:val="auto"/>
              </w:rPr>
            </w:pPr>
            <w:r>
              <w:rPr>
                <w:rFonts w:ascii="Arial" w:cs="Arial" w:eastAsia="Arial" w:hAnsi="Arial"/>
                <w:sz w:val="16"/>
                <w:szCs w:val="16"/>
                <w:color w:val="auto"/>
              </w:rPr>
              <w:t>Goodwill</w:t>
            </w:r>
          </w:p>
        </w:tc>
        <w:tc>
          <w:tcPr>
            <w:tcW w:w="420" w:type="dxa"/>
            <w:vAlign w:val="bottom"/>
          </w:tcPr>
          <w:p>
            <w:pPr>
              <w:spacing w:after="0"/>
              <w:rPr>
                <w:sz w:val="20"/>
                <w:szCs w:val="20"/>
                <w:color w:val="auto"/>
              </w:rPr>
            </w:pPr>
          </w:p>
        </w:tc>
        <w:tc>
          <w:tcPr>
            <w:tcW w:w="1320" w:type="dxa"/>
            <w:vAlign w:val="bottom"/>
          </w:tcPr>
          <w:p>
            <w:pPr>
              <w:jc w:val="right"/>
              <w:ind w:right="39"/>
              <w:spacing w:after="0"/>
              <w:rPr>
                <w:sz w:val="20"/>
                <w:szCs w:val="20"/>
                <w:color w:val="auto"/>
              </w:rPr>
            </w:pPr>
            <w:r>
              <w:rPr>
                <w:rFonts w:ascii="Arial" w:cs="Arial" w:eastAsia="Arial" w:hAnsi="Arial"/>
                <w:sz w:val="16"/>
                <w:szCs w:val="16"/>
                <w:color w:val="auto"/>
              </w:rPr>
              <w:t>176,981</w:t>
            </w:r>
          </w:p>
        </w:tc>
        <w:tc>
          <w:tcPr>
            <w:tcW w:w="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740" w:type="dxa"/>
            <w:vAlign w:val="bottom"/>
            <w:gridSpan w:val="2"/>
          </w:tcPr>
          <w:p>
            <w:pPr>
              <w:jc w:val="right"/>
              <w:ind w:right="34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520" w:type="dxa"/>
            <w:vAlign w:val="bottom"/>
          </w:tcPr>
          <w:p>
            <w:pPr>
              <w:jc w:val="right"/>
              <w:ind w:right="19"/>
              <w:spacing w:after="0"/>
              <w:rPr>
                <w:sz w:val="20"/>
                <w:szCs w:val="20"/>
                <w:color w:val="auto"/>
              </w:rPr>
            </w:pPr>
            <w:r>
              <w:rPr>
                <w:rFonts w:ascii="Arial" w:cs="Arial" w:eastAsia="Arial" w:hAnsi="Arial"/>
                <w:sz w:val="16"/>
                <w:szCs w:val="16"/>
                <w:color w:val="auto"/>
              </w:rPr>
              <w:t>176,981</w:t>
            </w:r>
          </w:p>
        </w:tc>
        <w:tc>
          <w:tcPr>
            <w:tcW w:w="0" w:type="dxa"/>
            <w:vAlign w:val="bottom"/>
          </w:tcPr>
          <w:p>
            <w:pPr>
              <w:spacing w:after="0"/>
              <w:rPr>
                <w:sz w:val="1"/>
                <w:szCs w:val="1"/>
                <w:color w:val="auto"/>
              </w:rPr>
            </w:pPr>
          </w:p>
        </w:tc>
      </w:tr>
      <w:tr>
        <w:trPr>
          <w:trHeight w:val="33"/>
        </w:trPr>
        <w:tc>
          <w:tcPr>
            <w:tcW w:w="58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Deferred income taxes</w:t>
            </w:r>
          </w:p>
        </w:tc>
        <w:tc>
          <w:tcPr>
            <w:tcW w:w="4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407,782</w:t>
            </w:r>
          </w:p>
        </w:tc>
        <w:tc>
          <w:tcPr>
            <w:tcW w:w="2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3,285</w:t>
            </w:r>
          </w:p>
        </w:tc>
        <w:tc>
          <w:tcPr>
            <w:tcW w:w="2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411,067</w:t>
            </w:r>
          </w:p>
        </w:tc>
        <w:tc>
          <w:tcPr>
            <w:tcW w:w="0" w:type="dxa"/>
            <w:vAlign w:val="bottom"/>
          </w:tcPr>
          <w:p>
            <w:pPr>
              <w:spacing w:after="0"/>
              <w:rPr>
                <w:sz w:val="1"/>
                <w:szCs w:val="1"/>
                <w:color w:val="auto"/>
              </w:rPr>
            </w:pPr>
          </w:p>
        </w:tc>
      </w:tr>
      <w:tr>
        <w:trPr>
          <w:trHeight w:val="237"/>
        </w:trPr>
        <w:tc>
          <w:tcPr>
            <w:tcW w:w="5820" w:type="dxa"/>
            <w:vAlign w:val="bottom"/>
          </w:tcPr>
          <w:p>
            <w:pPr>
              <w:ind w:left="40"/>
              <w:spacing w:after="0"/>
              <w:rPr>
                <w:sz w:val="20"/>
                <w:szCs w:val="20"/>
                <w:color w:val="auto"/>
              </w:rPr>
            </w:pPr>
            <w:r>
              <w:rPr>
                <w:rFonts w:ascii="Arial" w:cs="Arial" w:eastAsia="Arial" w:hAnsi="Arial"/>
                <w:sz w:val="16"/>
                <w:szCs w:val="16"/>
                <w:color w:val="auto"/>
              </w:rPr>
              <w:t>Other assets, net</w:t>
            </w:r>
          </w:p>
        </w:tc>
        <w:tc>
          <w:tcPr>
            <w:tcW w:w="420" w:type="dxa"/>
            <w:vAlign w:val="bottom"/>
          </w:tcPr>
          <w:p>
            <w:pPr>
              <w:spacing w:after="0"/>
              <w:rPr>
                <w:sz w:val="20"/>
                <w:szCs w:val="20"/>
                <w:color w:val="auto"/>
              </w:rPr>
            </w:pPr>
          </w:p>
        </w:tc>
        <w:tc>
          <w:tcPr>
            <w:tcW w:w="1320" w:type="dxa"/>
            <w:vAlign w:val="bottom"/>
          </w:tcPr>
          <w:p>
            <w:pPr>
              <w:jc w:val="right"/>
              <w:ind w:right="39"/>
              <w:spacing w:after="0"/>
              <w:rPr>
                <w:sz w:val="20"/>
                <w:szCs w:val="20"/>
                <w:color w:val="auto"/>
              </w:rPr>
            </w:pPr>
            <w:r>
              <w:rPr>
                <w:rFonts w:ascii="Arial" w:cs="Arial" w:eastAsia="Arial" w:hAnsi="Arial"/>
                <w:sz w:val="16"/>
                <w:szCs w:val="16"/>
                <w:color w:val="auto"/>
              </w:rPr>
              <w:t>11,717</w:t>
            </w:r>
          </w:p>
        </w:tc>
        <w:tc>
          <w:tcPr>
            <w:tcW w:w="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740" w:type="dxa"/>
            <w:vAlign w:val="bottom"/>
            <w:gridSpan w:val="2"/>
          </w:tcPr>
          <w:p>
            <w:pPr>
              <w:jc w:val="right"/>
              <w:ind w:right="34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520" w:type="dxa"/>
            <w:vAlign w:val="bottom"/>
          </w:tcPr>
          <w:p>
            <w:pPr>
              <w:jc w:val="right"/>
              <w:ind w:right="19"/>
              <w:spacing w:after="0"/>
              <w:rPr>
                <w:sz w:val="20"/>
                <w:szCs w:val="20"/>
                <w:color w:val="auto"/>
              </w:rPr>
            </w:pPr>
            <w:r>
              <w:rPr>
                <w:rFonts w:ascii="Arial" w:cs="Arial" w:eastAsia="Arial" w:hAnsi="Arial"/>
                <w:sz w:val="16"/>
                <w:szCs w:val="16"/>
                <w:color w:val="auto"/>
              </w:rPr>
              <w:t>11,717</w:t>
            </w:r>
          </w:p>
        </w:tc>
        <w:tc>
          <w:tcPr>
            <w:tcW w:w="0" w:type="dxa"/>
            <w:vAlign w:val="bottom"/>
          </w:tcPr>
          <w:p>
            <w:pPr>
              <w:spacing w:after="0"/>
              <w:rPr>
                <w:sz w:val="1"/>
                <w:szCs w:val="1"/>
                <w:color w:val="auto"/>
              </w:rPr>
            </w:pPr>
          </w:p>
        </w:tc>
      </w:tr>
      <w:tr>
        <w:trPr>
          <w:trHeight w:val="33"/>
        </w:trPr>
        <w:tc>
          <w:tcPr>
            <w:tcW w:w="582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8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Total assets</w:t>
            </w:r>
          </w:p>
        </w:tc>
        <w:tc>
          <w:tcPr>
            <w:tcW w:w="42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6"/>
                <w:szCs w:val="16"/>
                <w:color w:val="auto"/>
              </w:rPr>
              <w:t>$</w:t>
            </w:r>
          </w:p>
        </w:tc>
        <w:tc>
          <w:tcPr>
            <w:tcW w:w="132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1,092,465</w:t>
            </w:r>
          </w:p>
        </w:tc>
        <w:tc>
          <w:tcPr>
            <w:tcW w:w="2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52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3,285</w:t>
            </w:r>
          </w:p>
        </w:tc>
        <w:tc>
          <w:tcPr>
            <w:tcW w:w="2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5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1,095,750</w:t>
            </w:r>
          </w:p>
        </w:tc>
        <w:tc>
          <w:tcPr>
            <w:tcW w:w="0" w:type="dxa"/>
            <w:vAlign w:val="bottom"/>
          </w:tcPr>
          <w:p>
            <w:pPr>
              <w:spacing w:after="0"/>
              <w:rPr>
                <w:sz w:val="1"/>
                <w:szCs w:val="1"/>
                <w:color w:val="auto"/>
              </w:rPr>
            </w:pPr>
          </w:p>
        </w:tc>
      </w:tr>
      <w:tr>
        <w:trPr>
          <w:trHeight w:val="20"/>
        </w:trPr>
        <w:tc>
          <w:tcPr>
            <w:tcW w:w="5820" w:type="dxa"/>
            <w:vAlign w:val="bottom"/>
            <w:vMerge w:val="restart"/>
          </w:tcPr>
          <w:p>
            <w:pPr>
              <w:ind w:left="40"/>
              <w:spacing w:after="0"/>
              <w:rPr>
                <w:sz w:val="20"/>
                <w:szCs w:val="20"/>
                <w:color w:val="auto"/>
              </w:rPr>
            </w:pPr>
            <w:r>
              <w:rPr>
                <w:rFonts w:ascii="Arial" w:cs="Arial" w:eastAsia="Arial" w:hAnsi="Arial"/>
                <w:sz w:val="16"/>
                <w:szCs w:val="16"/>
                <w:color w:val="auto"/>
              </w:rPr>
              <w:t>Liabilities and stockholders' equity (deficit)</w:t>
            </w:r>
          </w:p>
        </w:tc>
        <w:tc>
          <w:tcPr>
            <w:tcW w:w="42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5820" w:type="dxa"/>
            <w:vAlign w:val="bottom"/>
            <w:vMerge w:val="continue"/>
          </w:tcPr>
          <w:p>
            <w:pPr>
              <w:spacing w:after="0"/>
              <w:rPr>
                <w:sz w:val="19"/>
                <w:szCs w:val="19"/>
                <w:color w:val="auto"/>
              </w:rPr>
            </w:pPr>
          </w:p>
        </w:tc>
        <w:tc>
          <w:tcPr>
            <w:tcW w:w="42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3"/>
        </w:trPr>
        <w:tc>
          <w:tcPr>
            <w:tcW w:w="58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Current liabilities:</w:t>
            </w:r>
          </w:p>
        </w:tc>
        <w:tc>
          <w:tcPr>
            <w:tcW w:w="4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5820" w:type="dxa"/>
            <w:vAlign w:val="bottom"/>
          </w:tcPr>
          <w:p>
            <w:pPr>
              <w:ind w:left="180"/>
              <w:spacing w:after="0"/>
              <w:rPr>
                <w:sz w:val="20"/>
                <w:szCs w:val="20"/>
                <w:color w:val="auto"/>
              </w:rPr>
            </w:pPr>
            <w:r>
              <w:rPr>
                <w:rFonts w:ascii="Arial" w:cs="Arial" w:eastAsia="Arial" w:hAnsi="Arial"/>
                <w:sz w:val="16"/>
                <w:szCs w:val="16"/>
                <w:color w:val="auto"/>
              </w:rPr>
              <w:t>Current maturities of long-term debt</w:t>
            </w:r>
          </w:p>
        </w:tc>
        <w:tc>
          <w:tcPr>
            <w:tcW w:w="420" w:type="dxa"/>
            <w:vAlign w:val="bottom"/>
          </w:tcPr>
          <w:p>
            <w:pPr>
              <w:ind w:left="40"/>
              <w:spacing w:after="0"/>
              <w:rPr>
                <w:sz w:val="20"/>
                <w:szCs w:val="20"/>
                <w:color w:val="auto"/>
              </w:rPr>
            </w:pPr>
            <w:r>
              <w:rPr>
                <w:rFonts w:ascii="Arial" w:cs="Arial" w:eastAsia="Arial" w:hAnsi="Arial"/>
                <w:sz w:val="16"/>
                <w:szCs w:val="16"/>
                <w:color w:val="auto"/>
              </w:rPr>
              <w:t>$</w:t>
            </w:r>
          </w:p>
        </w:tc>
        <w:tc>
          <w:tcPr>
            <w:tcW w:w="1320" w:type="dxa"/>
            <w:vAlign w:val="bottom"/>
          </w:tcPr>
          <w:p>
            <w:pPr>
              <w:jc w:val="right"/>
              <w:ind w:right="39"/>
              <w:spacing w:after="0"/>
              <w:rPr>
                <w:sz w:val="20"/>
                <w:szCs w:val="20"/>
                <w:color w:val="auto"/>
              </w:rPr>
            </w:pPr>
            <w:r>
              <w:rPr>
                <w:rFonts w:ascii="Arial" w:cs="Arial" w:eastAsia="Arial" w:hAnsi="Arial"/>
                <w:sz w:val="16"/>
                <w:szCs w:val="16"/>
                <w:color w:val="auto"/>
              </w:rPr>
              <w:t>7,185</w:t>
            </w:r>
          </w:p>
        </w:tc>
        <w:tc>
          <w:tcPr>
            <w:tcW w:w="220" w:type="dxa"/>
            <w:vAlign w:val="bottom"/>
          </w:tcPr>
          <w:p>
            <w:pPr>
              <w:spacing w:after="0"/>
              <w:rPr>
                <w:sz w:val="20"/>
                <w:szCs w:val="20"/>
                <w:color w:val="auto"/>
              </w:rPr>
            </w:pPr>
          </w:p>
        </w:tc>
        <w:tc>
          <w:tcPr>
            <w:tcW w:w="2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740" w:type="dxa"/>
            <w:vAlign w:val="bottom"/>
            <w:gridSpan w:val="2"/>
          </w:tcPr>
          <w:p>
            <w:pPr>
              <w:jc w:val="right"/>
              <w:ind w:right="340"/>
              <w:spacing w:after="0"/>
              <w:rPr>
                <w:sz w:val="20"/>
                <w:szCs w:val="20"/>
                <w:color w:val="auto"/>
              </w:rPr>
            </w:pPr>
            <w:r>
              <w:rPr>
                <w:rFonts w:ascii="Arial" w:cs="Arial" w:eastAsia="Arial" w:hAnsi="Arial"/>
                <w:sz w:val="16"/>
                <w:szCs w:val="16"/>
                <w:color w:val="auto"/>
              </w:rPr>
              <w:t>—</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520" w:type="dxa"/>
            <w:vAlign w:val="bottom"/>
          </w:tcPr>
          <w:p>
            <w:pPr>
              <w:jc w:val="right"/>
              <w:ind w:right="19"/>
              <w:spacing w:after="0"/>
              <w:rPr>
                <w:sz w:val="20"/>
                <w:szCs w:val="20"/>
                <w:color w:val="auto"/>
              </w:rPr>
            </w:pPr>
            <w:r>
              <w:rPr>
                <w:rFonts w:ascii="Arial" w:cs="Arial" w:eastAsia="Arial" w:hAnsi="Arial"/>
                <w:sz w:val="16"/>
                <w:szCs w:val="16"/>
                <w:color w:val="auto"/>
              </w:rPr>
              <w:t>7,185</w:t>
            </w:r>
          </w:p>
        </w:tc>
        <w:tc>
          <w:tcPr>
            <w:tcW w:w="0" w:type="dxa"/>
            <w:vAlign w:val="bottom"/>
          </w:tcPr>
          <w:p>
            <w:pPr>
              <w:spacing w:after="0"/>
              <w:rPr>
                <w:sz w:val="1"/>
                <w:szCs w:val="1"/>
                <w:color w:val="auto"/>
              </w:rPr>
            </w:pPr>
          </w:p>
        </w:tc>
      </w:tr>
      <w:tr>
        <w:trPr>
          <w:trHeight w:val="33"/>
        </w:trPr>
        <w:tc>
          <w:tcPr>
            <w:tcW w:w="58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8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Accounts payable</w:t>
            </w:r>
          </w:p>
        </w:tc>
        <w:tc>
          <w:tcPr>
            <w:tcW w:w="4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28,648</w:t>
            </w:r>
          </w:p>
        </w:tc>
        <w:tc>
          <w:tcPr>
            <w:tcW w:w="2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gridSpan w:val="2"/>
            <w:shd w:val="clear" w:color="auto" w:fill="CCEEFF"/>
          </w:tcPr>
          <w:p>
            <w:pPr>
              <w:jc w:val="right"/>
              <w:ind w:right="34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28,648</w:t>
            </w:r>
          </w:p>
        </w:tc>
        <w:tc>
          <w:tcPr>
            <w:tcW w:w="0" w:type="dxa"/>
            <w:vAlign w:val="bottom"/>
          </w:tcPr>
          <w:p>
            <w:pPr>
              <w:spacing w:after="0"/>
              <w:rPr>
                <w:sz w:val="1"/>
                <w:szCs w:val="1"/>
                <w:color w:val="auto"/>
              </w:rPr>
            </w:pPr>
          </w:p>
        </w:tc>
      </w:tr>
      <w:tr>
        <w:trPr>
          <w:trHeight w:val="237"/>
        </w:trPr>
        <w:tc>
          <w:tcPr>
            <w:tcW w:w="5820" w:type="dxa"/>
            <w:vAlign w:val="bottom"/>
          </w:tcPr>
          <w:p>
            <w:pPr>
              <w:ind w:left="180"/>
              <w:spacing w:after="0"/>
              <w:rPr>
                <w:sz w:val="20"/>
                <w:szCs w:val="20"/>
                <w:color w:val="auto"/>
              </w:rPr>
            </w:pPr>
            <w:r>
              <w:rPr>
                <w:rFonts w:ascii="Arial" w:cs="Arial" w:eastAsia="Arial" w:hAnsi="Arial"/>
                <w:sz w:val="16"/>
                <w:szCs w:val="16"/>
                <w:color w:val="auto"/>
              </w:rPr>
              <w:t>Accrued expenses</w:t>
            </w:r>
          </w:p>
        </w:tc>
        <w:tc>
          <w:tcPr>
            <w:tcW w:w="420" w:type="dxa"/>
            <w:vAlign w:val="bottom"/>
          </w:tcPr>
          <w:p>
            <w:pPr>
              <w:spacing w:after="0"/>
              <w:rPr>
                <w:sz w:val="20"/>
                <w:szCs w:val="20"/>
                <w:color w:val="auto"/>
              </w:rPr>
            </w:pPr>
          </w:p>
        </w:tc>
        <w:tc>
          <w:tcPr>
            <w:tcW w:w="1320" w:type="dxa"/>
            <w:vAlign w:val="bottom"/>
          </w:tcPr>
          <w:p>
            <w:pPr>
              <w:jc w:val="right"/>
              <w:ind w:right="39"/>
              <w:spacing w:after="0"/>
              <w:rPr>
                <w:sz w:val="20"/>
                <w:szCs w:val="20"/>
                <w:color w:val="auto"/>
              </w:rPr>
            </w:pPr>
            <w:r>
              <w:rPr>
                <w:rFonts w:ascii="Arial" w:cs="Arial" w:eastAsia="Arial" w:hAnsi="Arial"/>
                <w:sz w:val="16"/>
                <w:szCs w:val="16"/>
                <w:color w:val="auto"/>
              </w:rPr>
              <w:t>18,590</w:t>
            </w:r>
          </w:p>
        </w:tc>
        <w:tc>
          <w:tcPr>
            <w:tcW w:w="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740" w:type="dxa"/>
            <w:vAlign w:val="bottom"/>
            <w:gridSpan w:val="2"/>
          </w:tcPr>
          <w:p>
            <w:pPr>
              <w:jc w:val="right"/>
              <w:ind w:right="34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520" w:type="dxa"/>
            <w:vAlign w:val="bottom"/>
          </w:tcPr>
          <w:p>
            <w:pPr>
              <w:jc w:val="right"/>
              <w:ind w:right="19"/>
              <w:spacing w:after="0"/>
              <w:rPr>
                <w:sz w:val="20"/>
                <w:szCs w:val="20"/>
                <w:color w:val="auto"/>
              </w:rPr>
            </w:pPr>
            <w:r>
              <w:rPr>
                <w:rFonts w:ascii="Arial" w:cs="Arial" w:eastAsia="Arial" w:hAnsi="Arial"/>
                <w:sz w:val="16"/>
                <w:szCs w:val="16"/>
                <w:color w:val="auto"/>
              </w:rPr>
              <w:t>18,590</w:t>
            </w:r>
          </w:p>
        </w:tc>
        <w:tc>
          <w:tcPr>
            <w:tcW w:w="0" w:type="dxa"/>
            <w:vAlign w:val="bottom"/>
          </w:tcPr>
          <w:p>
            <w:pPr>
              <w:spacing w:after="0"/>
              <w:rPr>
                <w:sz w:val="1"/>
                <w:szCs w:val="1"/>
                <w:color w:val="auto"/>
              </w:rPr>
            </w:pPr>
          </w:p>
        </w:tc>
      </w:tr>
      <w:tr>
        <w:trPr>
          <w:trHeight w:val="33"/>
        </w:trPr>
        <w:tc>
          <w:tcPr>
            <w:tcW w:w="58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8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Equipment deposits</w:t>
            </w:r>
          </w:p>
        </w:tc>
        <w:tc>
          <w:tcPr>
            <w:tcW w:w="4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6,498</w:t>
            </w:r>
          </w:p>
        </w:tc>
        <w:tc>
          <w:tcPr>
            <w:tcW w:w="2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gridSpan w:val="2"/>
            <w:shd w:val="clear" w:color="auto" w:fill="CCEEFF"/>
          </w:tcPr>
          <w:p>
            <w:pPr>
              <w:jc w:val="right"/>
              <w:ind w:right="34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6,498</w:t>
            </w:r>
          </w:p>
        </w:tc>
        <w:tc>
          <w:tcPr>
            <w:tcW w:w="0" w:type="dxa"/>
            <w:vAlign w:val="bottom"/>
          </w:tcPr>
          <w:p>
            <w:pPr>
              <w:spacing w:after="0"/>
              <w:rPr>
                <w:sz w:val="1"/>
                <w:szCs w:val="1"/>
                <w:color w:val="auto"/>
              </w:rPr>
            </w:pPr>
          </w:p>
        </w:tc>
      </w:tr>
      <w:tr>
        <w:trPr>
          <w:trHeight w:val="237"/>
        </w:trPr>
        <w:tc>
          <w:tcPr>
            <w:tcW w:w="5820" w:type="dxa"/>
            <w:vAlign w:val="bottom"/>
          </w:tcPr>
          <w:p>
            <w:pPr>
              <w:ind w:left="180"/>
              <w:spacing w:after="0"/>
              <w:rPr>
                <w:sz w:val="20"/>
                <w:szCs w:val="20"/>
                <w:color w:val="auto"/>
              </w:rPr>
            </w:pPr>
            <w:r>
              <w:rPr>
                <w:rFonts w:ascii="Arial" w:cs="Arial" w:eastAsia="Arial" w:hAnsi="Arial"/>
                <w:sz w:val="16"/>
                <w:szCs w:val="16"/>
                <w:color w:val="auto"/>
              </w:rPr>
              <w:t>Restricted liabilities – national advertising fund</w:t>
            </w:r>
          </w:p>
        </w:tc>
        <w:tc>
          <w:tcPr>
            <w:tcW w:w="420" w:type="dxa"/>
            <w:vAlign w:val="bottom"/>
          </w:tcPr>
          <w:p>
            <w:pPr>
              <w:spacing w:after="0"/>
              <w:rPr>
                <w:sz w:val="20"/>
                <w:szCs w:val="20"/>
                <w:color w:val="auto"/>
              </w:rPr>
            </w:pPr>
          </w:p>
        </w:tc>
        <w:tc>
          <w:tcPr>
            <w:tcW w:w="1320" w:type="dxa"/>
            <w:vAlign w:val="bottom"/>
          </w:tcPr>
          <w:p>
            <w:pPr>
              <w:jc w:val="right"/>
              <w:ind w:right="39"/>
              <w:spacing w:after="0"/>
              <w:rPr>
                <w:sz w:val="20"/>
                <w:szCs w:val="20"/>
                <w:color w:val="auto"/>
              </w:rPr>
            </w:pPr>
            <w:r>
              <w:rPr>
                <w:rFonts w:ascii="Arial" w:cs="Arial" w:eastAsia="Arial" w:hAnsi="Arial"/>
                <w:sz w:val="16"/>
                <w:szCs w:val="16"/>
                <w:color w:val="auto"/>
              </w:rPr>
              <w:t>490</w:t>
            </w:r>
          </w:p>
        </w:tc>
        <w:tc>
          <w:tcPr>
            <w:tcW w:w="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740" w:type="dxa"/>
            <w:vAlign w:val="bottom"/>
            <w:gridSpan w:val="2"/>
          </w:tcPr>
          <w:p>
            <w:pPr>
              <w:jc w:val="right"/>
              <w:ind w:right="34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520" w:type="dxa"/>
            <w:vAlign w:val="bottom"/>
          </w:tcPr>
          <w:p>
            <w:pPr>
              <w:jc w:val="right"/>
              <w:ind w:right="19"/>
              <w:spacing w:after="0"/>
              <w:rPr>
                <w:sz w:val="20"/>
                <w:szCs w:val="20"/>
                <w:color w:val="auto"/>
              </w:rPr>
            </w:pPr>
            <w:r>
              <w:rPr>
                <w:rFonts w:ascii="Arial" w:cs="Arial" w:eastAsia="Arial" w:hAnsi="Arial"/>
                <w:sz w:val="16"/>
                <w:szCs w:val="16"/>
                <w:color w:val="auto"/>
              </w:rPr>
              <w:t>490</w:t>
            </w:r>
          </w:p>
        </w:tc>
        <w:tc>
          <w:tcPr>
            <w:tcW w:w="0" w:type="dxa"/>
            <w:vAlign w:val="bottom"/>
          </w:tcPr>
          <w:p>
            <w:pPr>
              <w:spacing w:after="0"/>
              <w:rPr>
                <w:sz w:val="1"/>
                <w:szCs w:val="1"/>
                <w:color w:val="auto"/>
              </w:rPr>
            </w:pPr>
          </w:p>
        </w:tc>
      </w:tr>
      <w:tr>
        <w:trPr>
          <w:trHeight w:val="33"/>
        </w:trPr>
        <w:tc>
          <w:tcPr>
            <w:tcW w:w="58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8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Deferred revenue, current</w:t>
            </w:r>
          </w:p>
        </w:tc>
        <w:tc>
          <w:tcPr>
            <w:tcW w:w="4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19,083</w:t>
            </w:r>
          </w:p>
        </w:tc>
        <w:tc>
          <w:tcPr>
            <w:tcW w:w="2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(764)</w:t>
            </w:r>
          </w:p>
        </w:tc>
        <w:tc>
          <w:tcPr>
            <w:tcW w:w="2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18,319</w:t>
            </w:r>
          </w:p>
        </w:tc>
        <w:tc>
          <w:tcPr>
            <w:tcW w:w="0" w:type="dxa"/>
            <w:vAlign w:val="bottom"/>
          </w:tcPr>
          <w:p>
            <w:pPr>
              <w:spacing w:after="0"/>
              <w:rPr>
                <w:sz w:val="1"/>
                <w:szCs w:val="1"/>
                <w:color w:val="auto"/>
              </w:rPr>
            </w:pPr>
          </w:p>
        </w:tc>
      </w:tr>
      <w:tr>
        <w:trPr>
          <w:trHeight w:val="237"/>
        </w:trPr>
        <w:tc>
          <w:tcPr>
            <w:tcW w:w="5820" w:type="dxa"/>
            <w:vAlign w:val="bottom"/>
          </w:tcPr>
          <w:p>
            <w:pPr>
              <w:ind w:left="180"/>
              <w:spacing w:after="0"/>
              <w:rPr>
                <w:sz w:val="20"/>
                <w:szCs w:val="20"/>
                <w:color w:val="auto"/>
              </w:rPr>
            </w:pPr>
            <w:r>
              <w:rPr>
                <w:rFonts w:ascii="Arial" w:cs="Arial" w:eastAsia="Arial" w:hAnsi="Arial"/>
                <w:sz w:val="16"/>
                <w:szCs w:val="16"/>
                <w:color w:val="auto"/>
              </w:rPr>
              <w:t>Payable pursuant to tax benefit arrangements, current</w:t>
            </w:r>
          </w:p>
        </w:tc>
        <w:tc>
          <w:tcPr>
            <w:tcW w:w="420" w:type="dxa"/>
            <w:vAlign w:val="bottom"/>
          </w:tcPr>
          <w:p>
            <w:pPr>
              <w:spacing w:after="0"/>
              <w:rPr>
                <w:sz w:val="20"/>
                <w:szCs w:val="20"/>
                <w:color w:val="auto"/>
              </w:rPr>
            </w:pPr>
          </w:p>
        </w:tc>
        <w:tc>
          <w:tcPr>
            <w:tcW w:w="1320" w:type="dxa"/>
            <w:vAlign w:val="bottom"/>
          </w:tcPr>
          <w:p>
            <w:pPr>
              <w:jc w:val="right"/>
              <w:ind w:right="39"/>
              <w:spacing w:after="0"/>
              <w:rPr>
                <w:sz w:val="20"/>
                <w:szCs w:val="20"/>
                <w:color w:val="auto"/>
              </w:rPr>
            </w:pPr>
            <w:r>
              <w:rPr>
                <w:rFonts w:ascii="Arial" w:cs="Arial" w:eastAsia="Arial" w:hAnsi="Arial"/>
                <w:sz w:val="16"/>
                <w:szCs w:val="16"/>
                <w:color w:val="auto"/>
              </w:rPr>
              <w:t>31,062</w:t>
            </w:r>
          </w:p>
        </w:tc>
        <w:tc>
          <w:tcPr>
            <w:tcW w:w="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740" w:type="dxa"/>
            <w:vAlign w:val="bottom"/>
            <w:gridSpan w:val="2"/>
          </w:tcPr>
          <w:p>
            <w:pPr>
              <w:jc w:val="right"/>
              <w:ind w:right="34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520" w:type="dxa"/>
            <w:vAlign w:val="bottom"/>
          </w:tcPr>
          <w:p>
            <w:pPr>
              <w:jc w:val="right"/>
              <w:ind w:right="19"/>
              <w:spacing w:after="0"/>
              <w:rPr>
                <w:sz w:val="20"/>
                <w:szCs w:val="20"/>
                <w:color w:val="auto"/>
              </w:rPr>
            </w:pPr>
            <w:r>
              <w:rPr>
                <w:rFonts w:ascii="Arial" w:cs="Arial" w:eastAsia="Arial" w:hAnsi="Arial"/>
                <w:sz w:val="16"/>
                <w:szCs w:val="16"/>
                <w:color w:val="auto"/>
              </w:rPr>
              <w:t>31,062</w:t>
            </w:r>
          </w:p>
        </w:tc>
        <w:tc>
          <w:tcPr>
            <w:tcW w:w="0" w:type="dxa"/>
            <w:vAlign w:val="bottom"/>
          </w:tcPr>
          <w:p>
            <w:pPr>
              <w:spacing w:after="0"/>
              <w:rPr>
                <w:sz w:val="1"/>
                <w:szCs w:val="1"/>
                <w:color w:val="auto"/>
              </w:rPr>
            </w:pPr>
          </w:p>
        </w:tc>
      </w:tr>
      <w:tr>
        <w:trPr>
          <w:trHeight w:val="33"/>
        </w:trPr>
        <w:tc>
          <w:tcPr>
            <w:tcW w:w="58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8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Other current liabilities</w:t>
            </w:r>
          </w:p>
        </w:tc>
        <w:tc>
          <w:tcPr>
            <w:tcW w:w="42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474</w:t>
            </w:r>
          </w:p>
        </w:tc>
        <w:tc>
          <w:tcPr>
            <w:tcW w:w="2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740" w:type="dxa"/>
            <w:vAlign w:val="bottom"/>
            <w:tcBorders>
              <w:bottom w:val="single" w:sz="8" w:color="CCEEFF"/>
            </w:tcBorders>
            <w:gridSpan w:val="2"/>
            <w:shd w:val="clear" w:color="auto" w:fill="CCEEFF"/>
          </w:tcPr>
          <w:p>
            <w:pPr>
              <w:jc w:val="right"/>
              <w:ind w:right="34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3"/>
                <w:szCs w:val="23"/>
                <w:color w:val="auto"/>
              </w:rPr>
            </w:pPr>
          </w:p>
        </w:tc>
        <w:tc>
          <w:tcPr>
            <w:tcW w:w="15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474</w:t>
            </w:r>
          </w:p>
        </w:tc>
        <w:tc>
          <w:tcPr>
            <w:tcW w:w="0" w:type="dxa"/>
            <w:vAlign w:val="bottom"/>
          </w:tcPr>
          <w:p>
            <w:pPr>
              <w:spacing w:after="0"/>
              <w:rPr>
                <w:sz w:val="1"/>
                <w:szCs w:val="1"/>
                <w:color w:val="auto"/>
              </w:rPr>
            </w:pPr>
          </w:p>
        </w:tc>
      </w:tr>
      <w:tr>
        <w:trPr>
          <w:trHeight w:val="217"/>
        </w:trPr>
        <w:tc>
          <w:tcPr>
            <w:tcW w:w="5820" w:type="dxa"/>
            <w:vAlign w:val="bottom"/>
          </w:tcPr>
          <w:p>
            <w:pPr>
              <w:ind w:left="280"/>
              <w:spacing w:after="0"/>
              <w:rPr>
                <w:sz w:val="20"/>
                <w:szCs w:val="20"/>
                <w:color w:val="auto"/>
              </w:rPr>
            </w:pPr>
            <w:r>
              <w:rPr>
                <w:rFonts w:ascii="Arial" w:cs="Arial" w:eastAsia="Arial" w:hAnsi="Arial"/>
                <w:sz w:val="16"/>
                <w:szCs w:val="16"/>
                <w:color w:val="auto"/>
              </w:rPr>
              <w:t>Total current liabilities</w:t>
            </w:r>
          </w:p>
        </w:tc>
        <w:tc>
          <w:tcPr>
            <w:tcW w:w="42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112,030</w:t>
            </w:r>
          </w:p>
        </w:tc>
        <w:tc>
          <w:tcPr>
            <w:tcW w:w="22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5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(764)</w:t>
            </w:r>
          </w:p>
        </w:tc>
        <w:tc>
          <w:tcPr>
            <w:tcW w:w="2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5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111,266</w:t>
            </w:r>
          </w:p>
        </w:tc>
        <w:tc>
          <w:tcPr>
            <w:tcW w:w="0" w:type="dxa"/>
            <w:vAlign w:val="bottom"/>
          </w:tcPr>
          <w:p>
            <w:pPr>
              <w:spacing w:after="0"/>
              <w:rPr>
                <w:sz w:val="1"/>
                <w:szCs w:val="1"/>
                <w:color w:val="auto"/>
              </w:rPr>
            </w:pPr>
          </w:p>
        </w:tc>
      </w:tr>
      <w:tr>
        <w:trPr>
          <w:trHeight w:val="33"/>
        </w:trPr>
        <w:tc>
          <w:tcPr>
            <w:tcW w:w="582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5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Long-term debt, net of current maturities</w:t>
            </w:r>
          </w:p>
        </w:tc>
        <w:tc>
          <w:tcPr>
            <w:tcW w:w="420" w:type="dxa"/>
            <w:vAlign w:val="bottom"/>
            <w:tcBorders>
              <w:bottom w:val="single" w:sz="8" w:color="CCEEFF"/>
            </w:tcBorders>
            <w:shd w:val="clear" w:color="auto" w:fill="CCEEFF"/>
          </w:tcPr>
          <w:p>
            <w:pPr>
              <w:spacing w:after="0"/>
              <w:rPr>
                <w:sz w:val="20"/>
                <w:szCs w:val="20"/>
                <w:color w:val="auto"/>
              </w:rPr>
            </w:pPr>
          </w:p>
        </w:tc>
        <w:tc>
          <w:tcPr>
            <w:tcW w:w="13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696,576</w:t>
            </w:r>
          </w:p>
        </w:tc>
        <w:tc>
          <w:tcPr>
            <w:tcW w:w="2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740" w:type="dxa"/>
            <w:vAlign w:val="bottom"/>
            <w:tcBorders>
              <w:bottom w:val="single" w:sz="8" w:color="CCEEFF"/>
            </w:tcBorders>
            <w:gridSpan w:val="2"/>
            <w:shd w:val="clear" w:color="auto" w:fill="CCEEFF"/>
          </w:tcPr>
          <w:p>
            <w:pPr>
              <w:jc w:val="right"/>
              <w:ind w:right="34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0"/>
                <w:szCs w:val="20"/>
                <w:color w:val="auto"/>
              </w:rPr>
            </w:pPr>
          </w:p>
        </w:tc>
        <w:tc>
          <w:tcPr>
            <w:tcW w:w="15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696,576</w:t>
            </w:r>
          </w:p>
        </w:tc>
        <w:tc>
          <w:tcPr>
            <w:tcW w:w="0" w:type="dxa"/>
            <w:vAlign w:val="bottom"/>
          </w:tcPr>
          <w:p>
            <w:pPr>
              <w:spacing w:after="0"/>
              <w:rPr>
                <w:sz w:val="1"/>
                <w:szCs w:val="1"/>
                <w:color w:val="auto"/>
              </w:rPr>
            </w:pPr>
          </w:p>
        </w:tc>
      </w:tr>
      <w:tr>
        <w:trPr>
          <w:trHeight w:val="237"/>
        </w:trPr>
        <w:tc>
          <w:tcPr>
            <w:tcW w:w="5820" w:type="dxa"/>
            <w:vAlign w:val="bottom"/>
          </w:tcPr>
          <w:p>
            <w:pPr>
              <w:ind w:left="40"/>
              <w:spacing w:after="0"/>
              <w:rPr>
                <w:sz w:val="20"/>
                <w:szCs w:val="20"/>
                <w:color w:val="auto"/>
              </w:rPr>
            </w:pPr>
            <w:r>
              <w:rPr>
                <w:rFonts w:ascii="Arial" w:cs="Arial" w:eastAsia="Arial" w:hAnsi="Arial"/>
                <w:sz w:val="16"/>
                <w:szCs w:val="16"/>
                <w:color w:val="auto"/>
              </w:rPr>
              <w:t>Deferred rent, net of current portion</w:t>
            </w:r>
          </w:p>
        </w:tc>
        <w:tc>
          <w:tcPr>
            <w:tcW w:w="420" w:type="dxa"/>
            <w:vAlign w:val="bottom"/>
          </w:tcPr>
          <w:p>
            <w:pPr>
              <w:spacing w:after="0"/>
              <w:rPr>
                <w:sz w:val="20"/>
                <w:szCs w:val="20"/>
                <w:color w:val="auto"/>
              </w:rPr>
            </w:pPr>
          </w:p>
        </w:tc>
        <w:tc>
          <w:tcPr>
            <w:tcW w:w="1320" w:type="dxa"/>
            <w:vAlign w:val="bottom"/>
          </w:tcPr>
          <w:p>
            <w:pPr>
              <w:jc w:val="right"/>
              <w:ind w:right="39"/>
              <w:spacing w:after="0"/>
              <w:rPr>
                <w:sz w:val="20"/>
                <w:szCs w:val="20"/>
                <w:color w:val="auto"/>
              </w:rPr>
            </w:pPr>
            <w:r>
              <w:rPr>
                <w:rFonts w:ascii="Arial" w:cs="Arial" w:eastAsia="Arial" w:hAnsi="Arial"/>
                <w:sz w:val="16"/>
                <w:szCs w:val="16"/>
                <w:color w:val="auto"/>
              </w:rPr>
              <w:t>6,127</w:t>
            </w:r>
          </w:p>
        </w:tc>
        <w:tc>
          <w:tcPr>
            <w:tcW w:w="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740" w:type="dxa"/>
            <w:vAlign w:val="bottom"/>
            <w:gridSpan w:val="2"/>
          </w:tcPr>
          <w:p>
            <w:pPr>
              <w:jc w:val="right"/>
              <w:ind w:right="34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520" w:type="dxa"/>
            <w:vAlign w:val="bottom"/>
          </w:tcPr>
          <w:p>
            <w:pPr>
              <w:jc w:val="right"/>
              <w:ind w:right="19"/>
              <w:spacing w:after="0"/>
              <w:rPr>
                <w:sz w:val="20"/>
                <w:szCs w:val="20"/>
                <w:color w:val="auto"/>
              </w:rPr>
            </w:pPr>
            <w:r>
              <w:rPr>
                <w:rFonts w:ascii="Arial" w:cs="Arial" w:eastAsia="Arial" w:hAnsi="Arial"/>
                <w:sz w:val="16"/>
                <w:szCs w:val="16"/>
                <w:color w:val="auto"/>
              </w:rPr>
              <w:t>6,127</w:t>
            </w:r>
          </w:p>
        </w:tc>
        <w:tc>
          <w:tcPr>
            <w:tcW w:w="0" w:type="dxa"/>
            <w:vAlign w:val="bottom"/>
          </w:tcPr>
          <w:p>
            <w:pPr>
              <w:spacing w:after="0"/>
              <w:rPr>
                <w:sz w:val="1"/>
                <w:szCs w:val="1"/>
                <w:color w:val="auto"/>
              </w:rPr>
            </w:pPr>
          </w:p>
        </w:tc>
      </w:tr>
      <w:tr>
        <w:trPr>
          <w:trHeight w:val="33"/>
        </w:trPr>
        <w:tc>
          <w:tcPr>
            <w:tcW w:w="58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Deferred revenue, net of current portion</w:t>
            </w:r>
          </w:p>
        </w:tc>
        <w:tc>
          <w:tcPr>
            <w:tcW w:w="4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8,440</w:t>
            </w:r>
          </w:p>
        </w:tc>
        <w:tc>
          <w:tcPr>
            <w:tcW w:w="2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13,241</w:t>
            </w:r>
          </w:p>
        </w:tc>
        <w:tc>
          <w:tcPr>
            <w:tcW w:w="2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21,681</w:t>
            </w:r>
          </w:p>
        </w:tc>
        <w:tc>
          <w:tcPr>
            <w:tcW w:w="0" w:type="dxa"/>
            <w:vAlign w:val="bottom"/>
          </w:tcPr>
          <w:p>
            <w:pPr>
              <w:spacing w:after="0"/>
              <w:rPr>
                <w:sz w:val="1"/>
                <w:szCs w:val="1"/>
                <w:color w:val="auto"/>
              </w:rPr>
            </w:pPr>
          </w:p>
        </w:tc>
      </w:tr>
      <w:tr>
        <w:trPr>
          <w:trHeight w:val="237"/>
        </w:trPr>
        <w:tc>
          <w:tcPr>
            <w:tcW w:w="5820" w:type="dxa"/>
            <w:vAlign w:val="bottom"/>
          </w:tcPr>
          <w:p>
            <w:pPr>
              <w:ind w:left="40"/>
              <w:spacing w:after="0"/>
              <w:rPr>
                <w:sz w:val="20"/>
                <w:szCs w:val="20"/>
                <w:color w:val="auto"/>
              </w:rPr>
            </w:pPr>
            <w:r>
              <w:rPr>
                <w:rFonts w:ascii="Arial" w:cs="Arial" w:eastAsia="Arial" w:hAnsi="Arial"/>
                <w:sz w:val="16"/>
                <w:szCs w:val="16"/>
                <w:color w:val="auto"/>
              </w:rPr>
              <w:t>Deferred tax liabilities</w:t>
            </w:r>
          </w:p>
        </w:tc>
        <w:tc>
          <w:tcPr>
            <w:tcW w:w="420" w:type="dxa"/>
            <w:vAlign w:val="bottom"/>
          </w:tcPr>
          <w:p>
            <w:pPr>
              <w:spacing w:after="0"/>
              <w:rPr>
                <w:sz w:val="20"/>
                <w:szCs w:val="20"/>
                <w:color w:val="auto"/>
              </w:rPr>
            </w:pPr>
          </w:p>
        </w:tc>
        <w:tc>
          <w:tcPr>
            <w:tcW w:w="1320" w:type="dxa"/>
            <w:vAlign w:val="bottom"/>
          </w:tcPr>
          <w:p>
            <w:pPr>
              <w:jc w:val="right"/>
              <w:ind w:right="39"/>
              <w:spacing w:after="0"/>
              <w:rPr>
                <w:sz w:val="20"/>
                <w:szCs w:val="20"/>
                <w:color w:val="auto"/>
              </w:rPr>
            </w:pPr>
            <w:r>
              <w:rPr>
                <w:rFonts w:ascii="Arial" w:cs="Arial" w:eastAsia="Arial" w:hAnsi="Arial"/>
                <w:sz w:val="16"/>
                <w:szCs w:val="16"/>
                <w:color w:val="auto"/>
              </w:rPr>
              <w:t>1,629</w:t>
            </w:r>
          </w:p>
        </w:tc>
        <w:tc>
          <w:tcPr>
            <w:tcW w:w="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740" w:type="dxa"/>
            <w:vAlign w:val="bottom"/>
            <w:gridSpan w:val="2"/>
          </w:tcPr>
          <w:p>
            <w:pPr>
              <w:jc w:val="right"/>
              <w:ind w:right="34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520" w:type="dxa"/>
            <w:vAlign w:val="bottom"/>
          </w:tcPr>
          <w:p>
            <w:pPr>
              <w:jc w:val="right"/>
              <w:ind w:right="19"/>
              <w:spacing w:after="0"/>
              <w:rPr>
                <w:sz w:val="20"/>
                <w:szCs w:val="20"/>
                <w:color w:val="auto"/>
              </w:rPr>
            </w:pPr>
            <w:r>
              <w:rPr>
                <w:rFonts w:ascii="Arial" w:cs="Arial" w:eastAsia="Arial" w:hAnsi="Arial"/>
                <w:sz w:val="16"/>
                <w:szCs w:val="16"/>
                <w:color w:val="auto"/>
              </w:rPr>
              <w:t>1,629</w:t>
            </w:r>
          </w:p>
        </w:tc>
        <w:tc>
          <w:tcPr>
            <w:tcW w:w="0" w:type="dxa"/>
            <w:vAlign w:val="bottom"/>
          </w:tcPr>
          <w:p>
            <w:pPr>
              <w:spacing w:after="0"/>
              <w:rPr>
                <w:sz w:val="1"/>
                <w:szCs w:val="1"/>
                <w:color w:val="auto"/>
              </w:rPr>
            </w:pPr>
          </w:p>
        </w:tc>
      </w:tr>
      <w:tr>
        <w:trPr>
          <w:trHeight w:val="33"/>
        </w:trPr>
        <w:tc>
          <w:tcPr>
            <w:tcW w:w="58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Payable pursuant to tax benefit arrangements, net of current portion</w:t>
            </w:r>
          </w:p>
        </w:tc>
        <w:tc>
          <w:tcPr>
            <w:tcW w:w="4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400,298</w:t>
            </w:r>
          </w:p>
        </w:tc>
        <w:tc>
          <w:tcPr>
            <w:tcW w:w="2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gridSpan w:val="2"/>
            <w:shd w:val="clear" w:color="auto" w:fill="CCEEFF"/>
          </w:tcPr>
          <w:p>
            <w:pPr>
              <w:jc w:val="right"/>
              <w:ind w:right="34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400,298</w:t>
            </w:r>
          </w:p>
        </w:tc>
        <w:tc>
          <w:tcPr>
            <w:tcW w:w="0" w:type="dxa"/>
            <w:vAlign w:val="bottom"/>
          </w:tcPr>
          <w:p>
            <w:pPr>
              <w:spacing w:after="0"/>
              <w:rPr>
                <w:sz w:val="1"/>
                <w:szCs w:val="1"/>
                <w:color w:val="auto"/>
              </w:rPr>
            </w:pPr>
          </w:p>
        </w:tc>
      </w:tr>
      <w:tr>
        <w:trPr>
          <w:trHeight w:val="237"/>
        </w:trPr>
        <w:tc>
          <w:tcPr>
            <w:tcW w:w="5820" w:type="dxa"/>
            <w:vAlign w:val="bottom"/>
          </w:tcPr>
          <w:p>
            <w:pPr>
              <w:ind w:left="40"/>
              <w:spacing w:after="0"/>
              <w:rPr>
                <w:sz w:val="20"/>
                <w:szCs w:val="20"/>
                <w:color w:val="auto"/>
              </w:rPr>
            </w:pPr>
            <w:r>
              <w:rPr>
                <w:rFonts w:ascii="Arial" w:cs="Arial" w:eastAsia="Arial" w:hAnsi="Arial"/>
                <w:sz w:val="16"/>
                <w:szCs w:val="16"/>
                <w:color w:val="auto"/>
              </w:rPr>
              <w:t>Other liabilities</w:t>
            </w:r>
          </w:p>
        </w:tc>
        <w:tc>
          <w:tcPr>
            <w:tcW w:w="420" w:type="dxa"/>
            <w:vAlign w:val="bottom"/>
          </w:tcPr>
          <w:p>
            <w:pPr>
              <w:spacing w:after="0"/>
              <w:rPr>
                <w:sz w:val="20"/>
                <w:szCs w:val="20"/>
                <w:color w:val="auto"/>
              </w:rPr>
            </w:pPr>
          </w:p>
        </w:tc>
        <w:tc>
          <w:tcPr>
            <w:tcW w:w="1320" w:type="dxa"/>
            <w:vAlign w:val="bottom"/>
          </w:tcPr>
          <w:p>
            <w:pPr>
              <w:jc w:val="right"/>
              <w:ind w:right="39"/>
              <w:spacing w:after="0"/>
              <w:rPr>
                <w:sz w:val="20"/>
                <w:szCs w:val="20"/>
                <w:color w:val="auto"/>
              </w:rPr>
            </w:pPr>
            <w:r>
              <w:rPr>
                <w:rFonts w:ascii="Arial" w:cs="Arial" w:eastAsia="Arial" w:hAnsi="Arial"/>
                <w:sz w:val="16"/>
                <w:szCs w:val="16"/>
                <w:color w:val="auto"/>
              </w:rPr>
              <w:t>4,302</w:t>
            </w:r>
          </w:p>
        </w:tc>
        <w:tc>
          <w:tcPr>
            <w:tcW w:w="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740" w:type="dxa"/>
            <w:vAlign w:val="bottom"/>
            <w:gridSpan w:val="2"/>
          </w:tcPr>
          <w:p>
            <w:pPr>
              <w:jc w:val="right"/>
              <w:ind w:right="34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520" w:type="dxa"/>
            <w:vAlign w:val="bottom"/>
          </w:tcPr>
          <w:p>
            <w:pPr>
              <w:jc w:val="right"/>
              <w:ind w:right="19"/>
              <w:spacing w:after="0"/>
              <w:rPr>
                <w:sz w:val="20"/>
                <w:szCs w:val="20"/>
                <w:color w:val="auto"/>
              </w:rPr>
            </w:pPr>
            <w:r>
              <w:rPr>
                <w:rFonts w:ascii="Arial" w:cs="Arial" w:eastAsia="Arial" w:hAnsi="Arial"/>
                <w:sz w:val="16"/>
                <w:szCs w:val="16"/>
                <w:color w:val="auto"/>
              </w:rPr>
              <w:t>4,302</w:t>
            </w:r>
          </w:p>
        </w:tc>
        <w:tc>
          <w:tcPr>
            <w:tcW w:w="0" w:type="dxa"/>
            <w:vAlign w:val="bottom"/>
          </w:tcPr>
          <w:p>
            <w:pPr>
              <w:spacing w:after="0"/>
              <w:rPr>
                <w:sz w:val="1"/>
                <w:szCs w:val="1"/>
                <w:color w:val="auto"/>
              </w:rPr>
            </w:pPr>
          </w:p>
        </w:tc>
      </w:tr>
      <w:tr>
        <w:trPr>
          <w:trHeight w:val="33"/>
        </w:trPr>
        <w:tc>
          <w:tcPr>
            <w:tcW w:w="582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58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Total noncurrent liabilities</w:t>
            </w:r>
          </w:p>
        </w:tc>
        <w:tc>
          <w:tcPr>
            <w:tcW w:w="4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1,117,372</w:t>
            </w:r>
          </w:p>
        </w:tc>
        <w:tc>
          <w:tcPr>
            <w:tcW w:w="2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13,241</w:t>
            </w:r>
          </w:p>
        </w:tc>
        <w:tc>
          <w:tcPr>
            <w:tcW w:w="2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1,130,613</w:t>
            </w:r>
          </w:p>
        </w:tc>
        <w:tc>
          <w:tcPr>
            <w:tcW w:w="0" w:type="dxa"/>
            <w:vAlign w:val="bottom"/>
          </w:tcPr>
          <w:p>
            <w:pPr>
              <w:spacing w:after="0"/>
              <w:rPr>
                <w:sz w:val="1"/>
                <w:szCs w:val="1"/>
                <w:color w:val="auto"/>
              </w:rPr>
            </w:pPr>
          </w:p>
        </w:tc>
      </w:tr>
      <w:tr>
        <w:trPr>
          <w:trHeight w:val="231"/>
        </w:trPr>
        <w:tc>
          <w:tcPr>
            <w:tcW w:w="5820" w:type="dxa"/>
            <w:vAlign w:val="bottom"/>
          </w:tcPr>
          <w:p>
            <w:pPr>
              <w:ind w:left="40"/>
              <w:spacing w:after="0"/>
              <w:rPr>
                <w:sz w:val="20"/>
                <w:szCs w:val="20"/>
                <w:color w:val="auto"/>
              </w:rPr>
            </w:pPr>
            <w:r>
              <w:rPr>
                <w:rFonts w:ascii="Arial" w:cs="Arial" w:eastAsia="Arial" w:hAnsi="Arial"/>
                <w:sz w:val="16"/>
                <w:szCs w:val="16"/>
                <w:color w:val="auto"/>
              </w:rPr>
              <w:t>Stockholders' equity (deficit):</w:t>
            </w:r>
          </w:p>
        </w:tc>
        <w:tc>
          <w:tcPr>
            <w:tcW w:w="42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spacing w:after="0"/>
              <w:rPr>
                <w:sz w:val="20"/>
                <w:szCs w:val="20"/>
                <w:color w:val="auto"/>
              </w:rPr>
            </w:pPr>
          </w:p>
        </w:tc>
        <w:tc>
          <w:tcPr>
            <w:tcW w:w="2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520" w:type="dxa"/>
            <w:vAlign w:val="bottom"/>
            <w:tcBorders>
              <w:top w:val="single" w:sz="8" w:color="auto"/>
            </w:tcBorders>
          </w:tcPr>
          <w:p>
            <w:pPr>
              <w:spacing w:after="0"/>
              <w:rPr>
                <w:sz w:val="20"/>
                <w:szCs w:val="20"/>
                <w:color w:val="auto"/>
              </w:rPr>
            </w:pPr>
          </w:p>
        </w:tc>
        <w:tc>
          <w:tcPr>
            <w:tcW w:w="2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52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58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8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Class A common stock</w:t>
            </w:r>
          </w:p>
        </w:tc>
        <w:tc>
          <w:tcPr>
            <w:tcW w:w="4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9</w:t>
            </w:r>
          </w:p>
        </w:tc>
        <w:tc>
          <w:tcPr>
            <w:tcW w:w="2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gridSpan w:val="2"/>
            <w:shd w:val="clear" w:color="auto" w:fill="CCEEFF"/>
          </w:tcPr>
          <w:p>
            <w:pPr>
              <w:jc w:val="right"/>
              <w:ind w:right="34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w:t>
            </w:r>
          </w:p>
        </w:tc>
        <w:tc>
          <w:tcPr>
            <w:tcW w:w="0" w:type="dxa"/>
            <w:vAlign w:val="bottom"/>
          </w:tcPr>
          <w:p>
            <w:pPr>
              <w:spacing w:after="0"/>
              <w:rPr>
                <w:sz w:val="1"/>
                <w:szCs w:val="1"/>
                <w:color w:val="auto"/>
              </w:rPr>
            </w:pPr>
          </w:p>
        </w:tc>
      </w:tr>
      <w:tr>
        <w:trPr>
          <w:trHeight w:val="237"/>
        </w:trPr>
        <w:tc>
          <w:tcPr>
            <w:tcW w:w="5820" w:type="dxa"/>
            <w:vAlign w:val="bottom"/>
          </w:tcPr>
          <w:p>
            <w:pPr>
              <w:ind w:left="180"/>
              <w:spacing w:after="0"/>
              <w:rPr>
                <w:sz w:val="20"/>
                <w:szCs w:val="20"/>
                <w:color w:val="auto"/>
              </w:rPr>
            </w:pPr>
            <w:r>
              <w:rPr>
                <w:rFonts w:ascii="Arial" w:cs="Arial" w:eastAsia="Arial" w:hAnsi="Arial"/>
                <w:sz w:val="16"/>
                <w:szCs w:val="16"/>
                <w:color w:val="auto"/>
              </w:rPr>
              <w:t>Class B common stock</w:t>
            </w:r>
          </w:p>
        </w:tc>
        <w:tc>
          <w:tcPr>
            <w:tcW w:w="420" w:type="dxa"/>
            <w:vAlign w:val="bottom"/>
          </w:tcPr>
          <w:p>
            <w:pPr>
              <w:spacing w:after="0"/>
              <w:rPr>
                <w:sz w:val="20"/>
                <w:szCs w:val="20"/>
                <w:color w:val="auto"/>
              </w:rPr>
            </w:pPr>
          </w:p>
        </w:tc>
        <w:tc>
          <w:tcPr>
            <w:tcW w:w="1320" w:type="dxa"/>
            <w:vAlign w:val="bottom"/>
          </w:tcPr>
          <w:p>
            <w:pPr>
              <w:jc w:val="right"/>
              <w:ind w:right="39"/>
              <w:spacing w:after="0"/>
              <w:rPr>
                <w:sz w:val="20"/>
                <w:szCs w:val="20"/>
                <w:color w:val="auto"/>
              </w:rPr>
            </w:pPr>
            <w:r>
              <w:rPr>
                <w:rFonts w:ascii="Arial" w:cs="Arial" w:eastAsia="Arial" w:hAnsi="Arial"/>
                <w:sz w:val="16"/>
                <w:szCs w:val="16"/>
                <w:color w:val="auto"/>
              </w:rPr>
              <w:t>1</w:t>
            </w:r>
          </w:p>
        </w:tc>
        <w:tc>
          <w:tcPr>
            <w:tcW w:w="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740" w:type="dxa"/>
            <w:vAlign w:val="bottom"/>
            <w:gridSpan w:val="2"/>
          </w:tcPr>
          <w:p>
            <w:pPr>
              <w:jc w:val="right"/>
              <w:ind w:right="34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520" w:type="dxa"/>
            <w:vAlign w:val="bottom"/>
          </w:tcPr>
          <w:p>
            <w:pPr>
              <w:jc w:val="right"/>
              <w:ind w:right="19"/>
              <w:spacing w:after="0"/>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33"/>
        </w:trPr>
        <w:tc>
          <w:tcPr>
            <w:tcW w:w="58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8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Accumulated other comprehensive loss</w:t>
            </w:r>
          </w:p>
        </w:tc>
        <w:tc>
          <w:tcPr>
            <w:tcW w:w="4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(648)</w:t>
            </w:r>
          </w:p>
        </w:tc>
        <w:tc>
          <w:tcPr>
            <w:tcW w:w="2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gridSpan w:val="2"/>
            <w:shd w:val="clear" w:color="auto" w:fill="CCEEFF"/>
          </w:tcPr>
          <w:p>
            <w:pPr>
              <w:jc w:val="right"/>
              <w:ind w:right="34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(648)</w:t>
            </w:r>
          </w:p>
        </w:tc>
        <w:tc>
          <w:tcPr>
            <w:tcW w:w="0" w:type="dxa"/>
            <w:vAlign w:val="bottom"/>
          </w:tcPr>
          <w:p>
            <w:pPr>
              <w:spacing w:after="0"/>
              <w:rPr>
                <w:sz w:val="1"/>
                <w:szCs w:val="1"/>
                <w:color w:val="auto"/>
              </w:rPr>
            </w:pPr>
          </w:p>
        </w:tc>
      </w:tr>
      <w:tr>
        <w:trPr>
          <w:trHeight w:val="237"/>
        </w:trPr>
        <w:tc>
          <w:tcPr>
            <w:tcW w:w="5820" w:type="dxa"/>
            <w:vAlign w:val="bottom"/>
          </w:tcPr>
          <w:p>
            <w:pPr>
              <w:ind w:left="180"/>
              <w:spacing w:after="0"/>
              <w:rPr>
                <w:sz w:val="20"/>
                <w:szCs w:val="20"/>
                <w:color w:val="auto"/>
              </w:rPr>
            </w:pPr>
            <w:r>
              <w:rPr>
                <w:rFonts w:ascii="Arial" w:cs="Arial" w:eastAsia="Arial" w:hAnsi="Arial"/>
                <w:sz w:val="16"/>
                <w:szCs w:val="16"/>
                <w:color w:val="auto"/>
              </w:rPr>
              <w:t>Additional paid in capital</w:t>
            </w:r>
          </w:p>
        </w:tc>
        <w:tc>
          <w:tcPr>
            <w:tcW w:w="420" w:type="dxa"/>
            <w:vAlign w:val="bottom"/>
          </w:tcPr>
          <w:p>
            <w:pPr>
              <w:spacing w:after="0"/>
              <w:rPr>
                <w:sz w:val="20"/>
                <w:szCs w:val="20"/>
                <w:color w:val="auto"/>
              </w:rPr>
            </w:pPr>
          </w:p>
        </w:tc>
        <w:tc>
          <w:tcPr>
            <w:tcW w:w="1320" w:type="dxa"/>
            <w:vAlign w:val="bottom"/>
          </w:tcPr>
          <w:p>
            <w:pPr>
              <w:jc w:val="right"/>
              <w:ind w:right="39"/>
              <w:spacing w:after="0"/>
              <w:rPr>
                <w:sz w:val="20"/>
                <w:szCs w:val="20"/>
                <w:color w:val="auto"/>
              </w:rPr>
            </w:pPr>
            <w:r>
              <w:rPr>
                <w:rFonts w:ascii="Arial" w:cs="Arial" w:eastAsia="Arial" w:hAnsi="Arial"/>
                <w:sz w:val="16"/>
                <w:szCs w:val="16"/>
                <w:color w:val="auto"/>
              </w:rPr>
              <w:t>12,118</w:t>
            </w:r>
          </w:p>
        </w:tc>
        <w:tc>
          <w:tcPr>
            <w:tcW w:w="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740" w:type="dxa"/>
            <w:vAlign w:val="bottom"/>
            <w:gridSpan w:val="2"/>
          </w:tcPr>
          <w:p>
            <w:pPr>
              <w:jc w:val="right"/>
              <w:ind w:right="34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520" w:type="dxa"/>
            <w:vAlign w:val="bottom"/>
          </w:tcPr>
          <w:p>
            <w:pPr>
              <w:jc w:val="right"/>
              <w:ind w:right="19"/>
              <w:spacing w:after="0"/>
              <w:rPr>
                <w:sz w:val="20"/>
                <w:szCs w:val="20"/>
                <w:color w:val="auto"/>
              </w:rPr>
            </w:pPr>
            <w:r>
              <w:rPr>
                <w:rFonts w:ascii="Arial" w:cs="Arial" w:eastAsia="Arial" w:hAnsi="Arial"/>
                <w:sz w:val="16"/>
                <w:szCs w:val="16"/>
                <w:color w:val="auto"/>
              </w:rPr>
              <w:t>12,118</w:t>
            </w:r>
          </w:p>
        </w:tc>
        <w:tc>
          <w:tcPr>
            <w:tcW w:w="0" w:type="dxa"/>
            <w:vAlign w:val="bottom"/>
          </w:tcPr>
          <w:p>
            <w:pPr>
              <w:spacing w:after="0"/>
              <w:rPr>
                <w:sz w:val="1"/>
                <w:szCs w:val="1"/>
                <w:color w:val="auto"/>
              </w:rPr>
            </w:pPr>
          </w:p>
        </w:tc>
      </w:tr>
      <w:tr>
        <w:trPr>
          <w:trHeight w:val="33"/>
        </w:trPr>
        <w:tc>
          <w:tcPr>
            <w:tcW w:w="58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8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Accumulated deficit</w:t>
            </w:r>
          </w:p>
        </w:tc>
        <w:tc>
          <w:tcPr>
            <w:tcW w:w="42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(130,966)</w:t>
            </w:r>
          </w:p>
        </w:tc>
        <w:tc>
          <w:tcPr>
            <w:tcW w:w="2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(9,192)</w:t>
            </w:r>
          </w:p>
        </w:tc>
        <w:tc>
          <w:tcPr>
            <w:tcW w:w="2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(140,158)</w:t>
            </w:r>
          </w:p>
        </w:tc>
        <w:tc>
          <w:tcPr>
            <w:tcW w:w="0" w:type="dxa"/>
            <w:vAlign w:val="bottom"/>
          </w:tcPr>
          <w:p>
            <w:pPr>
              <w:spacing w:after="0"/>
              <w:rPr>
                <w:sz w:val="1"/>
                <w:szCs w:val="1"/>
                <w:color w:val="auto"/>
              </w:rPr>
            </w:pPr>
          </w:p>
        </w:tc>
      </w:tr>
      <w:tr>
        <w:trPr>
          <w:trHeight w:val="217"/>
        </w:trPr>
        <w:tc>
          <w:tcPr>
            <w:tcW w:w="5820" w:type="dxa"/>
            <w:vAlign w:val="bottom"/>
          </w:tcPr>
          <w:p>
            <w:pPr>
              <w:ind w:left="280"/>
              <w:spacing w:after="0"/>
              <w:rPr>
                <w:sz w:val="20"/>
                <w:szCs w:val="20"/>
                <w:color w:val="auto"/>
              </w:rPr>
            </w:pPr>
            <w:r>
              <w:rPr>
                <w:rFonts w:ascii="Arial" w:cs="Arial" w:eastAsia="Arial" w:hAnsi="Arial"/>
                <w:sz w:val="16"/>
                <w:szCs w:val="16"/>
                <w:color w:val="auto"/>
              </w:rPr>
              <w:t>Total stockholders' deficit attributable to Planet Fitness Inc.</w:t>
            </w:r>
          </w:p>
        </w:tc>
        <w:tc>
          <w:tcPr>
            <w:tcW w:w="42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(119,486)</w:t>
            </w:r>
          </w:p>
        </w:tc>
        <w:tc>
          <w:tcPr>
            <w:tcW w:w="22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5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(9,192)</w:t>
            </w:r>
          </w:p>
        </w:tc>
        <w:tc>
          <w:tcPr>
            <w:tcW w:w="2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5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(128,678)</w:t>
            </w:r>
          </w:p>
        </w:tc>
        <w:tc>
          <w:tcPr>
            <w:tcW w:w="0" w:type="dxa"/>
            <w:vAlign w:val="bottom"/>
          </w:tcPr>
          <w:p>
            <w:pPr>
              <w:spacing w:after="0"/>
              <w:rPr>
                <w:sz w:val="1"/>
                <w:szCs w:val="1"/>
                <w:color w:val="auto"/>
              </w:rPr>
            </w:pPr>
          </w:p>
        </w:tc>
      </w:tr>
      <w:tr>
        <w:trPr>
          <w:trHeight w:val="33"/>
        </w:trPr>
        <w:tc>
          <w:tcPr>
            <w:tcW w:w="58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8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Non-controlling interests</w:t>
            </w:r>
          </w:p>
        </w:tc>
        <w:tc>
          <w:tcPr>
            <w:tcW w:w="42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(17,451)</w:t>
            </w:r>
          </w:p>
        </w:tc>
        <w:tc>
          <w:tcPr>
            <w:tcW w:w="2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740" w:type="dxa"/>
            <w:vAlign w:val="bottom"/>
            <w:tcBorders>
              <w:bottom w:val="single" w:sz="8" w:color="CCEEFF"/>
            </w:tcBorders>
            <w:gridSpan w:val="2"/>
            <w:shd w:val="clear" w:color="auto" w:fill="CCEEFF"/>
          </w:tcPr>
          <w:p>
            <w:pPr>
              <w:jc w:val="right"/>
              <w:ind w:right="34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3"/>
                <w:szCs w:val="23"/>
                <w:color w:val="auto"/>
              </w:rPr>
            </w:pPr>
          </w:p>
        </w:tc>
        <w:tc>
          <w:tcPr>
            <w:tcW w:w="1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(17,451)</w:t>
            </w:r>
          </w:p>
        </w:tc>
        <w:tc>
          <w:tcPr>
            <w:tcW w:w="0" w:type="dxa"/>
            <w:vAlign w:val="bottom"/>
          </w:tcPr>
          <w:p>
            <w:pPr>
              <w:spacing w:after="0"/>
              <w:rPr>
                <w:sz w:val="1"/>
                <w:szCs w:val="1"/>
                <w:color w:val="auto"/>
              </w:rPr>
            </w:pPr>
          </w:p>
        </w:tc>
      </w:tr>
      <w:tr>
        <w:trPr>
          <w:trHeight w:val="217"/>
        </w:trPr>
        <w:tc>
          <w:tcPr>
            <w:tcW w:w="5820" w:type="dxa"/>
            <w:vAlign w:val="bottom"/>
          </w:tcPr>
          <w:p>
            <w:pPr>
              <w:ind w:left="280"/>
              <w:spacing w:after="0"/>
              <w:rPr>
                <w:sz w:val="20"/>
                <w:szCs w:val="20"/>
                <w:color w:val="auto"/>
              </w:rPr>
            </w:pPr>
            <w:r>
              <w:rPr>
                <w:rFonts w:ascii="Arial" w:cs="Arial" w:eastAsia="Arial" w:hAnsi="Arial"/>
                <w:sz w:val="16"/>
                <w:szCs w:val="16"/>
                <w:color w:val="auto"/>
              </w:rPr>
              <w:t>Total stockholders' deficit</w:t>
            </w:r>
          </w:p>
        </w:tc>
        <w:tc>
          <w:tcPr>
            <w:tcW w:w="42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(136,937)</w:t>
            </w:r>
          </w:p>
        </w:tc>
        <w:tc>
          <w:tcPr>
            <w:tcW w:w="22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5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(9,192)</w:t>
            </w:r>
          </w:p>
        </w:tc>
        <w:tc>
          <w:tcPr>
            <w:tcW w:w="2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5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(146,129)</w:t>
            </w:r>
          </w:p>
        </w:tc>
        <w:tc>
          <w:tcPr>
            <w:tcW w:w="0" w:type="dxa"/>
            <w:vAlign w:val="bottom"/>
          </w:tcPr>
          <w:p>
            <w:pPr>
              <w:spacing w:after="0"/>
              <w:rPr>
                <w:sz w:val="1"/>
                <w:szCs w:val="1"/>
                <w:color w:val="auto"/>
              </w:rPr>
            </w:pPr>
          </w:p>
        </w:tc>
      </w:tr>
      <w:tr>
        <w:trPr>
          <w:trHeight w:val="33"/>
        </w:trPr>
        <w:tc>
          <w:tcPr>
            <w:tcW w:w="582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8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Total liabilities and stockholders' deficit</w:t>
            </w:r>
          </w:p>
        </w:tc>
        <w:tc>
          <w:tcPr>
            <w:tcW w:w="42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6"/>
                <w:szCs w:val="16"/>
                <w:color w:val="auto"/>
              </w:rPr>
              <w:t>$</w:t>
            </w:r>
          </w:p>
        </w:tc>
        <w:tc>
          <w:tcPr>
            <w:tcW w:w="132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1,092,465</w:t>
            </w:r>
          </w:p>
        </w:tc>
        <w:tc>
          <w:tcPr>
            <w:tcW w:w="2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52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3,285</w:t>
            </w:r>
          </w:p>
        </w:tc>
        <w:tc>
          <w:tcPr>
            <w:tcW w:w="2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5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1,095,750</w:t>
            </w:r>
          </w:p>
        </w:tc>
        <w:tc>
          <w:tcPr>
            <w:tcW w:w="0" w:type="dxa"/>
            <w:vAlign w:val="bottom"/>
          </w:tcPr>
          <w:p>
            <w:pPr>
              <w:spacing w:after="0"/>
              <w:rPr>
                <w:sz w:val="1"/>
                <w:szCs w:val="1"/>
                <w:color w:val="auto"/>
              </w:rPr>
            </w:pPr>
          </w:p>
        </w:tc>
      </w:tr>
      <w:tr>
        <w:trPr>
          <w:trHeight w:val="20"/>
        </w:trPr>
        <w:tc>
          <w:tcPr>
            <w:tcW w:w="58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229" w:right="239" w:bottom="798" w:gutter="0" w:footer="0" w:header="0"/>
        </w:sect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25</w:t>
      </w:r>
    </w:p>
    <w:p>
      <w:pPr>
        <w:sectPr>
          <w:pgSz w:w="11900" w:h="16838" w:orient="portrait"/>
          <w:cols w:equalWidth="0" w:num="1">
            <w:col w:w="11420"/>
          </w:cols>
          <w:pgMar w:left="240" w:top="229" w:right="239" w:bottom="798" w:gutter="0" w:footer="0" w:header="0"/>
          <w:type w:val="continuous"/>
        </w:sectPr>
      </w:pPr>
    </w:p>
    <w:bookmarkStart w:id="26" w:name="page27"/>
    <w:bookmarkEnd w:id="26"/>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25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Franchise Fees</w:t>
      </w:r>
    </w:p>
    <w:p>
      <w:pPr>
        <w:spacing w:after="0" w:line="117"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cumulative adjustment for franchise fees, including ADA fees, renewal fees and transfer fees which will all be recognized over the franchise contract term consist of the following:</w:t>
      </w:r>
    </w:p>
    <w:p>
      <w:pPr>
        <w:spacing w:after="0" w:line="62" w:lineRule="exact"/>
        <w:rPr>
          <w:sz w:val="20"/>
          <w:szCs w:val="20"/>
          <w:color w:val="auto"/>
        </w:rPr>
      </w:pPr>
    </w:p>
    <w:p>
      <w:pPr>
        <w:jc w:val="both"/>
        <w:ind w:left="660" w:hanging="328"/>
        <w:spacing w:after="0" w:line="259" w:lineRule="auto"/>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An increase in deferred revenue, net of $12,477 for the cumulative reversal and deferral of previously recognized fees related to franchise agreements in effect at January 1, 2018 that were entered into subsequent to the acquisition of Pla-Fit Holdings on November 8, 2012 by TSG Consumer Partners, LLC (the “2012 Acquisition”) (net of the cumulative revenue attributable for the period through January 1, 2018), with a corresponding decrease to Shareholders’ equity.</w:t>
      </w:r>
    </w:p>
    <w:p>
      <w:pPr>
        <w:spacing w:after="0" w:line="78"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An increase to deferred income taxes, net of $3,285 for the tax effects of the adjustment noted above, with a corresponding increase to stockholders' equity.</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Comparison to Amounts if Previous Standards Had Been in Effect</w:t>
      </w:r>
    </w:p>
    <w:p>
      <w:pPr>
        <w:spacing w:after="0" w:line="12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following tables reflect the impact of adoption of ASC 606 on our consolidated statements of operations for the three and six months ended June 30, 2018, cash flows from operating activities for the six months ended June 30, 2018 and our condensed consolidated balance sheet as of June 30, 2018 and the amounts as if the Previous Standards were in effect (“Amounts Under Previous Standards”):</w:t>
      </w:r>
    </w:p>
    <w:p>
      <w:pPr>
        <w:spacing w:after="0" w:line="7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Consolidated statement of operations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0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6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2"/>
              </w:rPr>
              <w:t>As reported for</w:t>
            </w:r>
          </w:p>
        </w:tc>
        <w:tc>
          <w:tcPr>
            <w:tcW w:w="3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60" w:type="dxa"/>
            <w:vAlign w:val="bottom"/>
            <w:gridSpan w:val="3"/>
            <w:vMerge w:val="restart"/>
          </w:tcPr>
          <w:p>
            <w:pPr>
              <w:jc w:val="center"/>
              <w:ind w:right="100"/>
              <w:spacing w:after="0"/>
              <w:rPr>
                <w:sz w:val="20"/>
                <w:szCs w:val="20"/>
                <w:color w:val="auto"/>
              </w:rPr>
            </w:pPr>
            <w:r>
              <w:rPr>
                <w:rFonts w:ascii="Arial" w:cs="Arial" w:eastAsia="Arial" w:hAnsi="Arial"/>
                <w:sz w:val="14"/>
                <w:szCs w:val="14"/>
                <w:b w:val="1"/>
                <w:bCs w:val="1"/>
                <w:color w:val="auto"/>
                <w:w w:val="92"/>
              </w:rPr>
              <w:t>Amounts under</w:t>
            </w:r>
          </w:p>
        </w:tc>
        <w:tc>
          <w:tcPr>
            <w:tcW w:w="124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4"/>
              </w:rPr>
              <w:t>As reported for</w:t>
            </w:r>
          </w:p>
        </w:tc>
        <w:tc>
          <w:tcPr>
            <w:tcW w:w="1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gridSpan w:val="2"/>
            <w:vMerge w:val="restart"/>
          </w:tcPr>
          <w:p>
            <w:pPr>
              <w:jc w:val="center"/>
              <w:spacing w:after="0"/>
              <w:rPr>
                <w:sz w:val="20"/>
                <w:szCs w:val="20"/>
                <w:color w:val="auto"/>
              </w:rPr>
            </w:pPr>
            <w:r>
              <w:rPr>
                <w:rFonts w:ascii="Arial" w:cs="Arial" w:eastAsia="Arial" w:hAnsi="Arial"/>
                <w:sz w:val="14"/>
                <w:szCs w:val="14"/>
                <w:b w:val="1"/>
                <w:bCs w:val="1"/>
                <w:color w:val="auto"/>
                <w:w w:val="92"/>
              </w:rPr>
              <w:t>Amounts under</w:t>
            </w:r>
          </w:p>
        </w:tc>
        <w:tc>
          <w:tcPr>
            <w:tcW w:w="0" w:type="dxa"/>
            <w:vAlign w:val="bottom"/>
          </w:tcPr>
          <w:p>
            <w:pPr>
              <w:spacing w:after="0"/>
              <w:rPr>
                <w:sz w:val="1"/>
                <w:szCs w:val="1"/>
                <w:color w:val="auto"/>
              </w:rPr>
            </w:pPr>
          </w:p>
        </w:tc>
      </w:tr>
      <w:tr>
        <w:trPr>
          <w:trHeight w:val="149"/>
        </w:trPr>
        <w:tc>
          <w:tcPr>
            <w:tcW w:w="4000" w:type="dxa"/>
            <w:vAlign w:val="bottom"/>
          </w:tcPr>
          <w:p>
            <w:pPr>
              <w:spacing w:after="0"/>
              <w:rPr>
                <w:sz w:val="12"/>
                <w:szCs w:val="12"/>
                <w:color w:val="auto"/>
              </w:rPr>
            </w:pPr>
          </w:p>
        </w:tc>
        <w:tc>
          <w:tcPr>
            <w:tcW w:w="1280" w:type="dxa"/>
            <w:vAlign w:val="bottom"/>
            <w:gridSpan w:val="3"/>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the three months</w:t>
            </w:r>
          </w:p>
        </w:tc>
        <w:tc>
          <w:tcPr>
            <w:tcW w:w="3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60" w:type="dxa"/>
            <w:vAlign w:val="bottom"/>
            <w:gridSpan w:val="3"/>
            <w:vMerge w:val="continue"/>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9"/>
              </w:rPr>
              <w:t>the six months</w:t>
            </w:r>
          </w:p>
        </w:tc>
        <w:tc>
          <w:tcPr>
            <w:tcW w:w="140" w:type="dxa"/>
            <w:vAlign w:val="bottom"/>
          </w:tcPr>
          <w:p>
            <w:pPr>
              <w:spacing w:after="0"/>
              <w:rPr>
                <w:sz w:val="12"/>
                <w:szCs w:val="12"/>
                <w:color w:val="auto"/>
              </w:rPr>
            </w:pPr>
          </w:p>
        </w:tc>
        <w:tc>
          <w:tcPr>
            <w:tcW w:w="108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89"/>
              </w:rPr>
              <w:t>Total</w:t>
            </w:r>
          </w:p>
        </w:tc>
        <w:tc>
          <w:tcPr>
            <w:tcW w:w="112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0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0"/>
              </w:rPr>
              <w:t>ended June 30,</w:t>
            </w:r>
          </w:p>
        </w:tc>
        <w:tc>
          <w:tcPr>
            <w:tcW w:w="1300" w:type="dxa"/>
            <w:vAlign w:val="bottom"/>
            <w:gridSpan w:val="3"/>
            <w:vMerge w:val="restart"/>
          </w:tcPr>
          <w:p>
            <w:pPr>
              <w:ind w:left="40"/>
              <w:spacing w:after="0"/>
              <w:rPr>
                <w:sz w:val="20"/>
                <w:szCs w:val="20"/>
                <w:color w:val="auto"/>
              </w:rPr>
            </w:pPr>
            <w:r>
              <w:rPr>
                <w:rFonts w:ascii="Arial" w:cs="Arial" w:eastAsia="Arial" w:hAnsi="Arial"/>
                <w:sz w:val="14"/>
                <w:szCs w:val="14"/>
                <w:b w:val="1"/>
                <w:bCs w:val="1"/>
                <w:color w:val="auto"/>
              </w:rPr>
              <w:t>Total adjustments</w:t>
            </w:r>
          </w:p>
        </w:tc>
        <w:tc>
          <w:tcPr>
            <w:tcW w:w="180" w:type="dxa"/>
            <w:vAlign w:val="bottom"/>
          </w:tcPr>
          <w:p>
            <w:pPr>
              <w:spacing w:after="0"/>
              <w:rPr>
                <w:sz w:val="12"/>
                <w:szCs w:val="12"/>
                <w:color w:val="auto"/>
              </w:rPr>
            </w:pPr>
          </w:p>
        </w:tc>
        <w:tc>
          <w:tcPr>
            <w:tcW w:w="108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1"/>
              </w:rPr>
              <w:t>Previous</w:t>
            </w:r>
          </w:p>
        </w:tc>
        <w:tc>
          <w:tcPr>
            <w:tcW w:w="1240" w:type="dxa"/>
            <w:vAlign w:val="bottom"/>
            <w:gridSpan w:val="3"/>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ended June 30,</w:t>
            </w:r>
          </w:p>
        </w:tc>
        <w:tc>
          <w:tcPr>
            <w:tcW w:w="140" w:type="dxa"/>
            <w:vAlign w:val="bottom"/>
          </w:tcPr>
          <w:p>
            <w:pPr>
              <w:spacing w:after="0"/>
              <w:rPr>
                <w:sz w:val="12"/>
                <w:szCs w:val="12"/>
                <w:color w:val="auto"/>
              </w:rPr>
            </w:pPr>
          </w:p>
        </w:tc>
        <w:tc>
          <w:tcPr>
            <w:tcW w:w="108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940" w:type="dxa"/>
            <w:vAlign w:val="bottom"/>
          </w:tcPr>
          <w:p>
            <w:pPr>
              <w:jc w:val="center"/>
              <w:ind w:right="100"/>
              <w:spacing w:after="0" w:line="149" w:lineRule="exact"/>
              <w:rPr>
                <w:sz w:val="20"/>
                <w:szCs w:val="20"/>
                <w:color w:val="auto"/>
              </w:rPr>
            </w:pPr>
            <w:r>
              <w:rPr>
                <w:rFonts w:ascii="Arial" w:cs="Arial" w:eastAsia="Arial" w:hAnsi="Arial"/>
                <w:sz w:val="14"/>
                <w:szCs w:val="14"/>
                <w:b w:val="1"/>
                <w:bCs w:val="1"/>
                <w:color w:val="auto"/>
                <w:w w:val="87"/>
              </w:rPr>
              <w:t>Previous</w:t>
            </w:r>
          </w:p>
        </w:tc>
        <w:tc>
          <w:tcPr>
            <w:tcW w:w="0" w:type="dxa"/>
            <w:vAlign w:val="bottom"/>
          </w:tcPr>
          <w:p>
            <w:pPr>
              <w:spacing w:after="0"/>
              <w:rPr>
                <w:sz w:val="1"/>
                <w:szCs w:val="1"/>
                <w:color w:val="auto"/>
              </w:rPr>
            </w:pPr>
          </w:p>
        </w:tc>
      </w:tr>
      <w:tr>
        <w:trPr>
          <w:trHeight w:val="192"/>
        </w:trPr>
        <w:tc>
          <w:tcPr>
            <w:tcW w:w="40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40" w:type="dxa"/>
            <w:vAlign w:val="bottom"/>
          </w:tcPr>
          <w:p>
            <w:pPr>
              <w:jc w:val="center"/>
              <w:ind w:right="20"/>
              <w:spacing w:after="0"/>
              <w:rPr>
                <w:sz w:val="20"/>
                <w:szCs w:val="20"/>
                <w:color w:val="auto"/>
              </w:rPr>
            </w:pPr>
            <w:r>
              <w:rPr>
                <w:rFonts w:ascii="Arial" w:cs="Arial" w:eastAsia="Arial" w:hAnsi="Arial"/>
                <w:sz w:val="14"/>
                <w:szCs w:val="14"/>
                <w:b w:val="1"/>
                <w:bCs w:val="1"/>
                <w:color w:val="auto"/>
                <w:w w:val="96"/>
              </w:rPr>
              <w:t>2018</w:t>
            </w:r>
          </w:p>
        </w:tc>
        <w:tc>
          <w:tcPr>
            <w:tcW w:w="120" w:type="dxa"/>
            <w:vAlign w:val="bottom"/>
          </w:tcPr>
          <w:p>
            <w:pPr>
              <w:spacing w:after="0"/>
              <w:rPr>
                <w:sz w:val="16"/>
                <w:szCs w:val="16"/>
                <w:color w:val="auto"/>
              </w:rPr>
            </w:pPr>
          </w:p>
        </w:tc>
        <w:tc>
          <w:tcPr>
            <w:tcW w:w="1300" w:type="dxa"/>
            <w:vAlign w:val="bottom"/>
            <w:gridSpan w:val="3"/>
            <w:vMerge w:val="continue"/>
          </w:tcPr>
          <w:p>
            <w:pPr>
              <w:spacing w:after="0"/>
              <w:rPr>
                <w:sz w:val="16"/>
                <w:szCs w:val="16"/>
                <w:color w:val="auto"/>
              </w:rPr>
            </w:pPr>
          </w:p>
        </w:tc>
        <w:tc>
          <w:tcPr>
            <w:tcW w:w="180" w:type="dxa"/>
            <w:vAlign w:val="bottom"/>
          </w:tcPr>
          <w:p>
            <w:pPr>
              <w:spacing w:after="0"/>
              <w:rPr>
                <w:sz w:val="16"/>
                <w:szCs w:val="16"/>
                <w:color w:val="auto"/>
              </w:rPr>
            </w:pPr>
          </w:p>
        </w:tc>
        <w:tc>
          <w:tcPr>
            <w:tcW w:w="10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0"/>
              </w:rPr>
              <w:t>Standards</w:t>
            </w:r>
          </w:p>
        </w:tc>
        <w:tc>
          <w:tcPr>
            <w:tcW w:w="120" w:type="dxa"/>
            <w:vAlign w:val="bottom"/>
          </w:tcPr>
          <w:p>
            <w:pPr>
              <w:spacing w:after="0"/>
              <w:rPr>
                <w:sz w:val="16"/>
                <w:szCs w:val="16"/>
                <w:color w:val="auto"/>
              </w:rPr>
            </w:pPr>
          </w:p>
        </w:tc>
        <w:tc>
          <w:tcPr>
            <w:tcW w:w="1000" w:type="dxa"/>
            <w:vAlign w:val="bottom"/>
          </w:tcPr>
          <w:p>
            <w:pPr>
              <w:jc w:val="center"/>
              <w:ind w:right="40"/>
              <w:spacing w:after="0"/>
              <w:rPr>
                <w:sz w:val="20"/>
                <w:szCs w:val="20"/>
                <w:color w:val="auto"/>
              </w:rPr>
            </w:pPr>
            <w:r>
              <w:rPr>
                <w:rFonts w:ascii="Arial" w:cs="Arial" w:eastAsia="Arial" w:hAnsi="Arial"/>
                <w:sz w:val="14"/>
                <w:szCs w:val="14"/>
                <w:b w:val="1"/>
                <w:bCs w:val="1"/>
                <w:color w:val="auto"/>
                <w:w w:val="89"/>
              </w:rPr>
              <w:t>2018</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9"/>
              </w:rPr>
              <w:t>adjustments</w:t>
            </w:r>
          </w:p>
        </w:tc>
        <w:tc>
          <w:tcPr>
            <w:tcW w:w="180" w:type="dxa"/>
            <w:vAlign w:val="bottom"/>
          </w:tcPr>
          <w:p>
            <w:pPr>
              <w:spacing w:after="0"/>
              <w:rPr>
                <w:sz w:val="16"/>
                <w:szCs w:val="16"/>
                <w:color w:val="auto"/>
              </w:rPr>
            </w:pPr>
          </w:p>
        </w:tc>
        <w:tc>
          <w:tcPr>
            <w:tcW w:w="940" w:type="dxa"/>
            <w:vAlign w:val="bottom"/>
          </w:tcPr>
          <w:p>
            <w:pPr>
              <w:jc w:val="center"/>
              <w:ind w:right="100"/>
              <w:spacing w:after="0"/>
              <w:rPr>
                <w:sz w:val="20"/>
                <w:szCs w:val="20"/>
                <w:color w:val="auto"/>
              </w:rPr>
            </w:pPr>
            <w:r>
              <w:rPr>
                <w:rFonts w:ascii="Arial" w:cs="Arial" w:eastAsia="Arial" w:hAnsi="Arial"/>
                <w:sz w:val="14"/>
                <w:szCs w:val="14"/>
                <w:b w:val="1"/>
                <w:bCs w:val="1"/>
                <w:color w:val="auto"/>
                <w:w w:val="93"/>
              </w:rPr>
              <w:t>Standards</w:t>
            </w:r>
          </w:p>
        </w:tc>
        <w:tc>
          <w:tcPr>
            <w:tcW w:w="0" w:type="dxa"/>
            <w:vAlign w:val="bottom"/>
          </w:tcPr>
          <w:p>
            <w:pPr>
              <w:spacing w:after="0"/>
              <w:rPr>
                <w:sz w:val="1"/>
                <w:szCs w:val="1"/>
                <w:color w:val="auto"/>
              </w:rPr>
            </w:pPr>
          </w:p>
        </w:tc>
      </w:tr>
      <w:tr>
        <w:trPr>
          <w:trHeight w:val="250"/>
        </w:trPr>
        <w:tc>
          <w:tcPr>
            <w:tcW w:w="40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Revenue:</w:t>
            </w:r>
          </w:p>
        </w:tc>
        <w:tc>
          <w:tcPr>
            <w:tcW w:w="120" w:type="dxa"/>
            <w:vAlign w:val="bottom"/>
            <w:tcBorders>
              <w:top w:val="single" w:sz="8" w:color="auto"/>
              <w:bottom w:val="single" w:sz="8" w:color="CCEEFF"/>
            </w:tcBorders>
            <w:shd w:val="clear" w:color="auto" w:fill="CCEEFF"/>
          </w:tcPr>
          <w:p>
            <w:pPr>
              <w:spacing w:after="0"/>
              <w:rPr>
                <w:sz w:val="21"/>
                <w:szCs w:val="21"/>
                <w:color w:val="auto"/>
              </w:rPr>
            </w:pPr>
          </w:p>
        </w:tc>
        <w:tc>
          <w:tcPr>
            <w:tcW w:w="104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340" w:type="dxa"/>
            <w:vAlign w:val="bottom"/>
            <w:tcBorders>
              <w:top w:val="single" w:sz="8" w:color="auto"/>
              <w:bottom w:val="single" w:sz="8" w:color="CCEEFF"/>
            </w:tcBorders>
            <w:shd w:val="clear" w:color="auto" w:fill="CCEEFF"/>
          </w:tcPr>
          <w:p>
            <w:pPr>
              <w:spacing w:after="0"/>
              <w:rPr>
                <w:sz w:val="21"/>
                <w:szCs w:val="21"/>
                <w:color w:val="auto"/>
              </w:rPr>
            </w:pPr>
          </w:p>
        </w:tc>
        <w:tc>
          <w:tcPr>
            <w:tcW w:w="84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9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CCEEFF"/>
            </w:tcBorders>
            <w:shd w:val="clear" w:color="auto" w:fill="CCEEFF"/>
          </w:tcPr>
          <w:p>
            <w:pPr>
              <w:spacing w:after="0"/>
              <w:rPr>
                <w:sz w:val="21"/>
                <w:szCs w:val="21"/>
                <w:color w:val="auto"/>
              </w:rPr>
            </w:pPr>
          </w:p>
        </w:tc>
        <w:tc>
          <w:tcPr>
            <w:tcW w:w="100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spacing w:after="0"/>
              <w:rPr>
                <w:sz w:val="21"/>
                <w:szCs w:val="21"/>
                <w:color w:val="auto"/>
              </w:rPr>
            </w:pPr>
          </w:p>
        </w:tc>
        <w:tc>
          <w:tcPr>
            <w:tcW w:w="9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94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4000" w:type="dxa"/>
            <w:vAlign w:val="bottom"/>
          </w:tcPr>
          <w:p>
            <w:pPr>
              <w:ind w:left="280"/>
              <w:spacing w:after="0"/>
              <w:rPr>
                <w:sz w:val="20"/>
                <w:szCs w:val="20"/>
                <w:color w:val="auto"/>
              </w:rPr>
            </w:pPr>
            <w:r>
              <w:rPr>
                <w:rFonts w:ascii="Arial" w:cs="Arial" w:eastAsia="Arial" w:hAnsi="Arial"/>
                <w:sz w:val="16"/>
                <w:szCs w:val="16"/>
                <w:color w:val="auto"/>
              </w:rPr>
              <w:t>Franchise</w:t>
            </w:r>
          </w:p>
        </w:tc>
        <w:tc>
          <w:tcPr>
            <w:tcW w:w="120" w:type="dxa"/>
            <w:vAlign w:val="bottom"/>
          </w:tcPr>
          <w:p>
            <w:pPr>
              <w:jc w:val="right"/>
              <w:spacing w:after="0"/>
              <w:rPr>
                <w:sz w:val="20"/>
                <w:szCs w:val="20"/>
                <w:color w:val="auto"/>
              </w:rPr>
            </w:pPr>
            <w:r>
              <w:rPr>
                <w:rFonts w:ascii="Arial" w:cs="Arial" w:eastAsia="Arial" w:hAnsi="Arial"/>
                <w:sz w:val="16"/>
                <w:szCs w:val="16"/>
                <w:color w:val="auto"/>
              </w:rPr>
              <w:t>$</w:t>
            </w:r>
          </w:p>
        </w:tc>
        <w:tc>
          <w:tcPr>
            <w:tcW w:w="1040" w:type="dxa"/>
            <w:vAlign w:val="bottom"/>
          </w:tcPr>
          <w:p>
            <w:pPr>
              <w:jc w:val="right"/>
              <w:ind w:right="40"/>
              <w:spacing w:after="0"/>
              <w:rPr>
                <w:sz w:val="20"/>
                <w:szCs w:val="20"/>
                <w:color w:val="auto"/>
              </w:rPr>
            </w:pPr>
            <w:r>
              <w:rPr>
                <w:rFonts w:ascii="Arial" w:cs="Arial" w:eastAsia="Arial" w:hAnsi="Arial"/>
                <w:sz w:val="16"/>
                <w:szCs w:val="16"/>
                <w:color w:val="auto"/>
              </w:rPr>
              <w:t>45,417</w:t>
            </w:r>
          </w:p>
        </w:tc>
        <w:tc>
          <w:tcPr>
            <w:tcW w:w="120" w:type="dxa"/>
            <w:vAlign w:val="bottom"/>
          </w:tcPr>
          <w:p>
            <w:pPr>
              <w:spacing w:after="0"/>
              <w:rPr>
                <w:sz w:val="20"/>
                <w:szCs w:val="20"/>
                <w:color w:val="auto"/>
              </w:rPr>
            </w:pPr>
          </w:p>
        </w:tc>
        <w:tc>
          <w:tcPr>
            <w:tcW w:w="340" w:type="dxa"/>
            <w:vAlign w:val="bottom"/>
          </w:tcPr>
          <w:p>
            <w:pPr>
              <w:ind w:left="40"/>
              <w:spacing w:after="0"/>
              <w:rPr>
                <w:sz w:val="20"/>
                <w:szCs w:val="20"/>
                <w:color w:val="auto"/>
              </w:rPr>
            </w:pPr>
            <w:r>
              <w:rPr>
                <w:rFonts w:ascii="Arial" w:cs="Arial" w:eastAsia="Arial" w:hAnsi="Arial"/>
                <w:sz w:val="16"/>
                <w:szCs w:val="16"/>
                <w:color w:val="auto"/>
              </w:rPr>
              <w:t>$</w:t>
            </w:r>
          </w:p>
        </w:tc>
        <w:tc>
          <w:tcPr>
            <w:tcW w:w="840" w:type="dxa"/>
            <w:vAlign w:val="bottom"/>
          </w:tcPr>
          <w:p>
            <w:pPr>
              <w:jc w:val="right"/>
              <w:ind w:right="59"/>
              <w:spacing w:after="0"/>
              <w:rPr>
                <w:sz w:val="20"/>
                <w:szCs w:val="20"/>
                <w:color w:val="auto"/>
              </w:rPr>
            </w:pPr>
            <w:r>
              <w:rPr>
                <w:rFonts w:ascii="Arial" w:cs="Arial" w:eastAsia="Arial" w:hAnsi="Arial"/>
                <w:sz w:val="16"/>
                <w:szCs w:val="16"/>
                <w:color w:val="auto"/>
              </w:rPr>
              <w:t>762</w:t>
            </w:r>
          </w:p>
        </w:tc>
        <w:tc>
          <w:tcPr>
            <w:tcW w:w="120" w:type="dxa"/>
            <w:vAlign w:val="bottom"/>
          </w:tcPr>
          <w:p>
            <w:pPr>
              <w:spacing w:after="0"/>
              <w:rPr>
                <w:sz w:val="20"/>
                <w:szCs w:val="20"/>
                <w:color w:val="auto"/>
              </w:rPr>
            </w:pPr>
          </w:p>
        </w:tc>
        <w:tc>
          <w:tcPr>
            <w:tcW w:w="180" w:type="dxa"/>
            <w:vAlign w:val="bottom"/>
          </w:tcPr>
          <w:p>
            <w:pPr>
              <w:jc w:val="right"/>
              <w:ind w:right="1"/>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40"/>
              <w:spacing w:after="0"/>
              <w:rPr>
                <w:sz w:val="20"/>
                <w:szCs w:val="20"/>
                <w:color w:val="auto"/>
              </w:rPr>
            </w:pPr>
            <w:r>
              <w:rPr>
                <w:rFonts w:ascii="Arial" w:cs="Arial" w:eastAsia="Arial" w:hAnsi="Arial"/>
                <w:sz w:val="16"/>
                <w:szCs w:val="16"/>
                <w:color w:val="auto"/>
              </w:rPr>
              <w:t>46,179</w:t>
            </w:r>
          </w:p>
        </w:tc>
        <w:tc>
          <w:tcPr>
            <w:tcW w:w="10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tcPr>
          <w:p>
            <w:pPr>
              <w:jc w:val="right"/>
              <w:ind w:right="20"/>
              <w:spacing w:after="0"/>
              <w:rPr>
                <w:sz w:val="20"/>
                <w:szCs w:val="20"/>
                <w:color w:val="auto"/>
              </w:rPr>
            </w:pPr>
            <w:r>
              <w:rPr>
                <w:rFonts w:ascii="Arial" w:cs="Arial" w:eastAsia="Arial" w:hAnsi="Arial"/>
                <w:sz w:val="16"/>
                <w:szCs w:val="16"/>
                <w:color w:val="auto"/>
              </w:rPr>
              <w:t>87,579</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40"/>
              <w:spacing w:after="0"/>
              <w:rPr>
                <w:sz w:val="20"/>
                <w:szCs w:val="20"/>
                <w:color w:val="auto"/>
              </w:rPr>
            </w:pPr>
            <w:r>
              <w:rPr>
                <w:rFonts w:ascii="Arial" w:cs="Arial" w:eastAsia="Arial" w:hAnsi="Arial"/>
                <w:sz w:val="16"/>
                <w:szCs w:val="16"/>
                <w:color w:val="auto"/>
              </w:rPr>
              <w:t>2,527</w:t>
            </w:r>
          </w:p>
        </w:tc>
        <w:tc>
          <w:tcPr>
            <w:tcW w:w="100" w:type="dxa"/>
            <w:vAlign w:val="bottom"/>
          </w:tcPr>
          <w:p>
            <w:pPr>
              <w:spacing w:after="0"/>
              <w:rPr>
                <w:sz w:val="20"/>
                <w:szCs w:val="20"/>
                <w:color w:val="auto"/>
              </w:rPr>
            </w:pPr>
          </w:p>
        </w:tc>
        <w:tc>
          <w:tcPr>
            <w:tcW w:w="180" w:type="dxa"/>
            <w:vAlign w:val="bottom"/>
          </w:tcPr>
          <w:p>
            <w:pPr>
              <w:jc w:val="right"/>
              <w:ind w:right="1"/>
              <w:spacing w:after="0"/>
              <w:rPr>
                <w:sz w:val="20"/>
                <w:szCs w:val="20"/>
                <w:color w:val="auto"/>
              </w:rPr>
            </w:pPr>
            <w:r>
              <w:rPr>
                <w:rFonts w:ascii="Arial" w:cs="Arial" w:eastAsia="Arial" w:hAnsi="Arial"/>
                <w:sz w:val="16"/>
                <w:szCs w:val="16"/>
                <w:color w:val="auto"/>
                <w:w w:val="89"/>
              </w:rPr>
              <w:t>$</w:t>
            </w: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90,106</w:t>
            </w:r>
          </w:p>
        </w:tc>
        <w:tc>
          <w:tcPr>
            <w:tcW w:w="0" w:type="dxa"/>
            <w:vAlign w:val="bottom"/>
          </w:tcPr>
          <w:p>
            <w:pPr>
              <w:spacing w:after="0"/>
              <w:rPr>
                <w:sz w:val="1"/>
                <w:szCs w:val="1"/>
                <w:color w:val="auto"/>
              </w:rPr>
            </w:pPr>
          </w:p>
        </w:tc>
      </w:tr>
      <w:tr>
        <w:trPr>
          <w:trHeight w:val="33"/>
        </w:trPr>
        <w:tc>
          <w:tcPr>
            <w:tcW w:w="4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Commission income</w:t>
            </w:r>
          </w:p>
        </w:tc>
        <w:tc>
          <w:tcPr>
            <w:tcW w:w="1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1,575</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1,575</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3,563</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3,563</w:t>
            </w:r>
          </w:p>
        </w:tc>
        <w:tc>
          <w:tcPr>
            <w:tcW w:w="0" w:type="dxa"/>
            <w:vAlign w:val="bottom"/>
          </w:tcPr>
          <w:p>
            <w:pPr>
              <w:spacing w:after="0"/>
              <w:rPr>
                <w:sz w:val="1"/>
                <w:szCs w:val="1"/>
                <w:color w:val="auto"/>
              </w:rPr>
            </w:pPr>
          </w:p>
        </w:tc>
      </w:tr>
      <w:tr>
        <w:trPr>
          <w:trHeight w:val="237"/>
        </w:trPr>
        <w:tc>
          <w:tcPr>
            <w:tcW w:w="4000" w:type="dxa"/>
            <w:vAlign w:val="bottom"/>
          </w:tcPr>
          <w:p>
            <w:pPr>
              <w:ind w:left="280"/>
              <w:spacing w:after="0"/>
              <w:rPr>
                <w:sz w:val="20"/>
                <w:szCs w:val="20"/>
                <w:color w:val="auto"/>
              </w:rPr>
            </w:pPr>
            <w:r>
              <w:rPr>
                <w:rFonts w:ascii="Arial" w:cs="Arial" w:eastAsia="Arial" w:hAnsi="Arial"/>
                <w:sz w:val="16"/>
                <w:szCs w:val="16"/>
                <w:color w:val="auto"/>
              </w:rPr>
              <w:t>National advertising fund revenue</w:t>
            </w:r>
          </w:p>
        </w:tc>
        <w:tc>
          <w:tcPr>
            <w:tcW w:w="120" w:type="dxa"/>
            <w:vAlign w:val="bottom"/>
          </w:tcPr>
          <w:p>
            <w:pPr>
              <w:spacing w:after="0"/>
              <w:rPr>
                <w:sz w:val="20"/>
                <w:szCs w:val="20"/>
                <w:color w:val="auto"/>
              </w:rPr>
            </w:pPr>
          </w:p>
        </w:tc>
        <w:tc>
          <w:tcPr>
            <w:tcW w:w="1040" w:type="dxa"/>
            <w:vAlign w:val="bottom"/>
          </w:tcPr>
          <w:p>
            <w:pPr>
              <w:jc w:val="right"/>
              <w:ind w:right="40"/>
              <w:spacing w:after="0"/>
              <w:rPr>
                <w:sz w:val="20"/>
                <w:szCs w:val="20"/>
                <w:color w:val="auto"/>
              </w:rPr>
            </w:pPr>
            <w:r>
              <w:rPr>
                <w:rFonts w:ascii="Arial" w:cs="Arial" w:eastAsia="Arial" w:hAnsi="Arial"/>
                <w:sz w:val="16"/>
                <w:szCs w:val="16"/>
                <w:color w:val="auto"/>
              </w:rPr>
              <w:t>11,158</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(11,158)</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000" w:type="dxa"/>
            <w:vAlign w:val="bottom"/>
          </w:tcPr>
          <w:p>
            <w:pPr>
              <w:jc w:val="right"/>
              <w:ind w:right="20"/>
              <w:spacing w:after="0"/>
              <w:rPr>
                <w:sz w:val="20"/>
                <w:szCs w:val="20"/>
                <w:color w:val="auto"/>
              </w:rPr>
            </w:pPr>
            <w:r>
              <w:rPr>
                <w:rFonts w:ascii="Arial" w:cs="Arial" w:eastAsia="Arial" w:hAnsi="Arial"/>
                <w:sz w:val="16"/>
                <w:szCs w:val="16"/>
                <w:color w:val="auto"/>
              </w:rPr>
              <w:t>21,620</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(21,620)</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4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Corporate-owned stores</w:t>
            </w:r>
          </w:p>
        </w:tc>
        <w:tc>
          <w:tcPr>
            <w:tcW w:w="1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34,252</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34,252</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66,959</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66,959</w:t>
            </w:r>
          </w:p>
        </w:tc>
        <w:tc>
          <w:tcPr>
            <w:tcW w:w="0" w:type="dxa"/>
            <w:vAlign w:val="bottom"/>
          </w:tcPr>
          <w:p>
            <w:pPr>
              <w:spacing w:after="0"/>
              <w:rPr>
                <w:sz w:val="1"/>
                <w:szCs w:val="1"/>
                <w:color w:val="auto"/>
              </w:rPr>
            </w:pPr>
          </w:p>
        </w:tc>
      </w:tr>
      <w:tr>
        <w:trPr>
          <w:trHeight w:val="237"/>
        </w:trPr>
        <w:tc>
          <w:tcPr>
            <w:tcW w:w="4000" w:type="dxa"/>
            <w:vAlign w:val="bottom"/>
          </w:tcPr>
          <w:p>
            <w:pPr>
              <w:ind w:left="280"/>
              <w:spacing w:after="0"/>
              <w:rPr>
                <w:sz w:val="20"/>
                <w:szCs w:val="20"/>
                <w:color w:val="auto"/>
              </w:rPr>
            </w:pPr>
            <w:r>
              <w:rPr>
                <w:rFonts w:ascii="Arial" w:cs="Arial" w:eastAsia="Arial" w:hAnsi="Arial"/>
                <w:sz w:val="16"/>
                <w:szCs w:val="16"/>
                <w:color w:val="auto"/>
              </w:rPr>
              <w:t>Equipment</w:t>
            </w:r>
          </w:p>
        </w:tc>
        <w:tc>
          <w:tcPr>
            <w:tcW w:w="120" w:type="dxa"/>
            <w:vAlign w:val="bottom"/>
          </w:tcPr>
          <w:p>
            <w:pPr>
              <w:spacing w:after="0"/>
              <w:rPr>
                <w:sz w:val="20"/>
                <w:szCs w:val="20"/>
                <w:color w:val="auto"/>
              </w:rPr>
            </w:pPr>
          </w:p>
        </w:tc>
        <w:tc>
          <w:tcPr>
            <w:tcW w:w="1040" w:type="dxa"/>
            <w:vAlign w:val="bottom"/>
          </w:tcPr>
          <w:p>
            <w:pPr>
              <w:jc w:val="right"/>
              <w:ind w:right="40"/>
              <w:spacing w:after="0"/>
              <w:rPr>
                <w:sz w:val="20"/>
                <w:szCs w:val="20"/>
                <w:color w:val="auto"/>
              </w:rPr>
            </w:pPr>
            <w:r>
              <w:rPr>
                <w:rFonts w:ascii="Arial" w:cs="Arial" w:eastAsia="Arial" w:hAnsi="Arial"/>
                <w:sz w:val="16"/>
                <w:szCs w:val="16"/>
                <w:color w:val="auto"/>
              </w:rPr>
              <w:t>48,148</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6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0"/>
                <w:szCs w:val="20"/>
                <w:color w:val="auto"/>
              </w:rPr>
            </w:pPr>
          </w:p>
        </w:tc>
        <w:tc>
          <w:tcPr>
            <w:tcW w:w="980" w:type="dxa"/>
            <w:vAlign w:val="bottom"/>
          </w:tcPr>
          <w:p>
            <w:pPr>
              <w:jc w:val="right"/>
              <w:ind w:right="40"/>
              <w:spacing w:after="0"/>
              <w:rPr>
                <w:sz w:val="20"/>
                <w:szCs w:val="20"/>
                <w:color w:val="auto"/>
              </w:rPr>
            </w:pPr>
            <w:r>
              <w:rPr>
                <w:rFonts w:ascii="Arial" w:cs="Arial" w:eastAsia="Arial" w:hAnsi="Arial"/>
                <w:sz w:val="16"/>
                <w:szCs w:val="16"/>
                <w:color w:val="auto"/>
              </w:rPr>
              <w:t>48,148</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0" w:type="dxa"/>
            <w:vAlign w:val="bottom"/>
          </w:tcPr>
          <w:p>
            <w:pPr>
              <w:jc w:val="right"/>
              <w:ind w:right="20"/>
              <w:spacing w:after="0"/>
              <w:rPr>
                <w:sz w:val="20"/>
                <w:szCs w:val="20"/>
                <w:color w:val="auto"/>
              </w:rPr>
            </w:pPr>
            <w:r>
              <w:rPr>
                <w:rFonts w:ascii="Arial" w:cs="Arial" w:eastAsia="Arial" w:hAnsi="Arial"/>
                <w:sz w:val="16"/>
                <w:szCs w:val="16"/>
                <w:color w:val="auto"/>
              </w:rPr>
              <w:t>82,161</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0"/>
                <w:szCs w:val="20"/>
                <w:color w:val="auto"/>
              </w:rPr>
            </w:pP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82,161</w:t>
            </w:r>
          </w:p>
        </w:tc>
        <w:tc>
          <w:tcPr>
            <w:tcW w:w="0" w:type="dxa"/>
            <w:vAlign w:val="bottom"/>
          </w:tcPr>
          <w:p>
            <w:pPr>
              <w:spacing w:after="0"/>
              <w:rPr>
                <w:sz w:val="1"/>
                <w:szCs w:val="1"/>
                <w:color w:val="auto"/>
              </w:rPr>
            </w:pPr>
          </w:p>
        </w:tc>
      </w:tr>
      <w:tr>
        <w:trPr>
          <w:trHeight w:val="33"/>
        </w:trPr>
        <w:tc>
          <w:tcPr>
            <w:tcW w:w="40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400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6"/>
                <w:szCs w:val="16"/>
                <w:color w:val="auto"/>
              </w:rPr>
              <w:t>Total revenue</w:t>
            </w:r>
          </w:p>
        </w:tc>
        <w:tc>
          <w:tcPr>
            <w:tcW w:w="1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140,550</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(10,396)</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130,154</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261,882</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(19,093)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242,789</w:t>
            </w:r>
          </w:p>
        </w:tc>
        <w:tc>
          <w:tcPr>
            <w:tcW w:w="0" w:type="dxa"/>
            <w:vAlign w:val="bottom"/>
          </w:tcPr>
          <w:p>
            <w:pPr>
              <w:spacing w:after="0"/>
              <w:rPr>
                <w:sz w:val="1"/>
                <w:szCs w:val="1"/>
                <w:color w:val="auto"/>
              </w:rPr>
            </w:pPr>
          </w:p>
        </w:tc>
      </w:tr>
      <w:tr>
        <w:trPr>
          <w:trHeight w:val="231"/>
        </w:trPr>
        <w:tc>
          <w:tcPr>
            <w:tcW w:w="4000" w:type="dxa"/>
            <w:vAlign w:val="bottom"/>
          </w:tcPr>
          <w:p>
            <w:pPr>
              <w:ind w:left="40"/>
              <w:spacing w:after="0"/>
              <w:rPr>
                <w:sz w:val="20"/>
                <w:szCs w:val="20"/>
                <w:color w:val="auto"/>
              </w:rPr>
            </w:pPr>
            <w:r>
              <w:rPr>
                <w:rFonts w:ascii="Arial" w:cs="Arial" w:eastAsia="Arial" w:hAnsi="Arial"/>
                <w:sz w:val="16"/>
                <w:szCs w:val="16"/>
                <w:color w:val="auto"/>
              </w:rPr>
              <w:t>Operating costs and expenses:</w:t>
            </w:r>
          </w:p>
        </w:tc>
        <w:tc>
          <w:tcPr>
            <w:tcW w:w="12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84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4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Cost of revenue</w:t>
            </w:r>
          </w:p>
        </w:tc>
        <w:tc>
          <w:tcPr>
            <w:tcW w:w="1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36,744</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36,744</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63,244</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63,244</w:t>
            </w:r>
          </w:p>
        </w:tc>
        <w:tc>
          <w:tcPr>
            <w:tcW w:w="0" w:type="dxa"/>
            <w:vAlign w:val="bottom"/>
          </w:tcPr>
          <w:p>
            <w:pPr>
              <w:spacing w:after="0"/>
              <w:rPr>
                <w:sz w:val="1"/>
                <w:szCs w:val="1"/>
                <w:color w:val="auto"/>
              </w:rPr>
            </w:pPr>
          </w:p>
        </w:tc>
      </w:tr>
      <w:tr>
        <w:trPr>
          <w:trHeight w:val="237"/>
        </w:trPr>
        <w:tc>
          <w:tcPr>
            <w:tcW w:w="4000" w:type="dxa"/>
            <w:vAlign w:val="bottom"/>
          </w:tcPr>
          <w:p>
            <w:pPr>
              <w:ind w:left="280"/>
              <w:spacing w:after="0"/>
              <w:rPr>
                <w:sz w:val="20"/>
                <w:szCs w:val="20"/>
                <w:color w:val="auto"/>
              </w:rPr>
            </w:pPr>
            <w:r>
              <w:rPr>
                <w:rFonts w:ascii="Arial" w:cs="Arial" w:eastAsia="Arial" w:hAnsi="Arial"/>
                <w:sz w:val="16"/>
                <w:szCs w:val="16"/>
                <w:color w:val="auto"/>
              </w:rPr>
              <w:t>Store operations</w:t>
            </w:r>
          </w:p>
        </w:tc>
        <w:tc>
          <w:tcPr>
            <w:tcW w:w="120" w:type="dxa"/>
            <w:vAlign w:val="bottom"/>
          </w:tcPr>
          <w:p>
            <w:pPr>
              <w:spacing w:after="0"/>
              <w:rPr>
                <w:sz w:val="20"/>
                <w:szCs w:val="20"/>
                <w:color w:val="auto"/>
              </w:rPr>
            </w:pPr>
          </w:p>
        </w:tc>
        <w:tc>
          <w:tcPr>
            <w:tcW w:w="1040" w:type="dxa"/>
            <w:vAlign w:val="bottom"/>
          </w:tcPr>
          <w:p>
            <w:pPr>
              <w:jc w:val="right"/>
              <w:ind w:right="40"/>
              <w:spacing w:after="0"/>
              <w:rPr>
                <w:sz w:val="20"/>
                <w:szCs w:val="20"/>
                <w:color w:val="auto"/>
              </w:rPr>
            </w:pPr>
            <w:r>
              <w:rPr>
                <w:rFonts w:ascii="Arial" w:cs="Arial" w:eastAsia="Arial" w:hAnsi="Arial"/>
                <w:sz w:val="16"/>
                <w:szCs w:val="16"/>
                <w:color w:val="auto"/>
              </w:rPr>
              <w:t>18,047</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6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0"/>
                <w:szCs w:val="20"/>
                <w:color w:val="auto"/>
              </w:rPr>
            </w:pPr>
          </w:p>
        </w:tc>
        <w:tc>
          <w:tcPr>
            <w:tcW w:w="980" w:type="dxa"/>
            <w:vAlign w:val="bottom"/>
          </w:tcPr>
          <w:p>
            <w:pPr>
              <w:jc w:val="right"/>
              <w:ind w:right="40"/>
              <w:spacing w:after="0"/>
              <w:rPr>
                <w:sz w:val="20"/>
                <w:szCs w:val="20"/>
                <w:color w:val="auto"/>
              </w:rPr>
            </w:pPr>
            <w:r>
              <w:rPr>
                <w:rFonts w:ascii="Arial" w:cs="Arial" w:eastAsia="Arial" w:hAnsi="Arial"/>
                <w:sz w:val="16"/>
                <w:szCs w:val="16"/>
                <w:color w:val="auto"/>
              </w:rPr>
              <w:t>18,047</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0" w:type="dxa"/>
            <w:vAlign w:val="bottom"/>
          </w:tcPr>
          <w:p>
            <w:pPr>
              <w:jc w:val="right"/>
              <w:ind w:right="20"/>
              <w:spacing w:after="0"/>
              <w:rPr>
                <w:sz w:val="20"/>
                <w:szCs w:val="20"/>
                <w:color w:val="auto"/>
              </w:rPr>
            </w:pPr>
            <w:r>
              <w:rPr>
                <w:rFonts w:ascii="Arial" w:cs="Arial" w:eastAsia="Arial" w:hAnsi="Arial"/>
                <w:sz w:val="16"/>
                <w:szCs w:val="16"/>
                <w:color w:val="auto"/>
              </w:rPr>
              <w:t>36,403</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0"/>
                <w:szCs w:val="20"/>
                <w:color w:val="auto"/>
              </w:rPr>
            </w:pP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36,403</w:t>
            </w:r>
          </w:p>
        </w:tc>
        <w:tc>
          <w:tcPr>
            <w:tcW w:w="0" w:type="dxa"/>
            <w:vAlign w:val="bottom"/>
          </w:tcPr>
          <w:p>
            <w:pPr>
              <w:spacing w:after="0"/>
              <w:rPr>
                <w:sz w:val="1"/>
                <w:szCs w:val="1"/>
                <w:color w:val="auto"/>
              </w:rPr>
            </w:pPr>
          </w:p>
        </w:tc>
      </w:tr>
      <w:tr>
        <w:trPr>
          <w:trHeight w:val="33"/>
        </w:trPr>
        <w:tc>
          <w:tcPr>
            <w:tcW w:w="4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Selling, general and administrative</w:t>
            </w:r>
          </w:p>
        </w:tc>
        <w:tc>
          <w:tcPr>
            <w:tcW w:w="1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17,210</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17,210</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34,831</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34,831</w:t>
            </w:r>
          </w:p>
        </w:tc>
        <w:tc>
          <w:tcPr>
            <w:tcW w:w="0" w:type="dxa"/>
            <w:vAlign w:val="bottom"/>
          </w:tcPr>
          <w:p>
            <w:pPr>
              <w:spacing w:after="0"/>
              <w:rPr>
                <w:sz w:val="1"/>
                <w:szCs w:val="1"/>
                <w:color w:val="auto"/>
              </w:rPr>
            </w:pPr>
          </w:p>
        </w:tc>
      </w:tr>
      <w:tr>
        <w:trPr>
          <w:trHeight w:val="237"/>
        </w:trPr>
        <w:tc>
          <w:tcPr>
            <w:tcW w:w="4000" w:type="dxa"/>
            <w:vAlign w:val="bottom"/>
          </w:tcPr>
          <w:p>
            <w:pPr>
              <w:ind w:left="280"/>
              <w:spacing w:after="0"/>
              <w:rPr>
                <w:sz w:val="20"/>
                <w:szCs w:val="20"/>
                <w:color w:val="auto"/>
              </w:rPr>
            </w:pPr>
            <w:r>
              <w:rPr>
                <w:rFonts w:ascii="Arial" w:cs="Arial" w:eastAsia="Arial" w:hAnsi="Arial"/>
                <w:sz w:val="16"/>
                <w:szCs w:val="16"/>
                <w:color w:val="auto"/>
              </w:rPr>
              <w:t>National advertising fund expense</w:t>
            </w:r>
          </w:p>
        </w:tc>
        <w:tc>
          <w:tcPr>
            <w:tcW w:w="120" w:type="dxa"/>
            <w:vAlign w:val="bottom"/>
          </w:tcPr>
          <w:p>
            <w:pPr>
              <w:spacing w:after="0"/>
              <w:rPr>
                <w:sz w:val="20"/>
                <w:szCs w:val="20"/>
                <w:color w:val="auto"/>
              </w:rPr>
            </w:pPr>
          </w:p>
        </w:tc>
        <w:tc>
          <w:tcPr>
            <w:tcW w:w="1040" w:type="dxa"/>
            <w:vAlign w:val="bottom"/>
          </w:tcPr>
          <w:p>
            <w:pPr>
              <w:jc w:val="right"/>
              <w:ind w:right="40"/>
              <w:spacing w:after="0"/>
              <w:rPr>
                <w:sz w:val="20"/>
                <w:szCs w:val="20"/>
                <w:color w:val="auto"/>
              </w:rPr>
            </w:pPr>
            <w:r>
              <w:rPr>
                <w:rFonts w:ascii="Arial" w:cs="Arial" w:eastAsia="Arial" w:hAnsi="Arial"/>
                <w:sz w:val="16"/>
                <w:szCs w:val="16"/>
                <w:color w:val="auto"/>
              </w:rPr>
              <w:t>11,158</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(11,158)</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000" w:type="dxa"/>
            <w:vAlign w:val="bottom"/>
          </w:tcPr>
          <w:p>
            <w:pPr>
              <w:jc w:val="right"/>
              <w:ind w:right="20"/>
              <w:spacing w:after="0"/>
              <w:rPr>
                <w:sz w:val="20"/>
                <w:szCs w:val="20"/>
                <w:color w:val="auto"/>
              </w:rPr>
            </w:pPr>
            <w:r>
              <w:rPr>
                <w:rFonts w:ascii="Arial" w:cs="Arial" w:eastAsia="Arial" w:hAnsi="Arial"/>
                <w:sz w:val="16"/>
                <w:szCs w:val="16"/>
                <w:color w:val="auto"/>
              </w:rPr>
              <w:t>21,620</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(21,620)</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4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Depreciation and amortization</w:t>
            </w:r>
          </w:p>
        </w:tc>
        <w:tc>
          <w:tcPr>
            <w:tcW w:w="1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8,619</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8,619</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17,084</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17,084</w:t>
            </w:r>
          </w:p>
        </w:tc>
        <w:tc>
          <w:tcPr>
            <w:tcW w:w="0" w:type="dxa"/>
            <w:vAlign w:val="bottom"/>
          </w:tcPr>
          <w:p>
            <w:pPr>
              <w:spacing w:after="0"/>
              <w:rPr>
                <w:sz w:val="1"/>
                <w:szCs w:val="1"/>
                <w:color w:val="auto"/>
              </w:rPr>
            </w:pPr>
          </w:p>
        </w:tc>
      </w:tr>
      <w:tr>
        <w:trPr>
          <w:trHeight w:val="237"/>
        </w:trPr>
        <w:tc>
          <w:tcPr>
            <w:tcW w:w="4000" w:type="dxa"/>
            <w:vAlign w:val="bottom"/>
          </w:tcPr>
          <w:p>
            <w:pPr>
              <w:ind w:left="280"/>
              <w:spacing w:after="0"/>
              <w:rPr>
                <w:sz w:val="20"/>
                <w:szCs w:val="20"/>
                <w:color w:val="auto"/>
              </w:rPr>
            </w:pPr>
            <w:r>
              <w:rPr>
                <w:rFonts w:ascii="Arial" w:cs="Arial" w:eastAsia="Arial" w:hAnsi="Arial"/>
                <w:sz w:val="16"/>
                <w:szCs w:val="16"/>
                <w:color w:val="auto"/>
              </w:rPr>
              <w:t>Other loss (gain)</w:t>
            </w:r>
          </w:p>
        </w:tc>
        <w:tc>
          <w:tcPr>
            <w:tcW w:w="12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(39)</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6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(39)</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0" w:type="dxa"/>
            <w:vAlign w:val="bottom"/>
          </w:tcPr>
          <w:p>
            <w:pPr>
              <w:jc w:val="right"/>
              <w:ind w:right="20"/>
              <w:spacing w:after="0"/>
              <w:rPr>
                <w:sz w:val="20"/>
                <w:szCs w:val="20"/>
                <w:color w:val="auto"/>
              </w:rPr>
            </w:pPr>
            <w:r>
              <w:rPr>
                <w:rFonts w:ascii="Arial" w:cs="Arial" w:eastAsia="Arial" w:hAnsi="Arial"/>
                <w:sz w:val="16"/>
                <w:szCs w:val="16"/>
                <w:color w:val="auto"/>
              </w:rPr>
              <w:t>971</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0"/>
                <w:szCs w:val="20"/>
                <w:color w:val="auto"/>
              </w:rPr>
            </w:pP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971</w:t>
            </w:r>
          </w:p>
        </w:tc>
        <w:tc>
          <w:tcPr>
            <w:tcW w:w="0" w:type="dxa"/>
            <w:vAlign w:val="bottom"/>
          </w:tcPr>
          <w:p>
            <w:pPr>
              <w:spacing w:after="0"/>
              <w:rPr>
                <w:sz w:val="1"/>
                <w:szCs w:val="1"/>
                <w:color w:val="auto"/>
              </w:rPr>
            </w:pPr>
          </w:p>
        </w:tc>
      </w:tr>
      <w:tr>
        <w:trPr>
          <w:trHeight w:val="33"/>
        </w:trPr>
        <w:tc>
          <w:tcPr>
            <w:tcW w:w="40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400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6"/>
                <w:szCs w:val="16"/>
                <w:color w:val="auto"/>
              </w:rPr>
              <w:t>Total operating costs and expenses</w:t>
            </w:r>
          </w:p>
        </w:tc>
        <w:tc>
          <w:tcPr>
            <w:tcW w:w="1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91,739</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(11,158)</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80,581</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174,153</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(21,620)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152,533</w:t>
            </w:r>
          </w:p>
        </w:tc>
        <w:tc>
          <w:tcPr>
            <w:tcW w:w="0" w:type="dxa"/>
            <w:vAlign w:val="bottom"/>
          </w:tcPr>
          <w:p>
            <w:pPr>
              <w:spacing w:after="0"/>
              <w:rPr>
                <w:sz w:val="1"/>
                <w:szCs w:val="1"/>
                <w:color w:val="auto"/>
              </w:rPr>
            </w:pPr>
          </w:p>
        </w:tc>
      </w:tr>
      <w:tr>
        <w:trPr>
          <w:trHeight w:val="217"/>
        </w:trPr>
        <w:tc>
          <w:tcPr>
            <w:tcW w:w="4000" w:type="dxa"/>
            <w:vAlign w:val="bottom"/>
          </w:tcPr>
          <w:p>
            <w:pPr>
              <w:ind w:left="500"/>
              <w:spacing w:after="0"/>
              <w:rPr>
                <w:sz w:val="20"/>
                <w:szCs w:val="20"/>
                <w:color w:val="auto"/>
              </w:rPr>
            </w:pPr>
            <w:r>
              <w:rPr>
                <w:rFonts w:ascii="Arial" w:cs="Arial" w:eastAsia="Arial" w:hAnsi="Arial"/>
                <w:sz w:val="16"/>
                <w:szCs w:val="16"/>
                <w:color w:val="auto"/>
              </w:rPr>
              <w:t>Income from operations</w:t>
            </w:r>
          </w:p>
        </w:tc>
        <w:tc>
          <w:tcPr>
            <w:tcW w:w="12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48,811</w:t>
            </w:r>
          </w:p>
        </w:tc>
        <w:tc>
          <w:tcPr>
            <w:tcW w:w="12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ind w:right="59"/>
              <w:spacing w:after="0"/>
              <w:rPr>
                <w:sz w:val="20"/>
                <w:szCs w:val="20"/>
                <w:color w:val="auto"/>
              </w:rPr>
            </w:pPr>
            <w:r>
              <w:rPr>
                <w:rFonts w:ascii="Arial" w:cs="Arial" w:eastAsia="Arial" w:hAnsi="Arial"/>
                <w:sz w:val="16"/>
                <w:szCs w:val="16"/>
                <w:color w:val="auto"/>
              </w:rPr>
              <w:t>762</w:t>
            </w:r>
          </w:p>
        </w:tc>
        <w:tc>
          <w:tcPr>
            <w:tcW w:w="1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49,573</w:t>
            </w:r>
          </w:p>
        </w:tc>
        <w:tc>
          <w:tcPr>
            <w:tcW w:w="1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jc w:val="right"/>
              <w:ind w:right="20"/>
              <w:spacing w:after="0"/>
              <w:rPr>
                <w:sz w:val="20"/>
                <w:szCs w:val="20"/>
                <w:color w:val="auto"/>
              </w:rPr>
            </w:pPr>
            <w:r>
              <w:rPr>
                <w:rFonts w:ascii="Arial" w:cs="Arial" w:eastAsia="Arial" w:hAnsi="Arial"/>
                <w:sz w:val="16"/>
                <w:szCs w:val="16"/>
                <w:color w:val="auto"/>
              </w:rPr>
              <w:t>87,729</w:t>
            </w:r>
          </w:p>
        </w:tc>
        <w:tc>
          <w:tcPr>
            <w:tcW w:w="1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2,527</w:t>
            </w: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jc w:val="right"/>
              <w:ind w:right="20"/>
              <w:spacing w:after="0"/>
              <w:rPr>
                <w:sz w:val="20"/>
                <w:szCs w:val="20"/>
                <w:color w:val="auto"/>
              </w:rPr>
            </w:pPr>
            <w:r>
              <w:rPr>
                <w:rFonts w:ascii="Arial" w:cs="Arial" w:eastAsia="Arial" w:hAnsi="Arial"/>
                <w:sz w:val="16"/>
                <w:szCs w:val="16"/>
                <w:color w:val="auto"/>
              </w:rPr>
              <w:t>90,256</w:t>
            </w:r>
          </w:p>
        </w:tc>
        <w:tc>
          <w:tcPr>
            <w:tcW w:w="0" w:type="dxa"/>
            <w:vAlign w:val="bottom"/>
          </w:tcPr>
          <w:p>
            <w:pPr>
              <w:spacing w:after="0"/>
              <w:rPr>
                <w:sz w:val="1"/>
                <w:szCs w:val="1"/>
                <w:color w:val="auto"/>
              </w:rPr>
            </w:pPr>
          </w:p>
        </w:tc>
      </w:tr>
      <w:tr>
        <w:trPr>
          <w:trHeight w:val="33"/>
        </w:trPr>
        <w:tc>
          <w:tcPr>
            <w:tcW w:w="40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0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Other expense, net:</w:t>
            </w:r>
          </w:p>
        </w:tc>
        <w:tc>
          <w:tcPr>
            <w:tcW w:w="1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4000" w:type="dxa"/>
            <w:vAlign w:val="bottom"/>
          </w:tcPr>
          <w:p>
            <w:pPr>
              <w:ind w:left="280"/>
              <w:spacing w:after="0"/>
              <w:rPr>
                <w:sz w:val="20"/>
                <w:szCs w:val="20"/>
                <w:color w:val="auto"/>
              </w:rPr>
            </w:pPr>
            <w:r>
              <w:rPr>
                <w:rFonts w:ascii="Arial" w:cs="Arial" w:eastAsia="Arial" w:hAnsi="Arial"/>
                <w:sz w:val="16"/>
                <w:szCs w:val="16"/>
                <w:color w:val="auto"/>
              </w:rPr>
              <w:t>Interest expense, net</w:t>
            </w:r>
          </w:p>
        </w:tc>
        <w:tc>
          <w:tcPr>
            <w:tcW w:w="12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(8,628)</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6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(8,628)</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(17,361)</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(17,361)</w:t>
            </w:r>
          </w:p>
        </w:tc>
        <w:tc>
          <w:tcPr>
            <w:tcW w:w="0" w:type="dxa"/>
            <w:vAlign w:val="bottom"/>
          </w:tcPr>
          <w:p>
            <w:pPr>
              <w:spacing w:after="0"/>
              <w:rPr>
                <w:sz w:val="1"/>
                <w:szCs w:val="1"/>
                <w:color w:val="auto"/>
              </w:rPr>
            </w:pPr>
          </w:p>
        </w:tc>
      </w:tr>
      <w:tr>
        <w:trPr>
          <w:trHeight w:val="33"/>
        </w:trPr>
        <w:tc>
          <w:tcPr>
            <w:tcW w:w="4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Other (expense) income</w:t>
            </w:r>
          </w:p>
        </w:tc>
        <w:tc>
          <w:tcPr>
            <w:tcW w:w="1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(502)</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(502)</w:t>
            </w:r>
          </w:p>
        </w:tc>
        <w:tc>
          <w:tcPr>
            <w:tcW w:w="10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(310)</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(310)</w:t>
            </w:r>
          </w:p>
        </w:tc>
        <w:tc>
          <w:tcPr>
            <w:tcW w:w="0" w:type="dxa"/>
            <w:vAlign w:val="bottom"/>
          </w:tcPr>
          <w:p>
            <w:pPr>
              <w:spacing w:after="0"/>
              <w:rPr>
                <w:sz w:val="1"/>
                <w:szCs w:val="1"/>
                <w:color w:val="auto"/>
              </w:rPr>
            </w:pPr>
          </w:p>
        </w:tc>
      </w:tr>
      <w:tr>
        <w:trPr>
          <w:trHeight w:val="217"/>
        </w:trPr>
        <w:tc>
          <w:tcPr>
            <w:tcW w:w="4000" w:type="dxa"/>
            <w:vAlign w:val="bottom"/>
          </w:tcPr>
          <w:p>
            <w:pPr>
              <w:ind w:left="500"/>
              <w:spacing w:after="0"/>
              <w:rPr>
                <w:sz w:val="20"/>
                <w:szCs w:val="20"/>
                <w:color w:val="auto"/>
              </w:rPr>
            </w:pPr>
            <w:r>
              <w:rPr>
                <w:rFonts w:ascii="Arial" w:cs="Arial" w:eastAsia="Arial" w:hAnsi="Arial"/>
                <w:sz w:val="16"/>
                <w:szCs w:val="16"/>
                <w:color w:val="auto"/>
              </w:rPr>
              <w:t>Total other expense, net</w:t>
            </w:r>
          </w:p>
        </w:tc>
        <w:tc>
          <w:tcPr>
            <w:tcW w:w="12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(9,130)</w:t>
            </w:r>
          </w:p>
        </w:tc>
        <w:tc>
          <w:tcPr>
            <w:tcW w:w="12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ind w:right="59"/>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(9,130)</w:t>
            </w:r>
          </w:p>
        </w:tc>
        <w:tc>
          <w:tcPr>
            <w:tcW w:w="1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(17,671)</w:t>
            </w:r>
          </w:p>
        </w:tc>
        <w:tc>
          <w:tcPr>
            <w:tcW w:w="1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(17,671)</w:t>
            </w:r>
          </w:p>
        </w:tc>
        <w:tc>
          <w:tcPr>
            <w:tcW w:w="0" w:type="dxa"/>
            <w:vAlign w:val="bottom"/>
          </w:tcPr>
          <w:p>
            <w:pPr>
              <w:spacing w:after="0"/>
              <w:rPr>
                <w:sz w:val="1"/>
                <w:szCs w:val="1"/>
                <w:color w:val="auto"/>
              </w:rPr>
            </w:pPr>
          </w:p>
        </w:tc>
      </w:tr>
      <w:tr>
        <w:trPr>
          <w:trHeight w:val="33"/>
        </w:trPr>
        <w:tc>
          <w:tcPr>
            <w:tcW w:w="40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400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6"/>
                <w:szCs w:val="16"/>
                <w:color w:val="auto"/>
              </w:rPr>
              <w:t>Income before income taxes</w:t>
            </w:r>
          </w:p>
        </w:tc>
        <w:tc>
          <w:tcPr>
            <w:tcW w:w="12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39,681</w:t>
            </w:r>
          </w:p>
        </w:tc>
        <w:tc>
          <w:tcPr>
            <w:tcW w:w="1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762</w:t>
            </w: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40,443</w:t>
            </w:r>
          </w:p>
        </w:tc>
        <w:tc>
          <w:tcPr>
            <w:tcW w:w="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0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70,058</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2,527</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72,585</w:t>
            </w:r>
          </w:p>
        </w:tc>
        <w:tc>
          <w:tcPr>
            <w:tcW w:w="0" w:type="dxa"/>
            <w:vAlign w:val="bottom"/>
          </w:tcPr>
          <w:p>
            <w:pPr>
              <w:spacing w:after="0"/>
              <w:rPr>
                <w:sz w:val="1"/>
                <w:szCs w:val="1"/>
                <w:color w:val="auto"/>
              </w:rPr>
            </w:pPr>
          </w:p>
        </w:tc>
      </w:tr>
      <w:tr>
        <w:trPr>
          <w:trHeight w:val="237"/>
        </w:trPr>
        <w:tc>
          <w:tcPr>
            <w:tcW w:w="4000" w:type="dxa"/>
            <w:vAlign w:val="bottom"/>
          </w:tcPr>
          <w:p>
            <w:pPr>
              <w:ind w:left="40"/>
              <w:spacing w:after="0"/>
              <w:rPr>
                <w:sz w:val="20"/>
                <w:szCs w:val="20"/>
                <w:color w:val="auto"/>
              </w:rPr>
            </w:pPr>
            <w:r>
              <w:rPr>
                <w:rFonts w:ascii="Arial" w:cs="Arial" w:eastAsia="Arial" w:hAnsi="Arial"/>
                <w:sz w:val="16"/>
                <w:szCs w:val="16"/>
                <w:color w:val="auto"/>
              </w:rPr>
              <w:t>Provision for income taxes</w:t>
            </w:r>
          </w:p>
        </w:tc>
        <w:tc>
          <w:tcPr>
            <w:tcW w:w="120" w:type="dxa"/>
            <w:vAlign w:val="bottom"/>
          </w:tcPr>
          <w:p>
            <w:pPr>
              <w:spacing w:after="0"/>
              <w:rPr>
                <w:sz w:val="20"/>
                <w:szCs w:val="20"/>
                <w:color w:val="auto"/>
              </w:rPr>
            </w:pPr>
          </w:p>
        </w:tc>
        <w:tc>
          <w:tcPr>
            <w:tcW w:w="1040" w:type="dxa"/>
            <w:vAlign w:val="bottom"/>
          </w:tcPr>
          <w:p>
            <w:pPr>
              <w:jc w:val="right"/>
              <w:ind w:right="40"/>
              <w:spacing w:after="0"/>
              <w:rPr>
                <w:sz w:val="20"/>
                <w:szCs w:val="20"/>
                <w:color w:val="auto"/>
              </w:rPr>
            </w:pPr>
            <w:r>
              <w:rPr>
                <w:rFonts w:ascii="Arial" w:cs="Arial" w:eastAsia="Arial" w:hAnsi="Arial"/>
                <w:sz w:val="16"/>
                <w:szCs w:val="16"/>
                <w:color w:val="auto"/>
              </w:rPr>
              <w:t>9,263</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40" w:type="dxa"/>
            <w:vAlign w:val="bottom"/>
          </w:tcPr>
          <w:p>
            <w:pPr>
              <w:jc w:val="right"/>
              <w:ind w:right="59"/>
              <w:spacing w:after="0"/>
              <w:rPr>
                <w:sz w:val="20"/>
                <w:szCs w:val="20"/>
                <w:color w:val="auto"/>
              </w:rPr>
            </w:pPr>
            <w:r>
              <w:rPr>
                <w:rFonts w:ascii="Arial" w:cs="Arial" w:eastAsia="Arial" w:hAnsi="Arial"/>
                <w:sz w:val="16"/>
                <w:szCs w:val="16"/>
                <w:color w:val="auto"/>
              </w:rPr>
              <w:t>200</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80" w:type="dxa"/>
            <w:vAlign w:val="bottom"/>
          </w:tcPr>
          <w:p>
            <w:pPr>
              <w:jc w:val="right"/>
              <w:ind w:right="40"/>
              <w:spacing w:after="0"/>
              <w:rPr>
                <w:sz w:val="20"/>
                <w:szCs w:val="20"/>
                <w:color w:val="auto"/>
              </w:rPr>
            </w:pPr>
            <w:r>
              <w:rPr>
                <w:rFonts w:ascii="Arial" w:cs="Arial" w:eastAsia="Arial" w:hAnsi="Arial"/>
                <w:sz w:val="16"/>
                <w:szCs w:val="16"/>
                <w:color w:val="auto"/>
              </w:rPr>
              <w:t>9,463</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0" w:type="dxa"/>
            <w:vAlign w:val="bottom"/>
          </w:tcPr>
          <w:p>
            <w:pPr>
              <w:jc w:val="right"/>
              <w:ind w:right="20"/>
              <w:spacing w:after="0"/>
              <w:rPr>
                <w:sz w:val="20"/>
                <w:szCs w:val="20"/>
                <w:color w:val="auto"/>
              </w:rPr>
            </w:pPr>
            <w:r>
              <w:rPr>
                <w:rFonts w:ascii="Arial" w:cs="Arial" w:eastAsia="Arial" w:hAnsi="Arial"/>
                <w:sz w:val="16"/>
                <w:szCs w:val="16"/>
                <w:color w:val="auto"/>
              </w:rPr>
              <w:t>16,146</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80" w:type="dxa"/>
            <w:vAlign w:val="bottom"/>
          </w:tcPr>
          <w:p>
            <w:pPr>
              <w:jc w:val="right"/>
              <w:ind w:right="40"/>
              <w:spacing w:after="0"/>
              <w:rPr>
                <w:sz w:val="20"/>
                <w:szCs w:val="20"/>
                <w:color w:val="auto"/>
              </w:rPr>
            </w:pPr>
            <w:r>
              <w:rPr>
                <w:rFonts w:ascii="Arial" w:cs="Arial" w:eastAsia="Arial" w:hAnsi="Arial"/>
                <w:sz w:val="16"/>
                <w:szCs w:val="16"/>
                <w:color w:val="auto"/>
              </w:rPr>
              <w:t>624</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16,770</w:t>
            </w:r>
          </w:p>
        </w:tc>
        <w:tc>
          <w:tcPr>
            <w:tcW w:w="0" w:type="dxa"/>
            <w:vAlign w:val="bottom"/>
          </w:tcPr>
          <w:p>
            <w:pPr>
              <w:spacing w:after="0"/>
              <w:rPr>
                <w:sz w:val="1"/>
                <w:szCs w:val="1"/>
                <w:color w:val="auto"/>
              </w:rPr>
            </w:pPr>
          </w:p>
        </w:tc>
      </w:tr>
      <w:tr>
        <w:trPr>
          <w:trHeight w:val="33"/>
        </w:trPr>
        <w:tc>
          <w:tcPr>
            <w:tcW w:w="40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400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6"/>
                <w:szCs w:val="16"/>
                <w:color w:val="auto"/>
              </w:rPr>
              <w:t>Net income</w:t>
            </w:r>
          </w:p>
        </w:tc>
        <w:tc>
          <w:tcPr>
            <w:tcW w:w="12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30,418</w:t>
            </w:r>
          </w:p>
        </w:tc>
        <w:tc>
          <w:tcPr>
            <w:tcW w:w="1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562</w:t>
            </w: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30,980</w:t>
            </w:r>
          </w:p>
        </w:tc>
        <w:tc>
          <w:tcPr>
            <w:tcW w:w="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0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53,912</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1,903</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55,815</w:t>
            </w:r>
          </w:p>
        </w:tc>
        <w:tc>
          <w:tcPr>
            <w:tcW w:w="0" w:type="dxa"/>
            <w:vAlign w:val="bottom"/>
          </w:tcPr>
          <w:p>
            <w:pPr>
              <w:spacing w:after="0"/>
              <w:rPr>
                <w:sz w:val="1"/>
                <w:szCs w:val="1"/>
                <w:color w:val="auto"/>
              </w:rPr>
            </w:pPr>
          </w:p>
        </w:tc>
      </w:tr>
      <w:tr>
        <w:trPr>
          <w:trHeight w:val="237"/>
        </w:trPr>
        <w:tc>
          <w:tcPr>
            <w:tcW w:w="4000" w:type="dxa"/>
            <w:vAlign w:val="bottom"/>
          </w:tcPr>
          <w:p>
            <w:pPr>
              <w:ind w:left="40"/>
              <w:spacing w:after="0"/>
              <w:rPr>
                <w:sz w:val="20"/>
                <w:szCs w:val="20"/>
                <w:color w:val="auto"/>
              </w:rPr>
            </w:pPr>
            <w:r>
              <w:rPr>
                <w:rFonts w:ascii="Arial" w:cs="Arial" w:eastAsia="Arial" w:hAnsi="Arial"/>
                <w:sz w:val="16"/>
                <w:szCs w:val="16"/>
                <w:color w:val="auto"/>
              </w:rPr>
              <w:t>Less net income attributable to non-controlling interests</w:t>
            </w:r>
          </w:p>
        </w:tc>
        <w:tc>
          <w:tcPr>
            <w:tcW w:w="120" w:type="dxa"/>
            <w:vAlign w:val="bottom"/>
          </w:tcPr>
          <w:p>
            <w:pPr>
              <w:spacing w:after="0"/>
              <w:rPr>
                <w:sz w:val="20"/>
                <w:szCs w:val="20"/>
                <w:color w:val="auto"/>
              </w:rPr>
            </w:pPr>
          </w:p>
        </w:tc>
        <w:tc>
          <w:tcPr>
            <w:tcW w:w="1040" w:type="dxa"/>
            <w:vAlign w:val="bottom"/>
          </w:tcPr>
          <w:p>
            <w:pPr>
              <w:jc w:val="right"/>
              <w:ind w:right="40"/>
              <w:spacing w:after="0"/>
              <w:rPr>
                <w:sz w:val="20"/>
                <w:szCs w:val="20"/>
                <w:color w:val="auto"/>
              </w:rPr>
            </w:pPr>
            <w:r>
              <w:rPr>
                <w:rFonts w:ascii="Arial" w:cs="Arial" w:eastAsia="Arial" w:hAnsi="Arial"/>
                <w:sz w:val="16"/>
                <w:szCs w:val="16"/>
                <w:color w:val="auto"/>
              </w:rPr>
              <w:t>4,544</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40" w:type="dxa"/>
            <w:vAlign w:val="bottom"/>
          </w:tcPr>
          <w:p>
            <w:pPr>
              <w:jc w:val="right"/>
              <w:ind w:right="59"/>
              <w:spacing w:after="0"/>
              <w:rPr>
                <w:sz w:val="20"/>
                <w:szCs w:val="20"/>
                <w:color w:val="auto"/>
              </w:rPr>
            </w:pPr>
            <w:r>
              <w:rPr>
                <w:rFonts w:ascii="Arial" w:cs="Arial" w:eastAsia="Arial" w:hAnsi="Arial"/>
                <w:sz w:val="16"/>
                <w:szCs w:val="16"/>
                <w:color w:val="auto"/>
              </w:rPr>
              <w:t>83</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80" w:type="dxa"/>
            <w:vAlign w:val="bottom"/>
          </w:tcPr>
          <w:p>
            <w:pPr>
              <w:jc w:val="right"/>
              <w:ind w:right="40"/>
              <w:spacing w:after="0"/>
              <w:rPr>
                <w:sz w:val="20"/>
                <w:szCs w:val="20"/>
                <w:color w:val="auto"/>
              </w:rPr>
            </w:pPr>
            <w:r>
              <w:rPr>
                <w:rFonts w:ascii="Arial" w:cs="Arial" w:eastAsia="Arial" w:hAnsi="Arial"/>
                <w:sz w:val="16"/>
                <w:szCs w:val="16"/>
                <w:color w:val="auto"/>
              </w:rPr>
              <w:t>4,627</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0" w:type="dxa"/>
            <w:vAlign w:val="bottom"/>
          </w:tcPr>
          <w:p>
            <w:pPr>
              <w:jc w:val="right"/>
              <w:ind w:right="20"/>
              <w:spacing w:after="0"/>
              <w:rPr>
                <w:sz w:val="20"/>
                <w:szCs w:val="20"/>
                <w:color w:val="auto"/>
              </w:rPr>
            </w:pPr>
            <w:r>
              <w:rPr>
                <w:rFonts w:ascii="Arial" w:cs="Arial" w:eastAsia="Arial" w:hAnsi="Arial"/>
                <w:sz w:val="16"/>
                <w:szCs w:val="16"/>
                <w:color w:val="auto"/>
              </w:rPr>
              <w:t>8,157</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80" w:type="dxa"/>
            <w:vAlign w:val="bottom"/>
          </w:tcPr>
          <w:p>
            <w:pPr>
              <w:jc w:val="right"/>
              <w:ind w:right="40"/>
              <w:spacing w:after="0"/>
              <w:rPr>
                <w:sz w:val="20"/>
                <w:szCs w:val="20"/>
                <w:color w:val="auto"/>
              </w:rPr>
            </w:pPr>
            <w:r>
              <w:rPr>
                <w:rFonts w:ascii="Arial" w:cs="Arial" w:eastAsia="Arial" w:hAnsi="Arial"/>
                <w:sz w:val="16"/>
                <w:szCs w:val="16"/>
                <w:color w:val="auto"/>
              </w:rPr>
              <w:t>279</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8,436</w:t>
            </w:r>
          </w:p>
        </w:tc>
        <w:tc>
          <w:tcPr>
            <w:tcW w:w="0" w:type="dxa"/>
            <w:vAlign w:val="bottom"/>
          </w:tcPr>
          <w:p>
            <w:pPr>
              <w:spacing w:after="0"/>
              <w:rPr>
                <w:sz w:val="1"/>
                <w:szCs w:val="1"/>
                <w:color w:val="auto"/>
              </w:rPr>
            </w:pPr>
          </w:p>
        </w:tc>
      </w:tr>
      <w:tr>
        <w:trPr>
          <w:trHeight w:val="33"/>
        </w:trPr>
        <w:tc>
          <w:tcPr>
            <w:tcW w:w="40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400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6"/>
                <w:szCs w:val="16"/>
                <w:color w:val="auto"/>
              </w:rPr>
              <w:t>Net income attributable to Planet Fitness, Inc.</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4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rPr>
              <w:t>25,874</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6"/>
                <w:szCs w:val="16"/>
                <w:color w:val="auto"/>
              </w:rPr>
              <w:t>$</w:t>
            </w:r>
          </w:p>
        </w:tc>
        <w:tc>
          <w:tcPr>
            <w:tcW w:w="84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479</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rPr>
              <w:t>26,353</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45,755</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rPr>
              <w:t>1,624</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w w:val="89"/>
              </w:rPr>
              <w:t>$</w:t>
            </w:r>
          </w:p>
        </w:tc>
        <w:tc>
          <w:tcPr>
            <w:tcW w:w="94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47,379</w:t>
            </w:r>
          </w:p>
        </w:tc>
        <w:tc>
          <w:tcPr>
            <w:tcW w:w="0" w:type="dxa"/>
            <w:vAlign w:val="bottom"/>
          </w:tcPr>
          <w:p>
            <w:pPr>
              <w:spacing w:after="0"/>
              <w:rPr>
                <w:sz w:val="1"/>
                <w:szCs w:val="1"/>
                <w:color w:val="auto"/>
              </w:rPr>
            </w:pPr>
          </w:p>
        </w:tc>
      </w:tr>
      <w:tr>
        <w:trPr>
          <w:trHeight w:val="231"/>
        </w:trPr>
        <w:tc>
          <w:tcPr>
            <w:tcW w:w="4000" w:type="dxa"/>
            <w:vAlign w:val="bottom"/>
          </w:tcPr>
          <w:p>
            <w:pPr>
              <w:ind w:left="40"/>
              <w:spacing w:after="0"/>
              <w:rPr>
                <w:sz w:val="20"/>
                <w:szCs w:val="20"/>
                <w:color w:val="auto"/>
              </w:rPr>
            </w:pPr>
            <w:r>
              <w:rPr>
                <w:rFonts w:ascii="Arial" w:cs="Arial" w:eastAsia="Arial" w:hAnsi="Arial"/>
                <w:sz w:val="16"/>
                <w:szCs w:val="16"/>
                <w:color w:val="auto"/>
              </w:rPr>
              <w:t>Net income per share of Class A common stock:</w:t>
            </w:r>
          </w:p>
        </w:tc>
        <w:tc>
          <w:tcPr>
            <w:tcW w:w="12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4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Basic</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0.30</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0.30</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0.52</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16"/>
                <w:szCs w:val="16"/>
                <w:color w:val="auto"/>
                <w:w w:val="89"/>
              </w:rPr>
              <w:t>$</w:t>
            </w:r>
          </w:p>
        </w:tc>
        <w:tc>
          <w:tcPr>
            <w:tcW w:w="9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0.54</w:t>
            </w:r>
          </w:p>
        </w:tc>
        <w:tc>
          <w:tcPr>
            <w:tcW w:w="0" w:type="dxa"/>
            <w:vAlign w:val="bottom"/>
          </w:tcPr>
          <w:p>
            <w:pPr>
              <w:spacing w:after="0"/>
              <w:rPr>
                <w:sz w:val="1"/>
                <w:szCs w:val="1"/>
                <w:color w:val="auto"/>
              </w:rPr>
            </w:pPr>
          </w:p>
        </w:tc>
      </w:tr>
      <w:tr>
        <w:trPr>
          <w:trHeight w:val="237"/>
        </w:trPr>
        <w:tc>
          <w:tcPr>
            <w:tcW w:w="4000" w:type="dxa"/>
            <w:vAlign w:val="bottom"/>
          </w:tcPr>
          <w:p>
            <w:pPr>
              <w:ind w:left="280"/>
              <w:spacing w:after="0"/>
              <w:rPr>
                <w:sz w:val="20"/>
                <w:szCs w:val="20"/>
                <w:color w:val="auto"/>
              </w:rPr>
            </w:pPr>
            <w:r>
              <w:rPr>
                <w:rFonts w:ascii="Arial" w:cs="Arial" w:eastAsia="Arial" w:hAnsi="Arial"/>
                <w:sz w:val="16"/>
                <w:szCs w:val="16"/>
                <w:color w:val="auto"/>
              </w:rPr>
              <w:t>Diluted</w:t>
            </w:r>
          </w:p>
        </w:tc>
        <w:tc>
          <w:tcPr>
            <w:tcW w:w="120" w:type="dxa"/>
            <w:vAlign w:val="bottom"/>
          </w:tcPr>
          <w:p>
            <w:pPr>
              <w:jc w:val="right"/>
              <w:spacing w:after="0"/>
              <w:rPr>
                <w:sz w:val="20"/>
                <w:szCs w:val="20"/>
                <w:color w:val="auto"/>
              </w:rPr>
            </w:pPr>
            <w:r>
              <w:rPr>
                <w:rFonts w:ascii="Arial" w:cs="Arial" w:eastAsia="Arial" w:hAnsi="Arial"/>
                <w:sz w:val="16"/>
                <w:szCs w:val="16"/>
                <w:color w:val="auto"/>
              </w:rPr>
              <w:t>$</w:t>
            </w:r>
          </w:p>
        </w:tc>
        <w:tc>
          <w:tcPr>
            <w:tcW w:w="1040" w:type="dxa"/>
            <w:vAlign w:val="bottom"/>
          </w:tcPr>
          <w:p>
            <w:pPr>
              <w:jc w:val="right"/>
              <w:ind w:right="40"/>
              <w:spacing w:after="0"/>
              <w:rPr>
                <w:sz w:val="20"/>
                <w:szCs w:val="20"/>
                <w:color w:val="auto"/>
              </w:rPr>
            </w:pPr>
            <w:r>
              <w:rPr>
                <w:rFonts w:ascii="Arial" w:cs="Arial" w:eastAsia="Arial" w:hAnsi="Arial"/>
                <w:sz w:val="16"/>
                <w:szCs w:val="16"/>
                <w:color w:val="auto"/>
              </w:rPr>
              <w:t>0.29</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jc w:val="right"/>
              <w:ind w:right="1"/>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40"/>
              <w:spacing w:after="0"/>
              <w:rPr>
                <w:sz w:val="20"/>
                <w:szCs w:val="20"/>
                <w:color w:val="auto"/>
              </w:rPr>
            </w:pPr>
            <w:r>
              <w:rPr>
                <w:rFonts w:ascii="Arial" w:cs="Arial" w:eastAsia="Arial" w:hAnsi="Arial"/>
                <w:sz w:val="16"/>
                <w:szCs w:val="16"/>
                <w:color w:val="auto"/>
              </w:rPr>
              <w:t>0.30</w:t>
            </w:r>
          </w:p>
        </w:tc>
        <w:tc>
          <w:tcPr>
            <w:tcW w:w="10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tcPr>
          <w:p>
            <w:pPr>
              <w:jc w:val="right"/>
              <w:ind w:right="20"/>
              <w:spacing w:after="0"/>
              <w:rPr>
                <w:sz w:val="20"/>
                <w:szCs w:val="20"/>
                <w:color w:val="auto"/>
              </w:rPr>
            </w:pPr>
            <w:r>
              <w:rPr>
                <w:rFonts w:ascii="Arial" w:cs="Arial" w:eastAsia="Arial" w:hAnsi="Arial"/>
                <w:sz w:val="16"/>
                <w:szCs w:val="16"/>
                <w:color w:val="auto"/>
              </w:rPr>
              <w:t>0.52</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jc w:val="right"/>
              <w:ind w:right="1"/>
              <w:spacing w:after="0"/>
              <w:rPr>
                <w:sz w:val="20"/>
                <w:szCs w:val="20"/>
                <w:color w:val="auto"/>
              </w:rPr>
            </w:pPr>
            <w:r>
              <w:rPr>
                <w:rFonts w:ascii="Arial" w:cs="Arial" w:eastAsia="Arial" w:hAnsi="Arial"/>
                <w:sz w:val="16"/>
                <w:szCs w:val="16"/>
                <w:color w:val="auto"/>
                <w:w w:val="89"/>
              </w:rPr>
              <w:t>$</w:t>
            </w: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0.54</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229" w:right="239" w:bottom="1440" w:gutter="0" w:footer="0" w:header="0"/>
        </w:sectPr>
      </w:pPr>
    </w:p>
    <w:p>
      <w:pPr>
        <w:spacing w:after="0" w:line="6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26</w:t>
      </w:r>
    </w:p>
    <w:p>
      <w:pPr>
        <w:sectPr>
          <w:pgSz w:w="11900" w:h="16838" w:orient="portrait"/>
          <w:cols w:equalWidth="0" w:num="1">
            <w:col w:w="11420"/>
          </w:cols>
          <w:pgMar w:left="240" w:top="229" w:right="239" w:bottom="1440" w:gutter="0" w:footer="0" w:header="0"/>
          <w:type w:val="continuous"/>
        </w:sectPr>
      </w:pPr>
    </w:p>
    <w:bookmarkStart w:id="27" w:name="page28"/>
    <w:bookmarkEnd w:id="27"/>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1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25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Consolidated Statement of Cash Flows</w:t>
      </w:r>
    </w:p>
    <w:p>
      <w:pPr>
        <w:spacing w:after="0" w:line="150" w:lineRule="exact"/>
        <w:rPr>
          <w:sz w:val="20"/>
          <w:szCs w:val="20"/>
          <w:color w:val="auto"/>
        </w:rPr>
      </w:pPr>
    </w:p>
    <w:tbl>
      <w:tblPr>
        <w:tblLayout w:type="fixed"/>
        <w:tblInd w:w="20" w:type="dxa"/>
        <w:tblCellMar>
          <w:top w:w="0" w:type="dxa"/>
          <w:left w:w="0" w:type="dxa"/>
          <w:bottom w:w="0" w:type="dxa"/>
          <w:right w:w="0" w:type="dxa"/>
        </w:tblCellMar>
      </w:tblPr>
      <w:tr>
        <w:trPr>
          <w:trHeight w:val="161"/>
        </w:trPr>
        <w:tc>
          <w:tcPr>
            <w:tcW w:w="67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500" w:type="dxa"/>
            <w:vAlign w:val="bottom"/>
            <w:gridSpan w:val="2"/>
          </w:tcPr>
          <w:p>
            <w:pPr>
              <w:spacing w:after="0"/>
              <w:rPr>
                <w:sz w:val="20"/>
                <w:szCs w:val="20"/>
                <w:color w:val="auto"/>
              </w:rPr>
            </w:pPr>
            <w:r>
              <w:rPr>
                <w:rFonts w:ascii="Arial" w:cs="Arial" w:eastAsia="Arial" w:hAnsi="Arial"/>
                <w:sz w:val="14"/>
                <w:szCs w:val="14"/>
                <w:b w:val="1"/>
                <w:bCs w:val="1"/>
                <w:color w:val="auto"/>
              </w:rPr>
              <w:t>As reported June 30,</w:t>
            </w:r>
          </w:p>
        </w:tc>
        <w:tc>
          <w:tcPr>
            <w:tcW w:w="160" w:type="dxa"/>
            <w:vAlign w:val="bottom"/>
          </w:tcPr>
          <w:p>
            <w:pPr>
              <w:spacing w:after="0"/>
              <w:rPr>
                <w:sz w:val="14"/>
                <w:szCs w:val="14"/>
                <w:color w:val="auto"/>
              </w:rPr>
            </w:pPr>
          </w:p>
        </w:tc>
        <w:tc>
          <w:tcPr>
            <w:tcW w:w="142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Total adjustments</w:t>
            </w:r>
          </w:p>
        </w:tc>
        <w:tc>
          <w:tcPr>
            <w:tcW w:w="120" w:type="dxa"/>
            <w:vAlign w:val="bottom"/>
          </w:tcPr>
          <w:p>
            <w:pPr>
              <w:spacing w:after="0"/>
              <w:rPr>
                <w:sz w:val="14"/>
                <w:szCs w:val="14"/>
                <w:color w:val="auto"/>
              </w:rPr>
            </w:pPr>
          </w:p>
        </w:tc>
        <w:tc>
          <w:tcPr>
            <w:tcW w:w="1340" w:type="dxa"/>
            <w:vAlign w:val="bottom"/>
          </w:tcPr>
          <w:p>
            <w:pPr>
              <w:jc w:val="right"/>
              <w:ind w:right="160"/>
              <w:spacing w:after="0"/>
              <w:rPr>
                <w:sz w:val="20"/>
                <w:szCs w:val="20"/>
                <w:color w:val="auto"/>
              </w:rPr>
            </w:pPr>
            <w:r>
              <w:rPr>
                <w:rFonts w:ascii="Arial" w:cs="Arial" w:eastAsia="Arial" w:hAnsi="Arial"/>
                <w:sz w:val="14"/>
                <w:szCs w:val="14"/>
                <w:b w:val="1"/>
                <w:bCs w:val="1"/>
                <w:color w:val="auto"/>
              </w:rPr>
              <w:t>Amounts under</w:t>
            </w:r>
          </w:p>
        </w:tc>
        <w:tc>
          <w:tcPr>
            <w:tcW w:w="0" w:type="dxa"/>
            <w:vAlign w:val="bottom"/>
          </w:tcPr>
          <w:p>
            <w:pPr>
              <w:spacing w:after="0"/>
              <w:rPr>
                <w:sz w:val="1"/>
                <w:szCs w:val="1"/>
                <w:color w:val="auto"/>
              </w:rPr>
            </w:pPr>
          </w:p>
        </w:tc>
      </w:tr>
      <w:tr>
        <w:trPr>
          <w:trHeight w:val="192"/>
        </w:trPr>
        <w:tc>
          <w:tcPr>
            <w:tcW w:w="67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380" w:type="dxa"/>
            <w:vAlign w:val="bottom"/>
          </w:tcPr>
          <w:p>
            <w:pPr>
              <w:jc w:val="right"/>
              <w:ind w:right="520"/>
              <w:spacing w:after="0"/>
              <w:rPr>
                <w:sz w:val="20"/>
                <w:szCs w:val="20"/>
                <w:color w:val="auto"/>
              </w:rPr>
            </w:pPr>
            <w:r>
              <w:rPr>
                <w:rFonts w:ascii="Arial" w:cs="Arial" w:eastAsia="Arial" w:hAnsi="Arial"/>
                <w:sz w:val="14"/>
                <w:szCs w:val="14"/>
                <w:b w:val="1"/>
                <w:bCs w:val="1"/>
                <w:color w:val="auto"/>
              </w:rPr>
              <w:t>2018</w:t>
            </w: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2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1340" w:type="dxa"/>
            <w:vAlign w:val="bottom"/>
          </w:tcPr>
          <w:p>
            <w:pPr>
              <w:jc w:val="right"/>
              <w:ind w:right="40"/>
              <w:spacing w:after="0"/>
              <w:rPr>
                <w:sz w:val="20"/>
                <w:szCs w:val="20"/>
                <w:color w:val="auto"/>
              </w:rPr>
            </w:pPr>
            <w:r>
              <w:rPr>
                <w:rFonts w:ascii="Arial" w:cs="Arial" w:eastAsia="Arial" w:hAnsi="Arial"/>
                <w:sz w:val="14"/>
                <w:szCs w:val="14"/>
                <w:b w:val="1"/>
                <w:bCs w:val="1"/>
                <w:color w:val="auto"/>
                <w:w w:val="91"/>
              </w:rPr>
              <w:t>Previous Standards</w:t>
            </w:r>
          </w:p>
        </w:tc>
        <w:tc>
          <w:tcPr>
            <w:tcW w:w="0" w:type="dxa"/>
            <w:vAlign w:val="bottom"/>
          </w:tcPr>
          <w:p>
            <w:pPr>
              <w:spacing w:after="0"/>
              <w:rPr>
                <w:sz w:val="1"/>
                <w:szCs w:val="1"/>
                <w:color w:val="auto"/>
              </w:rPr>
            </w:pPr>
          </w:p>
        </w:tc>
      </w:tr>
      <w:tr>
        <w:trPr>
          <w:trHeight w:val="250"/>
        </w:trPr>
        <w:tc>
          <w:tcPr>
            <w:tcW w:w="672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Cash flows from operating activities:</w:t>
            </w:r>
          </w:p>
        </w:tc>
        <w:tc>
          <w:tcPr>
            <w:tcW w:w="120" w:type="dxa"/>
            <w:vAlign w:val="bottom"/>
            <w:tcBorders>
              <w:top w:val="single" w:sz="8" w:color="auto"/>
              <w:bottom w:val="single" w:sz="8" w:color="CCEEFF"/>
            </w:tcBorders>
            <w:shd w:val="clear" w:color="auto" w:fill="CCEEFF"/>
          </w:tcPr>
          <w:p>
            <w:pPr>
              <w:spacing w:after="0"/>
              <w:rPr>
                <w:sz w:val="21"/>
                <w:szCs w:val="21"/>
                <w:color w:val="auto"/>
              </w:rPr>
            </w:pPr>
          </w:p>
        </w:tc>
        <w:tc>
          <w:tcPr>
            <w:tcW w:w="138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spacing w:after="0"/>
              <w:rPr>
                <w:sz w:val="21"/>
                <w:szCs w:val="21"/>
                <w:color w:val="auto"/>
              </w:rPr>
            </w:pPr>
          </w:p>
        </w:tc>
        <w:tc>
          <w:tcPr>
            <w:tcW w:w="132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CCEEFF"/>
            </w:tcBorders>
            <w:shd w:val="clear" w:color="auto" w:fill="CCEEFF"/>
          </w:tcPr>
          <w:p>
            <w:pPr>
              <w:spacing w:after="0"/>
              <w:rPr>
                <w:sz w:val="21"/>
                <w:szCs w:val="21"/>
                <w:color w:val="auto"/>
              </w:rPr>
            </w:pPr>
          </w:p>
        </w:tc>
        <w:tc>
          <w:tcPr>
            <w:tcW w:w="134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6720" w:type="dxa"/>
            <w:vAlign w:val="bottom"/>
          </w:tcPr>
          <w:p>
            <w:pPr>
              <w:ind w:left="280"/>
              <w:spacing w:after="0"/>
              <w:rPr>
                <w:sz w:val="20"/>
                <w:szCs w:val="20"/>
                <w:color w:val="auto"/>
              </w:rPr>
            </w:pPr>
            <w:r>
              <w:rPr>
                <w:rFonts w:ascii="Arial" w:cs="Arial" w:eastAsia="Arial" w:hAnsi="Arial"/>
                <w:sz w:val="16"/>
                <w:szCs w:val="16"/>
                <w:color w:val="auto"/>
              </w:rPr>
              <w:t>Net income</w:t>
            </w:r>
          </w:p>
        </w:tc>
        <w:tc>
          <w:tcPr>
            <w:tcW w:w="120" w:type="dxa"/>
            <w:vAlign w:val="bottom"/>
          </w:tcPr>
          <w:p>
            <w:pPr>
              <w:jc w:val="right"/>
              <w:spacing w:after="0"/>
              <w:rPr>
                <w:sz w:val="20"/>
                <w:szCs w:val="20"/>
                <w:color w:val="auto"/>
              </w:rPr>
            </w:pPr>
            <w:r>
              <w:rPr>
                <w:rFonts w:ascii="Arial" w:cs="Arial" w:eastAsia="Arial" w:hAnsi="Arial"/>
                <w:sz w:val="16"/>
                <w:szCs w:val="16"/>
                <w:color w:val="auto"/>
              </w:rPr>
              <w:t>$</w:t>
            </w:r>
          </w:p>
        </w:tc>
        <w:tc>
          <w:tcPr>
            <w:tcW w:w="1380" w:type="dxa"/>
            <w:vAlign w:val="bottom"/>
          </w:tcPr>
          <w:p>
            <w:pPr>
              <w:jc w:val="right"/>
              <w:ind w:right="40"/>
              <w:spacing w:after="0"/>
              <w:rPr>
                <w:sz w:val="20"/>
                <w:szCs w:val="20"/>
                <w:color w:val="auto"/>
              </w:rPr>
            </w:pPr>
            <w:r>
              <w:rPr>
                <w:rFonts w:ascii="Arial" w:cs="Arial" w:eastAsia="Arial" w:hAnsi="Arial"/>
                <w:sz w:val="16"/>
                <w:szCs w:val="16"/>
                <w:color w:val="auto"/>
              </w:rPr>
              <w:t>53,912</w:t>
            </w:r>
          </w:p>
        </w:tc>
        <w:tc>
          <w:tcPr>
            <w:tcW w:w="12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1,903</w:t>
            </w:r>
          </w:p>
        </w:tc>
        <w:tc>
          <w:tcPr>
            <w:tcW w:w="10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rPr>
              <w:t>$</w:t>
            </w:r>
          </w:p>
        </w:tc>
        <w:tc>
          <w:tcPr>
            <w:tcW w:w="1340" w:type="dxa"/>
            <w:vAlign w:val="bottom"/>
          </w:tcPr>
          <w:p>
            <w:pPr>
              <w:jc w:val="right"/>
              <w:ind w:right="20"/>
              <w:spacing w:after="0"/>
              <w:rPr>
                <w:sz w:val="20"/>
                <w:szCs w:val="20"/>
                <w:color w:val="auto"/>
              </w:rPr>
            </w:pPr>
            <w:r>
              <w:rPr>
                <w:rFonts w:ascii="Arial" w:cs="Arial" w:eastAsia="Arial" w:hAnsi="Arial"/>
                <w:sz w:val="16"/>
                <w:szCs w:val="16"/>
                <w:color w:val="auto"/>
              </w:rPr>
              <w:t>55,815</w:t>
            </w: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Adjustments to reconcile net income to net cash provided by operating activities:</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6720" w:type="dxa"/>
            <w:vAlign w:val="bottom"/>
          </w:tcPr>
          <w:p>
            <w:pPr>
              <w:ind w:left="480"/>
              <w:spacing w:after="0"/>
              <w:rPr>
                <w:sz w:val="20"/>
                <w:szCs w:val="20"/>
                <w:color w:val="auto"/>
              </w:rPr>
            </w:pPr>
            <w:r>
              <w:rPr>
                <w:rFonts w:ascii="Arial" w:cs="Arial" w:eastAsia="Arial" w:hAnsi="Arial"/>
                <w:sz w:val="16"/>
                <w:szCs w:val="16"/>
                <w:color w:val="auto"/>
              </w:rPr>
              <w:t>Depreciation and amortization</w:t>
            </w:r>
          </w:p>
        </w:tc>
        <w:tc>
          <w:tcPr>
            <w:tcW w:w="120" w:type="dxa"/>
            <w:vAlign w:val="bottom"/>
          </w:tcPr>
          <w:p>
            <w:pPr>
              <w:spacing w:after="0"/>
              <w:rPr>
                <w:sz w:val="20"/>
                <w:szCs w:val="20"/>
                <w:color w:val="auto"/>
              </w:rPr>
            </w:pPr>
          </w:p>
        </w:tc>
        <w:tc>
          <w:tcPr>
            <w:tcW w:w="1380" w:type="dxa"/>
            <w:vAlign w:val="bottom"/>
          </w:tcPr>
          <w:p>
            <w:pPr>
              <w:jc w:val="right"/>
              <w:ind w:right="40"/>
              <w:spacing w:after="0"/>
              <w:rPr>
                <w:sz w:val="20"/>
                <w:szCs w:val="20"/>
                <w:color w:val="auto"/>
              </w:rPr>
            </w:pPr>
            <w:r>
              <w:rPr>
                <w:rFonts w:ascii="Arial" w:cs="Arial" w:eastAsia="Arial" w:hAnsi="Arial"/>
                <w:sz w:val="16"/>
                <w:szCs w:val="16"/>
                <w:color w:val="auto"/>
              </w:rPr>
              <w:t>17,084</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340" w:type="dxa"/>
            <w:vAlign w:val="bottom"/>
          </w:tcPr>
          <w:p>
            <w:pPr>
              <w:jc w:val="right"/>
              <w:ind w:right="20"/>
              <w:spacing w:after="0"/>
              <w:rPr>
                <w:sz w:val="20"/>
                <w:szCs w:val="20"/>
                <w:color w:val="auto"/>
              </w:rPr>
            </w:pPr>
            <w:r>
              <w:rPr>
                <w:rFonts w:ascii="Arial" w:cs="Arial" w:eastAsia="Arial" w:hAnsi="Arial"/>
                <w:sz w:val="16"/>
                <w:szCs w:val="16"/>
                <w:color w:val="auto"/>
              </w:rPr>
              <w:t>17,084</w:t>
            </w: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6"/>
                <w:szCs w:val="16"/>
                <w:color w:val="auto"/>
              </w:rPr>
              <w:t>Amortization of deferred financing costs</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973</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973</w:t>
            </w:r>
          </w:p>
        </w:tc>
        <w:tc>
          <w:tcPr>
            <w:tcW w:w="0" w:type="dxa"/>
            <w:vAlign w:val="bottom"/>
          </w:tcPr>
          <w:p>
            <w:pPr>
              <w:spacing w:after="0"/>
              <w:rPr>
                <w:sz w:val="1"/>
                <w:szCs w:val="1"/>
                <w:color w:val="auto"/>
              </w:rPr>
            </w:pPr>
          </w:p>
        </w:tc>
      </w:tr>
      <w:tr>
        <w:trPr>
          <w:trHeight w:val="237"/>
        </w:trPr>
        <w:tc>
          <w:tcPr>
            <w:tcW w:w="6720" w:type="dxa"/>
            <w:vAlign w:val="bottom"/>
          </w:tcPr>
          <w:p>
            <w:pPr>
              <w:ind w:left="480"/>
              <w:spacing w:after="0"/>
              <w:rPr>
                <w:sz w:val="20"/>
                <w:szCs w:val="20"/>
                <w:color w:val="auto"/>
              </w:rPr>
            </w:pPr>
            <w:r>
              <w:rPr>
                <w:rFonts w:ascii="Arial" w:cs="Arial" w:eastAsia="Arial" w:hAnsi="Arial"/>
                <w:sz w:val="16"/>
                <w:szCs w:val="16"/>
                <w:color w:val="auto"/>
              </w:rPr>
              <w:t>Amortization of favorable leases and asset retirement obligations</w:t>
            </w:r>
          </w:p>
        </w:tc>
        <w:tc>
          <w:tcPr>
            <w:tcW w:w="120" w:type="dxa"/>
            <w:vAlign w:val="bottom"/>
          </w:tcPr>
          <w:p>
            <w:pPr>
              <w:spacing w:after="0"/>
              <w:rPr>
                <w:sz w:val="20"/>
                <w:szCs w:val="20"/>
                <w:color w:val="auto"/>
              </w:rPr>
            </w:pPr>
          </w:p>
        </w:tc>
        <w:tc>
          <w:tcPr>
            <w:tcW w:w="1380" w:type="dxa"/>
            <w:vAlign w:val="bottom"/>
          </w:tcPr>
          <w:p>
            <w:pPr>
              <w:jc w:val="right"/>
              <w:ind w:right="40"/>
              <w:spacing w:after="0"/>
              <w:rPr>
                <w:sz w:val="20"/>
                <w:szCs w:val="20"/>
                <w:color w:val="auto"/>
              </w:rPr>
            </w:pPr>
            <w:r>
              <w:rPr>
                <w:rFonts w:ascii="Arial" w:cs="Arial" w:eastAsia="Arial" w:hAnsi="Arial"/>
                <w:sz w:val="16"/>
                <w:szCs w:val="16"/>
                <w:color w:val="auto"/>
              </w:rPr>
              <w:t>186</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340" w:type="dxa"/>
            <w:vAlign w:val="bottom"/>
          </w:tcPr>
          <w:p>
            <w:pPr>
              <w:jc w:val="right"/>
              <w:ind w:right="20"/>
              <w:spacing w:after="0"/>
              <w:rPr>
                <w:sz w:val="20"/>
                <w:szCs w:val="20"/>
                <w:color w:val="auto"/>
              </w:rPr>
            </w:pPr>
            <w:r>
              <w:rPr>
                <w:rFonts w:ascii="Arial" w:cs="Arial" w:eastAsia="Arial" w:hAnsi="Arial"/>
                <w:sz w:val="16"/>
                <w:szCs w:val="16"/>
                <w:color w:val="auto"/>
              </w:rPr>
              <w:t>186</w:t>
            </w: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6"/>
                <w:szCs w:val="16"/>
                <w:color w:val="auto"/>
              </w:rPr>
              <w:t>Amortization of interest rate caps</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446</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446</w:t>
            </w:r>
          </w:p>
        </w:tc>
        <w:tc>
          <w:tcPr>
            <w:tcW w:w="0" w:type="dxa"/>
            <w:vAlign w:val="bottom"/>
          </w:tcPr>
          <w:p>
            <w:pPr>
              <w:spacing w:after="0"/>
              <w:rPr>
                <w:sz w:val="1"/>
                <w:szCs w:val="1"/>
                <w:color w:val="auto"/>
              </w:rPr>
            </w:pPr>
          </w:p>
        </w:tc>
      </w:tr>
      <w:tr>
        <w:trPr>
          <w:trHeight w:val="237"/>
        </w:trPr>
        <w:tc>
          <w:tcPr>
            <w:tcW w:w="6720" w:type="dxa"/>
            <w:vAlign w:val="bottom"/>
          </w:tcPr>
          <w:p>
            <w:pPr>
              <w:ind w:left="480"/>
              <w:spacing w:after="0"/>
              <w:rPr>
                <w:sz w:val="20"/>
                <w:szCs w:val="20"/>
                <w:color w:val="auto"/>
              </w:rPr>
            </w:pPr>
            <w:r>
              <w:rPr>
                <w:rFonts w:ascii="Arial" w:cs="Arial" w:eastAsia="Arial" w:hAnsi="Arial"/>
                <w:sz w:val="16"/>
                <w:szCs w:val="16"/>
                <w:color w:val="auto"/>
              </w:rPr>
              <w:t>Deferred tax expense</w:t>
            </w:r>
          </w:p>
        </w:tc>
        <w:tc>
          <w:tcPr>
            <w:tcW w:w="120" w:type="dxa"/>
            <w:vAlign w:val="bottom"/>
          </w:tcPr>
          <w:p>
            <w:pPr>
              <w:spacing w:after="0"/>
              <w:rPr>
                <w:sz w:val="20"/>
                <w:szCs w:val="20"/>
                <w:color w:val="auto"/>
              </w:rPr>
            </w:pPr>
          </w:p>
        </w:tc>
        <w:tc>
          <w:tcPr>
            <w:tcW w:w="1380" w:type="dxa"/>
            <w:vAlign w:val="bottom"/>
          </w:tcPr>
          <w:p>
            <w:pPr>
              <w:jc w:val="right"/>
              <w:ind w:right="40"/>
              <w:spacing w:after="0"/>
              <w:rPr>
                <w:sz w:val="20"/>
                <w:szCs w:val="20"/>
                <w:color w:val="auto"/>
              </w:rPr>
            </w:pPr>
            <w:r>
              <w:rPr>
                <w:rFonts w:ascii="Arial" w:cs="Arial" w:eastAsia="Arial" w:hAnsi="Arial"/>
                <w:sz w:val="16"/>
                <w:szCs w:val="16"/>
                <w:color w:val="auto"/>
              </w:rPr>
              <w:t>13,300</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340" w:type="dxa"/>
            <w:vAlign w:val="bottom"/>
          </w:tcPr>
          <w:p>
            <w:pPr>
              <w:jc w:val="right"/>
              <w:ind w:right="20"/>
              <w:spacing w:after="0"/>
              <w:rPr>
                <w:sz w:val="20"/>
                <w:szCs w:val="20"/>
                <w:color w:val="auto"/>
              </w:rPr>
            </w:pPr>
            <w:r>
              <w:rPr>
                <w:rFonts w:ascii="Arial" w:cs="Arial" w:eastAsia="Arial" w:hAnsi="Arial"/>
                <w:sz w:val="16"/>
                <w:szCs w:val="16"/>
                <w:color w:val="auto"/>
              </w:rPr>
              <w:t>13,300</w:t>
            </w: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6"/>
                <w:szCs w:val="16"/>
                <w:color w:val="auto"/>
              </w:rPr>
              <w:t>Gain on re-measurement of tax benefit arrangement</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(354)</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(354)</w:t>
            </w:r>
          </w:p>
        </w:tc>
        <w:tc>
          <w:tcPr>
            <w:tcW w:w="0" w:type="dxa"/>
            <w:vAlign w:val="bottom"/>
          </w:tcPr>
          <w:p>
            <w:pPr>
              <w:spacing w:after="0"/>
              <w:rPr>
                <w:sz w:val="1"/>
                <w:szCs w:val="1"/>
                <w:color w:val="auto"/>
              </w:rPr>
            </w:pPr>
          </w:p>
        </w:tc>
      </w:tr>
      <w:tr>
        <w:trPr>
          <w:trHeight w:val="237"/>
        </w:trPr>
        <w:tc>
          <w:tcPr>
            <w:tcW w:w="6720" w:type="dxa"/>
            <w:vAlign w:val="bottom"/>
          </w:tcPr>
          <w:p>
            <w:pPr>
              <w:ind w:left="480"/>
              <w:spacing w:after="0"/>
              <w:rPr>
                <w:sz w:val="20"/>
                <w:szCs w:val="20"/>
                <w:color w:val="auto"/>
              </w:rPr>
            </w:pPr>
            <w:r>
              <w:rPr>
                <w:rFonts w:ascii="Arial" w:cs="Arial" w:eastAsia="Arial" w:hAnsi="Arial"/>
                <w:sz w:val="16"/>
                <w:szCs w:val="16"/>
                <w:color w:val="auto"/>
              </w:rPr>
              <w:t>Provision for bad debts</w:t>
            </w:r>
          </w:p>
        </w:tc>
        <w:tc>
          <w:tcPr>
            <w:tcW w:w="120" w:type="dxa"/>
            <w:vAlign w:val="bottom"/>
          </w:tcPr>
          <w:p>
            <w:pPr>
              <w:spacing w:after="0"/>
              <w:rPr>
                <w:sz w:val="20"/>
                <w:szCs w:val="20"/>
                <w:color w:val="auto"/>
              </w:rPr>
            </w:pPr>
          </w:p>
        </w:tc>
        <w:tc>
          <w:tcPr>
            <w:tcW w:w="1380" w:type="dxa"/>
            <w:vAlign w:val="bottom"/>
          </w:tcPr>
          <w:p>
            <w:pPr>
              <w:jc w:val="right"/>
              <w:spacing w:after="0"/>
              <w:rPr>
                <w:sz w:val="20"/>
                <w:szCs w:val="20"/>
                <w:color w:val="auto"/>
              </w:rPr>
            </w:pPr>
            <w:r>
              <w:rPr>
                <w:rFonts w:ascii="Arial" w:cs="Arial" w:eastAsia="Arial" w:hAnsi="Arial"/>
                <w:sz w:val="16"/>
                <w:szCs w:val="16"/>
                <w:color w:val="auto"/>
              </w:rPr>
              <w:t>(8)</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Arial" w:cs="Arial" w:eastAsia="Arial" w:hAnsi="Arial"/>
                <w:sz w:val="16"/>
                <w:szCs w:val="16"/>
                <w:color w:val="auto"/>
              </w:rPr>
              <w:t>(8)</w:t>
            </w: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6"/>
                <w:szCs w:val="16"/>
                <w:color w:val="auto"/>
              </w:rPr>
              <w:t>Loss on reacquired franchise rights</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350</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350</w:t>
            </w:r>
          </w:p>
        </w:tc>
        <w:tc>
          <w:tcPr>
            <w:tcW w:w="0" w:type="dxa"/>
            <w:vAlign w:val="bottom"/>
          </w:tcPr>
          <w:p>
            <w:pPr>
              <w:spacing w:after="0"/>
              <w:rPr>
                <w:sz w:val="1"/>
                <w:szCs w:val="1"/>
                <w:color w:val="auto"/>
              </w:rPr>
            </w:pPr>
          </w:p>
        </w:tc>
      </w:tr>
      <w:tr>
        <w:trPr>
          <w:trHeight w:val="237"/>
        </w:trPr>
        <w:tc>
          <w:tcPr>
            <w:tcW w:w="6720" w:type="dxa"/>
            <w:vAlign w:val="bottom"/>
          </w:tcPr>
          <w:p>
            <w:pPr>
              <w:ind w:left="480"/>
              <w:spacing w:after="0"/>
              <w:rPr>
                <w:sz w:val="20"/>
                <w:szCs w:val="20"/>
                <w:color w:val="auto"/>
              </w:rPr>
            </w:pPr>
            <w:r>
              <w:rPr>
                <w:rFonts w:ascii="Arial" w:cs="Arial" w:eastAsia="Arial" w:hAnsi="Arial"/>
                <w:sz w:val="16"/>
                <w:szCs w:val="16"/>
                <w:color w:val="auto"/>
              </w:rPr>
              <w:t>Loss (gain) on disposal of property and equipment</w:t>
            </w:r>
          </w:p>
        </w:tc>
        <w:tc>
          <w:tcPr>
            <w:tcW w:w="120" w:type="dxa"/>
            <w:vAlign w:val="bottom"/>
          </w:tcPr>
          <w:p>
            <w:pPr>
              <w:spacing w:after="0"/>
              <w:rPr>
                <w:sz w:val="20"/>
                <w:szCs w:val="20"/>
                <w:color w:val="auto"/>
              </w:rPr>
            </w:pPr>
          </w:p>
        </w:tc>
        <w:tc>
          <w:tcPr>
            <w:tcW w:w="1380" w:type="dxa"/>
            <w:vAlign w:val="bottom"/>
          </w:tcPr>
          <w:p>
            <w:pPr>
              <w:jc w:val="right"/>
              <w:ind w:right="40"/>
              <w:spacing w:after="0"/>
              <w:rPr>
                <w:sz w:val="20"/>
                <w:szCs w:val="20"/>
                <w:color w:val="auto"/>
              </w:rPr>
            </w:pPr>
            <w:r>
              <w:rPr>
                <w:rFonts w:ascii="Arial" w:cs="Arial" w:eastAsia="Arial" w:hAnsi="Arial"/>
                <w:sz w:val="16"/>
                <w:szCs w:val="16"/>
                <w:color w:val="auto"/>
              </w:rPr>
              <w:t>547</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340" w:type="dxa"/>
            <w:vAlign w:val="bottom"/>
          </w:tcPr>
          <w:p>
            <w:pPr>
              <w:jc w:val="right"/>
              <w:ind w:right="20"/>
              <w:spacing w:after="0"/>
              <w:rPr>
                <w:sz w:val="20"/>
                <w:szCs w:val="20"/>
                <w:color w:val="auto"/>
              </w:rPr>
            </w:pPr>
            <w:r>
              <w:rPr>
                <w:rFonts w:ascii="Arial" w:cs="Arial" w:eastAsia="Arial" w:hAnsi="Arial"/>
                <w:sz w:val="16"/>
                <w:szCs w:val="16"/>
                <w:color w:val="auto"/>
              </w:rPr>
              <w:t>547</w:t>
            </w: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6"/>
                <w:szCs w:val="16"/>
                <w:color w:val="auto"/>
              </w:rPr>
              <w:t>Equity-based compensation</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2,687</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2,687</w:t>
            </w:r>
          </w:p>
        </w:tc>
        <w:tc>
          <w:tcPr>
            <w:tcW w:w="0" w:type="dxa"/>
            <w:vAlign w:val="bottom"/>
          </w:tcPr>
          <w:p>
            <w:pPr>
              <w:spacing w:after="0"/>
              <w:rPr>
                <w:sz w:val="1"/>
                <w:szCs w:val="1"/>
                <w:color w:val="auto"/>
              </w:rPr>
            </w:pPr>
          </w:p>
        </w:tc>
      </w:tr>
      <w:tr>
        <w:trPr>
          <w:trHeight w:val="237"/>
        </w:trPr>
        <w:tc>
          <w:tcPr>
            <w:tcW w:w="6720" w:type="dxa"/>
            <w:vAlign w:val="bottom"/>
          </w:tcPr>
          <w:p>
            <w:pPr>
              <w:ind w:left="480"/>
              <w:spacing w:after="0"/>
              <w:rPr>
                <w:sz w:val="20"/>
                <w:szCs w:val="20"/>
                <w:color w:val="auto"/>
              </w:rPr>
            </w:pPr>
            <w:r>
              <w:rPr>
                <w:rFonts w:ascii="Arial" w:cs="Arial" w:eastAsia="Arial" w:hAnsi="Arial"/>
                <w:sz w:val="16"/>
                <w:szCs w:val="16"/>
                <w:color w:val="auto"/>
              </w:rPr>
              <w:t>Changes in operating assets and liabilities, excluding effects of acquisitions:</w:t>
            </w:r>
          </w:p>
        </w:tc>
        <w:tc>
          <w:tcPr>
            <w:tcW w:w="12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700"/>
              <w:spacing w:after="0"/>
              <w:rPr>
                <w:sz w:val="20"/>
                <w:szCs w:val="20"/>
                <w:color w:val="auto"/>
              </w:rPr>
            </w:pPr>
            <w:r>
              <w:rPr>
                <w:rFonts w:ascii="Arial" w:cs="Arial" w:eastAsia="Arial" w:hAnsi="Arial"/>
                <w:sz w:val="16"/>
                <w:szCs w:val="16"/>
                <w:color w:val="auto"/>
              </w:rPr>
              <w:t>Accounts receivable</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22,281</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22,281</w:t>
            </w:r>
          </w:p>
        </w:tc>
        <w:tc>
          <w:tcPr>
            <w:tcW w:w="0" w:type="dxa"/>
            <w:vAlign w:val="bottom"/>
          </w:tcPr>
          <w:p>
            <w:pPr>
              <w:spacing w:after="0"/>
              <w:rPr>
                <w:sz w:val="1"/>
                <w:szCs w:val="1"/>
                <w:color w:val="auto"/>
              </w:rPr>
            </w:pPr>
          </w:p>
        </w:tc>
      </w:tr>
      <w:tr>
        <w:trPr>
          <w:trHeight w:val="237"/>
        </w:trPr>
        <w:tc>
          <w:tcPr>
            <w:tcW w:w="6720" w:type="dxa"/>
            <w:vAlign w:val="bottom"/>
          </w:tcPr>
          <w:p>
            <w:pPr>
              <w:ind w:left="700"/>
              <w:spacing w:after="0"/>
              <w:rPr>
                <w:sz w:val="20"/>
                <w:szCs w:val="20"/>
                <w:color w:val="auto"/>
              </w:rPr>
            </w:pPr>
            <w:r>
              <w:rPr>
                <w:rFonts w:ascii="Arial" w:cs="Arial" w:eastAsia="Arial" w:hAnsi="Arial"/>
                <w:sz w:val="16"/>
                <w:szCs w:val="16"/>
                <w:color w:val="auto"/>
              </w:rPr>
              <w:t>Due to and due from related parties</w:t>
            </w:r>
          </w:p>
        </w:tc>
        <w:tc>
          <w:tcPr>
            <w:tcW w:w="120" w:type="dxa"/>
            <w:vAlign w:val="bottom"/>
          </w:tcPr>
          <w:p>
            <w:pPr>
              <w:spacing w:after="0"/>
              <w:rPr>
                <w:sz w:val="20"/>
                <w:szCs w:val="20"/>
                <w:color w:val="auto"/>
              </w:rPr>
            </w:pPr>
          </w:p>
        </w:tc>
        <w:tc>
          <w:tcPr>
            <w:tcW w:w="1380" w:type="dxa"/>
            <w:vAlign w:val="bottom"/>
          </w:tcPr>
          <w:p>
            <w:pPr>
              <w:jc w:val="right"/>
              <w:ind w:right="40"/>
              <w:spacing w:after="0"/>
              <w:rPr>
                <w:sz w:val="20"/>
                <w:szCs w:val="20"/>
                <w:color w:val="auto"/>
              </w:rPr>
            </w:pPr>
            <w:r>
              <w:rPr>
                <w:rFonts w:ascii="Arial" w:cs="Arial" w:eastAsia="Arial" w:hAnsi="Arial"/>
                <w:sz w:val="16"/>
                <w:szCs w:val="16"/>
                <w:color w:val="auto"/>
              </w:rPr>
              <w:t>3,375</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340" w:type="dxa"/>
            <w:vAlign w:val="bottom"/>
          </w:tcPr>
          <w:p>
            <w:pPr>
              <w:jc w:val="right"/>
              <w:ind w:right="20"/>
              <w:spacing w:after="0"/>
              <w:rPr>
                <w:sz w:val="20"/>
                <w:szCs w:val="20"/>
                <w:color w:val="auto"/>
              </w:rPr>
            </w:pPr>
            <w:r>
              <w:rPr>
                <w:rFonts w:ascii="Arial" w:cs="Arial" w:eastAsia="Arial" w:hAnsi="Arial"/>
                <w:sz w:val="16"/>
                <w:szCs w:val="16"/>
                <w:color w:val="auto"/>
              </w:rPr>
              <w:t>3,375</w:t>
            </w: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700"/>
              <w:spacing w:after="0"/>
              <w:rPr>
                <w:sz w:val="20"/>
                <w:szCs w:val="20"/>
                <w:color w:val="auto"/>
              </w:rPr>
            </w:pPr>
            <w:r>
              <w:rPr>
                <w:rFonts w:ascii="Arial" w:cs="Arial" w:eastAsia="Arial" w:hAnsi="Arial"/>
                <w:sz w:val="16"/>
                <w:szCs w:val="16"/>
                <w:color w:val="auto"/>
              </w:rPr>
              <w:t>Inventory</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(501)</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(501)</w:t>
            </w:r>
          </w:p>
        </w:tc>
        <w:tc>
          <w:tcPr>
            <w:tcW w:w="0" w:type="dxa"/>
            <w:vAlign w:val="bottom"/>
          </w:tcPr>
          <w:p>
            <w:pPr>
              <w:spacing w:after="0"/>
              <w:rPr>
                <w:sz w:val="1"/>
                <w:szCs w:val="1"/>
                <w:color w:val="auto"/>
              </w:rPr>
            </w:pPr>
          </w:p>
        </w:tc>
      </w:tr>
      <w:tr>
        <w:trPr>
          <w:trHeight w:val="237"/>
        </w:trPr>
        <w:tc>
          <w:tcPr>
            <w:tcW w:w="6720" w:type="dxa"/>
            <w:vAlign w:val="bottom"/>
          </w:tcPr>
          <w:p>
            <w:pPr>
              <w:ind w:left="700"/>
              <w:spacing w:after="0"/>
              <w:rPr>
                <w:sz w:val="20"/>
                <w:szCs w:val="20"/>
                <w:color w:val="auto"/>
              </w:rPr>
            </w:pPr>
            <w:r>
              <w:rPr>
                <w:rFonts w:ascii="Arial" w:cs="Arial" w:eastAsia="Arial" w:hAnsi="Arial"/>
                <w:sz w:val="16"/>
                <w:szCs w:val="16"/>
                <w:color w:val="auto"/>
              </w:rPr>
              <w:t>Other assets and other current assets</w:t>
            </w:r>
          </w:p>
        </w:tc>
        <w:tc>
          <w:tcPr>
            <w:tcW w:w="120" w:type="dxa"/>
            <w:vAlign w:val="bottom"/>
          </w:tcPr>
          <w:p>
            <w:pPr>
              <w:spacing w:after="0"/>
              <w:rPr>
                <w:sz w:val="20"/>
                <w:szCs w:val="20"/>
                <w:color w:val="auto"/>
              </w:rPr>
            </w:pPr>
          </w:p>
        </w:tc>
        <w:tc>
          <w:tcPr>
            <w:tcW w:w="1380" w:type="dxa"/>
            <w:vAlign w:val="bottom"/>
          </w:tcPr>
          <w:p>
            <w:pPr>
              <w:jc w:val="right"/>
              <w:spacing w:after="0"/>
              <w:rPr>
                <w:sz w:val="20"/>
                <w:szCs w:val="20"/>
                <w:color w:val="auto"/>
              </w:rPr>
            </w:pPr>
            <w:r>
              <w:rPr>
                <w:rFonts w:ascii="Arial" w:cs="Arial" w:eastAsia="Arial" w:hAnsi="Arial"/>
                <w:sz w:val="16"/>
                <w:szCs w:val="16"/>
                <w:color w:val="auto"/>
              </w:rPr>
              <w:t>(3,109)</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Arial" w:cs="Arial" w:eastAsia="Arial" w:hAnsi="Arial"/>
                <w:sz w:val="16"/>
                <w:szCs w:val="16"/>
                <w:color w:val="auto"/>
              </w:rPr>
              <w:t>(3,109)</w:t>
            </w: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700"/>
              <w:spacing w:after="0"/>
              <w:rPr>
                <w:sz w:val="20"/>
                <w:szCs w:val="20"/>
                <w:color w:val="auto"/>
              </w:rPr>
            </w:pPr>
            <w:r>
              <w:rPr>
                <w:rFonts w:ascii="Arial" w:cs="Arial" w:eastAsia="Arial" w:hAnsi="Arial"/>
                <w:sz w:val="16"/>
                <w:szCs w:val="16"/>
                <w:color w:val="auto"/>
              </w:rPr>
              <w:t>National advertising fund</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(1,634)</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(1,634)</w:t>
            </w:r>
          </w:p>
        </w:tc>
        <w:tc>
          <w:tcPr>
            <w:tcW w:w="0" w:type="dxa"/>
            <w:vAlign w:val="bottom"/>
          </w:tcPr>
          <w:p>
            <w:pPr>
              <w:spacing w:after="0"/>
              <w:rPr>
                <w:sz w:val="1"/>
                <w:szCs w:val="1"/>
                <w:color w:val="auto"/>
              </w:rPr>
            </w:pPr>
          </w:p>
        </w:tc>
      </w:tr>
      <w:tr>
        <w:trPr>
          <w:trHeight w:val="237"/>
        </w:trPr>
        <w:tc>
          <w:tcPr>
            <w:tcW w:w="6720" w:type="dxa"/>
            <w:vAlign w:val="bottom"/>
          </w:tcPr>
          <w:p>
            <w:pPr>
              <w:ind w:left="700"/>
              <w:spacing w:after="0"/>
              <w:rPr>
                <w:sz w:val="20"/>
                <w:szCs w:val="20"/>
                <w:color w:val="auto"/>
              </w:rPr>
            </w:pPr>
            <w:r>
              <w:rPr>
                <w:rFonts w:ascii="Arial" w:cs="Arial" w:eastAsia="Arial" w:hAnsi="Arial"/>
                <w:sz w:val="16"/>
                <w:szCs w:val="16"/>
                <w:color w:val="auto"/>
              </w:rPr>
              <w:t>Accounts payable and accrued expenses</w:t>
            </w:r>
          </w:p>
        </w:tc>
        <w:tc>
          <w:tcPr>
            <w:tcW w:w="120" w:type="dxa"/>
            <w:vAlign w:val="bottom"/>
          </w:tcPr>
          <w:p>
            <w:pPr>
              <w:spacing w:after="0"/>
              <w:rPr>
                <w:sz w:val="20"/>
                <w:szCs w:val="20"/>
                <w:color w:val="auto"/>
              </w:rPr>
            </w:pPr>
          </w:p>
        </w:tc>
        <w:tc>
          <w:tcPr>
            <w:tcW w:w="1380" w:type="dxa"/>
            <w:vAlign w:val="bottom"/>
          </w:tcPr>
          <w:p>
            <w:pPr>
              <w:jc w:val="right"/>
              <w:spacing w:after="0"/>
              <w:rPr>
                <w:sz w:val="20"/>
                <w:szCs w:val="20"/>
                <w:color w:val="auto"/>
              </w:rPr>
            </w:pPr>
            <w:r>
              <w:rPr>
                <w:rFonts w:ascii="Arial" w:cs="Arial" w:eastAsia="Arial" w:hAnsi="Arial"/>
                <w:sz w:val="16"/>
                <w:szCs w:val="16"/>
                <w:color w:val="auto"/>
              </w:rPr>
              <w:t>(16,884)</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Arial" w:cs="Arial" w:eastAsia="Arial" w:hAnsi="Arial"/>
                <w:sz w:val="16"/>
                <w:szCs w:val="16"/>
                <w:color w:val="auto"/>
              </w:rPr>
              <w:t>(16,884)</w:t>
            </w: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700"/>
              <w:spacing w:after="0"/>
              <w:rPr>
                <w:sz w:val="20"/>
                <w:szCs w:val="20"/>
                <w:color w:val="auto"/>
              </w:rPr>
            </w:pPr>
            <w:r>
              <w:rPr>
                <w:rFonts w:ascii="Arial" w:cs="Arial" w:eastAsia="Arial" w:hAnsi="Arial"/>
                <w:sz w:val="16"/>
                <w:szCs w:val="16"/>
                <w:color w:val="auto"/>
              </w:rPr>
              <w:t>Other liabilities and other current liabilities</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(2,908)</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(2,908)</w:t>
            </w:r>
          </w:p>
        </w:tc>
        <w:tc>
          <w:tcPr>
            <w:tcW w:w="0" w:type="dxa"/>
            <w:vAlign w:val="bottom"/>
          </w:tcPr>
          <w:p>
            <w:pPr>
              <w:spacing w:after="0"/>
              <w:rPr>
                <w:sz w:val="1"/>
                <w:szCs w:val="1"/>
                <w:color w:val="auto"/>
              </w:rPr>
            </w:pPr>
          </w:p>
        </w:tc>
      </w:tr>
      <w:tr>
        <w:trPr>
          <w:trHeight w:val="237"/>
        </w:trPr>
        <w:tc>
          <w:tcPr>
            <w:tcW w:w="6720" w:type="dxa"/>
            <w:vAlign w:val="bottom"/>
          </w:tcPr>
          <w:p>
            <w:pPr>
              <w:ind w:left="700"/>
              <w:spacing w:after="0"/>
              <w:rPr>
                <w:sz w:val="20"/>
                <w:szCs w:val="20"/>
                <w:color w:val="auto"/>
              </w:rPr>
            </w:pPr>
            <w:r>
              <w:rPr>
                <w:rFonts w:ascii="Arial" w:cs="Arial" w:eastAsia="Arial" w:hAnsi="Arial"/>
                <w:sz w:val="16"/>
                <w:szCs w:val="16"/>
                <w:color w:val="auto"/>
              </w:rPr>
              <w:t>Income taxes</w:t>
            </w:r>
          </w:p>
        </w:tc>
        <w:tc>
          <w:tcPr>
            <w:tcW w:w="120" w:type="dxa"/>
            <w:vAlign w:val="bottom"/>
          </w:tcPr>
          <w:p>
            <w:pPr>
              <w:spacing w:after="0"/>
              <w:rPr>
                <w:sz w:val="20"/>
                <w:szCs w:val="20"/>
                <w:color w:val="auto"/>
              </w:rPr>
            </w:pPr>
          </w:p>
        </w:tc>
        <w:tc>
          <w:tcPr>
            <w:tcW w:w="1380" w:type="dxa"/>
            <w:vAlign w:val="bottom"/>
          </w:tcPr>
          <w:p>
            <w:pPr>
              <w:jc w:val="right"/>
              <w:ind w:right="40"/>
              <w:spacing w:after="0"/>
              <w:rPr>
                <w:sz w:val="20"/>
                <w:szCs w:val="20"/>
                <w:color w:val="auto"/>
              </w:rPr>
            </w:pPr>
            <w:r>
              <w:rPr>
                <w:rFonts w:ascii="Arial" w:cs="Arial" w:eastAsia="Arial" w:hAnsi="Arial"/>
                <w:sz w:val="16"/>
                <w:szCs w:val="16"/>
                <w:color w:val="auto"/>
              </w:rPr>
              <w:t>131</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624</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40" w:type="dxa"/>
            <w:vAlign w:val="bottom"/>
          </w:tcPr>
          <w:p>
            <w:pPr>
              <w:jc w:val="right"/>
              <w:ind w:right="20"/>
              <w:spacing w:after="0"/>
              <w:rPr>
                <w:sz w:val="20"/>
                <w:szCs w:val="20"/>
                <w:color w:val="auto"/>
              </w:rPr>
            </w:pPr>
            <w:r>
              <w:rPr>
                <w:rFonts w:ascii="Arial" w:cs="Arial" w:eastAsia="Arial" w:hAnsi="Arial"/>
                <w:sz w:val="16"/>
                <w:szCs w:val="16"/>
                <w:color w:val="auto"/>
              </w:rPr>
              <w:t>755</w:t>
            </w: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700"/>
              <w:spacing w:after="0"/>
              <w:rPr>
                <w:sz w:val="20"/>
                <w:szCs w:val="20"/>
                <w:color w:val="auto"/>
              </w:rPr>
            </w:pPr>
            <w:r>
              <w:rPr>
                <w:rFonts w:ascii="Arial" w:cs="Arial" w:eastAsia="Arial" w:hAnsi="Arial"/>
                <w:sz w:val="16"/>
                <w:szCs w:val="16"/>
                <w:color w:val="auto"/>
              </w:rPr>
              <w:t>Payable to related parties pursuant to tax benefit arrangements</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(21,706)</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(21,706)</w:t>
            </w:r>
          </w:p>
        </w:tc>
        <w:tc>
          <w:tcPr>
            <w:tcW w:w="0" w:type="dxa"/>
            <w:vAlign w:val="bottom"/>
          </w:tcPr>
          <w:p>
            <w:pPr>
              <w:spacing w:after="0"/>
              <w:rPr>
                <w:sz w:val="1"/>
                <w:szCs w:val="1"/>
                <w:color w:val="auto"/>
              </w:rPr>
            </w:pPr>
          </w:p>
        </w:tc>
      </w:tr>
      <w:tr>
        <w:trPr>
          <w:trHeight w:val="237"/>
        </w:trPr>
        <w:tc>
          <w:tcPr>
            <w:tcW w:w="6720" w:type="dxa"/>
            <w:vAlign w:val="bottom"/>
          </w:tcPr>
          <w:p>
            <w:pPr>
              <w:ind w:left="700"/>
              <w:spacing w:after="0"/>
              <w:rPr>
                <w:sz w:val="20"/>
                <w:szCs w:val="20"/>
                <w:color w:val="auto"/>
              </w:rPr>
            </w:pPr>
            <w:r>
              <w:rPr>
                <w:rFonts w:ascii="Arial" w:cs="Arial" w:eastAsia="Arial" w:hAnsi="Arial"/>
                <w:sz w:val="16"/>
                <w:szCs w:val="16"/>
                <w:color w:val="auto"/>
              </w:rPr>
              <w:t>Equipment deposits</w:t>
            </w:r>
          </w:p>
        </w:tc>
        <w:tc>
          <w:tcPr>
            <w:tcW w:w="120" w:type="dxa"/>
            <w:vAlign w:val="bottom"/>
          </w:tcPr>
          <w:p>
            <w:pPr>
              <w:spacing w:after="0"/>
              <w:rPr>
                <w:sz w:val="20"/>
                <w:szCs w:val="20"/>
                <w:color w:val="auto"/>
              </w:rPr>
            </w:pPr>
          </w:p>
        </w:tc>
        <w:tc>
          <w:tcPr>
            <w:tcW w:w="1380" w:type="dxa"/>
            <w:vAlign w:val="bottom"/>
          </w:tcPr>
          <w:p>
            <w:pPr>
              <w:jc w:val="right"/>
              <w:ind w:right="40"/>
              <w:spacing w:after="0"/>
              <w:rPr>
                <w:sz w:val="20"/>
                <w:szCs w:val="20"/>
                <w:color w:val="auto"/>
              </w:rPr>
            </w:pPr>
            <w:r>
              <w:rPr>
                <w:rFonts w:ascii="Arial" w:cs="Arial" w:eastAsia="Arial" w:hAnsi="Arial"/>
                <w:sz w:val="16"/>
                <w:szCs w:val="16"/>
                <w:color w:val="auto"/>
              </w:rPr>
              <w:t>2,503</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340" w:type="dxa"/>
            <w:vAlign w:val="bottom"/>
          </w:tcPr>
          <w:p>
            <w:pPr>
              <w:jc w:val="right"/>
              <w:ind w:right="20"/>
              <w:spacing w:after="0"/>
              <w:rPr>
                <w:sz w:val="20"/>
                <w:szCs w:val="20"/>
                <w:color w:val="auto"/>
              </w:rPr>
            </w:pPr>
            <w:r>
              <w:rPr>
                <w:rFonts w:ascii="Arial" w:cs="Arial" w:eastAsia="Arial" w:hAnsi="Arial"/>
                <w:sz w:val="16"/>
                <w:szCs w:val="16"/>
                <w:color w:val="auto"/>
              </w:rPr>
              <w:t>2,503</w:t>
            </w: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700"/>
              <w:spacing w:after="0"/>
              <w:rPr>
                <w:sz w:val="20"/>
                <w:szCs w:val="20"/>
                <w:color w:val="auto"/>
              </w:rPr>
            </w:pPr>
            <w:r>
              <w:rPr>
                <w:rFonts w:ascii="Arial" w:cs="Arial" w:eastAsia="Arial" w:hAnsi="Arial"/>
                <w:sz w:val="16"/>
                <w:szCs w:val="16"/>
                <w:color w:val="auto"/>
              </w:rPr>
              <w:t>Deferred revenue</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6,229</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(2,527)</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3,702</w:t>
            </w:r>
          </w:p>
        </w:tc>
        <w:tc>
          <w:tcPr>
            <w:tcW w:w="0" w:type="dxa"/>
            <w:vAlign w:val="bottom"/>
          </w:tcPr>
          <w:p>
            <w:pPr>
              <w:spacing w:after="0"/>
              <w:rPr>
                <w:sz w:val="1"/>
                <w:szCs w:val="1"/>
                <w:color w:val="auto"/>
              </w:rPr>
            </w:pPr>
          </w:p>
        </w:tc>
      </w:tr>
      <w:tr>
        <w:trPr>
          <w:trHeight w:val="237"/>
        </w:trPr>
        <w:tc>
          <w:tcPr>
            <w:tcW w:w="6720" w:type="dxa"/>
            <w:vAlign w:val="bottom"/>
          </w:tcPr>
          <w:p>
            <w:pPr>
              <w:ind w:left="700"/>
              <w:spacing w:after="0"/>
              <w:rPr>
                <w:sz w:val="20"/>
                <w:szCs w:val="20"/>
                <w:color w:val="auto"/>
              </w:rPr>
            </w:pPr>
            <w:r>
              <w:rPr>
                <w:rFonts w:ascii="Arial" w:cs="Arial" w:eastAsia="Arial" w:hAnsi="Arial"/>
                <w:sz w:val="16"/>
                <w:szCs w:val="16"/>
                <w:color w:val="auto"/>
              </w:rPr>
              <w:t>Deferred rent</w:t>
            </w:r>
          </w:p>
        </w:tc>
        <w:tc>
          <w:tcPr>
            <w:tcW w:w="120" w:type="dxa"/>
            <w:vAlign w:val="bottom"/>
          </w:tcPr>
          <w:p>
            <w:pPr>
              <w:spacing w:after="0"/>
              <w:rPr>
                <w:sz w:val="20"/>
                <w:szCs w:val="20"/>
                <w:color w:val="auto"/>
              </w:rPr>
            </w:pPr>
          </w:p>
        </w:tc>
        <w:tc>
          <w:tcPr>
            <w:tcW w:w="1380" w:type="dxa"/>
            <w:vAlign w:val="bottom"/>
          </w:tcPr>
          <w:p>
            <w:pPr>
              <w:jc w:val="right"/>
              <w:ind w:right="40"/>
              <w:spacing w:after="0"/>
              <w:rPr>
                <w:sz w:val="20"/>
                <w:szCs w:val="20"/>
                <w:color w:val="auto"/>
              </w:rPr>
            </w:pPr>
            <w:r>
              <w:rPr>
                <w:rFonts w:ascii="Arial" w:cs="Arial" w:eastAsia="Arial" w:hAnsi="Arial"/>
                <w:sz w:val="16"/>
                <w:szCs w:val="16"/>
                <w:color w:val="auto"/>
              </w:rPr>
              <w:t>1594</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340" w:type="dxa"/>
            <w:vAlign w:val="bottom"/>
          </w:tcPr>
          <w:p>
            <w:pPr>
              <w:jc w:val="right"/>
              <w:ind w:right="20"/>
              <w:spacing w:after="0"/>
              <w:rPr>
                <w:sz w:val="20"/>
                <w:szCs w:val="20"/>
                <w:color w:val="auto"/>
              </w:rPr>
            </w:pPr>
            <w:r>
              <w:rPr>
                <w:rFonts w:ascii="Arial" w:cs="Arial" w:eastAsia="Arial" w:hAnsi="Arial"/>
                <w:sz w:val="16"/>
                <w:szCs w:val="16"/>
                <w:color w:val="auto"/>
              </w:rPr>
              <w:t>1,594</w:t>
            </w:r>
          </w:p>
        </w:tc>
        <w:tc>
          <w:tcPr>
            <w:tcW w:w="0" w:type="dxa"/>
            <w:vAlign w:val="bottom"/>
          </w:tcPr>
          <w:p>
            <w:pPr>
              <w:spacing w:after="0"/>
              <w:rPr>
                <w:sz w:val="1"/>
                <w:szCs w:val="1"/>
                <w:color w:val="auto"/>
              </w:rPr>
            </w:pPr>
          </w:p>
        </w:tc>
      </w:tr>
      <w:tr>
        <w:trPr>
          <w:trHeight w:val="33"/>
        </w:trPr>
        <w:tc>
          <w:tcPr>
            <w:tcW w:w="67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6720" w:type="dxa"/>
            <w:vAlign w:val="bottom"/>
            <w:tcBorders>
              <w:bottom w:val="single" w:sz="8" w:color="CCEEFF"/>
            </w:tcBorders>
            <w:shd w:val="clear" w:color="auto" w:fill="CCEEFF"/>
          </w:tcPr>
          <w:p>
            <w:pPr>
              <w:ind w:left="1020"/>
              <w:spacing w:after="0"/>
              <w:rPr>
                <w:sz w:val="20"/>
                <w:szCs w:val="20"/>
                <w:color w:val="auto"/>
              </w:rPr>
            </w:pPr>
            <w:r>
              <w:rPr>
                <w:rFonts w:ascii="Arial" w:cs="Arial" w:eastAsia="Arial" w:hAnsi="Arial"/>
                <w:sz w:val="16"/>
                <w:szCs w:val="16"/>
                <w:color w:val="auto"/>
              </w:rPr>
              <w:t>Net cash provided by operating activities</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3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78,494</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4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3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78,494</w:t>
            </w:r>
          </w:p>
        </w:tc>
        <w:tc>
          <w:tcPr>
            <w:tcW w:w="0" w:type="dxa"/>
            <w:vAlign w:val="bottom"/>
          </w:tcPr>
          <w:p>
            <w:pPr>
              <w:spacing w:after="0"/>
              <w:rPr>
                <w:sz w:val="1"/>
                <w:szCs w:val="1"/>
                <w:color w:val="auto"/>
              </w:rPr>
            </w:pPr>
          </w:p>
        </w:tc>
      </w:tr>
      <w:tr>
        <w:trPr>
          <w:trHeight w:val="20"/>
        </w:trPr>
        <w:tc>
          <w:tcPr>
            <w:tcW w:w="67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4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00"/>
          </w:cols>
          <w:pgMar w:left="240" w:top="229" w:right="259"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1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25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Consolidated Balance Sheet</w:t>
      </w:r>
    </w:p>
    <w:p>
      <w:pPr>
        <w:spacing w:after="0" w:line="150" w:lineRule="exact"/>
        <w:rPr>
          <w:sz w:val="20"/>
          <w:szCs w:val="20"/>
          <w:color w:val="auto"/>
        </w:rPr>
      </w:pPr>
    </w:p>
    <w:tbl>
      <w:tblPr>
        <w:tblLayout w:type="fixed"/>
        <w:tblInd w:w="20" w:type="dxa"/>
        <w:tblCellMar>
          <w:top w:w="0" w:type="dxa"/>
          <w:left w:w="0" w:type="dxa"/>
          <w:bottom w:w="0" w:type="dxa"/>
          <w:right w:w="0" w:type="dxa"/>
        </w:tblCellMar>
      </w:tblPr>
      <w:tr>
        <w:trPr>
          <w:trHeight w:val="161"/>
        </w:trPr>
        <w:tc>
          <w:tcPr>
            <w:tcW w:w="67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500" w:type="dxa"/>
            <w:vAlign w:val="bottom"/>
            <w:gridSpan w:val="2"/>
          </w:tcPr>
          <w:p>
            <w:pPr>
              <w:spacing w:after="0"/>
              <w:rPr>
                <w:sz w:val="20"/>
                <w:szCs w:val="20"/>
                <w:color w:val="auto"/>
              </w:rPr>
            </w:pPr>
            <w:r>
              <w:rPr>
                <w:rFonts w:ascii="Arial" w:cs="Arial" w:eastAsia="Arial" w:hAnsi="Arial"/>
                <w:sz w:val="14"/>
                <w:szCs w:val="14"/>
                <w:b w:val="1"/>
                <w:bCs w:val="1"/>
                <w:color w:val="auto"/>
              </w:rPr>
              <w:t>As reported June 30,</w:t>
            </w:r>
          </w:p>
        </w:tc>
        <w:tc>
          <w:tcPr>
            <w:tcW w:w="160" w:type="dxa"/>
            <w:vAlign w:val="bottom"/>
          </w:tcPr>
          <w:p>
            <w:pPr>
              <w:spacing w:after="0"/>
              <w:rPr>
                <w:sz w:val="14"/>
                <w:szCs w:val="14"/>
                <w:color w:val="auto"/>
              </w:rPr>
            </w:pPr>
          </w:p>
        </w:tc>
        <w:tc>
          <w:tcPr>
            <w:tcW w:w="142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Total adjustments</w:t>
            </w:r>
          </w:p>
        </w:tc>
        <w:tc>
          <w:tcPr>
            <w:tcW w:w="120" w:type="dxa"/>
            <w:vAlign w:val="bottom"/>
          </w:tcPr>
          <w:p>
            <w:pPr>
              <w:spacing w:after="0"/>
              <w:rPr>
                <w:sz w:val="14"/>
                <w:szCs w:val="14"/>
                <w:color w:val="auto"/>
              </w:rPr>
            </w:pPr>
          </w:p>
        </w:tc>
        <w:tc>
          <w:tcPr>
            <w:tcW w:w="1340" w:type="dxa"/>
            <w:vAlign w:val="bottom"/>
          </w:tcPr>
          <w:p>
            <w:pPr>
              <w:jc w:val="right"/>
              <w:ind w:right="159"/>
              <w:spacing w:after="0"/>
              <w:rPr>
                <w:sz w:val="20"/>
                <w:szCs w:val="20"/>
                <w:color w:val="auto"/>
              </w:rPr>
            </w:pPr>
            <w:r>
              <w:rPr>
                <w:rFonts w:ascii="Arial" w:cs="Arial" w:eastAsia="Arial" w:hAnsi="Arial"/>
                <w:sz w:val="14"/>
                <w:szCs w:val="14"/>
                <w:b w:val="1"/>
                <w:bCs w:val="1"/>
                <w:color w:val="auto"/>
              </w:rPr>
              <w:t>Amounts under</w:t>
            </w:r>
          </w:p>
        </w:tc>
        <w:tc>
          <w:tcPr>
            <w:tcW w:w="0" w:type="dxa"/>
            <w:vAlign w:val="bottom"/>
          </w:tcPr>
          <w:p>
            <w:pPr>
              <w:spacing w:after="0"/>
              <w:rPr>
                <w:sz w:val="1"/>
                <w:szCs w:val="1"/>
                <w:color w:val="auto"/>
              </w:rPr>
            </w:pPr>
          </w:p>
        </w:tc>
      </w:tr>
      <w:tr>
        <w:trPr>
          <w:trHeight w:val="192"/>
        </w:trPr>
        <w:tc>
          <w:tcPr>
            <w:tcW w:w="67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380" w:type="dxa"/>
            <w:vAlign w:val="bottom"/>
          </w:tcPr>
          <w:p>
            <w:pPr>
              <w:jc w:val="right"/>
              <w:ind w:right="519"/>
              <w:spacing w:after="0"/>
              <w:rPr>
                <w:sz w:val="20"/>
                <w:szCs w:val="20"/>
                <w:color w:val="auto"/>
              </w:rPr>
            </w:pPr>
            <w:r>
              <w:rPr>
                <w:rFonts w:ascii="Arial" w:cs="Arial" w:eastAsia="Arial" w:hAnsi="Arial"/>
                <w:sz w:val="14"/>
                <w:szCs w:val="14"/>
                <w:b w:val="1"/>
                <w:bCs w:val="1"/>
                <w:color w:val="auto"/>
              </w:rPr>
              <w:t>2018</w:t>
            </w: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2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1340" w:type="dxa"/>
            <w:vAlign w:val="bottom"/>
          </w:tcPr>
          <w:p>
            <w:pPr>
              <w:jc w:val="right"/>
              <w:ind w:right="39"/>
              <w:spacing w:after="0"/>
              <w:rPr>
                <w:sz w:val="20"/>
                <w:szCs w:val="20"/>
                <w:color w:val="auto"/>
              </w:rPr>
            </w:pPr>
            <w:r>
              <w:rPr>
                <w:rFonts w:ascii="Arial" w:cs="Arial" w:eastAsia="Arial" w:hAnsi="Arial"/>
                <w:sz w:val="14"/>
                <w:szCs w:val="14"/>
                <w:b w:val="1"/>
                <w:bCs w:val="1"/>
                <w:color w:val="auto"/>
                <w:w w:val="91"/>
              </w:rPr>
              <w:t>Previous Standards</w:t>
            </w:r>
          </w:p>
        </w:tc>
        <w:tc>
          <w:tcPr>
            <w:tcW w:w="0" w:type="dxa"/>
            <w:vAlign w:val="bottom"/>
          </w:tcPr>
          <w:p>
            <w:pPr>
              <w:spacing w:after="0"/>
              <w:rPr>
                <w:sz w:val="1"/>
                <w:szCs w:val="1"/>
                <w:color w:val="auto"/>
              </w:rPr>
            </w:pPr>
          </w:p>
        </w:tc>
      </w:tr>
      <w:tr>
        <w:trPr>
          <w:trHeight w:val="237"/>
        </w:trPr>
        <w:tc>
          <w:tcPr>
            <w:tcW w:w="6720" w:type="dxa"/>
            <w:vAlign w:val="bottom"/>
          </w:tcPr>
          <w:p>
            <w:pPr>
              <w:ind w:left="20"/>
              <w:spacing w:after="0"/>
              <w:rPr>
                <w:sz w:val="20"/>
                <w:szCs w:val="20"/>
                <w:color w:val="auto"/>
              </w:rPr>
            </w:pPr>
            <w:r>
              <w:rPr>
                <w:rFonts w:ascii="Arial" w:cs="Arial" w:eastAsia="Arial" w:hAnsi="Arial"/>
                <w:sz w:val="16"/>
                <w:szCs w:val="16"/>
                <w:color w:val="auto"/>
              </w:rPr>
              <w:t>Assets</w:t>
            </w:r>
          </w:p>
        </w:tc>
        <w:tc>
          <w:tcPr>
            <w:tcW w:w="120" w:type="dxa"/>
            <w:vAlign w:val="bottom"/>
            <w:tcBorders>
              <w:top w:val="single" w:sz="8" w:color="auto"/>
            </w:tcBorders>
          </w:tcPr>
          <w:p>
            <w:pPr>
              <w:spacing w:after="0"/>
              <w:rPr>
                <w:sz w:val="20"/>
                <w:szCs w:val="20"/>
                <w:color w:val="auto"/>
              </w:rPr>
            </w:pPr>
          </w:p>
        </w:tc>
        <w:tc>
          <w:tcPr>
            <w:tcW w:w="138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Current assets:</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6720" w:type="dxa"/>
            <w:vAlign w:val="bottom"/>
          </w:tcPr>
          <w:p>
            <w:pPr>
              <w:ind w:left="160"/>
              <w:spacing w:after="0"/>
              <w:rPr>
                <w:sz w:val="20"/>
                <w:szCs w:val="20"/>
                <w:color w:val="auto"/>
              </w:rPr>
            </w:pPr>
            <w:r>
              <w:rPr>
                <w:rFonts w:ascii="Arial" w:cs="Arial" w:eastAsia="Arial" w:hAnsi="Arial"/>
                <w:sz w:val="16"/>
                <w:szCs w:val="16"/>
                <w:color w:val="auto"/>
              </w:rPr>
              <w:t>Cash and cash equivalents</w:t>
            </w:r>
          </w:p>
        </w:tc>
        <w:tc>
          <w:tcPr>
            <w:tcW w:w="120" w:type="dxa"/>
            <w:vAlign w:val="bottom"/>
          </w:tcPr>
          <w:p>
            <w:pPr>
              <w:jc w:val="right"/>
              <w:spacing w:after="0"/>
              <w:rPr>
                <w:sz w:val="20"/>
                <w:szCs w:val="20"/>
                <w:color w:val="auto"/>
              </w:rPr>
            </w:pPr>
            <w:r>
              <w:rPr>
                <w:rFonts w:ascii="Arial" w:cs="Arial" w:eastAsia="Arial" w:hAnsi="Arial"/>
                <w:sz w:val="16"/>
                <w:szCs w:val="16"/>
                <w:color w:val="auto"/>
              </w:rPr>
              <w:t>$</w:t>
            </w:r>
          </w:p>
        </w:tc>
        <w:tc>
          <w:tcPr>
            <w:tcW w:w="1380" w:type="dxa"/>
            <w:vAlign w:val="bottom"/>
          </w:tcPr>
          <w:p>
            <w:pPr>
              <w:jc w:val="right"/>
              <w:ind w:right="39"/>
              <w:spacing w:after="0"/>
              <w:rPr>
                <w:sz w:val="20"/>
                <w:szCs w:val="20"/>
                <w:color w:val="auto"/>
              </w:rPr>
            </w:pPr>
            <w:r>
              <w:rPr>
                <w:rFonts w:ascii="Arial" w:cs="Arial" w:eastAsia="Arial" w:hAnsi="Arial"/>
                <w:sz w:val="16"/>
                <w:szCs w:val="16"/>
                <w:color w:val="auto"/>
              </w:rPr>
              <w:t>147,784</w:t>
            </w:r>
          </w:p>
        </w:tc>
        <w:tc>
          <w:tcPr>
            <w:tcW w:w="12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jc w:val="right"/>
              <w:spacing w:after="0"/>
              <w:rPr>
                <w:sz w:val="20"/>
                <w:szCs w:val="20"/>
                <w:color w:val="auto"/>
              </w:rPr>
            </w:pPr>
            <w:r>
              <w:rPr>
                <w:rFonts w:ascii="Arial" w:cs="Arial" w:eastAsia="Arial" w:hAnsi="Arial"/>
                <w:sz w:val="16"/>
                <w:szCs w:val="16"/>
                <w:color w:val="auto"/>
              </w:rPr>
              <w:t>$</w:t>
            </w:r>
          </w:p>
        </w:tc>
        <w:tc>
          <w:tcPr>
            <w:tcW w:w="1340" w:type="dxa"/>
            <w:vAlign w:val="bottom"/>
          </w:tcPr>
          <w:p>
            <w:pPr>
              <w:jc w:val="right"/>
              <w:ind w:right="19"/>
              <w:spacing w:after="0"/>
              <w:rPr>
                <w:sz w:val="20"/>
                <w:szCs w:val="20"/>
                <w:color w:val="auto"/>
              </w:rPr>
            </w:pPr>
            <w:r>
              <w:rPr>
                <w:rFonts w:ascii="Arial" w:cs="Arial" w:eastAsia="Arial" w:hAnsi="Arial"/>
                <w:sz w:val="16"/>
                <w:szCs w:val="16"/>
                <w:color w:val="auto"/>
              </w:rPr>
              <w:t>147,784</w:t>
            </w: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Accounts receivable, net</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14,932</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14,932</w:t>
            </w:r>
          </w:p>
        </w:tc>
        <w:tc>
          <w:tcPr>
            <w:tcW w:w="0" w:type="dxa"/>
            <w:vAlign w:val="bottom"/>
          </w:tcPr>
          <w:p>
            <w:pPr>
              <w:spacing w:after="0"/>
              <w:rPr>
                <w:sz w:val="1"/>
                <w:szCs w:val="1"/>
                <w:color w:val="auto"/>
              </w:rPr>
            </w:pPr>
          </w:p>
        </w:tc>
      </w:tr>
      <w:tr>
        <w:trPr>
          <w:trHeight w:val="237"/>
        </w:trPr>
        <w:tc>
          <w:tcPr>
            <w:tcW w:w="6720" w:type="dxa"/>
            <w:vAlign w:val="bottom"/>
          </w:tcPr>
          <w:p>
            <w:pPr>
              <w:ind w:left="160"/>
              <w:spacing w:after="0"/>
              <w:rPr>
                <w:sz w:val="20"/>
                <w:szCs w:val="20"/>
                <w:color w:val="auto"/>
              </w:rPr>
            </w:pPr>
            <w:r>
              <w:rPr>
                <w:rFonts w:ascii="Arial" w:cs="Arial" w:eastAsia="Arial" w:hAnsi="Arial"/>
                <w:sz w:val="16"/>
                <w:szCs w:val="16"/>
                <w:color w:val="auto"/>
              </w:rPr>
              <w:t>Due from related parties</w:t>
            </w:r>
          </w:p>
        </w:tc>
        <w:tc>
          <w:tcPr>
            <w:tcW w:w="120" w:type="dxa"/>
            <w:vAlign w:val="bottom"/>
          </w:tcPr>
          <w:p>
            <w:pPr>
              <w:spacing w:after="0"/>
              <w:rPr>
                <w:sz w:val="20"/>
                <w:szCs w:val="20"/>
                <w:color w:val="auto"/>
              </w:rPr>
            </w:pPr>
          </w:p>
        </w:tc>
        <w:tc>
          <w:tcPr>
            <w:tcW w:w="150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3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Inventory</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3,193</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3,193</w:t>
            </w:r>
          </w:p>
        </w:tc>
        <w:tc>
          <w:tcPr>
            <w:tcW w:w="0" w:type="dxa"/>
            <w:vAlign w:val="bottom"/>
          </w:tcPr>
          <w:p>
            <w:pPr>
              <w:spacing w:after="0"/>
              <w:rPr>
                <w:sz w:val="1"/>
                <w:szCs w:val="1"/>
                <w:color w:val="auto"/>
              </w:rPr>
            </w:pPr>
          </w:p>
        </w:tc>
      </w:tr>
      <w:tr>
        <w:trPr>
          <w:trHeight w:val="237"/>
        </w:trPr>
        <w:tc>
          <w:tcPr>
            <w:tcW w:w="6720" w:type="dxa"/>
            <w:vAlign w:val="bottom"/>
          </w:tcPr>
          <w:p>
            <w:pPr>
              <w:ind w:left="160"/>
              <w:spacing w:after="0"/>
              <w:rPr>
                <w:sz w:val="20"/>
                <w:szCs w:val="20"/>
                <w:color w:val="auto"/>
              </w:rPr>
            </w:pPr>
            <w:r>
              <w:rPr>
                <w:rFonts w:ascii="Arial" w:cs="Arial" w:eastAsia="Arial" w:hAnsi="Arial"/>
                <w:sz w:val="16"/>
                <w:szCs w:val="16"/>
                <w:color w:val="auto"/>
              </w:rPr>
              <w:t>Restricted assets – national advertising fund</w:t>
            </w:r>
          </w:p>
        </w:tc>
        <w:tc>
          <w:tcPr>
            <w:tcW w:w="120" w:type="dxa"/>
            <w:vAlign w:val="bottom"/>
          </w:tcPr>
          <w:p>
            <w:pPr>
              <w:spacing w:after="0"/>
              <w:rPr>
                <w:sz w:val="20"/>
                <w:szCs w:val="20"/>
                <w:color w:val="auto"/>
              </w:rPr>
            </w:pPr>
          </w:p>
        </w:tc>
        <w:tc>
          <w:tcPr>
            <w:tcW w:w="1380" w:type="dxa"/>
            <w:vAlign w:val="bottom"/>
          </w:tcPr>
          <w:p>
            <w:pPr>
              <w:jc w:val="right"/>
              <w:ind w:right="39"/>
              <w:spacing w:after="0"/>
              <w:rPr>
                <w:sz w:val="20"/>
                <w:szCs w:val="20"/>
                <w:color w:val="auto"/>
              </w:rPr>
            </w:pPr>
            <w:r>
              <w:rPr>
                <w:rFonts w:ascii="Arial" w:cs="Arial" w:eastAsia="Arial" w:hAnsi="Arial"/>
                <w:sz w:val="16"/>
                <w:szCs w:val="16"/>
                <w:color w:val="auto"/>
              </w:rPr>
              <w:t>73</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340" w:type="dxa"/>
            <w:vAlign w:val="bottom"/>
          </w:tcPr>
          <w:p>
            <w:pPr>
              <w:jc w:val="right"/>
              <w:ind w:right="19"/>
              <w:spacing w:after="0"/>
              <w:rPr>
                <w:sz w:val="20"/>
                <w:szCs w:val="20"/>
                <w:color w:val="auto"/>
              </w:rPr>
            </w:pPr>
            <w:r>
              <w:rPr>
                <w:rFonts w:ascii="Arial" w:cs="Arial" w:eastAsia="Arial" w:hAnsi="Arial"/>
                <w:sz w:val="16"/>
                <w:szCs w:val="16"/>
                <w:color w:val="auto"/>
              </w:rPr>
              <w:t>73</w:t>
            </w: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Deferred expenses – national advertising fund</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1,648</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1,648</w:t>
            </w:r>
          </w:p>
        </w:tc>
        <w:tc>
          <w:tcPr>
            <w:tcW w:w="0" w:type="dxa"/>
            <w:vAlign w:val="bottom"/>
          </w:tcPr>
          <w:p>
            <w:pPr>
              <w:spacing w:after="0"/>
              <w:rPr>
                <w:sz w:val="1"/>
                <w:szCs w:val="1"/>
                <w:color w:val="auto"/>
              </w:rPr>
            </w:pPr>
          </w:p>
        </w:tc>
      </w:tr>
      <w:tr>
        <w:trPr>
          <w:trHeight w:val="237"/>
        </w:trPr>
        <w:tc>
          <w:tcPr>
            <w:tcW w:w="6720" w:type="dxa"/>
            <w:vAlign w:val="bottom"/>
          </w:tcPr>
          <w:p>
            <w:pPr>
              <w:ind w:left="160"/>
              <w:spacing w:after="0"/>
              <w:rPr>
                <w:sz w:val="20"/>
                <w:szCs w:val="20"/>
                <w:color w:val="auto"/>
              </w:rPr>
            </w:pPr>
            <w:r>
              <w:rPr>
                <w:rFonts w:ascii="Arial" w:cs="Arial" w:eastAsia="Arial" w:hAnsi="Arial"/>
                <w:sz w:val="16"/>
                <w:szCs w:val="16"/>
                <w:color w:val="auto"/>
              </w:rPr>
              <w:t>Prepaid expenses</w:t>
            </w:r>
          </w:p>
        </w:tc>
        <w:tc>
          <w:tcPr>
            <w:tcW w:w="120" w:type="dxa"/>
            <w:vAlign w:val="bottom"/>
          </w:tcPr>
          <w:p>
            <w:pPr>
              <w:spacing w:after="0"/>
              <w:rPr>
                <w:sz w:val="20"/>
                <w:szCs w:val="20"/>
                <w:color w:val="auto"/>
              </w:rPr>
            </w:pPr>
          </w:p>
        </w:tc>
        <w:tc>
          <w:tcPr>
            <w:tcW w:w="1380" w:type="dxa"/>
            <w:vAlign w:val="bottom"/>
          </w:tcPr>
          <w:p>
            <w:pPr>
              <w:jc w:val="right"/>
              <w:ind w:right="39"/>
              <w:spacing w:after="0"/>
              <w:rPr>
                <w:sz w:val="20"/>
                <w:szCs w:val="20"/>
                <w:color w:val="auto"/>
              </w:rPr>
            </w:pPr>
            <w:r>
              <w:rPr>
                <w:rFonts w:ascii="Arial" w:cs="Arial" w:eastAsia="Arial" w:hAnsi="Arial"/>
                <w:sz w:val="16"/>
                <w:szCs w:val="16"/>
                <w:color w:val="auto"/>
              </w:rPr>
              <w:t>3,796</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340" w:type="dxa"/>
            <w:vAlign w:val="bottom"/>
          </w:tcPr>
          <w:p>
            <w:pPr>
              <w:jc w:val="right"/>
              <w:ind w:right="19"/>
              <w:spacing w:after="0"/>
              <w:rPr>
                <w:sz w:val="20"/>
                <w:szCs w:val="20"/>
                <w:color w:val="auto"/>
              </w:rPr>
            </w:pPr>
            <w:r>
              <w:rPr>
                <w:rFonts w:ascii="Arial" w:cs="Arial" w:eastAsia="Arial" w:hAnsi="Arial"/>
                <w:sz w:val="16"/>
                <w:szCs w:val="16"/>
                <w:color w:val="auto"/>
              </w:rPr>
              <w:t>3,796</w:t>
            </w: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Other receivables</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23,343</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23,343</w:t>
            </w:r>
          </w:p>
        </w:tc>
        <w:tc>
          <w:tcPr>
            <w:tcW w:w="0" w:type="dxa"/>
            <w:vAlign w:val="bottom"/>
          </w:tcPr>
          <w:p>
            <w:pPr>
              <w:spacing w:after="0"/>
              <w:rPr>
                <w:sz w:val="1"/>
                <w:szCs w:val="1"/>
                <w:color w:val="auto"/>
              </w:rPr>
            </w:pPr>
          </w:p>
        </w:tc>
      </w:tr>
      <w:tr>
        <w:trPr>
          <w:trHeight w:val="237"/>
        </w:trPr>
        <w:tc>
          <w:tcPr>
            <w:tcW w:w="6720" w:type="dxa"/>
            <w:vAlign w:val="bottom"/>
          </w:tcPr>
          <w:p>
            <w:pPr>
              <w:ind w:left="160"/>
              <w:spacing w:after="0"/>
              <w:rPr>
                <w:sz w:val="20"/>
                <w:szCs w:val="20"/>
                <w:color w:val="auto"/>
              </w:rPr>
            </w:pPr>
            <w:r>
              <w:rPr>
                <w:rFonts w:ascii="Arial" w:cs="Arial" w:eastAsia="Arial" w:hAnsi="Arial"/>
                <w:sz w:val="16"/>
                <w:szCs w:val="16"/>
                <w:color w:val="auto"/>
              </w:rPr>
              <w:t>Other current assets</w:t>
            </w:r>
          </w:p>
        </w:tc>
        <w:tc>
          <w:tcPr>
            <w:tcW w:w="120" w:type="dxa"/>
            <w:vAlign w:val="bottom"/>
          </w:tcPr>
          <w:p>
            <w:pPr>
              <w:spacing w:after="0"/>
              <w:rPr>
                <w:sz w:val="20"/>
                <w:szCs w:val="20"/>
                <w:color w:val="auto"/>
              </w:rPr>
            </w:pPr>
          </w:p>
        </w:tc>
        <w:tc>
          <w:tcPr>
            <w:tcW w:w="1380" w:type="dxa"/>
            <w:vAlign w:val="bottom"/>
          </w:tcPr>
          <w:p>
            <w:pPr>
              <w:jc w:val="right"/>
              <w:ind w:right="39"/>
              <w:spacing w:after="0"/>
              <w:rPr>
                <w:sz w:val="20"/>
                <w:szCs w:val="20"/>
                <w:color w:val="auto"/>
              </w:rPr>
            </w:pPr>
            <w:r>
              <w:rPr>
                <w:rFonts w:ascii="Arial" w:cs="Arial" w:eastAsia="Arial" w:hAnsi="Arial"/>
                <w:sz w:val="16"/>
                <w:szCs w:val="16"/>
                <w:color w:val="auto"/>
              </w:rPr>
              <w:t>5,916</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340" w:type="dxa"/>
            <w:vAlign w:val="bottom"/>
          </w:tcPr>
          <w:p>
            <w:pPr>
              <w:jc w:val="right"/>
              <w:ind w:right="19"/>
              <w:spacing w:after="0"/>
              <w:rPr>
                <w:sz w:val="20"/>
                <w:szCs w:val="20"/>
                <w:color w:val="auto"/>
              </w:rPr>
            </w:pPr>
            <w:r>
              <w:rPr>
                <w:rFonts w:ascii="Arial" w:cs="Arial" w:eastAsia="Arial" w:hAnsi="Arial"/>
                <w:sz w:val="16"/>
                <w:szCs w:val="16"/>
                <w:color w:val="auto"/>
              </w:rPr>
              <w:t>5,916</w:t>
            </w:r>
          </w:p>
        </w:tc>
        <w:tc>
          <w:tcPr>
            <w:tcW w:w="0" w:type="dxa"/>
            <w:vAlign w:val="bottom"/>
          </w:tcPr>
          <w:p>
            <w:pPr>
              <w:spacing w:after="0"/>
              <w:rPr>
                <w:sz w:val="1"/>
                <w:szCs w:val="1"/>
                <w:color w:val="auto"/>
              </w:rPr>
            </w:pPr>
          </w:p>
        </w:tc>
      </w:tr>
      <w:tr>
        <w:trPr>
          <w:trHeight w:val="33"/>
        </w:trPr>
        <w:tc>
          <w:tcPr>
            <w:tcW w:w="67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67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Total current assets</w:t>
            </w:r>
          </w:p>
        </w:tc>
        <w:tc>
          <w:tcPr>
            <w:tcW w:w="120" w:type="dxa"/>
            <w:vAlign w:val="bottom"/>
            <w:tcBorders>
              <w:bottom w:val="single" w:sz="8" w:color="CCEEFF"/>
            </w:tcBorders>
            <w:shd w:val="clear" w:color="auto" w:fill="CCEEFF"/>
          </w:tcPr>
          <w:p>
            <w:pPr>
              <w:spacing w:after="0"/>
              <w:rPr>
                <w:sz w:val="20"/>
                <w:szCs w:val="20"/>
                <w:color w:val="auto"/>
              </w:rPr>
            </w:pPr>
          </w:p>
        </w:tc>
        <w:tc>
          <w:tcPr>
            <w:tcW w:w="13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200,685</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4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0"/>
                <w:szCs w:val="20"/>
                <w:color w:val="auto"/>
              </w:rPr>
            </w:pPr>
          </w:p>
        </w:tc>
        <w:tc>
          <w:tcPr>
            <w:tcW w:w="13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200,685</w:t>
            </w:r>
          </w:p>
        </w:tc>
        <w:tc>
          <w:tcPr>
            <w:tcW w:w="0" w:type="dxa"/>
            <w:vAlign w:val="bottom"/>
          </w:tcPr>
          <w:p>
            <w:pPr>
              <w:spacing w:after="0"/>
              <w:rPr>
                <w:sz w:val="1"/>
                <w:szCs w:val="1"/>
                <w:color w:val="auto"/>
              </w:rPr>
            </w:pPr>
          </w:p>
        </w:tc>
      </w:tr>
      <w:tr>
        <w:trPr>
          <w:trHeight w:val="237"/>
        </w:trPr>
        <w:tc>
          <w:tcPr>
            <w:tcW w:w="6720" w:type="dxa"/>
            <w:vAlign w:val="bottom"/>
          </w:tcPr>
          <w:p>
            <w:pPr>
              <w:ind w:left="20"/>
              <w:spacing w:after="0"/>
              <w:rPr>
                <w:sz w:val="20"/>
                <w:szCs w:val="20"/>
                <w:color w:val="auto"/>
              </w:rPr>
            </w:pPr>
            <w:r>
              <w:rPr>
                <w:rFonts w:ascii="Arial" w:cs="Arial" w:eastAsia="Arial" w:hAnsi="Arial"/>
                <w:sz w:val="16"/>
                <w:szCs w:val="16"/>
                <w:color w:val="auto"/>
              </w:rPr>
              <w:t>Property and equipment, net</w:t>
            </w:r>
          </w:p>
        </w:tc>
        <w:tc>
          <w:tcPr>
            <w:tcW w:w="120" w:type="dxa"/>
            <w:vAlign w:val="bottom"/>
          </w:tcPr>
          <w:p>
            <w:pPr>
              <w:spacing w:after="0"/>
              <w:rPr>
                <w:sz w:val="20"/>
                <w:szCs w:val="20"/>
                <w:color w:val="auto"/>
              </w:rPr>
            </w:pPr>
          </w:p>
        </w:tc>
        <w:tc>
          <w:tcPr>
            <w:tcW w:w="1380" w:type="dxa"/>
            <w:vAlign w:val="bottom"/>
          </w:tcPr>
          <w:p>
            <w:pPr>
              <w:jc w:val="right"/>
              <w:ind w:right="39"/>
              <w:spacing w:after="0"/>
              <w:rPr>
                <w:sz w:val="20"/>
                <w:szCs w:val="20"/>
                <w:color w:val="auto"/>
              </w:rPr>
            </w:pPr>
            <w:r>
              <w:rPr>
                <w:rFonts w:ascii="Arial" w:cs="Arial" w:eastAsia="Arial" w:hAnsi="Arial"/>
                <w:sz w:val="16"/>
                <w:szCs w:val="16"/>
                <w:color w:val="auto"/>
              </w:rPr>
              <w:t>87,570</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340" w:type="dxa"/>
            <w:vAlign w:val="bottom"/>
          </w:tcPr>
          <w:p>
            <w:pPr>
              <w:jc w:val="right"/>
              <w:ind w:right="19"/>
              <w:spacing w:after="0"/>
              <w:rPr>
                <w:sz w:val="20"/>
                <w:szCs w:val="20"/>
                <w:color w:val="auto"/>
              </w:rPr>
            </w:pPr>
            <w:r>
              <w:rPr>
                <w:rFonts w:ascii="Arial" w:cs="Arial" w:eastAsia="Arial" w:hAnsi="Arial"/>
                <w:sz w:val="16"/>
                <w:szCs w:val="16"/>
                <w:color w:val="auto"/>
              </w:rPr>
              <w:t>87,570</w:t>
            </w: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Intangible assets, net</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237,092</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237,092</w:t>
            </w:r>
          </w:p>
        </w:tc>
        <w:tc>
          <w:tcPr>
            <w:tcW w:w="0" w:type="dxa"/>
            <w:vAlign w:val="bottom"/>
          </w:tcPr>
          <w:p>
            <w:pPr>
              <w:spacing w:after="0"/>
              <w:rPr>
                <w:sz w:val="1"/>
                <w:szCs w:val="1"/>
                <w:color w:val="auto"/>
              </w:rPr>
            </w:pPr>
          </w:p>
        </w:tc>
      </w:tr>
      <w:tr>
        <w:trPr>
          <w:trHeight w:val="237"/>
        </w:trPr>
        <w:tc>
          <w:tcPr>
            <w:tcW w:w="6720" w:type="dxa"/>
            <w:vAlign w:val="bottom"/>
          </w:tcPr>
          <w:p>
            <w:pPr>
              <w:ind w:left="20"/>
              <w:spacing w:after="0"/>
              <w:rPr>
                <w:sz w:val="20"/>
                <w:szCs w:val="20"/>
                <w:color w:val="auto"/>
              </w:rPr>
            </w:pPr>
            <w:r>
              <w:rPr>
                <w:rFonts w:ascii="Arial" w:cs="Arial" w:eastAsia="Arial" w:hAnsi="Arial"/>
                <w:sz w:val="16"/>
                <w:szCs w:val="16"/>
                <w:color w:val="auto"/>
              </w:rPr>
              <w:t>Goodwill</w:t>
            </w:r>
          </w:p>
        </w:tc>
        <w:tc>
          <w:tcPr>
            <w:tcW w:w="120" w:type="dxa"/>
            <w:vAlign w:val="bottom"/>
          </w:tcPr>
          <w:p>
            <w:pPr>
              <w:spacing w:after="0"/>
              <w:rPr>
                <w:sz w:val="20"/>
                <w:szCs w:val="20"/>
                <w:color w:val="auto"/>
              </w:rPr>
            </w:pPr>
          </w:p>
        </w:tc>
        <w:tc>
          <w:tcPr>
            <w:tcW w:w="1380" w:type="dxa"/>
            <w:vAlign w:val="bottom"/>
          </w:tcPr>
          <w:p>
            <w:pPr>
              <w:jc w:val="right"/>
              <w:ind w:right="39"/>
              <w:spacing w:after="0"/>
              <w:rPr>
                <w:sz w:val="20"/>
                <w:szCs w:val="20"/>
                <w:color w:val="auto"/>
              </w:rPr>
            </w:pPr>
            <w:r>
              <w:rPr>
                <w:rFonts w:ascii="Arial" w:cs="Arial" w:eastAsia="Arial" w:hAnsi="Arial"/>
                <w:sz w:val="16"/>
                <w:szCs w:val="16"/>
                <w:color w:val="auto"/>
              </w:rPr>
              <w:t>191,038</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340" w:type="dxa"/>
            <w:vAlign w:val="bottom"/>
          </w:tcPr>
          <w:p>
            <w:pPr>
              <w:jc w:val="right"/>
              <w:ind w:right="19"/>
              <w:spacing w:after="0"/>
              <w:rPr>
                <w:sz w:val="20"/>
                <w:szCs w:val="20"/>
                <w:color w:val="auto"/>
              </w:rPr>
            </w:pPr>
            <w:r>
              <w:rPr>
                <w:rFonts w:ascii="Arial" w:cs="Arial" w:eastAsia="Arial" w:hAnsi="Arial"/>
                <w:sz w:val="16"/>
                <w:szCs w:val="16"/>
                <w:color w:val="auto"/>
              </w:rPr>
              <w:t>191,038</w:t>
            </w: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Deferred income taxes</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406,699</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(3,285)</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403,414</w:t>
            </w:r>
          </w:p>
        </w:tc>
        <w:tc>
          <w:tcPr>
            <w:tcW w:w="0" w:type="dxa"/>
            <w:vAlign w:val="bottom"/>
          </w:tcPr>
          <w:p>
            <w:pPr>
              <w:spacing w:after="0"/>
              <w:rPr>
                <w:sz w:val="1"/>
                <w:szCs w:val="1"/>
                <w:color w:val="auto"/>
              </w:rPr>
            </w:pPr>
          </w:p>
        </w:tc>
      </w:tr>
      <w:tr>
        <w:trPr>
          <w:trHeight w:val="237"/>
        </w:trPr>
        <w:tc>
          <w:tcPr>
            <w:tcW w:w="6720" w:type="dxa"/>
            <w:vAlign w:val="bottom"/>
          </w:tcPr>
          <w:p>
            <w:pPr>
              <w:ind w:left="20"/>
              <w:spacing w:after="0"/>
              <w:rPr>
                <w:sz w:val="20"/>
                <w:szCs w:val="20"/>
                <w:color w:val="auto"/>
              </w:rPr>
            </w:pPr>
            <w:r>
              <w:rPr>
                <w:rFonts w:ascii="Arial" w:cs="Arial" w:eastAsia="Arial" w:hAnsi="Arial"/>
                <w:sz w:val="16"/>
                <w:szCs w:val="16"/>
                <w:color w:val="auto"/>
              </w:rPr>
              <w:t>Other assets, net</w:t>
            </w:r>
          </w:p>
        </w:tc>
        <w:tc>
          <w:tcPr>
            <w:tcW w:w="120" w:type="dxa"/>
            <w:vAlign w:val="bottom"/>
          </w:tcPr>
          <w:p>
            <w:pPr>
              <w:spacing w:after="0"/>
              <w:rPr>
                <w:sz w:val="20"/>
                <w:szCs w:val="20"/>
                <w:color w:val="auto"/>
              </w:rPr>
            </w:pPr>
          </w:p>
        </w:tc>
        <w:tc>
          <w:tcPr>
            <w:tcW w:w="1380" w:type="dxa"/>
            <w:vAlign w:val="bottom"/>
          </w:tcPr>
          <w:p>
            <w:pPr>
              <w:jc w:val="right"/>
              <w:ind w:right="39"/>
              <w:spacing w:after="0"/>
              <w:rPr>
                <w:sz w:val="20"/>
                <w:szCs w:val="20"/>
                <w:color w:val="auto"/>
              </w:rPr>
            </w:pPr>
            <w:r>
              <w:rPr>
                <w:rFonts w:ascii="Arial" w:cs="Arial" w:eastAsia="Arial" w:hAnsi="Arial"/>
                <w:sz w:val="16"/>
                <w:szCs w:val="16"/>
                <w:color w:val="auto"/>
              </w:rPr>
              <w:t>1,637</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340" w:type="dxa"/>
            <w:vAlign w:val="bottom"/>
          </w:tcPr>
          <w:p>
            <w:pPr>
              <w:jc w:val="right"/>
              <w:ind w:right="19"/>
              <w:spacing w:after="0"/>
              <w:rPr>
                <w:sz w:val="20"/>
                <w:szCs w:val="20"/>
                <w:color w:val="auto"/>
              </w:rPr>
            </w:pPr>
            <w:r>
              <w:rPr>
                <w:rFonts w:ascii="Arial" w:cs="Arial" w:eastAsia="Arial" w:hAnsi="Arial"/>
                <w:sz w:val="16"/>
                <w:szCs w:val="16"/>
                <w:color w:val="auto"/>
              </w:rPr>
              <w:t>1,637</w:t>
            </w:r>
          </w:p>
        </w:tc>
        <w:tc>
          <w:tcPr>
            <w:tcW w:w="0" w:type="dxa"/>
            <w:vAlign w:val="bottom"/>
          </w:tcPr>
          <w:p>
            <w:pPr>
              <w:spacing w:after="0"/>
              <w:rPr>
                <w:sz w:val="1"/>
                <w:szCs w:val="1"/>
                <w:color w:val="auto"/>
              </w:rPr>
            </w:pPr>
          </w:p>
        </w:tc>
      </w:tr>
      <w:tr>
        <w:trPr>
          <w:trHeight w:val="33"/>
        </w:trPr>
        <w:tc>
          <w:tcPr>
            <w:tcW w:w="67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7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Total assets</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38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1,124,721</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(3,285)</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34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1,121,436</w:t>
            </w:r>
          </w:p>
        </w:tc>
        <w:tc>
          <w:tcPr>
            <w:tcW w:w="0" w:type="dxa"/>
            <w:vAlign w:val="bottom"/>
          </w:tcPr>
          <w:p>
            <w:pPr>
              <w:spacing w:after="0"/>
              <w:rPr>
                <w:sz w:val="1"/>
                <w:szCs w:val="1"/>
                <w:color w:val="auto"/>
              </w:rPr>
            </w:pPr>
          </w:p>
        </w:tc>
      </w:tr>
      <w:tr>
        <w:trPr>
          <w:trHeight w:val="20"/>
        </w:trPr>
        <w:tc>
          <w:tcPr>
            <w:tcW w:w="6720" w:type="dxa"/>
            <w:vAlign w:val="bottom"/>
            <w:vMerge w:val="restart"/>
          </w:tcPr>
          <w:p>
            <w:pPr>
              <w:ind w:left="20"/>
              <w:spacing w:after="0"/>
              <w:rPr>
                <w:sz w:val="20"/>
                <w:szCs w:val="20"/>
                <w:color w:val="auto"/>
              </w:rPr>
            </w:pPr>
            <w:r>
              <w:rPr>
                <w:rFonts w:ascii="Arial" w:cs="Arial" w:eastAsia="Arial" w:hAnsi="Arial"/>
                <w:sz w:val="16"/>
                <w:szCs w:val="16"/>
                <w:color w:val="auto"/>
              </w:rPr>
              <w:t>Liabilities and stockholders' equity (deficit)</w:t>
            </w:r>
          </w:p>
        </w:tc>
        <w:tc>
          <w:tcPr>
            <w:tcW w:w="12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6720" w:type="dxa"/>
            <w:vAlign w:val="bottom"/>
            <w:vMerge w:val="continue"/>
          </w:tcPr>
          <w:p>
            <w:pPr>
              <w:spacing w:after="0"/>
              <w:rPr>
                <w:sz w:val="19"/>
                <w:szCs w:val="19"/>
                <w:color w:val="auto"/>
              </w:rPr>
            </w:pPr>
          </w:p>
        </w:tc>
        <w:tc>
          <w:tcPr>
            <w:tcW w:w="12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Current liabilities:</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6720" w:type="dxa"/>
            <w:vAlign w:val="bottom"/>
          </w:tcPr>
          <w:p>
            <w:pPr>
              <w:ind w:left="160"/>
              <w:spacing w:after="0"/>
              <w:rPr>
                <w:sz w:val="20"/>
                <w:szCs w:val="20"/>
                <w:color w:val="auto"/>
              </w:rPr>
            </w:pPr>
            <w:r>
              <w:rPr>
                <w:rFonts w:ascii="Arial" w:cs="Arial" w:eastAsia="Arial" w:hAnsi="Arial"/>
                <w:sz w:val="16"/>
                <w:szCs w:val="16"/>
                <w:color w:val="auto"/>
              </w:rPr>
              <w:t>Current maturities of long-term debt</w:t>
            </w:r>
          </w:p>
        </w:tc>
        <w:tc>
          <w:tcPr>
            <w:tcW w:w="120" w:type="dxa"/>
            <w:vAlign w:val="bottom"/>
          </w:tcPr>
          <w:p>
            <w:pPr>
              <w:jc w:val="right"/>
              <w:spacing w:after="0"/>
              <w:rPr>
                <w:sz w:val="20"/>
                <w:szCs w:val="20"/>
                <w:color w:val="auto"/>
              </w:rPr>
            </w:pPr>
            <w:r>
              <w:rPr>
                <w:rFonts w:ascii="Arial" w:cs="Arial" w:eastAsia="Arial" w:hAnsi="Arial"/>
                <w:sz w:val="16"/>
                <w:szCs w:val="16"/>
                <w:color w:val="auto"/>
              </w:rPr>
              <w:t>$</w:t>
            </w:r>
          </w:p>
        </w:tc>
        <w:tc>
          <w:tcPr>
            <w:tcW w:w="1380" w:type="dxa"/>
            <w:vAlign w:val="bottom"/>
          </w:tcPr>
          <w:p>
            <w:pPr>
              <w:jc w:val="right"/>
              <w:ind w:right="39"/>
              <w:spacing w:after="0"/>
              <w:rPr>
                <w:sz w:val="20"/>
                <w:szCs w:val="20"/>
                <w:color w:val="auto"/>
              </w:rPr>
            </w:pPr>
            <w:r>
              <w:rPr>
                <w:rFonts w:ascii="Arial" w:cs="Arial" w:eastAsia="Arial" w:hAnsi="Arial"/>
                <w:sz w:val="16"/>
                <w:szCs w:val="16"/>
                <w:color w:val="auto"/>
              </w:rPr>
              <w:t>7,185</w:t>
            </w:r>
          </w:p>
        </w:tc>
        <w:tc>
          <w:tcPr>
            <w:tcW w:w="12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jc w:val="right"/>
              <w:spacing w:after="0"/>
              <w:rPr>
                <w:sz w:val="20"/>
                <w:szCs w:val="20"/>
                <w:color w:val="auto"/>
              </w:rPr>
            </w:pPr>
            <w:r>
              <w:rPr>
                <w:rFonts w:ascii="Arial" w:cs="Arial" w:eastAsia="Arial" w:hAnsi="Arial"/>
                <w:sz w:val="16"/>
                <w:szCs w:val="16"/>
                <w:color w:val="auto"/>
              </w:rPr>
              <w:t>$</w:t>
            </w:r>
          </w:p>
        </w:tc>
        <w:tc>
          <w:tcPr>
            <w:tcW w:w="1340" w:type="dxa"/>
            <w:vAlign w:val="bottom"/>
          </w:tcPr>
          <w:p>
            <w:pPr>
              <w:jc w:val="right"/>
              <w:ind w:right="19"/>
              <w:spacing w:after="0"/>
              <w:rPr>
                <w:sz w:val="20"/>
                <w:szCs w:val="20"/>
                <w:color w:val="auto"/>
              </w:rPr>
            </w:pPr>
            <w:r>
              <w:rPr>
                <w:rFonts w:ascii="Arial" w:cs="Arial" w:eastAsia="Arial" w:hAnsi="Arial"/>
                <w:sz w:val="16"/>
                <w:szCs w:val="16"/>
                <w:color w:val="auto"/>
              </w:rPr>
              <w:t>7,185</w:t>
            </w: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Accounts payable</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16,268</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16,268</w:t>
            </w:r>
          </w:p>
        </w:tc>
        <w:tc>
          <w:tcPr>
            <w:tcW w:w="0" w:type="dxa"/>
            <w:vAlign w:val="bottom"/>
          </w:tcPr>
          <w:p>
            <w:pPr>
              <w:spacing w:after="0"/>
              <w:rPr>
                <w:sz w:val="1"/>
                <w:szCs w:val="1"/>
                <w:color w:val="auto"/>
              </w:rPr>
            </w:pPr>
          </w:p>
        </w:tc>
      </w:tr>
      <w:tr>
        <w:trPr>
          <w:trHeight w:val="237"/>
        </w:trPr>
        <w:tc>
          <w:tcPr>
            <w:tcW w:w="6720" w:type="dxa"/>
            <w:vAlign w:val="bottom"/>
          </w:tcPr>
          <w:p>
            <w:pPr>
              <w:ind w:left="160"/>
              <w:spacing w:after="0"/>
              <w:rPr>
                <w:sz w:val="20"/>
                <w:szCs w:val="20"/>
                <w:color w:val="auto"/>
              </w:rPr>
            </w:pPr>
            <w:r>
              <w:rPr>
                <w:rFonts w:ascii="Arial" w:cs="Arial" w:eastAsia="Arial" w:hAnsi="Arial"/>
                <w:sz w:val="16"/>
                <w:szCs w:val="16"/>
                <w:color w:val="auto"/>
              </w:rPr>
              <w:t>Accrued expenses</w:t>
            </w:r>
          </w:p>
        </w:tc>
        <w:tc>
          <w:tcPr>
            <w:tcW w:w="120" w:type="dxa"/>
            <w:vAlign w:val="bottom"/>
          </w:tcPr>
          <w:p>
            <w:pPr>
              <w:spacing w:after="0"/>
              <w:rPr>
                <w:sz w:val="20"/>
                <w:szCs w:val="20"/>
                <w:color w:val="auto"/>
              </w:rPr>
            </w:pPr>
          </w:p>
        </w:tc>
        <w:tc>
          <w:tcPr>
            <w:tcW w:w="1380" w:type="dxa"/>
            <w:vAlign w:val="bottom"/>
          </w:tcPr>
          <w:p>
            <w:pPr>
              <w:jc w:val="right"/>
              <w:ind w:right="39"/>
              <w:spacing w:after="0"/>
              <w:rPr>
                <w:sz w:val="20"/>
                <w:szCs w:val="20"/>
                <w:color w:val="auto"/>
              </w:rPr>
            </w:pPr>
            <w:r>
              <w:rPr>
                <w:rFonts w:ascii="Arial" w:cs="Arial" w:eastAsia="Arial" w:hAnsi="Arial"/>
                <w:sz w:val="16"/>
                <w:szCs w:val="16"/>
                <w:color w:val="auto"/>
              </w:rPr>
              <w:t>14,715</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624</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40" w:type="dxa"/>
            <w:vAlign w:val="bottom"/>
          </w:tcPr>
          <w:p>
            <w:pPr>
              <w:jc w:val="right"/>
              <w:ind w:right="19"/>
              <w:spacing w:after="0"/>
              <w:rPr>
                <w:sz w:val="20"/>
                <w:szCs w:val="20"/>
                <w:color w:val="auto"/>
              </w:rPr>
            </w:pPr>
            <w:r>
              <w:rPr>
                <w:rFonts w:ascii="Arial" w:cs="Arial" w:eastAsia="Arial" w:hAnsi="Arial"/>
                <w:sz w:val="16"/>
                <w:szCs w:val="16"/>
                <w:color w:val="auto"/>
              </w:rPr>
              <w:t>15,339</w:t>
            </w: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Equipment deposits</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9,001</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9,001</w:t>
            </w:r>
          </w:p>
        </w:tc>
        <w:tc>
          <w:tcPr>
            <w:tcW w:w="0" w:type="dxa"/>
            <w:vAlign w:val="bottom"/>
          </w:tcPr>
          <w:p>
            <w:pPr>
              <w:spacing w:after="0"/>
              <w:rPr>
                <w:sz w:val="1"/>
                <w:szCs w:val="1"/>
                <w:color w:val="auto"/>
              </w:rPr>
            </w:pPr>
          </w:p>
        </w:tc>
      </w:tr>
      <w:tr>
        <w:trPr>
          <w:trHeight w:val="237"/>
        </w:trPr>
        <w:tc>
          <w:tcPr>
            <w:tcW w:w="6720" w:type="dxa"/>
            <w:vAlign w:val="bottom"/>
          </w:tcPr>
          <w:p>
            <w:pPr>
              <w:ind w:left="160"/>
              <w:spacing w:after="0"/>
              <w:rPr>
                <w:sz w:val="20"/>
                <w:szCs w:val="20"/>
                <w:color w:val="auto"/>
              </w:rPr>
            </w:pPr>
            <w:r>
              <w:rPr>
                <w:rFonts w:ascii="Arial" w:cs="Arial" w:eastAsia="Arial" w:hAnsi="Arial"/>
                <w:sz w:val="16"/>
                <w:szCs w:val="16"/>
                <w:color w:val="auto"/>
              </w:rPr>
              <w:t>Restricted liabilities – national advertising fund</w:t>
            </w:r>
          </w:p>
        </w:tc>
        <w:tc>
          <w:tcPr>
            <w:tcW w:w="120" w:type="dxa"/>
            <w:vAlign w:val="bottom"/>
          </w:tcPr>
          <w:p>
            <w:pPr>
              <w:spacing w:after="0"/>
              <w:rPr>
                <w:sz w:val="20"/>
                <w:szCs w:val="20"/>
                <w:color w:val="auto"/>
              </w:rPr>
            </w:pPr>
          </w:p>
        </w:tc>
        <w:tc>
          <w:tcPr>
            <w:tcW w:w="1380" w:type="dxa"/>
            <w:vAlign w:val="bottom"/>
          </w:tcPr>
          <w:p>
            <w:pPr>
              <w:jc w:val="right"/>
              <w:ind w:right="39"/>
              <w:spacing w:after="0"/>
              <w:rPr>
                <w:sz w:val="20"/>
                <w:szCs w:val="20"/>
                <w:color w:val="auto"/>
              </w:rPr>
            </w:pPr>
            <w:r>
              <w:rPr>
                <w:rFonts w:ascii="Arial" w:cs="Arial" w:eastAsia="Arial" w:hAnsi="Arial"/>
                <w:sz w:val="16"/>
                <w:szCs w:val="16"/>
                <w:color w:val="auto"/>
              </w:rPr>
              <w:t>73</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340" w:type="dxa"/>
            <w:vAlign w:val="bottom"/>
          </w:tcPr>
          <w:p>
            <w:pPr>
              <w:jc w:val="right"/>
              <w:ind w:right="19"/>
              <w:spacing w:after="0"/>
              <w:rPr>
                <w:sz w:val="20"/>
                <w:szCs w:val="20"/>
                <w:color w:val="auto"/>
              </w:rPr>
            </w:pPr>
            <w:r>
              <w:rPr>
                <w:rFonts w:ascii="Arial" w:cs="Arial" w:eastAsia="Arial" w:hAnsi="Arial"/>
                <w:sz w:val="16"/>
                <w:szCs w:val="16"/>
                <w:color w:val="auto"/>
              </w:rPr>
              <w:t>73</w:t>
            </w: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Deferred revenue, current</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23,186</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306</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23,492</w:t>
            </w:r>
          </w:p>
        </w:tc>
        <w:tc>
          <w:tcPr>
            <w:tcW w:w="0" w:type="dxa"/>
            <w:vAlign w:val="bottom"/>
          </w:tcPr>
          <w:p>
            <w:pPr>
              <w:spacing w:after="0"/>
              <w:rPr>
                <w:sz w:val="1"/>
                <w:szCs w:val="1"/>
                <w:color w:val="auto"/>
              </w:rPr>
            </w:pPr>
          </w:p>
        </w:tc>
      </w:tr>
      <w:tr>
        <w:trPr>
          <w:trHeight w:val="237"/>
        </w:trPr>
        <w:tc>
          <w:tcPr>
            <w:tcW w:w="6720" w:type="dxa"/>
            <w:vAlign w:val="bottom"/>
          </w:tcPr>
          <w:p>
            <w:pPr>
              <w:ind w:left="160"/>
              <w:spacing w:after="0"/>
              <w:rPr>
                <w:sz w:val="20"/>
                <w:szCs w:val="20"/>
                <w:color w:val="auto"/>
              </w:rPr>
            </w:pPr>
            <w:r>
              <w:rPr>
                <w:rFonts w:ascii="Arial" w:cs="Arial" w:eastAsia="Arial" w:hAnsi="Arial"/>
                <w:sz w:val="16"/>
                <w:szCs w:val="16"/>
                <w:color w:val="auto"/>
              </w:rPr>
              <w:t>Payable pursuant to tax benefit arrangements, current</w:t>
            </w:r>
          </w:p>
        </w:tc>
        <w:tc>
          <w:tcPr>
            <w:tcW w:w="120" w:type="dxa"/>
            <w:vAlign w:val="bottom"/>
          </w:tcPr>
          <w:p>
            <w:pPr>
              <w:spacing w:after="0"/>
              <w:rPr>
                <w:sz w:val="20"/>
                <w:szCs w:val="20"/>
                <w:color w:val="auto"/>
              </w:rPr>
            </w:pPr>
          </w:p>
        </w:tc>
        <w:tc>
          <w:tcPr>
            <w:tcW w:w="1380" w:type="dxa"/>
            <w:vAlign w:val="bottom"/>
          </w:tcPr>
          <w:p>
            <w:pPr>
              <w:jc w:val="right"/>
              <w:ind w:right="39"/>
              <w:spacing w:after="0"/>
              <w:rPr>
                <w:sz w:val="20"/>
                <w:szCs w:val="20"/>
                <w:color w:val="auto"/>
              </w:rPr>
            </w:pPr>
            <w:r>
              <w:rPr>
                <w:rFonts w:ascii="Arial" w:cs="Arial" w:eastAsia="Arial" w:hAnsi="Arial"/>
                <w:sz w:val="16"/>
                <w:szCs w:val="16"/>
                <w:color w:val="auto"/>
              </w:rPr>
              <w:t>25,578</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340" w:type="dxa"/>
            <w:vAlign w:val="bottom"/>
          </w:tcPr>
          <w:p>
            <w:pPr>
              <w:jc w:val="right"/>
              <w:ind w:right="19"/>
              <w:spacing w:after="0"/>
              <w:rPr>
                <w:sz w:val="20"/>
                <w:szCs w:val="20"/>
                <w:color w:val="auto"/>
              </w:rPr>
            </w:pPr>
            <w:r>
              <w:rPr>
                <w:rFonts w:ascii="Arial" w:cs="Arial" w:eastAsia="Arial" w:hAnsi="Arial"/>
                <w:sz w:val="16"/>
                <w:szCs w:val="16"/>
                <w:color w:val="auto"/>
              </w:rPr>
              <w:t>25,578</w:t>
            </w: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7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Other current liabilities</w:t>
            </w:r>
          </w:p>
        </w:tc>
        <w:tc>
          <w:tcPr>
            <w:tcW w:w="12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436</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436</w:t>
            </w:r>
          </w:p>
        </w:tc>
        <w:tc>
          <w:tcPr>
            <w:tcW w:w="0" w:type="dxa"/>
            <w:vAlign w:val="bottom"/>
          </w:tcPr>
          <w:p>
            <w:pPr>
              <w:spacing w:after="0"/>
              <w:rPr>
                <w:sz w:val="1"/>
                <w:szCs w:val="1"/>
                <w:color w:val="auto"/>
              </w:rPr>
            </w:pPr>
          </w:p>
        </w:tc>
      </w:tr>
      <w:tr>
        <w:trPr>
          <w:trHeight w:val="217"/>
        </w:trPr>
        <w:tc>
          <w:tcPr>
            <w:tcW w:w="6720" w:type="dxa"/>
            <w:vAlign w:val="bottom"/>
          </w:tcPr>
          <w:p>
            <w:pPr>
              <w:ind w:left="280"/>
              <w:spacing w:after="0"/>
              <w:rPr>
                <w:sz w:val="20"/>
                <w:szCs w:val="20"/>
                <w:color w:val="auto"/>
              </w:rPr>
            </w:pPr>
            <w:r>
              <w:rPr>
                <w:rFonts w:ascii="Arial" w:cs="Arial" w:eastAsia="Arial" w:hAnsi="Arial"/>
                <w:sz w:val="16"/>
                <w:szCs w:val="16"/>
                <w:color w:val="auto"/>
              </w:rPr>
              <w:t>Total current liabilities</w:t>
            </w:r>
          </w:p>
        </w:tc>
        <w:tc>
          <w:tcPr>
            <w:tcW w:w="120" w:type="dxa"/>
            <w:vAlign w:val="bottom"/>
            <w:tcBorders>
              <w:top w:val="single" w:sz="8" w:color="auto"/>
            </w:tcBorders>
          </w:tcPr>
          <w:p>
            <w:pPr>
              <w:spacing w:after="0"/>
              <w:rPr>
                <w:sz w:val="18"/>
                <w:szCs w:val="18"/>
                <w:color w:val="auto"/>
              </w:rPr>
            </w:pPr>
          </w:p>
        </w:tc>
        <w:tc>
          <w:tcPr>
            <w:tcW w:w="138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96,442</w:t>
            </w:r>
          </w:p>
        </w:tc>
        <w:tc>
          <w:tcPr>
            <w:tcW w:w="1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930</w:t>
            </w:r>
          </w:p>
        </w:tc>
        <w:tc>
          <w:tcPr>
            <w:tcW w:w="1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3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97,372</w:t>
            </w:r>
          </w:p>
        </w:tc>
        <w:tc>
          <w:tcPr>
            <w:tcW w:w="0" w:type="dxa"/>
            <w:vAlign w:val="bottom"/>
          </w:tcPr>
          <w:p>
            <w:pPr>
              <w:spacing w:after="0"/>
              <w:rPr>
                <w:sz w:val="1"/>
                <w:szCs w:val="1"/>
                <w:color w:val="auto"/>
              </w:rPr>
            </w:pPr>
          </w:p>
        </w:tc>
      </w:tr>
      <w:tr>
        <w:trPr>
          <w:trHeight w:val="33"/>
        </w:trPr>
        <w:tc>
          <w:tcPr>
            <w:tcW w:w="67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6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Long-term debt, net of current maturities</w:t>
            </w:r>
          </w:p>
        </w:tc>
        <w:tc>
          <w:tcPr>
            <w:tcW w:w="120" w:type="dxa"/>
            <w:vAlign w:val="bottom"/>
            <w:tcBorders>
              <w:bottom w:val="single" w:sz="8" w:color="CCEEFF"/>
            </w:tcBorders>
            <w:shd w:val="clear" w:color="auto" w:fill="CCEEFF"/>
          </w:tcPr>
          <w:p>
            <w:pPr>
              <w:spacing w:after="0"/>
              <w:rPr>
                <w:sz w:val="20"/>
                <w:szCs w:val="20"/>
                <w:color w:val="auto"/>
              </w:rPr>
            </w:pPr>
          </w:p>
        </w:tc>
        <w:tc>
          <w:tcPr>
            <w:tcW w:w="13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693,957</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4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0"/>
                <w:szCs w:val="20"/>
                <w:color w:val="auto"/>
              </w:rPr>
            </w:pPr>
          </w:p>
        </w:tc>
        <w:tc>
          <w:tcPr>
            <w:tcW w:w="13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693,957</w:t>
            </w:r>
          </w:p>
        </w:tc>
        <w:tc>
          <w:tcPr>
            <w:tcW w:w="0" w:type="dxa"/>
            <w:vAlign w:val="bottom"/>
          </w:tcPr>
          <w:p>
            <w:pPr>
              <w:spacing w:after="0"/>
              <w:rPr>
                <w:sz w:val="1"/>
                <w:szCs w:val="1"/>
                <w:color w:val="auto"/>
              </w:rPr>
            </w:pPr>
          </w:p>
        </w:tc>
      </w:tr>
      <w:tr>
        <w:trPr>
          <w:trHeight w:val="237"/>
        </w:trPr>
        <w:tc>
          <w:tcPr>
            <w:tcW w:w="6720" w:type="dxa"/>
            <w:vAlign w:val="bottom"/>
          </w:tcPr>
          <w:p>
            <w:pPr>
              <w:ind w:left="20"/>
              <w:spacing w:after="0"/>
              <w:rPr>
                <w:sz w:val="20"/>
                <w:szCs w:val="20"/>
                <w:color w:val="auto"/>
              </w:rPr>
            </w:pPr>
            <w:r>
              <w:rPr>
                <w:rFonts w:ascii="Arial" w:cs="Arial" w:eastAsia="Arial" w:hAnsi="Arial"/>
                <w:sz w:val="16"/>
                <w:szCs w:val="16"/>
                <w:color w:val="auto"/>
              </w:rPr>
              <w:t>Deferred rent, net of current portion</w:t>
            </w:r>
          </w:p>
        </w:tc>
        <w:tc>
          <w:tcPr>
            <w:tcW w:w="120" w:type="dxa"/>
            <w:vAlign w:val="bottom"/>
          </w:tcPr>
          <w:p>
            <w:pPr>
              <w:spacing w:after="0"/>
              <w:rPr>
                <w:sz w:val="20"/>
                <w:szCs w:val="20"/>
                <w:color w:val="auto"/>
              </w:rPr>
            </w:pPr>
          </w:p>
        </w:tc>
        <w:tc>
          <w:tcPr>
            <w:tcW w:w="1380" w:type="dxa"/>
            <w:vAlign w:val="bottom"/>
          </w:tcPr>
          <w:p>
            <w:pPr>
              <w:jc w:val="right"/>
              <w:ind w:right="39"/>
              <w:spacing w:after="0"/>
              <w:rPr>
                <w:sz w:val="20"/>
                <w:szCs w:val="20"/>
                <w:color w:val="auto"/>
              </w:rPr>
            </w:pPr>
            <w:r>
              <w:rPr>
                <w:rFonts w:ascii="Arial" w:cs="Arial" w:eastAsia="Arial" w:hAnsi="Arial"/>
                <w:sz w:val="16"/>
                <w:szCs w:val="16"/>
                <w:color w:val="auto"/>
              </w:rPr>
              <w:t>7,700</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340" w:type="dxa"/>
            <w:vAlign w:val="bottom"/>
          </w:tcPr>
          <w:p>
            <w:pPr>
              <w:jc w:val="right"/>
              <w:ind w:right="19"/>
              <w:spacing w:after="0"/>
              <w:rPr>
                <w:sz w:val="20"/>
                <w:szCs w:val="20"/>
                <w:color w:val="auto"/>
              </w:rPr>
            </w:pPr>
            <w:r>
              <w:rPr>
                <w:rFonts w:ascii="Arial" w:cs="Arial" w:eastAsia="Arial" w:hAnsi="Arial"/>
                <w:sz w:val="16"/>
                <w:szCs w:val="16"/>
                <w:color w:val="auto"/>
              </w:rPr>
              <w:t>7,700</w:t>
            </w: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Deferred revenue, net of current portion</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23,255</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(15,068)</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8,187</w:t>
            </w:r>
          </w:p>
        </w:tc>
        <w:tc>
          <w:tcPr>
            <w:tcW w:w="0" w:type="dxa"/>
            <w:vAlign w:val="bottom"/>
          </w:tcPr>
          <w:p>
            <w:pPr>
              <w:spacing w:after="0"/>
              <w:rPr>
                <w:sz w:val="1"/>
                <w:szCs w:val="1"/>
                <w:color w:val="auto"/>
              </w:rPr>
            </w:pPr>
          </w:p>
        </w:tc>
      </w:tr>
      <w:tr>
        <w:trPr>
          <w:trHeight w:val="237"/>
        </w:trPr>
        <w:tc>
          <w:tcPr>
            <w:tcW w:w="6720" w:type="dxa"/>
            <w:vAlign w:val="bottom"/>
          </w:tcPr>
          <w:p>
            <w:pPr>
              <w:ind w:left="20"/>
              <w:spacing w:after="0"/>
              <w:rPr>
                <w:sz w:val="20"/>
                <w:szCs w:val="20"/>
                <w:color w:val="auto"/>
              </w:rPr>
            </w:pPr>
            <w:r>
              <w:rPr>
                <w:rFonts w:ascii="Arial" w:cs="Arial" w:eastAsia="Arial" w:hAnsi="Arial"/>
                <w:sz w:val="16"/>
                <w:szCs w:val="16"/>
                <w:color w:val="auto"/>
              </w:rPr>
              <w:t>Deferred tax liabilities</w:t>
            </w:r>
          </w:p>
        </w:tc>
        <w:tc>
          <w:tcPr>
            <w:tcW w:w="120" w:type="dxa"/>
            <w:vAlign w:val="bottom"/>
          </w:tcPr>
          <w:p>
            <w:pPr>
              <w:spacing w:after="0"/>
              <w:rPr>
                <w:sz w:val="20"/>
                <w:szCs w:val="20"/>
                <w:color w:val="auto"/>
              </w:rPr>
            </w:pPr>
          </w:p>
        </w:tc>
        <w:tc>
          <w:tcPr>
            <w:tcW w:w="1380" w:type="dxa"/>
            <w:vAlign w:val="bottom"/>
          </w:tcPr>
          <w:p>
            <w:pPr>
              <w:jc w:val="right"/>
              <w:ind w:right="39"/>
              <w:spacing w:after="0"/>
              <w:rPr>
                <w:sz w:val="20"/>
                <w:szCs w:val="20"/>
                <w:color w:val="auto"/>
              </w:rPr>
            </w:pPr>
            <w:r>
              <w:rPr>
                <w:rFonts w:ascii="Arial" w:cs="Arial" w:eastAsia="Arial" w:hAnsi="Arial"/>
                <w:sz w:val="16"/>
                <w:szCs w:val="16"/>
                <w:color w:val="auto"/>
              </w:rPr>
              <w:t>1,389</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340" w:type="dxa"/>
            <w:vAlign w:val="bottom"/>
          </w:tcPr>
          <w:p>
            <w:pPr>
              <w:jc w:val="right"/>
              <w:ind w:right="19"/>
              <w:spacing w:after="0"/>
              <w:rPr>
                <w:sz w:val="20"/>
                <w:szCs w:val="20"/>
                <w:color w:val="auto"/>
              </w:rPr>
            </w:pPr>
            <w:r>
              <w:rPr>
                <w:rFonts w:ascii="Arial" w:cs="Arial" w:eastAsia="Arial" w:hAnsi="Arial"/>
                <w:sz w:val="16"/>
                <w:szCs w:val="16"/>
                <w:color w:val="auto"/>
              </w:rPr>
              <w:t>1,389</w:t>
            </w: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Payable pursuant to tax benefit arrangements, net of current portion</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391,876</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391,876</w:t>
            </w:r>
          </w:p>
        </w:tc>
        <w:tc>
          <w:tcPr>
            <w:tcW w:w="0" w:type="dxa"/>
            <w:vAlign w:val="bottom"/>
          </w:tcPr>
          <w:p>
            <w:pPr>
              <w:spacing w:after="0"/>
              <w:rPr>
                <w:sz w:val="1"/>
                <w:szCs w:val="1"/>
                <w:color w:val="auto"/>
              </w:rPr>
            </w:pPr>
          </w:p>
        </w:tc>
      </w:tr>
      <w:tr>
        <w:trPr>
          <w:trHeight w:val="237"/>
        </w:trPr>
        <w:tc>
          <w:tcPr>
            <w:tcW w:w="6720" w:type="dxa"/>
            <w:vAlign w:val="bottom"/>
          </w:tcPr>
          <w:p>
            <w:pPr>
              <w:ind w:left="20"/>
              <w:spacing w:after="0"/>
              <w:rPr>
                <w:sz w:val="20"/>
                <w:szCs w:val="20"/>
                <w:color w:val="auto"/>
              </w:rPr>
            </w:pPr>
            <w:r>
              <w:rPr>
                <w:rFonts w:ascii="Arial" w:cs="Arial" w:eastAsia="Arial" w:hAnsi="Arial"/>
                <w:sz w:val="16"/>
                <w:szCs w:val="16"/>
                <w:color w:val="auto"/>
              </w:rPr>
              <w:t>Other liabilities</w:t>
            </w:r>
          </w:p>
        </w:tc>
        <w:tc>
          <w:tcPr>
            <w:tcW w:w="120" w:type="dxa"/>
            <w:vAlign w:val="bottom"/>
          </w:tcPr>
          <w:p>
            <w:pPr>
              <w:spacing w:after="0"/>
              <w:rPr>
                <w:sz w:val="20"/>
                <w:szCs w:val="20"/>
                <w:color w:val="auto"/>
              </w:rPr>
            </w:pPr>
          </w:p>
        </w:tc>
        <w:tc>
          <w:tcPr>
            <w:tcW w:w="1380" w:type="dxa"/>
            <w:vAlign w:val="bottom"/>
          </w:tcPr>
          <w:p>
            <w:pPr>
              <w:jc w:val="right"/>
              <w:ind w:right="39"/>
              <w:spacing w:after="0"/>
              <w:rPr>
                <w:sz w:val="20"/>
                <w:szCs w:val="20"/>
                <w:color w:val="auto"/>
              </w:rPr>
            </w:pPr>
            <w:r>
              <w:rPr>
                <w:rFonts w:ascii="Arial" w:cs="Arial" w:eastAsia="Arial" w:hAnsi="Arial"/>
                <w:sz w:val="16"/>
                <w:szCs w:val="16"/>
                <w:color w:val="auto"/>
              </w:rPr>
              <w:t>1,350</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340" w:type="dxa"/>
            <w:vAlign w:val="bottom"/>
          </w:tcPr>
          <w:p>
            <w:pPr>
              <w:jc w:val="right"/>
              <w:ind w:right="19"/>
              <w:spacing w:after="0"/>
              <w:rPr>
                <w:sz w:val="20"/>
                <w:szCs w:val="20"/>
                <w:color w:val="auto"/>
              </w:rPr>
            </w:pPr>
            <w:r>
              <w:rPr>
                <w:rFonts w:ascii="Arial" w:cs="Arial" w:eastAsia="Arial" w:hAnsi="Arial"/>
                <w:sz w:val="16"/>
                <w:szCs w:val="16"/>
                <w:color w:val="auto"/>
              </w:rPr>
              <w:t>1,350</w:t>
            </w:r>
          </w:p>
        </w:tc>
        <w:tc>
          <w:tcPr>
            <w:tcW w:w="0" w:type="dxa"/>
            <w:vAlign w:val="bottom"/>
          </w:tcPr>
          <w:p>
            <w:pPr>
              <w:spacing w:after="0"/>
              <w:rPr>
                <w:sz w:val="1"/>
                <w:szCs w:val="1"/>
                <w:color w:val="auto"/>
              </w:rPr>
            </w:pPr>
          </w:p>
        </w:tc>
      </w:tr>
      <w:tr>
        <w:trPr>
          <w:trHeight w:val="33"/>
        </w:trPr>
        <w:tc>
          <w:tcPr>
            <w:tcW w:w="67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67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Total noncurrent liabilities</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1,119,527</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(15,068)</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1,104,459</w:t>
            </w:r>
          </w:p>
        </w:tc>
        <w:tc>
          <w:tcPr>
            <w:tcW w:w="0" w:type="dxa"/>
            <w:vAlign w:val="bottom"/>
          </w:tcPr>
          <w:p>
            <w:pPr>
              <w:spacing w:after="0"/>
              <w:rPr>
                <w:sz w:val="1"/>
                <w:szCs w:val="1"/>
                <w:color w:val="auto"/>
              </w:rPr>
            </w:pPr>
          </w:p>
        </w:tc>
      </w:tr>
      <w:tr>
        <w:trPr>
          <w:trHeight w:val="231"/>
        </w:trPr>
        <w:tc>
          <w:tcPr>
            <w:tcW w:w="6720" w:type="dxa"/>
            <w:vAlign w:val="bottom"/>
          </w:tcPr>
          <w:p>
            <w:pPr>
              <w:ind w:left="20"/>
              <w:spacing w:after="0"/>
              <w:rPr>
                <w:sz w:val="20"/>
                <w:szCs w:val="20"/>
                <w:color w:val="auto"/>
              </w:rPr>
            </w:pPr>
            <w:r>
              <w:rPr>
                <w:rFonts w:ascii="Arial" w:cs="Arial" w:eastAsia="Arial" w:hAnsi="Arial"/>
                <w:sz w:val="16"/>
                <w:szCs w:val="16"/>
                <w:color w:val="auto"/>
              </w:rPr>
              <w:t>Stockholders' equity (deficit):</w:t>
            </w:r>
          </w:p>
        </w:tc>
        <w:tc>
          <w:tcPr>
            <w:tcW w:w="120" w:type="dxa"/>
            <w:vAlign w:val="bottom"/>
            <w:tcBorders>
              <w:top w:val="single" w:sz="8" w:color="auto"/>
            </w:tcBorders>
          </w:tcPr>
          <w:p>
            <w:pPr>
              <w:spacing w:after="0"/>
              <w:rPr>
                <w:sz w:val="20"/>
                <w:szCs w:val="20"/>
                <w:color w:val="auto"/>
              </w:rPr>
            </w:pPr>
          </w:p>
        </w:tc>
        <w:tc>
          <w:tcPr>
            <w:tcW w:w="138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Class A common stock</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9</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w:t>
            </w:r>
          </w:p>
        </w:tc>
        <w:tc>
          <w:tcPr>
            <w:tcW w:w="0" w:type="dxa"/>
            <w:vAlign w:val="bottom"/>
          </w:tcPr>
          <w:p>
            <w:pPr>
              <w:spacing w:after="0"/>
              <w:rPr>
                <w:sz w:val="1"/>
                <w:szCs w:val="1"/>
                <w:color w:val="auto"/>
              </w:rPr>
            </w:pPr>
          </w:p>
        </w:tc>
      </w:tr>
      <w:tr>
        <w:trPr>
          <w:trHeight w:val="237"/>
        </w:trPr>
        <w:tc>
          <w:tcPr>
            <w:tcW w:w="6720" w:type="dxa"/>
            <w:vAlign w:val="bottom"/>
          </w:tcPr>
          <w:p>
            <w:pPr>
              <w:ind w:left="160"/>
              <w:spacing w:after="0"/>
              <w:rPr>
                <w:sz w:val="20"/>
                <w:szCs w:val="20"/>
                <w:color w:val="auto"/>
              </w:rPr>
            </w:pPr>
            <w:r>
              <w:rPr>
                <w:rFonts w:ascii="Arial" w:cs="Arial" w:eastAsia="Arial" w:hAnsi="Arial"/>
                <w:sz w:val="16"/>
                <w:szCs w:val="16"/>
                <w:color w:val="auto"/>
              </w:rPr>
              <w:t>Class B common stock</w:t>
            </w:r>
          </w:p>
        </w:tc>
        <w:tc>
          <w:tcPr>
            <w:tcW w:w="120" w:type="dxa"/>
            <w:vAlign w:val="bottom"/>
          </w:tcPr>
          <w:p>
            <w:pPr>
              <w:spacing w:after="0"/>
              <w:rPr>
                <w:sz w:val="20"/>
                <w:szCs w:val="20"/>
                <w:color w:val="auto"/>
              </w:rPr>
            </w:pPr>
          </w:p>
        </w:tc>
        <w:tc>
          <w:tcPr>
            <w:tcW w:w="1380" w:type="dxa"/>
            <w:vAlign w:val="bottom"/>
          </w:tcPr>
          <w:p>
            <w:pPr>
              <w:jc w:val="right"/>
              <w:ind w:right="39"/>
              <w:spacing w:after="0"/>
              <w:rPr>
                <w:sz w:val="20"/>
                <w:szCs w:val="20"/>
                <w:color w:val="auto"/>
              </w:rPr>
            </w:pPr>
            <w:r>
              <w:rPr>
                <w:rFonts w:ascii="Arial" w:cs="Arial" w:eastAsia="Arial" w:hAnsi="Arial"/>
                <w:sz w:val="16"/>
                <w:szCs w:val="16"/>
                <w:color w:val="auto"/>
              </w:rPr>
              <w:t>1</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340" w:type="dxa"/>
            <w:vAlign w:val="bottom"/>
          </w:tcPr>
          <w:p>
            <w:pPr>
              <w:jc w:val="right"/>
              <w:ind w:right="19"/>
              <w:spacing w:after="0"/>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Accumulated other comprehensive loss</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(385)</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(385)</w:t>
            </w:r>
          </w:p>
        </w:tc>
        <w:tc>
          <w:tcPr>
            <w:tcW w:w="0" w:type="dxa"/>
            <w:vAlign w:val="bottom"/>
          </w:tcPr>
          <w:p>
            <w:pPr>
              <w:spacing w:after="0"/>
              <w:rPr>
                <w:sz w:val="1"/>
                <w:szCs w:val="1"/>
                <w:color w:val="auto"/>
              </w:rPr>
            </w:pPr>
          </w:p>
        </w:tc>
      </w:tr>
      <w:tr>
        <w:trPr>
          <w:trHeight w:val="237"/>
        </w:trPr>
        <w:tc>
          <w:tcPr>
            <w:tcW w:w="6720" w:type="dxa"/>
            <w:vAlign w:val="bottom"/>
          </w:tcPr>
          <w:p>
            <w:pPr>
              <w:ind w:left="160"/>
              <w:spacing w:after="0"/>
              <w:rPr>
                <w:sz w:val="20"/>
                <w:szCs w:val="20"/>
                <w:color w:val="auto"/>
              </w:rPr>
            </w:pPr>
            <w:r>
              <w:rPr>
                <w:rFonts w:ascii="Arial" w:cs="Arial" w:eastAsia="Arial" w:hAnsi="Arial"/>
                <w:sz w:val="16"/>
                <w:szCs w:val="16"/>
                <w:color w:val="auto"/>
              </w:rPr>
              <w:t>Additional paid in capital</w:t>
            </w:r>
          </w:p>
        </w:tc>
        <w:tc>
          <w:tcPr>
            <w:tcW w:w="120" w:type="dxa"/>
            <w:vAlign w:val="bottom"/>
          </w:tcPr>
          <w:p>
            <w:pPr>
              <w:spacing w:after="0"/>
              <w:rPr>
                <w:sz w:val="20"/>
                <w:szCs w:val="20"/>
                <w:color w:val="auto"/>
              </w:rPr>
            </w:pPr>
          </w:p>
        </w:tc>
        <w:tc>
          <w:tcPr>
            <w:tcW w:w="1380" w:type="dxa"/>
            <w:vAlign w:val="bottom"/>
          </w:tcPr>
          <w:p>
            <w:pPr>
              <w:jc w:val="right"/>
              <w:ind w:right="39"/>
              <w:spacing w:after="0"/>
              <w:rPr>
                <w:sz w:val="20"/>
                <w:szCs w:val="20"/>
                <w:color w:val="auto"/>
              </w:rPr>
            </w:pPr>
            <w:r>
              <w:rPr>
                <w:rFonts w:ascii="Arial" w:cs="Arial" w:eastAsia="Arial" w:hAnsi="Arial"/>
                <w:sz w:val="16"/>
                <w:szCs w:val="16"/>
                <w:color w:val="auto"/>
              </w:rPr>
              <w:t>14,744</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340" w:type="dxa"/>
            <w:vAlign w:val="bottom"/>
          </w:tcPr>
          <w:p>
            <w:pPr>
              <w:jc w:val="right"/>
              <w:ind w:right="19"/>
              <w:spacing w:after="0"/>
              <w:rPr>
                <w:sz w:val="20"/>
                <w:szCs w:val="20"/>
                <w:color w:val="auto"/>
              </w:rPr>
            </w:pPr>
            <w:r>
              <w:rPr>
                <w:rFonts w:ascii="Arial" w:cs="Arial" w:eastAsia="Arial" w:hAnsi="Arial"/>
                <w:sz w:val="16"/>
                <w:szCs w:val="16"/>
                <w:color w:val="auto"/>
              </w:rPr>
              <w:t>14,744</w:t>
            </w: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7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Accumulated deficit</w:t>
            </w:r>
          </w:p>
        </w:tc>
        <w:tc>
          <w:tcPr>
            <w:tcW w:w="12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(94,348)</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10,574</w:t>
            </w:r>
          </w:p>
        </w:tc>
        <w:tc>
          <w:tcPr>
            <w:tcW w:w="10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(83,774)</w:t>
            </w:r>
          </w:p>
        </w:tc>
        <w:tc>
          <w:tcPr>
            <w:tcW w:w="0" w:type="dxa"/>
            <w:vAlign w:val="bottom"/>
          </w:tcPr>
          <w:p>
            <w:pPr>
              <w:spacing w:after="0"/>
              <w:rPr>
                <w:sz w:val="1"/>
                <w:szCs w:val="1"/>
                <w:color w:val="auto"/>
              </w:rPr>
            </w:pPr>
          </w:p>
        </w:tc>
      </w:tr>
      <w:tr>
        <w:trPr>
          <w:trHeight w:val="217"/>
        </w:trPr>
        <w:tc>
          <w:tcPr>
            <w:tcW w:w="6720" w:type="dxa"/>
            <w:vAlign w:val="bottom"/>
          </w:tcPr>
          <w:p>
            <w:pPr>
              <w:ind w:left="280"/>
              <w:spacing w:after="0"/>
              <w:rPr>
                <w:sz w:val="20"/>
                <w:szCs w:val="20"/>
                <w:color w:val="auto"/>
              </w:rPr>
            </w:pPr>
            <w:r>
              <w:rPr>
                <w:rFonts w:ascii="Arial" w:cs="Arial" w:eastAsia="Arial" w:hAnsi="Arial"/>
                <w:sz w:val="16"/>
                <w:szCs w:val="16"/>
                <w:color w:val="auto"/>
              </w:rPr>
              <w:t>Total stockholders' deficit attributable to Planet Fitness Inc.</w:t>
            </w:r>
          </w:p>
        </w:tc>
        <w:tc>
          <w:tcPr>
            <w:tcW w:w="120" w:type="dxa"/>
            <w:vAlign w:val="bottom"/>
            <w:tcBorders>
              <w:top w:val="single" w:sz="8" w:color="auto"/>
            </w:tcBorders>
          </w:tcPr>
          <w:p>
            <w:pPr>
              <w:spacing w:after="0"/>
              <w:rPr>
                <w:sz w:val="18"/>
                <w:szCs w:val="18"/>
                <w:color w:val="auto"/>
              </w:rPr>
            </w:pPr>
          </w:p>
        </w:tc>
        <w:tc>
          <w:tcPr>
            <w:tcW w:w="13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(79,979)</w:t>
            </w:r>
          </w:p>
        </w:tc>
        <w:tc>
          <w:tcPr>
            <w:tcW w:w="1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10,574</w:t>
            </w:r>
          </w:p>
        </w:tc>
        <w:tc>
          <w:tcPr>
            <w:tcW w:w="1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(69,405)</w:t>
            </w:r>
          </w:p>
        </w:tc>
        <w:tc>
          <w:tcPr>
            <w:tcW w:w="0" w:type="dxa"/>
            <w:vAlign w:val="bottom"/>
          </w:tcPr>
          <w:p>
            <w:pPr>
              <w:spacing w:after="0"/>
              <w:rPr>
                <w:sz w:val="1"/>
                <w:szCs w:val="1"/>
                <w:color w:val="auto"/>
              </w:rPr>
            </w:pPr>
          </w:p>
        </w:tc>
      </w:tr>
      <w:tr>
        <w:trPr>
          <w:trHeight w:val="33"/>
        </w:trPr>
        <w:tc>
          <w:tcPr>
            <w:tcW w:w="6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7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Non-controlling interests</w:t>
            </w:r>
          </w:p>
        </w:tc>
        <w:tc>
          <w:tcPr>
            <w:tcW w:w="12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(11,269)</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279</w:t>
            </w:r>
          </w:p>
        </w:tc>
        <w:tc>
          <w:tcPr>
            <w:tcW w:w="10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(10,990)</w:t>
            </w:r>
          </w:p>
        </w:tc>
        <w:tc>
          <w:tcPr>
            <w:tcW w:w="0" w:type="dxa"/>
            <w:vAlign w:val="bottom"/>
          </w:tcPr>
          <w:p>
            <w:pPr>
              <w:spacing w:after="0"/>
              <w:rPr>
                <w:sz w:val="1"/>
                <w:szCs w:val="1"/>
                <w:color w:val="auto"/>
              </w:rPr>
            </w:pPr>
          </w:p>
        </w:tc>
      </w:tr>
      <w:tr>
        <w:trPr>
          <w:trHeight w:val="217"/>
        </w:trPr>
        <w:tc>
          <w:tcPr>
            <w:tcW w:w="6720" w:type="dxa"/>
            <w:vAlign w:val="bottom"/>
          </w:tcPr>
          <w:p>
            <w:pPr>
              <w:ind w:left="280"/>
              <w:spacing w:after="0"/>
              <w:rPr>
                <w:sz w:val="20"/>
                <w:szCs w:val="20"/>
                <w:color w:val="auto"/>
              </w:rPr>
            </w:pPr>
            <w:r>
              <w:rPr>
                <w:rFonts w:ascii="Arial" w:cs="Arial" w:eastAsia="Arial" w:hAnsi="Arial"/>
                <w:sz w:val="16"/>
                <w:szCs w:val="16"/>
                <w:color w:val="auto"/>
              </w:rPr>
              <w:t>Total stockholders' deficit</w:t>
            </w:r>
          </w:p>
        </w:tc>
        <w:tc>
          <w:tcPr>
            <w:tcW w:w="120" w:type="dxa"/>
            <w:vAlign w:val="bottom"/>
            <w:tcBorders>
              <w:top w:val="single" w:sz="8" w:color="auto"/>
            </w:tcBorders>
          </w:tcPr>
          <w:p>
            <w:pPr>
              <w:spacing w:after="0"/>
              <w:rPr>
                <w:sz w:val="18"/>
                <w:szCs w:val="18"/>
                <w:color w:val="auto"/>
              </w:rPr>
            </w:pPr>
          </w:p>
        </w:tc>
        <w:tc>
          <w:tcPr>
            <w:tcW w:w="13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(91,248)</w:t>
            </w:r>
          </w:p>
        </w:tc>
        <w:tc>
          <w:tcPr>
            <w:tcW w:w="1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10,853</w:t>
            </w:r>
          </w:p>
        </w:tc>
        <w:tc>
          <w:tcPr>
            <w:tcW w:w="1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(80,395)</w:t>
            </w:r>
          </w:p>
        </w:tc>
        <w:tc>
          <w:tcPr>
            <w:tcW w:w="0" w:type="dxa"/>
            <w:vAlign w:val="bottom"/>
          </w:tcPr>
          <w:p>
            <w:pPr>
              <w:spacing w:after="0"/>
              <w:rPr>
                <w:sz w:val="1"/>
                <w:szCs w:val="1"/>
                <w:color w:val="auto"/>
              </w:rPr>
            </w:pPr>
          </w:p>
        </w:tc>
      </w:tr>
      <w:tr>
        <w:trPr>
          <w:trHeight w:val="33"/>
        </w:trPr>
        <w:tc>
          <w:tcPr>
            <w:tcW w:w="67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7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Total liabilities and stockholders' deficit</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38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1,124,721</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(3,285)</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34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1,121,436</w:t>
            </w:r>
          </w:p>
        </w:tc>
        <w:tc>
          <w:tcPr>
            <w:tcW w:w="0" w:type="dxa"/>
            <w:vAlign w:val="bottom"/>
          </w:tcPr>
          <w:p>
            <w:pPr>
              <w:spacing w:after="0"/>
              <w:rPr>
                <w:sz w:val="1"/>
                <w:szCs w:val="1"/>
                <w:color w:val="auto"/>
              </w:rPr>
            </w:pPr>
          </w:p>
        </w:tc>
      </w:tr>
      <w:tr>
        <w:trPr>
          <w:trHeight w:val="20"/>
        </w:trPr>
        <w:tc>
          <w:tcPr>
            <w:tcW w:w="67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00"/>
          </w:cols>
          <w:pgMar w:left="240" w:top="229" w:right="259" w:bottom="514" w:gutter="0" w:footer="0" w:header="0"/>
        </w:sectPr>
      </w:pPr>
    </w:p>
    <w:p>
      <w:pPr>
        <w:spacing w:after="0" w:line="245"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28</w:t>
      </w:r>
    </w:p>
    <w:p>
      <w:pPr>
        <w:sectPr>
          <w:pgSz w:w="11900" w:h="16838" w:orient="portrait"/>
          <w:cols w:equalWidth="0" w:num="1">
            <w:col w:w="11400"/>
          </w:cols>
          <w:pgMar w:left="240" w:top="229" w:right="259" w:bottom="514" w:gutter="0" w:footer="0" w:header="0"/>
          <w:type w:val="continuous"/>
        </w:sectPr>
      </w:pPr>
    </w:p>
    <w:bookmarkStart w:id="29" w:name="page30"/>
    <w:bookmarkEnd w:id="29"/>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(16) Subsequent events</w:t>
      </w:r>
    </w:p>
    <w:p>
      <w:pPr>
        <w:spacing w:after="0" w:line="229" w:lineRule="exact"/>
        <w:rPr>
          <w:sz w:val="20"/>
          <w:szCs w:val="20"/>
          <w:color w:val="auto"/>
        </w:rPr>
      </w:pPr>
    </w:p>
    <w:p>
      <w:pPr>
        <w:ind w:right="20"/>
        <w:spacing w:after="0" w:line="269" w:lineRule="auto"/>
        <w:rPr>
          <w:sz w:val="20"/>
          <w:szCs w:val="20"/>
          <w:color w:val="auto"/>
        </w:rPr>
      </w:pPr>
      <w:r>
        <w:rPr>
          <w:rFonts w:ascii="Arial" w:cs="Arial" w:eastAsia="Arial" w:hAnsi="Arial"/>
          <w:sz w:val="17"/>
          <w:szCs w:val="17"/>
          <w:color w:val="auto"/>
        </w:rPr>
        <w:t>On August 1, 2018, Planet Fitness Master Issuer, LLC (the “Master Issuer”), a limited-purpose, bankruptcy remote, wholly-owned indirect subsidiary of Pla-Fit Holdings, LLC, entered into a base indenture and a related supplemental indenture (collectively, the “Indenture”) under which the Master Issuer may issue multiple series of notes. On the same date, the Master Issuer issued Series 2018-1 4.262% Fixed Rate Senior Secured Notes, Class A-2-I (the “Class A-2-I Notes”) with an initial principal amount of $575,000 and Series 2018-1 4.666% Fixed Rate Senior Secured Notes, Class A-2-II (the “Class A-2-II Notes” and, together with the Class A-2-I Notes, the “Class A-2 Notes”) with an initial principal amount of $625,000. In connection with the issuance of the Class A-2 Notes, the Master Issuer also entered into a revolving financing facility that allows for the issuance of up to $75,000 in Series 2018-1 Variable Funding Senior Notes, Class A-1 (the “</w:t>
      </w:r>
      <w:r>
        <w:rPr>
          <w:rFonts w:ascii="Arial" w:cs="Arial" w:eastAsia="Arial" w:hAnsi="Arial"/>
          <w:sz w:val="17"/>
          <w:szCs w:val="17"/>
          <w:u w:val="single" w:color="auto"/>
          <w:color w:val="auto"/>
        </w:rPr>
        <w:t>Variable Funding Notes</w:t>
      </w:r>
      <w:r>
        <w:rPr>
          <w:rFonts w:ascii="Arial" w:cs="Arial" w:eastAsia="Arial" w:hAnsi="Arial"/>
          <w:sz w:val="17"/>
          <w:szCs w:val="17"/>
          <w:color w:val="auto"/>
        </w:rPr>
        <w:t>”), and certain letters of credit, all of which is currently undrawn. The Notes were issued in a securitization transaction pursuant to which most of the Company’s domestic revenue-generating assets, consisting principally of franchise-related agreements, certain corporate-owned store assets, equipment supply agreements and intellectual property and license agreements for the use of intellectual property, are held by the Master Issuer and certain other limited-purpose, bankruptcy remote, wholly-owned indirect subsidiaries of the Company that act as guarantors of the Notes and that have pledged substantially all of their assets to secure the Notes.</w:t>
      </w:r>
    </w:p>
    <w:p>
      <w:pPr>
        <w:spacing w:after="0" w:line="183" w:lineRule="exact"/>
        <w:rPr>
          <w:sz w:val="20"/>
          <w:szCs w:val="20"/>
          <w:color w:val="auto"/>
        </w:rPr>
      </w:pPr>
    </w:p>
    <w:p>
      <w:pPr>
        <w:ind w:right="560"/>
        <w:spacing w:after="0" w:line="308" w:lineRule="auto"/>
        <w:rPr>
          <w:sz w:val="20"/>
          <w:szCs w:val="20"/>
          <w:color w:val="auto"/>
        </w:rPr>
      </w:pPr>
      <w:r>
        <w:rPr>
          <w:rFonts w:ascii="Arial" w:cs="Arial" w:eastAsia="Arial" w:hAnsi="Arial"/>
          <w:sz w:val="17"/>
          <w:szCs w:val="17"/>
          <w:color w:val="auto"/>
        </w:rPr>
        <w:t>The legal final maturity date of the Class A-2 Notes is in August 2048, but it is anticipated that, unless earlier prepaid to the extent permitted under the Indenture, the Class A-2-I Notes will be repaid in August 2022 and the Class A-2-II Notes will be repaid in August 2025.</w:t>
      </w:r>
    </w:p>
    <w:p>
      <w:pPr>
        <w:spacing w:after="0" w:line="147" w:lineRule="exact"/>
        <w:rPr>
          <w:sz w:val="20"/>
          <w:szCs w:val="20"/>
          <w:color w:val="auto"/>
        </w:rPr>
      </w:pPr>
    </w:p>
    <w:p>
      <w:pPr>
        <w:ind w:right="240"/>
        <w:spacing w:after="0" w:line="264" w:lineRule="auto"/>
        <w:rPr>
          <w:sz w:val="20"/>
          <w:szCs w:val="20"/>
          <w:color w:val="auto"/>
        </w:rPr>
      </w:pPr>
      <w:r>
        <w:rPr>
          <w:rFonts w:ascii="Arial" w:cs="Arial" w:eastAsia="Arial" w:hAnsi="Arial"/>
          <w:sz w:val="18"/>
          <w:szCs w:val="18"/>
          <w:color w:val="auto"/>
        </w:rPr>
        <w:t>A portion of the proceeds of the Notes was used to repay the remaining $705,877 of principal outstanding on the existing senior secured credit facility. The additional proceeds, net of transaction costs, are being used for general corporate purposes, and may include a return of capital to the Company’s shareholders.</w:t>
      </w:r>
    </w:p>
    <w:p>
      <w:pPr>
        <w:spacing w:after="0" w:line="181"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On August 9, 2018, the Company announced that its Board of Directors approved an increase to the total amount of the share repurchase program to $500,000. The timing of the purchases and the amount of stock repurchased is subject to the Company’s discretion and will depend on market and business conditions, the Company’s general working capital needs, stock price, applicable legal requirements and other factors. Our ability to repurchase shares at any particular time is also subject to the terms of the indenture governing our outstanding notes. Purchases may be effected through one or more open market transactions, privately negotiated transactions, transactions structured through investment banking institutions, or a combination of the foregoing. Planet Fitness is not obligated under the program to acquire any particular amount of stock and can suspend or terminate the program at any time.</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20"/>
          </w:cols>
          <w:pgMar w:left="240" w:top="229" w:right="239" w:bottom="1440" w:gutter="0" w:footer="0" w:header="0"/>
        </w:sectPr>
      </w:pPr>
    </w:p>
    <w:bookmarkStart w:id="30" w:name="page31"/>
    <w:bookmarkEnd w:id="3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w:t>
      </w:r>
    </w:p>
    <w:p>
      <w:pPr>
        <w:spacing w:after="0" w:line="12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i w:val="1"/>
          <w:iCs w:val="1"/>
          <w:color w:val="auto"/>
        </w:rPr>
        <w:t>Unless the context requires otherwise, references in this report to the “Company,” “we,” “us” and “our” refer to Planet Fitness, Inc. and its consolidated subsidiaries.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121"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We are one of the largest and fastest-growing franchisors and operators of fitness centers in the United States by number of members and locations, with a highly recognized national brand. Our mission is to enhance people’s lives by providing a high-quality fitness experience in a welcoming, non-intimidating environment, which we call the Judgement Free Zone, where anyone—and we mean anyone—can feel they belong. Our bright, clean stores are typically 20,000 square feet, with a large selection of high-quality, purple and yellow Planet Fitness-branded cardio, circuit- and weight-training equipment and friendly staff trainers who offer unlimited free fitness instruction to all our members in small groups through our PE@PF program. We offer this differentiated fitness experience at only $10 per month for our standard membership. This exceptional value proposition is designed to appeal to a broad population, including occasional gym users and the approximately 80% of the U.S. and Canadian populations over age 14 who are not gym members, particularly those who find the traditional fitness club setting intimidating and expensive. We and our franchisees fiercely protect Planet Fitness’ community atmosphere—a place where you do not need to be fit before joining and where progress toward achieving your fitness goals (big or small) is supported and applauded by our staff and fellow members.</w:t>
      </w:r>
    </w:p>
    <w:p>
      <w:pPr>
        <w:spacing w:after="0" w:line="70"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As of June 30, 2018, we had more than 12.1 million members and 1,608 stores in all 50 states, the District of Columbia, Puerto Rico, Canada, the Dominican Republic, Panama, and Mexico. Of our 1,608 stores, 1,540 are franchised and 68 are corporate-owned. As of June 30, 2018, we had commitments to open more than 1,000 new stores under existing area development agreements.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segments</w:t>
      </w:r>
    </w:p>
    <w:p>
      <w:pPr>
        <w:spacing w:after="0" w:line="121"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We operate and manage our business in three business segments: Franchise, Corporate-owned stores and Equipment. Our Franchise segment includes operations related to our franchising business in the United States, Puerto Rico, Canada, the Dominican Republic, Panama and Mexico, including revenues and expenses from our national advertising fund beginning on January 1, 2018 (see note 15). Our Corporate-owned stores segment includes operations with respect to all corporate-owned stores throughout the United States and Canada. The Equipment segment includes the sale of equipment to our United States franchisee-owned stores. We evaluate the performance of our segments and allocate resources to them based on revenue and earnings before interest, taxes, depreciation and amortization, referred to as Segment EBITDA. Revenue and Segment EBITDA for all operating segments include only transactions with unaffiliated customers and do not include intersegment transactions. The tables below summarize the financial information for our segments for the three and six months ended June 30, 2018 and 2017. “Corporate and other,” as it relates to Segment EBITDA, primarily includes corporate overhead costs, such as payroll and related benefit costs and professional services that are not directly attributable to any individual segment.</w:t>
      </w:r>
    </w:p>
    <w:p>
      <w:pPr>
        <w:spacing w:after="0" w:line="3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0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420" w:type="dxa"/>
            <w:vAlign w:val="bottom"/>
            <w:gridSpan w:val="5"/>
          </w:tcPr>
          <w:p>
            <w:pPr>
              <w:ind w:left="380"/>
              <w:spacing w:after="0"/>
              <w:rPr>
                <w:sz w:val="20"/>
                <w:szCs w:val="20"/>
                <w:color w:val="auto"/>
              </w:rPr>
            </w:pPr>
            <w:r>
              <w:rPr>
                <w:rFonts w:ascii="Arial" w:cs="Arial" w:eastAsia="Arial" w:hAnsi="Arial"/>
                <w:sz w:val="14"/>
                <w:szCs w:val="14"/>
                <w:b w:val="1"/>
                <w:bCs w:val="1"/>
                <w:color w:val="auto"/>
              </w:rPr>
              <w:t>Three months ended</w:t>
            </w:r>
          </w:p>
        </w:tc>
        <w:tc>
          <w:tcPr>
            <w:tcW w:w="300" w:type="dxa"/>
            <w:vAlign w:val="bottom"/>
          </w:tcPr>
          <w:p>
            <w:pPr>
              <w:spacing w:after="0"/>
              <w:rPr>
                <w:sz w:val="14"/>
                <w:szCs w:val="14"/>
                <w:color w:val="auto"/>
              </w:rPr>
            </w:pPr>
          </w:p>
        </w:tc>
        <w:tc>
          <w:tcPr>
            <w:tcW w:w="2320" w:type="dxa"/>
            <w:vAlign w:val="bottom"/>
            <w:gridSpan w:val="4"/>
          </w:tcPr>
          <w:p>
            <w:pPr>
              <w:jc w:val="right"/>
              <w:ind w:right="672"/>
              <w:spacing w:after="0"/>
              <w:rPr>
                <w:sz w:val="20"/>
                <w:szCs w:val="20"/>
                <w:color w:val="auto"/>
              </w:rPr>
            </w:pPr>
            <w:r>
              <w:rPr>
                <w:rFonts w:ascii="Arial" w:cs="Arial" w:eastAsia="Arial" w:hAnsi="Arial"/>
                <w:sz w:val="14"/>
                <w:szCs w:val="14"/>
                <w:b w:val="1"/>
                <w:bCs w:val="1"/>
                <w:color w:val="auto"/>
              </w:rPr>
              <w:t>Six months ended</w:t>
            </w:r>
          </w:p>
        </w:tc>
        <w:tc>
          <w:tcPr>
            <w:tcW w:w="0" w:type="dxa"/>
            <w:vAlign w:val="bottom"/>
          </w:tcPr>
          <w:p>
            <w:pPr>
              <w:spacing w:after="0"/>
              <w:rPr>
                <w:sz w:val="1"/>
                <w:szCs w:val="1"/>
                <w:color w:val="auto"/>
              </w:rPr>
            </w:pPr>
          </w:p>
        </w:tc>
      </w:tr>
      <w:tr>
        <w:trPr>
          <w:trHeight w:val="192"/>
        </w:trPr>
        <w:tc>
          <w:tcPr>
            <w:tcW w:w="608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400" w:type="dxa"/>
            <w:vAlign w:val="bottom"/>
            <w:tcBorders>
              <w:bottom w:val="single" w:sz="8" w:color="auto"/>
            </w:tcBorders>
            <w:gridSpan w:val="3"/>
          </w:tcPr>
          <w:p>
            <w:pPr>
              <w:jc w:val="right"/>
              <w:ind w:right="30"/>
              <w:spacing w:after="0"/>
              <w:rPr>
                <w:sz w:val="20"/>
                <w:szCs w:val="20"/>
                <w:color w:val="auto"/>
              </w:rPr>
            </w:pPr>
            <w:r>
              <w:rPr>
                <w:rFonts w:ascii="Arial" w:cs="Arial" w:eastAsia="Arial" w:hAnsi="Arial"/>
                <w:sz w:val="14"/>
                <w:szCs w:val="14"/>
                <w:b w:val="1"/>
                <w:bCs w:val="1"/>
                <w:color w:val="auto"/>
              </w:rPr>
              <w:t>June 30,</w:t>
            </w:r>
          </w:p>
        </w:tc>
        <w:tc>
          <w:tcPr>
            <w:tcW w:w="9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420" w:type="dxa"/>
            <w:vAlign w:val="bottom"/>
            <w:tcBorders>
              <w:bottom w:val="single" w:sz="8" w:color="auto"/>
            </w:tcBorders>
            <w:gridSpan w:val="3"/>
          </w:tcPr>
          <w:p>
            <w:pPr>
              <w:jc w:val="right"/>
              <w:ind w:right="50"/>
              <w:spacing w:after="0"/>
              <w:rPr>
                <w:sz w:val="20"/>
                <w:szCs w:val="20"/>
                <w:color w:val="auto"/>
              </w:rPr>
            </w:pPr>
            <w:r>
              <w:rPr>
                <w:rFonts w:ascii="Arial" w:cs="Arial" w:eastAsia="Arial" w:hAnsi="Arial"/>
                <w:sz w:val="14"/>
                <w:szCs w:val="14"/>
                <w:b w:val="1"/>
                <w:bCs w:val="1"/>
                <w:color w:val="auto"/>
              </w:rPr>
              <w:t>June 30,</w:t>
            </w:r>
          </w:p>
        </w:tc>
        <w:tc>
          <w:tcPr>
            <w:tcW w:w="9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6080" w:type="dxa"/>
            <w:vAlign w:val="bottom"/>
            <w:tcBorders>
              <w:bottom w:val="single" w:sz="8" w:color="CFF0FC"/>
            </w:tcBorders>
          </w:tcPr>
          <w:p>
            <w:pPr>
              <w:ind w:left="40"/>
              <w:spacing w:after="0"/>
              <w:rPr>
                <w:sz w:val="20"/>
                <w:szCs w:val="20"/>
                <w:color w:val="auto"/>
              </w:rPr>
            </w:pPr>
            <w:r>
              <w:rPr>
                <w:rFonts w:ascii="Arial" w:cs="Arial" w:eastAsia="Arial" w:hAnsi="Arial"/>
                <w:sz w:val="14"/>
                <w:szCs w:val="14"/>
                <w:b w:val="1"/>
                <w:bCs w:val="1"/>
                <w:color w:val="auto"/>
              </w:rPr>
              <w:t>(in thousands)</w:t>
            </w:r>
          </w:p>
        </w:tc>
        <w:tc>
          <w:tcPr>
            <w:tcW w:w="3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394"/>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FF0FC"/>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412"/>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FF0FC"/>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394"/>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FF0FC"/>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392"/>
              <w:spacing w:after="0"/>
              <w:rPr>
                <w:sz w:val="20"/>
                <w:szCs w:val="20"/>
                <w:color w:val="auto"/>
              </w:rPr>
            </w:pPr>
            <w:r>
              <w:rPr>
                <w:rFonts w:ascii="Arial" w:cs="Arial" w:eastAsia="Arial" w:hAnsi="Arial"/>
                <w:sz w:val="14"/>
                <w:szCs w:val="14"/>
                <w:b w:val="1"/>
                <w:bCs w:val="1"/>
                <w:color w:val="auto"/>
              </w:rPr>
              <w:t>2017</w:t>
            </w:r>
          </w:p>
        </w:tc>
        <w:tc>
          <w:tcPr>
            <w:tcW w:w="0" w:type="dxa"/>
            <w:vAlign w:val="bottom"/>
          </w:tcPr>
          <w:p>
            <w:pPr>
              <w:spacing w:after="0"/>
              <w:rPr>
                <w:sz w:val="1"/>
                <w:szCs w:val="1"/>
                <w:color w:val="auto"/>
              </w:rPr>
            </w:pPr>
          </w:p>
        </w:tc>
      </w:tr>
      <w:tr>
        <w:trPr>
          <w:trHeight w:val="250"/>
        </w:trPr>
        <w:tc>
          <w:tcPr>
            <w:tcW w:w="608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Revenue</w:t>
            </w:r>
          </w:p>
        </w:tc>
        <w:tc>
          <w:tcPr>
            <w:tcW w:w="300" w:type="dxa"/>
            <w:vAlign w:val="bottom"/>
            <w:tcBorders>
              <w:bottom w:val="single" w:sz="8" w:color="CFF0FC"/>
            </w:tcBorders>
            <w:shd w:val="clear" w:color="auto" w:fill="CFF0FC"/>
          </w:tcPr>
          <w:p>
            <w:pPr>
              <w:spacing w:after="0"/>
              <w:rPr>
                <w:sz w:val="21"/>
                <w:szCs w:val="21"/>
                <w:color w:val="auto"/>
              </w:rPr>
            </w:pPr>
          </w:p>
        </w:tc>
        <w:tc>
          <w:tcPr>
            <w:tcW w:w="940" w:type="dxa"/>
            <w:vAlign w:val="bottom"/>
            <w:tcBorders>
              <w:bottom w:val="single" w:sz="8" w:color="CFF0FC"/>
            </w:tcBorders>
            <w:shd w:val="clear" w:color="auto" w:fill="CFF0FC"/>
          </w:tcPr>
          <w:p>
            <w:pPr>
              <w:spacing w:after="0"/>
              <w:rPr>
                <w:sz w:val="21"/>
                <w:szCs w:val="21"/>
                <w:color w:val="auto"/>
              </w:rPr>
            </w:pPr>
          </w:p>
        </w:tc>
        <w:tc>
          <w:tcPr>
            <w:tcW w:w="120" w:type="dxa"/>
            <w:vAlign w:val="bottom"/>
            <w:tcBorders>
              <w:bottom w:val="single" w:sz="8" w:color="CFF0FC"/>
            </w:tcBorders>
            <w:shd w:val="clear" w:color="auto" w:fill="CFF0FC"/>
          </w:tcPr>
          <w:p>
            <w:pPr>
              <w:spacing w:after="0"/>
              <w:rPr>
                <w:sz w:val="21"/>
                <w:szCs w:val="21"/>
                <w:color w:val="auto"/>
              </w:rPr>
            </w:pPr>
          </w:p>
        </w:tc>
        <w:tc>
          <w:tcPr>
            <w:tcW w:w="340" w:type="dxa"/>
            <w:vAlign w:val="bottom"/>
            <w:tcBorders>
              <w:bottom w:val="single" w:sz="8" w:color="CFF0FC"/>
            </w:tcBorders>
            <w:shd w:val="clear" w:color="auto" w:fill="CFF0FC"/>
          </w:tcPr>
          <w:p>
            <w:pPr>
              <w:spacing w:after="0"/>
              <w:rPr>
                <w:sz w:val="21"/>
                <w:szCs w:val="21"/>
                <w:color w:val="auto"/>
              </w:rPr>
            </w:pPr>
          </w:p>
        </w:tc>
        <w:tc>
          <w:tcPr>
            <w:tcW w:w="920" w:type="dxa"/>
            <w:vAlign w:val="bottom"/>
            <w:tcBorders>
              <w:bottom w:val="single" w:sz="8" w:color="CFF0FC"/>
            </w:tcBorders>
            <w:shd w:val="clear" w:color="auto" w:fill="CFF0FC"/>
          </w:tcPr>
          <w:p>
            <w:pPr>
              <w:spacing w:after="0"/>
              <w:rPr>
                <w:sz w:val="21"/>
                <w:szCs w:val="21"/>
                <w:color w:val="auto"/>
              </w:rPr>
            </w:pPr>
          </w:p>
        </w:tc>
        <w:tc>
          <w:tcPr>
            <w:tcW w:w="10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CFF0FC"/>
            </w:tcBorders>
            <w:shd w:val="clear" w:color="auto" w:fill="CFF0FC"/>
          </w:tcPr>
          <w:p>
            <w:pPr>
              <w:spacing w:after="0"/>
              <w:rPr>
                <w:sz w:val="21"/>
                <w:szCs w:val="21"/>
                <w:color w:val="auto"/>
              </w:rPr>
            </w:pPr>
          </w:p>
        </w:tc>
        <w:tc>
          <w:tcPr>
            <w:tcW w:w="960" w:type="dxa"/>
            <w:vAlign w:val="bottom"/>
            <w:tcBorders>
              <w:bottom w:val="single" w:sz="8" w:color="CFF0FC"/>
            </w:tcBorders>
            <w:shd w:val="clear" w:color="auto" w:fill="CFF0FC"/>
          </w:tcPr>
          <w:p>
            <w:pPr>
              <w:spacing w:after="0"/>
              <w:rPr>
                <w:sz w:val="21"/>
                <w:szCs w:val="21"/>
                <w:color w:val="auto"/>
              </w:rPr>
            </w:pPr>
          </w:p>
        </w:tc>
        <w:tc>
          <w:tcPr>
            <w:tcW w:w="100" w:type="dxa"/>
            <w:vAlign w:val="bottom"/>
            <w:tcBorders>
              <w:bottom w:val="single" w:sz="8" w:color="CFF0FC"/>
            </w:tcBorders>
            <w:shd w:val="clear" w:color="auto" w:fill="CFF0FC"/>
          </w:tcPr>
          <w:p>
            <w:pPr>
              <w:spacing w:after="0"/>
              <w:rPr>
                <w:sz w:val="21"/>
                <w:szCs w:val="21"/>
                <w:color w:val="auto"/>
              </w:rPr>
            </w:pPr>
          </w:p>
        </w:tc>
        <w:tc>
          <w:tcPr>
            <w:tcW w:w="360" w:type="dxa"/>
            <w:vAlign w:val="bottom"/>
            <w:tcBorders>
              <w:bottom w:val="single" w:sz="8" w:color="CFF0FC"/>
            </w:tcBorders>
            <w:shd w:val="clear" w:color="auto" w:fill="CFF0FC"/>
          </w:tcPr>
          <w:p>
            <w:pPr>
              <w:spacing w:after="0"/>
              <w:rPr>
                <w:sz w:val="21"/>
                <w:szCs w:val="21"/>
                <w:color w:val="auto"/>
              </w:rPr>
            </w:pPr>
          </w:p>
        </w:tc>
        <w:tc>
          <w:tcPr>
            <w:tcW w:w="900" w:type="dxa"/>
            <w:vAlign w:val="bottom"/>
            <w:tcBorders>
              <w:bottom w:val="single" w:sz="8" w:color="CFF0FC"/>
            </w:tcBorders>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80" w:type="dxa"/>
            <w:vAlign w:val="bottom"/>
          </w:tcPr>
          <w:p>
            <w:pPr>
              <w:ind w:left="280"/>
              <w:spacing w:after="0"/>
              <w:rPr>
                <w:sz w:val="20"/>
                <w:szCs w:val="20"/>
                <w:color w:val="auto"/>
              </w:rPr>
            </w:pPr>
            <w:r>
              <w:rPr>
                <w:rFonts w:ascii="Arial" w:cs="Arial" w:eastAsia="Arial" w:hAnsi="Arial"/>
                <w:sz w:val="18"/>
                <w:szCs w:val="18"/>
                <w:color w:val="auto"/>
              </w:rPr>
              <w:t>Franchise segment</w:t>
            </w:r>
          </w:p>
        </w:tc>
        <w:tc>
          <w:tcPr>
            <w:tcW w:w="300" w:type="dxa"/>
            <w:vAlign w:val="bottom"/>
          </w:tcPr>
          <w:p>
            <w:pPr>
              <w:jc w:val="right"/>
              <w:ind w:right="110"/>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ind w:right="14"/>
              <w:spacing w:after="0"/>
              <w:rPr>
                <w:sz w:val="20"/>
                <w:szCs w:val="20"/>
                <w:color w:val="auto"/>
              </w:rPr>
            </w:pPr>
            <w:r>
              <w:rPr>
                <w:rFonts w:ascii="Arial" w:cs="Arial" w:eastAsia="Arial" w:hAnsi="Arial"/>
                <w:sz w:val="18"/>
                <w:szCs w:val="18"/>
                <w:color w:val="auto"/>
              </w:rPr>
              <w:t>58,150</w:t>
            </w:r>
          </w:p>
        </w:tc>
        <w:tc>
          <w:tcPr>
            <w:tcW w:w="120" w:type="dxa"/>
            <w:vAlign w:val="bottom"/>
          </w:tcPr>
          <w:p>
            <w:pPr>
              <w:spacing w:after="0"/>
              <w:rPr>
                <w:sz w:val="21"/>
                <w:szCs w:val="21"/>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920" w:type="dxa"/>
            <w:vAlign w:val="bottom"/>
          </w:tcPr>
          <w:p>
            <w:pPr>
              <w:jc w:val="right"/>
              <w:ind w:right="32"/>
              <w:spacing w:after="0"/>
              <w:rPr>
                <w:sz w:val="20"/>
                <w:szCs w:val="20"/>
                <w:color w:val="auto"/>
              </w:rPr>
            </w:pPr>
            <w:r>
              <w:rPr>
                <w:rFonts w:ascii="Arial" w:cs="Arial" w:eastAsia="Arial" w:hAnsi="Arial"/>
                <w:sz w:val="18"/>
                <w:szCs w:val="18"/>
                <w:color w:val="auto"/>
              </w:rPr>
              <w:t>37,794</w:t>
            </w:r>
          </w:p>
        </w:tc>
        <w:tc>
          <w:tcPr>
            <w:tcW w:w="10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ind w:right="34"/>
              <w:spacing w:after="0"/>
              <w:rPr>
                <w:sz w:val="20"/>
                <w:szCs w:val="20"/>
                <w:color w:val="auto"/>
              </w:rPr>
            </w:pPr>
            <w:r>
              <w:rPr>
                <w:rFonts w:ascii="Arial" w:cs="Arial" w:eastAsia="Arial" w:hAnsi="Arial"/>
                <w:sz w:val="18"/>
                <w:szCs w:val="18"/>
                <w:color w:val="auto"/>
              </w:rPr>
              <w:t>112,762</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900" w:type="dxa"/>
            <w:vAlign w:val="bottom"/>
          </w:tcPr>
          <w:p>
            <w:pPr>
              <w:jc w:val="right"/>
              <w:ind w:right="12"/>
              <w:spacing w:after="0"/>
              <w:rPr>
                <w:sz w:val="20"/>
                <w:szCs w:val="20"/>
                <w:color w:val="auto"/>
              </w:rPr>
            </w:pPr>
            <w:r>
              <w:rPr>
                <w:rFonts w:ascii="Arial" w:cs="Arial" w:eastAsia="Arial" w:hAnsi="Arial"/>
                <w:sz w:val="18"/>
                <w:szCs w:val="18"/>
                <w:color w:val="auto"/>
              </w:rPr>
              <w:t>74,591</w:t>
            </w:r>
          </w:p>
        </w:tc>
        <w:tc>
          <w:tcPr>
            <w:tcW w:w="0" w:type="dxa"/>
            <w:vAlign w:val="bottom"/>
          </w:tcPr>
          <w:p>
            <w:pPr>
              <w:spacing w:after="0"/>
              <w:rPr>
                <w:sz w:val="1"/>
                <w:szCs w:val="1"/>
                <w:color w:val="auto"/>
              </w:rPr>
            </w:pPr>
          </w:p>
        </w:tc>
      </w:tr>
      <w:tr>
        <w:trPr>
          <w:trHeight w:val="27"/>
        </w:trPr>
        <w:tc>
          <w:tcPr>
            <w:tcW w:w="608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8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Corporate-owned stores segment</w:t>
            </w:r>
          </w:p>
        </w:tc>
        <w:tc>
          <w:tcPr>
            <w:tcW w:w="300" w:type="dxa"/>
            <w:vAlign w:val="bottom"/>
            <w:tcBorders>
              <w:bottom w:val="single" w:sz="8" w:color="CFF0FC"/>
            </w:tcBorders>
            <w:shd w:val="clear" w:color="auto" w:fill="CFF0FC"/>
          </w:tcPr>
          <w:p>
            <w:pPr>
              <w:spacing w:after="0"/>
              <w:rPr>
                <w:sz w:val="21"/>
                <w:szCs w:val="21"/>
                <w:color w:val="auto"/>
              </w:rPr>
            </w:pPr>
          </w:p>
        </w:tc>
        <w:tc>
          <w:tcPr>
            <w:tcW w:w="940" w:type="dxa"/>
            <w:vAlign w:val="bottom"/>
            <w:tcBorders>
              <w:bottom w:val="single" w:sz="8" w:color="CFF0FC"/>
            </w:tcBorders>
            <w:shd w:val="clear" w:color="auto" w:fill="CFF0FC"/>
          </w:tcPr>
          <w:p>
            <w:pPr>
              <w:jc w:val="right"/>
              <w:ind w:right="14"/>
              <w:spacing w:after="0"/>
              <w:rPr>
                <w:sz w:val="20"/>
                <w:szCs w:val="20"/>
                <w:color w:val="auto"/>
              </w:rPr>
            </w:pPr>
            <w:r>
              <w:rPr>
                <w:rFonts w:ascii="Arial" w:cs="Arial" w:eastAsia="Arial" w:hAnsi="Arial"/>
                <w:sz w:val="18"/>
                <w:szCs w:val="18"/>
                <w:color w:val="auto"/>
              </w:rPr>
              <w:t>34,252</w:t>
            </w:r>
          </w:p>
        </w:tc>
        <w:tc>
          <w:tcPr>
            <w:tcW w:w="120" w:type="dxa"/>
            <w:vAlign w:val="bottom"/>
            <w:tcBorders>
              <w:bottom w:val="single" w:sz="8" w:color="CFF0FC"/>
            </w:tcBorders>
            <w:shd w:val="clear" w:color="auto" w:fill="CFF0FC"/>
          </w:tcPr>
          <w:p>
            <w:pPr>
              <w:spacing w:after="0"/>
              <w:rPr>
                <w:sz w:val="21"/>
                <w:szCs w:val="21"/>
                <w:color w:val="auto"/>
              </w:rPr>
            </w:pPr>
          </w:p>
        </w:tc>
        <w:tc>
          <w:tcPr>
            <w:tcW w:w="340" w:type="dxa"/>
            <w:vAlign w:val="bottom"/>
            <w:tcBorders>
              <w:bottom w:val="single" w:sz="8" w:color="CFF0FC"/>
            </w:tcBorders>
            <w:shd w:val="clear" w:color="auto" w:fill="CFF0FC"/>
          </w:tcPr>
          <w:p>
            <w:pPr>
              <w:spacing w:after="0"/>
              <w:rPr>
                <w:sz w:val="21"/>
                <w:szCs w:val="21"/>
                <w:color w:val="auto"/>
              </w:rPr>
            </w:pPr>
          </w:p>
        </w:tc>
        <w:tc>
          <w:tcPr>
            <w:tcW w:w="920" w:type="dxa"/>
            <w:vAlign w:val="bottom"/>
            <w:tcBorders>
              <w:bottom w:val="single" w:sz="8" w:color="CFF0FC"/>
            </w:tcBorders>
            <w:shd w:val="clear" w:color="auto" w:fill="CFF0FC"/>
          </w:tcPr>
          <w:p>
            <w:pPr>
              <w:jc w:val="right"/>
              <w:ind w:right="32"/>
              <w:spacing w:after="0"/>
              <w:rPr>
                <w:sz w:val="20"/>
                <w:szCs w:val="20"/>
                <w:color w:val="auto"/>
              </w:rPr>
            </w:pPr>
            <w:r>
              <w:rPr>
                <w:rFonts w:ascii="Arial" w:cs="Arial" w:eastAsia="Arial" w:hAnsi="Arial"/>
                <w:sz w:val="18"/>
                <w:szCs w:val="18"/>
                <w:color w:val="auto"/>
              </w:rPr>
              <w:t>28,285</w:t>
            </w:r>
          </w:p>
        </w:tc>
        <w:tc>
          <w:tcPr>
            <w:tcW w:w="10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CFF0FC"/>
            </w:tcBorders>
            <w:shd w:val="clear" w:color="auto" w:fill="CFF0FC"/>
          </w:tcPr>
          <w:p>
            <w:pPr>
              <w:spacing w:after="0"/>
              <w:rPr>
                <w:sz w:val="21"/>
                <w:szCs w:val="21"/>
                <w:color w:val="auto"/>
              </w:rPr>
            </w:pPr>
          </w:p>
        </w:tc>
        <w:tc>
          <w:tcPr>
            <w:tcW w:w="960" w:type="dxa"/>
            <w:vAlign w:val="bottom"/>
            <w:tcBorders>
              <w:bottom w:val="single" w:sz="8" w:color="CFF0FC"/>
            </w:tcBorders>
            <w:shd w:val="clear" w:color="auto" w:fill="CFF0FC"/>
          </w:tcPr>
          <w:p>
            <w:pPr>
              <w:jc w:val="right"/>
              <w:ind w:right="34"/>
              <w:spacing w:after="0"/>
              <w:rPr>
                <w:sz w:val="20"/>
                <w:szCs w:val="20"/>
                <w:color w:val="auto"/>
              </w:rPr>
            </w:pPr>
            <w:r>
              <w:rPr>
                <w:rFonts w:ascii="Arial" w:cs="Arial" w:eastAsia="Arial" w:hAnsi="Arial"/>
                <w:sz w:val="18"/>
                <w:szCs w:val="18"/>
                <w:color w:val="auto"/>
              </w:rPr>
              <w:t>66,959</w:t>
            </w:r>
          </w:p>
        </w:tc>
        <w:tc>
          <w:tcPr>
            <w:tcW w:w="100" w:type="dxa"/>
            <w:vAlign w:val="bottom"/>
            <w:tcBorders>
              <w:bottom w:val="single" w:sz="8" w:color="CFF0FC"/>
            </w:tcBorders>
            <w:shd w:val="clear" w:color="auto" w:fill="CFF0FC"/>
          </w:tcPr>
          <w:p>
            <w:pPr>
              <w:spacing w:after="0"/>
              <w:rPr>
                <w:sz w:val="21"/>
                <w:szCs w:val="21"/>
                <w:color w:val="auto"/>
              </w:rPr>
            </w:pPr>
          </w:p>
        </w:tc>
        <w:tc>
          <w:tcPr>
            <w:tcW w:w="360" w:type="dxa"/>
            <w:vAlign w:val="bottom"/>
            <w:tcBorders>
              <w:bottom w:val="single" w:sz="8" w:color="CFF0FC"/>
            </w:tcBorders>
            <w:shd w:val="clear" w:color="auto" w:fill="CFF0FC"/>
          </w:tcPr>
          <w:p>
            <w:pPr>
              <w:spacing w:after="0"/>
              <w:rPr>
                <w:sz w:val="21"/>
                <w:szCs w:val="21"/>
                <w:color w:val="auto"/>
              </w:rPr>
            </w:pPr>
          </w:p>
        </w:tc>
        <w:tc>
          <w:tcPr>
            <w:tcW w:w="900" w:type="dxa"/>
            <w:vAlign w:val="bottom"/>
            <w:tcBorders>
              <w:bottom w:val="single" w:sz="8" w:color="CFF0FC"/>
            </w:tcBorders>
            <w:shd w:val="clear" w:color="auto" w:fill="CFF0FC"/>
          </w:tcPr>
          <w:p>
            <w:pPr>
              <w:jc w:val="right"/>
              <w:ind w:right="12"/>
              <w:spacing w:after="0"/>
              <w:rPr>
                <w:sz w:val="20"/>
                <w:szCs w:val="20"/>
                <w:color w:val="auto"/>
              </w:rPr>
            </w:pPr>
            <w:r>
              <w:rPr>
                <w:rFonts w:ascii="Arial" w:cs="Arial" w:eastAsia="Arial" w:hAnsi="Arial"/>
                <w:sz w:val="18"/>
                <w:szCs w:val="18"/>
                <w:color w:val="auto"/>
              </w:rPr>
              <w:t>55,326</w:t>
            </w:r>
          </w:p>
        </w:tc>
        <w:tc>
          <w:tcPr>
            <w:tcW w:w="0" w:type="dxa"/>
            <w:vAlign w:val="bottom"/>
          </w:tcPr>
          <w:p>
            <w:pPr>
              <w:spacing w:after="0"/>
              <w:rPr>
                <w:sz w:val="1"/>
                <w:szCs w:val="1"/>
                <w:color w:val="auto"/>
              </w:rPr>
            </w:pPr>
          </w:p>
        </w:tc>
      </w:tr>
      <w:tr>
        <w:trPr>
          <w:trHeight w:val="243"/>
        </w:trPr>
        <w:tc>
          <w:tcPr>
            <w:tcW w:w="6080" w:type="dxa"/>
            <w:vAlign w:val="bottom"/>
          </w:tcPr>
          <w:p>
            <w:pPr>
              <w:ind w:left="280"/>
              <w:spacing w:after="0"/>
              <w:rPr>
                <w:sz w:val="20"/>
                <w:szCs w:val="20"/>
                <w:color w:val="auto"/>
              </w:rPr>
            </w:pPr>
            <w:r>
              <w:rPr>
                <w:rFonts w:ascii="Arial" w:cs="Arial" w:eastAsia="Arial" w:hAnsi="Arial"/>
                <w:sz w:val="18"/>
                <w:szCs w:val="18"/>
                <w:color w:val="auto"/>
              </w:rPr>
              <w:t>Equipment segment</w:t>
            </w:r>
          </w:p>
        </w:tc>
        <w:tc>
          <w:tcPr>
            <w:tcW w:w="300" w:type="dxa"/>
            <w:vAlign w:val="bottom"/>
          </w:tcPr>
          <w:p>
            <w:pPr>
              <w:spacing w:after="0"/>
              <w:rPr>
                <w:sz w:val="21"/>
                <w:szCs w:val="21"/>
                <w:color w:val="auto"/>
              </w:rPr>
            </w:pPr>
          </w:p>
        </w:tc>
        <w:tc>
          <w:tcPr>
            <w:tcW w:w="940" w:type="dxa"/>
            <w:vAlign w:val="bottom"/>
          </w:tcPr>
          <w:p>
            <w:pPr>
              <w:jc w:val="right"/>
              <w:ind w:right="14"/>
              <w:spacing w:after="0"/>
              <w:rPr>
                <w:sz w:val="20"/>
                <w:szCs w:val="20"/>
                <w:color w:val="auto"/>
              </w:rPr>
            </w:pPr>
            <w:r>
              <w:rPr>
                <w:rFonts w:ascii="Arial" w:cs="Arial" w:eastAsia="Arial" w:hAnsi="Arial"/>
                <w:sz w:val="18"/>
                <w:szCs w:val="18"/>
                <w:color w:val="auto"/>
              </w:rPr>
              <w:t>48,148</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20" w:type="dxa"/>
            <w:vAlign w:val="bottom"/>
          </w:tcPr>
          <w:p>
            <w:pPr>
              <w:jc w:val="right"/>
              <w:ind w:right="32"/>
              <w:spacing w:after="0"/>
              <w:rPr>
                <w:sz w:val="20"/>
                <w:szCs w:val="20"/>
                <w:color w:val="auto"/>
              </w:rPr>
            </w:pPr>
            <w:r>
              <w:rPr>
                <w:rFonts w:ascii="Arial" w:cs="Arial" w:eastAsia="Arial" w:hAnsi="Arial"/>
                <w:sz w:val="18"/>
                <w:szCs w:val="18"/>
                <w:color w:val="auto"/>
              </w:rPr>
              <w:t>41,237</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ind w:right="34"/>
              <w:spacing w:after="0"/>
              <w:rPr>
                <w:sz w:val="20"/>
                <w:szCs w:val="20"/>
                <w:color w:val="auto"/>
              </w:rPr>
            </w:pPr>
            <w:r>
              <w:rPr>
                <w:rFonts w:ascii="Arial" w:cs="Arial" w:eastAsia="Arial" w:hAnsi="Arial"/>
                <w:sz w:val="18"/>
                <w:szCs w:val="18"/>
                <w:color w:val="auto"/>
              </w:rPr>
              <w:t>82,161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00" w:type="dxa"/>
            <w:vAlign w:val="bottom"/>
          </w:tcPr>
          <w:p>
            <w:pPr>
              <w:jc w:val="right"/>
              <w:ind w:right="12"/>
              <w:spacing w:after="0"/>
              <w:rPr>
                <w:sz w:val="20"/>
                <w:szCs w:val="20"/>
                <w:color w:val="auto"/>
              </w:rPr>
            </w:pPr>
            <w:r>
              <w:rPr>
                <w:rFonts w:ascii="Arial" w:cs="Arial" w:eastAsia="Arial" w:hAnsi="Arial"/>
                <w:sz w:val="18"/>
                <w:szCs w:val="18"/>
                <w:color w:val="auto"/>
              </w:rPr>
              <w:t>68,501</w:t>
            </w:r>
          </w:p>
        </w:tc>
        <w:tc>
          <w:tcPr>
            <w:tcW w:w="0" w:type="dxa"/>
            <w:vAlign w:val="bottom"/>
          </w:tcPr>
          <w:p>
            <w:pPr>
              <w:spacing w:after="0"/>
              <w:rPr>
                <w:sz w:val="1"/>
                <w:szCs w:val="1"/>
                <w:color w:val="auto"/>
              </w:rPr>
            </w:pPr>
          </w:p>
        </w:tc>
      </w:tr>
      <w:tr>
        <w:trPr>
          <w:trHeight w:val="27"/>
        </w:trPr>
        <w:tc>
          <w:tcPr>
            <w:tcW w:w="6080" w:type="dxa"/>
            <w:vAlign w:val="bottom"/>
            <w:tcBorders>
              <w:bottom w:val="single" w:sz="8" w:color="CFF0FC"/>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080" w:type="dxa"/>
            <w:vAlign w:val="bottom"/>
            <w:tcBorders>
              <w:bottom w:val="single" w:sz="8" w:color="CFF0FC"/>
            </w:tcBorders>
            <w:shd w:val="clear" w:color="auto" w:fill="CFF0FC"/>
          </w:tcPr>
          <w:p>
            <w:pPr>
              <w:ind w:left="500"/>
              <w:spacing w:after="0"/>
              <w:rPr>
                <w:sz w:val="20"/>
                <w:szCs w:val="20"/>
                <w:color w:val="auto"/>
              </w:rPr>
            </w:pPr>
            <w:r>
              <w:rPr>
                <w:rFonts w:ascii="Arial" w:cs="Arial" w:eastAsia="Arial" w:hAnsi="Arial"/>
                <w:sz w:val="18"/>
                <w:szCs w:val="18"/>
                <w:color w:val="auto"/>
              </w:rPr>
              <w:t>Total revenue</w:t>
            </w:r>
          </w:p>
        </w:tc>
        <w:tc>
          <w:tcPr>
            <w:tcW w:w="300" w:type="dxa"/>
            <w:vAlign w:val="bottom"/>
            <w:tcBorders>
              <w:bottom w:val="single" w:sz="8" w:color="auto"/>
            </w:tcBorders>
            <w:shd w:val="clear" w:color="auto" w:fill="CFF0FC"/>
          </w:tcPr>
          <w:p>
            <w:pPr>
              <w:jc w:val="right"/>
              <w:ind w:right="110"/>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shd w:val="clear" w:color="auto" w:fill="CFF0FC"/>
          </w:tcPr>
          <w:p>
            <w:pPr>
              <w:jc w:val="right"/>
              <w:ind w:right="14"/>
              <w:spacing w:after="0"/>
              <w:rPr>
                <w:sz w:val="20"/>
                <w:szCs w:val="20"/>
                <w:color w:val="auto"/>
              </w:rPr>
            </w:pPr>
            <w:r>
              <w:rPr>
                <w:rFonts w:ascii="Arial" w:cs="Arial" w:eastAsia="Arial" w:hAnsi="Arial"/>
                <w:sz w:val="18"/>
                <w:szCs w:val="18"/>
                <w:color w:val="auto"/>
              </w:rPr>
              <w:t>140,550</w:t>
            </w:r>
          </w:p>
        </w:tc>
        <w:tc>
          <w:tcPr>
            <w:tcW w:w="120" w:type="dxa"/>
            <w:vAlign w:val="bottom"/>
            <w:tcBorders>
              <w:bottom w:val="single" w:sz="8" w:color="CFF0FC"/>
            </w:tcBorders>
            <w:shd w:val="clear" w:color="auto" w:fill="CFF0FC"/>
          </w:tcPr>
          <w:p>
            <w:pPr>
              <w:spacing w:after="0"/>
              <w:rPr>
                <w:sz w:val="22"/>
                <w:szCs w:val="22"/>
                <w:color w:val="auto"/>
              </w:rPr>
            </w:pPr>
          </w:p>
        </w:tc>
        <w:tc>
          <w:tcPr>
            <w:tcW w:w="340" w:type="dxa"/>
            <w:vAlign w:val="bottom"/>
            <w:tcBorders>
              <w:bottom w:val="single" w:sz="8" w:color="auto"/>
            </w:tcBorders>
            <w:shd w:val="clear" w:color="auto" w:fill="CFF0FC"/>
          </w:tcPr>
          <w:p>
            <w:pPr>
              <w:jc w:val="right"/>
              <w:ind w:right="130"/>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auto"/>
            </w:tcBorders>
            <w:shd w:val="clear" w:color="auto" w:fill="CFF0FC"/>
          </w:tcPr>
          <w:p>
            <w:pPr>
              <w:jc w:val="right"/>
              <w:ind w:right="32"/>
              <w:spacing w:after="0"/>
              <w:rPr>
                <w:sz w:val="20"/>
                <w:szCs w:val="20"/>
                <w:color w:val="auto"/>
              </w:rPr>
            </w:pPr>
            <w:r>
              <w:rPr>
                <w:rFonts w:ascii="Arial" w:cs="Arial" w:eastAsia="Arial" w:hAnsi="Arial"/>
                <w:sz w:val="18"/>
                <w:szCs w:val="18"/>
                <w:color w:val="auto"/>
              </w:rPr>
              <w:t>107,316</w:t>
            </w:r>
          </w:p>
        </w:tc>
        <w:tc>
          <w:tcPr>
            <w:tcW w:w="100" w:type="dxa"/>
            <w:vAlign w:val="bottom"/>
            <w:tcBorders>
              <w:bottom w:val="single" w:sz="8" w:color="CFF0FC"/>
            </w:tcBorders>
            <w:shd w:val="clear" w:color="auto" w:fill="CFF0FC"/>
          </w:tcPr>
          <w:p>
            <w:pPr>
              <w:spacing w:after="0"/>
              <w:rPr>
                <w:sz w:val="22"/>
                <w:szCs w:val="22"/>
                <w:color w:val="auto"/>
              </w:rPr>
            </w:pPr>
          </w:p>
        </w:tc>
        <w:tc>
          <w:tcPr>
            <w:tcW w:w="300" w:type="dxa"/>
            <w:vAlign w:val="bottom"/>
            <w:tcBorders>
              <w:bottom w:val="single" w:sz="8" w:color="auto"/>
            </w:tcBorders>
            <w:shd w:val="clear" w:color="auto" w:fill="CFF0FC"/>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shd w:val="clear" w:color="auto" w:fill="CFF0FC"/>
          </w:tcPr>
          <w:p>
            <w:pPr>
              <w:jc w:val="right"/>
              <w:ind w:right="34"/>
              <w:spacing w:after="0"/>
              <w:rPr>
                <w:sz w:val="20"/>
                <w:szCs w:val="20"/>
                <w:color w:val="auto"/>
              </w:rPr>
            </w:pPr>
            <w:r>
              <w:rPr>
                <w:rFonts w:ascii="Arial" w:cs="Arial" w:eastAsia="Arial" w:hAnsi="Arial"/>
                <w:sz w:val="18"/>
                <w:szCs w:val="18"/>
                <w:color w:val="auto"/>
              </w:rPr>
              <w:t>261,882</w:t>
            </w:r>
          </w:p>
        </w:tc>
        <w:tc>
          <w:tcPr>
            <w:tcW w:w="100" w:type="dxa"/>
            <w:vAlign w:val="bottom"/>
            <w:tcBorders>
              <w:bottom w:val="single" w:sz="8" w:color="CFF0FC"/>
            </w:tcBorders>
            <w:shd w:val="clear" w:color="auto" w:fill="CFF0FC"/>
          </w:tcPr>
          <w:p>
            <w:pPr>
              <w:spacing w:after="0"/>
              <w:rPr>
                <w:sz w:val="22"/>
                <w:szCs w:val="22"/>
                <w:color w:val="auto"/>
              </w:rPr>
            </w:pPr>
          </w:p>
        </w:tc>
        <w:tc>
          <w:tcPr>
            <w:tcW w:w="360" w:type="dxa"/>
            <w:vAlign w:val="bottom"/>
            <w:tcBorders>
              <w:bottom w:val="single" w:sz="8" w:color="auto"/>
            </w:tcBorders>
            <w:shd w:val="clear" w:color="auto" w:fill="CFF0FC"/>
          </w:tcPr>
          <w:p>
            <w:pPr>
              <w:jc w:val="right"/>
              <w:ind w:right="15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auto"/>
            </w:tcBorders>
            <w:shd w:val="clear" w:color="auto" w:fill="CFF0FC"/>
          </w:tcPr>
          <w:p>
            <w:pPr>
              <w:jc w:val="right"/>
              <w:ind w:right="12"/>
              <w:spacing w:after="0"/>
              <w:rPr>
                <w:sz w:val="20"/>
                <w:szCs w:val="20"/>
                <w:color w:val="auto"/>
              </w:rPr>
            </w:pPr>
            <w:r>
              <w:rPr>
                <w:rFonts w:ascii="Arial" w:cs="Arial" w:eastAsia="Arial" w:hAnsi="Arial"/>
                <w:sz w:val="18"/>
                <w:szCs w:val="18"/>
                <w:color w:val="auto"/>
              </w:rPr>
              <w:t>198,418</w:t>
            </w:r>
          </w:p>
        </w:tc>
        <w:tc>
          <w:tcPr>
            <w:tcW w:w="0" w:type="dxa"/>
            <w:vAlign w:val="bottom"/>
          </w:tcPr>
          <w:p>
            <w:pPr>
              <w:spacing w:after="0"/>
              <w:rPr>
                <w:sz w:val="1"/>
                <w:szCs w:val="1"/>
                <w:color w:val="auto"/>
              </w:rPr>
            </w:pPr>
          </w:p>
        </w:tc>
      </w:tr>
      <w:tr>
        <w:trPr>
          <w:trHeight w:val="20"/>
        </w:trPr>
        <w:tc>
          <w:tcPr>
            <w:tcW w:w="6080" w:type="dxa"/>
            <w:vAlign w:val="bottom"/>
            <w:vMerge w:val="restart"/>
          </w:tcPr>
          <w:p>
            <w:pPr>
              <w:ind w:left="40"/>
              <w:spacing w:after="0"/>
              <w:rPr>
                <w:sz w:val="20"/>
                <w:szCs w:val="20"/>
                <w:color w:val="auto"/>
              </w:rPr>
            </w:pPr>
            <w:r>
              <w:rPr>
                <w:rFonts w:ascii="Arial" w:cs="Arial" w:eastAsia="Arial" w:hAnsi="Arial"/>
                <w:sz w:val="18"/>
                <w:szCs w:val="18"/>
                <w:color w:val="auto"/>
              </w:rPr>
              <w:t>Segment EBITDA</w:t>
            </w:r>
          </w:p>
        </w:tc>
        <w:tc>
          <w:tcPr>
            <w:tcW w:w="3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27"/>
        </w:trPr>
        <w:tc>
          <w:tcPr>
            <w:tcW w:w="6080" w:type="dxa"/>
            <w:vAlign w:val="bottom"/>
            <w:vMerge w:val="continue"/>
          </w:tcPr>
          <w:p>
            <w:pPr>
              <w:spacing w:after="0"/>
              <w:rPr>
                <w:sz w:val="24"/>
                <w:szCs w:val="24"/>
                <w:color w:val="auto"/>
              </w:rPr>
            </w:pPr>
          </w:p>
        </w:tc>
        <w:tc>
          <w:tcPr>
            <w:tcW w:w="3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608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8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Franchise</w:t>
            </w:r>
          </w:p>
        </w:tc>
        <w:tc>
          <w:tcPr>
            <w:tcW w:w="300" w:type="dxa"/>
            <w:vAlign w:val="bottom"/>
            <w:tcBorders>
              <w:bottom w:val="single" w:sz="8" w:color="CFF0FC"/>
            </w:tcBorders>
            <w:shd w:val="clear" w:color="auto" w:fill="CFF0FC"/>
          </w:tcPr>
          <w:p>
            <w:pPr>
              <w:jc w:val="right"/>
              <w:ind w:right="110"/>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CFF0FC"/>
            </w:tcBorders>
            <w:shd w:val="clear" w:color="auto" w:fill="CFF0FC"/>
          </w:tcPr>
          <w:p>
            <w:pPr>
              <w:jc w:val="right"/>
              <w:ind w:right="14"/>
              <w:spacing w:after="0"/>
              <w:rPr>
                <w:sz w:val="20"/>
                <w:szCs w:val="20"/>
                <w:color w:val="auto"/>
              </w:rPr>
            </w:pPr>
            <w:r>
              <w:rPr>
                <w:rFonts w:ascii="Arial" w:cs="Arial" w:eastAsia="Arial" w:hAnsi="Arial"/>
                <w:sz w:val="18"/>
                <w:szCs w:val="18"/>
                <w:color w:val="auto"/>
              </w:rPr>
              <w:t>40,041</w:t>
            </w:r>
          </w:p>
        </w:tc>
        <w:tc>
          <w:tcPr>
            <w:tcW w:w="120" w:type="dxa"/>
            <w:vAlign w:val="bottom"/>
            <w:tcBorders>
              <w:bottom w:val="single" w:sz="8" w:color="CFF0FC"/>
            </w:tcBorders>
            <w:shd w:val="clear" w:color="auto" w:fill="CFF0FC"/>
          </w:tcPr>
          <w:p>
            <w:pPr>
              <w:spacing w:after="0"/>
              <w:rPr>
                <w:sz w:val="21"/>
                <w:szCs w:val="21"/>
                <w:color w:val="auto"/>
              </w:rPr>
            </w:pPr>
          </w:p>
        </w:tc>
        <w:tc>
          <w:tcPr>
            <w:tcW w:w="340" w:type="dxa"/>
            <w:vAlign w:val="bottom"/>
            <w:tcBorders>
              <w:bottom w:val="single" w:sz="8" w:color="CFF0FC"/>
            </w:tcBorders>
            <w:shd w:val="clear" w:color="auto" w:fill="CFF0FC"/>
          </w:tcPr>
          <w:p>
            <w:pPr>
              <w:jc w:val="right"/>
              <w:ind w:right="130"/>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FF0FC"/>
            </w:tcBorders>
            <w:shd w:val="clear" w:color="auto" w:fill="CFF0FC"/>
          </w:tcPr>
          <w:p>
            <w:pPr>
              <w:jc w:val="right"/>
              <w:ind w:right="32"/>
              <w:spacing w:after="0"/>
              <w:rPr>
                <w:sz w:val="20"/>
                <w:szCs w:val="20"/>
                <w:color w:val="auto"/>
              </w:rPr>
            </w:pPr>
            <w:r>
              <w:rPr>
                <w:rFonts w:ascii="Arial" w:cs="Arial" w:eastAsia="Arial" w:hAnsi="Arial"/>
                <w:sz w:val="18"/>
                <w:szCs w:val="18"/>
                <w:color w:val="auto"/>
              </w:rPr>
              <w:t>32,487</w:t>
            </w:r>
          </w:p>
        </w:tc>
        <w:tc>
          <w:tcPr>
            <w:tcW w:w="10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CFF0FC"/>
            </w:tcBorders>
            <w:shd w:val="clear" w:color="auto" w:fill="CFF0FC"/>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FF0FC"/>
            </w:tcBorders>
            <w:shd w:val="clear" w:color="auto" w:fill="CFF0FC"/>
          </w:tcPr>
          <w:p>
            <w:pPr>
              <w:jc w:val="right"/>
              <w:ind w:right="34"/>
              <w:spacing w:after="0"/>
              <w:rPr>
                <w:sz w:val="20"/>
                <w:szCs w:val="20"/>
                <w:color w:val="auto"/>
              </w:rPr>
            </w:pPr>
            <w:r>
              <w:rPr>
                <w:rFonts w:ascii="Arial" w:cs="Arial" w:eastAsia="Arial" w:hAnsi="Arial"/>
                <w:sz w:val="18"/>
                <w:szCs w:val="18"/>
                <w:color w:val="auto"/>
              </w:rPr>
              <w:t>76,719</w:t>
            </w:r>
          </w:p>
        </w:tc>
        <w:tc>
          <w:tcPr>
            <w:tcW w:w="100" w:type="dxa"/>
            <w:vAlign w:val="bottom"/>
            <w:tcBorders>
              <w:bottom w:val="single" w:sz="8" w:color="CFF0FC"/>
            </w:tcBorders>
            <w:shd w:val="clear" w:color="auto" w:fill="CFF0FC"/>
          </w:tcPr>
          <w:p>
            <w:pPr>
              <w:spacing w:after="0"/>
              <w:rPr>
                <w:sz w:val="21"/>
                <w:szCs w:val="21"/>
                <w:color w:val="auto"/>
              </w:rPr>
            </w:pPr>
          </w:p>
        </w:tc>
        <w:tc>
          <w:tcPr>
            <w:tcW w:w="360" w:type="dxa"/>
            <w:vAlign w:val="bottom"/>
            <w:tcBorders>
              <w:bottom w:val="single" w:sz="8" w:color="CFF0FC"/>
            </w:tcBorders>
            <w:shd w:val="clear" w:color="auto" w:fill="CFF0FC"/>
          </w:tcPr>
          <w:p>
            <w:pPr>
              <w:jc w:val="right"/>
              <w:ind w:right="15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FF0FC"/>
            </w:tcBorders>
            <w:shd w:val="clear" w:color="auto" w:fill="CFF0FC"/>
          </w:tcPr>
          <w:p>
            <w:pPr>
              <w:jc w:val="right"/>
              <w:ind w:right="12"/>
              <w:spacing w:after="0"/>
              <w:rPr>
                <w:sz w:val="20"/>
                <w:szCs w:val="20"/>
                <w:color w:val="auto"/>
              </w:rPr>
            </w:pPr>
            <w:r>
              <w:rPr>
                <w:rFonts w:ascii="Arial" w:cs="Arial" w:eastAsia="Arial" w:hAnsi="Arial"/>
                <w:sz w:val="18"/>
                <w:szCs w:val="18"/>
                <w:color w:val="auto"/>
              </w:rPr>
              <w:t>64,519</w:t>
            </w:r>
          </w:p>
        </w:tc>
        <w:tc>
          <w:tcPr>
            <w:tcW w:w="0" w:type="dxa"/>
            <w:vAlign w:val="bottom"/>
          </w:tcPr>
          <w:p>
            <w:pPr>
              <w:spacing w:after="0"/>
              <w:rPr>
                <w:sz w:val="1"/>
                <w:szCs w:val="1"/>
                <w:color w:val="auto"/>
              </w:rPr>
            </w:pPr>
          </w:p>
        </w:tc>
      </w:tr>
      <w:tr>
        <w:trPr>
          <w:trHeight w:val="243"/>
        </w:trPr>
        <w:tc>
          <w:tcPr>
            <w:tcW w:w="6080" w:type="dxa"/>
            <w:vAlign w:val="bottom"/>
          </w:tcPr>
          <w:p>
            <w:pPr>
              <w:ind w:left="280"/>
              <w:spacing w:after="0"/>
              <w:rPr>
                <w:sz w:val="20"/>
                <w:szCs w:val="20"/>
                <w:color w:val="auto"/>
              </w:rPr>
            </w:pPr>
            <w:r>
              <w:rPr>
                <w:rFonts w:ascii="Arial" w:cs="Arial" w:eastAsia="Arial" w:hAnsi="Arial"/>
                <w:sz w:val="18"/>
                <w:szCs w:val="18"/>
                <w:color w:val="auto"/>
              </w:rPr>
              <w:t>Corporate-owned stores</w:t>
            </w:r>
          </w:p>
        </w:tc>
        <w:tc>
          <w:tcPr>
            <w:tcW w:w="300" w:type="dxa"/>
            <w:vAlign w:val="bottom"/>
          </w:tcPr>
          <w:p>
            <w:pPr>
              <w:spacing w:after="0"/>
              <w:rPr>
                <w:sz w:val="21"/>
                <w:szCs w:val="21"/>
                <w:color w:val="auto"/>
              </w:rPr>
            </w:pPr>
          </w:p>
        </w:tc>
        <w:tc>
          <w:tcPr>
            <w:tcW w:w="940" w:type="dxa"/>
            <w:vAlign w:val="bottom"/>
          </w:tcPr>
          <w:p>
            <w:pPr>
              <w:jc w:val="right"/>
              <w:ind w:right="14"/>
              <w:spacing w:after="0"/>
              <w:rPr>
                <w:sz w:val="20"/>
                <w:szCs w:val="20"/>
                <w:color w:val="auto"/>
              </w:rPr>
            </w:pPr>
            <w:r>
              <w:rPr>
                <w:rFonts w:ascii="Arial" w:cs="Arial" w:eastAsia="Arial" w:hAnsi="Arial"/>
                <w:sz w:val="18"/>
                <w:szCs w:val="18"/>
                <w:color w:val="auto"/>
              </w:rPr>
              <w:t>14,666</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20" w:type="dxa"/>
            <w:vAlign w:val="bottom"/>
          </w:tcPr>
          <w:p>
            <w:pPr>
              <w:jc w:val="right"/>
              <w:ind w:right="32"/>
              <w:spacing w:after="0"/>
              <w:rPr>
                <w:sz w:val="20"/>
                <w:szCs w:val="20"/>
                <w:color w:val="auto"/>
              </w:rPr>
            </w:pPr>
            <w:r>
              <w:rPr>
                <w:rFonts w:ascii="Arial" w:cs="Arial" w:eastAsia="Arial" w:hAnsi="Arial"/>
                <w:sz w:val="18"/>
                <w:szCs w:val="18"/>
                <w:color w:val="auto"/>
              </w:rPr>
              <w:t>12,840</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ind w:right="34"/>
              <w:spacing w:after="0"/>
              <w:rPr>
                <w:sz w:val="20"/>
                <w:szCs w:val="20"/>
                <w:color w:val="auto"/>
              </w:rPr>
            </w:pPr>
            <w:r>
              <w:rPr>
                <w:rFonts w:ascii="Arial" w:cs="Arial" w:eastAsia="Arial" w:hAnsi="Arial"/>
                <w:sz w:val="18"/>
                <w:szCs w:val="18"/>
                <w:color w:val="auto"/>
              </w:rPr>
              <w:t>26,837</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00" w:type="dxa"/>
            <w:vAlign w:val="bottom"/>
          </w:tcPr>
          <w:p>
            <w:pPr>
              <w:jc w:val="right"/>
              <w:ind w:right="12"/>
              <w:spacing w:after="0"/>
              <w:rPr>
                <w:sz w:val="20"/>
                <w:szCs w:val="20"/>
                <w:color w:val="auto"/>
              </w:rPr>
            </w:pPr>
            <w:r>
              <w:rPr>
                <w:rFonts w:ascii="Arial" w:cs="Arial" w:eastAsia="Arial" w:hAnsi="Arial"/>
                <w:sz w:val="18"/>
                <w:szCs w:val="18"/>
                <w:color w:val="auto"/>
              </w:rPr>
              <w:t>23,533</w:t>
            </w:r>
          </w:p>
        </w:tc>
        <w:tc>
          <w:tcPr>
            <w:tcW w:w="0" w:type="dxa"/>
            <w:vAlign w:val="bottom"/>
          </w:tcPr>
          <w:p>
            <w:pPr>
              <w:spacing w:after="0"/>
              <w:rPr>
                <w:sz w:val="1"/>
                <w:szCs w:val="1"/>
                <w:color w:val="auto"/>
              </w:rPr>
            </w:pPr>
          </w:p>
        </w:tc>
      </w:tr>
      <w:tr>
        <w:trPr>
          <w:trHeight w:val="27"/>
        </w:trPr>
        <w:tc>
          <w:tcPr>
            <w:tcW w:w="608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8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Equipment</w:t>
            </w:r>
          </w:p>
        </w:tc>
        <w:tc>
          <w:tcPr>
            <w:tcW w:w="300" w:type="dxa"/>
            <w:vAlign w:val="bottom"/>
            <w:tcBorders>
              <w:bottom w:val="single" w:sz="8" w:color="CFF0FC"/>
            </w:tcBorders>
            <w:shd w:val="clear" w:color="auto" w:fill="CFF0FC"/>
          </w:tcPr>
          <w:p>
            <w:pPr>
              <w:spacing w:after="0"/>
              <w:rPr>
                <w:sz w:val="21"/>
                <w:szCs w:val="21"/>
                <w:color w:val="auto"/>
              </w:rPr>
            </w:pPr>
          </w:p>
        </w:tc>
        <w:tc>
          <w:tcPr>
            <w:tcW w:w="940" w:type="dxa"/>
            <w:vAlign w:val="bottom"/>
            <w:tcBorders>
              <w:bottom w:val="single" w:sz="8" w:color="CFF0FC"/>
            </w:tcBorders>
            <w:shd w:val="clear" w:color="auto" w:fill="CFF0FC"/>
          </w:tcPr>
          <w:p>
            <w:pPr>
              <w:jc w:val="right"/>
              <w:ind w:right="14"/>
              <w:spacing w:after="0"/>
              <w:rPr>
                <w:sz w:val="20"/>
                <w:szCs w:val="20"/>
                <w:color w:val="auto"/>
              </w:rPr>
            </w:pPr>
            <w:r>
              <w:rPr>
                <w:rFonts w:ascii="Arial" w:cs="Arial" w:eastAsia="Arial" w:hAnsi="Arial"/>
                <w:sz w:val="18"/>
                <w:szCs w:val="18"/>
                <w:color w:val="auto"/>
              </w:rPr>
              <w:t>11,457</w:t>
            </w:r>
          </w:p>
        </w:tc>
        <w:tc>
          <w:tcPr>
            <w:tcW w:w="120" w:type="dxa"/>
            <w:vAlign w:val="bottom"/>
            <w:tcBorders>
              <w:bottom w:val="single" w:sz="8" w:color="CFF0FC"/>
            </w:tcBorders>
            <w:shd w:val="clear" w:color="auto" w:fill="CFF0FC"/>
          </w:tcPr>
          <w:p>
            <w:pPr>
              <w:spacing w:after="0"/>
              <w:rPr>
                <w:sz w:val="21"/>
                <w:szCs w:val="21"/>
                <w:color w:val="auto"/>
              </w:rPr>
            </w:pPr>
          </w:p>
        </w:tc>
        <w:tc>
          <w:tcPr>
            <w:tcW w:w="340" w:type="dxa"/>
            <w:vAlign w:val="bottom"/>
            <w:tcBorders>
              <w:bottom w:val="single" w:sz="8" w:color="CFF0FC"/>
            </w:tcBorders>
            <w:shd w:val="clear" w:color="auto" w:fill="CFF0FC"/>
          </w:tcPr>
          <w:p>
            <w:pPr>
              <w:spacing w:after="0"/>
              <w:rPr>
                <w:sz w:val="21"/>
                <w:szCs w:val="21"/>
                <w:color w:val="auto"/>
              </w:rPr>
            </w:pPr>
          </w:p>
        </w:tc>
        <w:tc>
          <w:tcPr>
            <w:tcW w:w="920" w:type="dxa"/>
            <w:vAlign w:val="bottom"/>
            <w:tcBorders>
              <w:bottom w:val="single" w:sz="8" w:color="CFF0FC"/>
            </w:tcBorders>
            <w:shd w:val="clear" w:color="auto" w:fill="CFF0FC"/>
          </w:tcPr>
          <w:p>
            <w:pPr>
              <w:jc w:val="right"/>
              <w:ind w:right="32"/>
              <w:spacing w:after="0"/>
              <w:rPr>
                <w:sz w:val="20"/>
                <w:szCs w:val="20"/>
                <w:color w:val="auto"/>
              </w:rPr>
            </w:pPr>
            <w:r>
              <w:rPr>
                <w:rFonts w:ascii="Arial" w:cs="Arial" w:eastAsia="Arial" w:hAnsi="Arial"/>
                <w:sz w:val="18"/>
                <w:szCs w:val="18"/>
                <w:color w:val="auto"/>
              </w:rPr>
              <w:t>9,809</w:t>
            </w:r>
          </w:p>
        </w:tc>
        <w:tc>
          <w:tcPr>
            <w:tcW w:w="10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CFF0FC"/>
            </w:tcBorders>
            <w:shd w:val="clear" w:color="auto" w:fill="CFF0FC"/>
          </w:tcPr>
          <w:p>
            <w:pPr>
              <w:spacing w:after="0"/>
              <w:rPr>
                <w:sz w:val="21"/>
                <w:szCs w:val="21"/>
                <w:color w:val="auto"/>
              </w:rPr>
            </w:pPr>
          </w:p>
        </w:tc>
        <w:tc>
          <w:tcPr>
            <w:tcW w:w="960" w:type="dxa"/>
            <w:vAlign w:val="bottom"/>
            <w:tcBorders>
              <w:bottom w:val="single" w:sz="8" w:color="CFF0FC"/>
            </w:tcBorders>
            <w:shd w:val="clear" w:color="auto" w:fill="CFF0FC"/>
          </w:tcPr>
          <w:p>
            <w:pPr>
              <w:jc w:val="right"/>
              <w:ind w:right="34"/>
              <w:spacing w:after="0"/>
              <w:rPr>
                <w:sz w:val="20"/>
                <w:szCs w:val="20"/>
                <w:color w:val="auto"/>
              </w:rPr>
            </w:pPr>
            <w:r>
              <w:rPr>
                <w:rFonts w:ascii="Arial" w:cs="Arial" w:eastAsia="Arial" w:hAnsi="Arial"/>
                <w:sz w:val="18"/>
                <w:szCs w:val="18"/>
                <w:color w:val="auto"/>
              </w:rPr>
              <w:t>18,925</w:t>
            </w:r>
          </w:p>
        </w:tc>
        <w:tc>
          <w:tcPr>
            <w:tcW w:w="100" w:type="dxa"/>
            <w:vAlign w:val="bottom"/>
            <w:tcBorders>
              <w:bottom w:val="single" w:sz="8" w:color="CFF0FC"/>
            </w:tcBorders>
            <w:shd w:val="clear" w:color="auto" w:fill="CFF0FC"/>
          </w:tcPr>
          <w:p>
            <w:pPr>
              <w:spacing w:after="0"/>
              <w:rPr>
                <w:sz w:val="21"/>
                <w:szCs w:val="21"/>
                <w:color w:val="auto"/>
              </w:rPr>
            </w:pPr>
          </w:p>
        </w:tc>
        <w:tc>
          <w:tcPr>
            <w:tcW w:w="360" w:type="dxa"/>
            <w:vAlign w:val="bottom"/>
            <w:tcBorders>
              <w:bottom w:val="single" w:sz="8" w:color="CFF0FC"/>
            </w:tcBorders>
            <w:shd w:val="clear" w:color="auto" w:fill="CFF0FC"/>
          </w:tcPr>
          <w:p>
            <w:pPr>
              <w:spacing w:after="0"/>
              <w:rPr>
                <w:sz w:val="21"/>
                <w:szCs w:val="21"/>
                <w:color w:val="auto"/>
              </w:rPr>
            </w:pPr>
          </w:p>
        </w:tc>
        <w:tc>
          <w:tcPr>
            <w:tcW w:w="900" w:type="dxa"/>
            <w:vAlign w:val="bottom"/>
            <w:tcBorders>
              <w:bottom w:val="single" w:sz="8" w:color="CFF0FC"/>
            </w:tcBorders>
            <w:shd w:val="clear" w:color="auto" w:fill="CFF0FC"/>
          </w:tcPr>
          <w:p>
            <w:pPr>
              <w:jc w:val="right"/>
              <w:ind w:right="12"/>
              <w:spacing w:after="0"/>
              <w:rPr>
                <w:sz w:val="20"/>
                <w:szCs w:val="20"/>
                <w:color w:val="auto"/>
              </w:rPr>
            </w:pPr>
            <w:r>
              <w:rPr>
                <w:rFonts w:ascii="Arial" w:cs="Arial" w:eastAsia="Arial" w:hAnsi="Arial"/>
                <w:sz w:val="18"/>
                <w:szCs w:val="18"/>
                <w:color w:val="auto"/>
              </w:rPr>
              <w:t>15,904</w:t>
            </w:r>
          </w:p>
        </w:tc>
        <w:tc>
          <w:tcPr>
            <w:tcW w:w="0" w:type="dxa"/>
            <w:vAlign w:val="bottom"/>
          </w:tcPr>
          <w:p>
            <w:pPr>
              <w:spacing w:after="0"/>
              <w:rPr>
                <w:sz w:val="1"/>
                <w:szCs w:val="1"/>
                <w:color w:val="auto"/>
              </w:rPr>
            </w:pPr>
          </w:p>
        </w:tc>
      </w:tr>
      <w:tr>
        <w:trPr>
          <w:trHeight w:val="243"/>
        </w:trPr>
        <w:tc>
          <w:tcPr>
            <w:tcW w:w="6080" w:type="dxa"/>
            <w:vAlign w:val="bottom"/>
          </w:tcPr>
          <w:p>
            <w:pPr>
              <w:ind w:left="280"/>
              <w:spacing w:after="0"/>
              <w:rPr>
                <w:sz w:val="20"/>
                <w:szCs w:val="20"/>
                <w:color w:val="auto"/>
              </w:rPr>
            </w:pPr>
            <w:r>
              <w:rPr>
                <w:rFonts w:ascii="Arial" w:cs="Arial" w:eastAsia="Arial" w:hAnsi="Arial"/>
                <w:sz w:val="18"/>
                <w:szCs w:val="18"/>
                <w:color w:val="auto"/>
              </w:rPr>
              <w:t>Corporate and other</w:t>
            </w:r>
          </w:p>
        </w:tc>
        <w:tc>
          <w:tcPr>
            <w:tcW w:w="30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(9,236)</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(9,925)</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(17,978)</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(17,057)</w:t>
            </w:r>
          </w:p>
        </w:tc>
        <w:tc>
          <w:tcPr>
            <w:tcW w:w="0" w:type="dxa"/>
            <w:vAlign w:val="bottom"/>
          </w:tcPr>
          <w:p>
            <w:pPr>
              <w:spacing w:after="0"/>
              <w:rPr>
                <w:sz w:val="1"/>
                <w:szCs w:val="1"/>
                <w:color w:val="auto"/>
              </w:rPr>
            </w:pPr>
          </w:p>
        </w:tc>
      </w:tr>
      <w:tr>
        <w:trPr>
          <w:trHeight w:val="27"/>
        </w:trPr>
        <w:tc>
          <w:tcPr>
            <w:tcW w:w="6080" w:type="dxa"/>
            <w:vAlign w:val="bottom"/>
            <w:tcBorders>
              <w:bottom w:val="single" w:sz="8" w:color="CFF0FC"/>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080" w:type="dxa"/>
            <w:vAlign w:val="bottom"/>
            <w:tcBorders>
              <w:bottom w:val="single" w:sz="8" w:color="CFF0FC"/>
            </w:tcBorders>
            <w:shd w:val="clear" w:color="auto" w:fill="CFF0FC"/>
          </w:tcPr>
          <w:p>
            <w:pPr>
              <w:ind w:left="520"/>
              <w:spacing w:after="0"/>
              <w:rPr>
                <w:sz w:val="20"/>
                <w:szCs w:val="20"/>
                <w:color w:val="auto"/>
              </w:rPr>
            </w:pPr>
            <w:r>
              <w:rPr>
                <w:rFonts w:ascii="Arial" w:cs="Arial" w:eastAsia="Arial" w:hAnsi="Arial"/>
                <w:sz w:val="18"/>
                <w:szCs w:val="18"/>
                <w:color w:val="auto"/>
              </w:rPr>
              <w:t>Total Segment EBITDA</w:t>
            </w:r>
            <w:r>
              <w:rPr>
                <w:rFonts w:ascii="Arial" w:cs="Arial" w:eastAsia="Arial" w:hAnsi="Arial"/>
                <w:sz w:val="21"/>
                <w:szCs w:val="21"/>
                <w:color w:val="auto"/>
                <w:vertAlign w:val="superscript"/>
              </w:rPr>
              <w:t>(1)</w:t>
            </w:r>
          </w:p>
        </w:tc>
        <w:tc>
          <w:tcPr>
            <w:tcW w:w="300" w:type="dxa"/>
            <w:vAlign w:val="bottom"/>
            <w:tcBorders>
              <w:bottom w:val="single" w:sz="8" w:color="auto"/>
            </w:tcBorders>
            <w:shd w:val="clear" w:color="auto" w:fill="CFF0FC"/>
          </w:tcPr>
          <w:p>
            <w:pPr>
              <w:jc w:val="right"/>
              <w:ind w:right="110"/>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shd w:val="clear" w:color="auto" w:fill="CFF0FC"/>
          </w:tcPr>
          <w:p>
            <w:pPr>
              <w:jc w:val="right"/>
              <w:ind w:right="14"/>
              <w:spacing w:after="0"/>
              <w:rPr>
                <w:sz w:val="20"/>
                <w:szCs w:val="20"/>
                <w:color w:val="auto"/>
              </w:rPr>
            </w:pPr>
            <w:r>
              <w:rPr>
                <w:rFonts w:ascii="Arial" w:cs="Arial" w:eastAsia="Arial" w:hAnsi="Arial"/>
                <w:sz w:val="18"/>
                <w:szCs w:val="18"/>
                <w:color w:val="auto"/>
              </w:rPr>
              <w:t>56,928</w:t>
            </w:r>
          </w:p>
        </w:tc>
        <w:tc>
          <w:tcPr>
            <w:tcW w:w="120" w:type="dxa"/>
            <w:vAlign w:val="bottom"/>
            <w:tcBorders>
              <w:bottom w:val="single" w:sz="8" w:color="CFF0FC"/>
            </w:tcBorders>
            <w:shd w:val="clear" w:color="auto" w:fill="CFF0FC"/>
          </w:tcPr>
          <w:p>
            <w:pPr>
              <w:spacing w:after="0"/>
              <w:rPr>
                <w:sz w:val="22"/>
                <w:szCs w:val="22"/>
                <w:color w:val="auto"/>
              </w:rPr>
            </w:pPr>
          </w:p>
        </w:tc>
        <w:tc>
          <w:tcPr>
            <w:tcW w:w="340" w:type="dxa"/>
            <w:vAlign w:val="bottom"/>
            <w:tcBorders>
              <w:bottom w:val="single" w:sz="8" w:color="auto"/>
            </w:tcBorders>
            <w:shd w:val="clear" w:color="auto" w:fill="CFF0FC"/>
          </w:tcPr>
          <w:p>
            <w:pPr>
              <w:jc w:val="right"/>
              <w:ind w:right="130"/>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auto"/>
            </w:tcBorders>
            <w:shd w:val="clear" w:color="auto" w:fill="CFF0FC"/>
          </w:tcPr>
          <w:p>
            <w:pPr>
              <w:jc w:val="right"/>
              <w:ind w:right="32"/>
              <w:spacing w:after="0"/>
              <w:rPr>
                <w:sz w:val="20"/>
                <w:szCs w:val="20"/>
                <w:color w:val="auto"/>
              </w:rPr>
            </w:pPr>
            <w:r>
              <w:rPr>
                <w:rFonts w:ascii="Arial" w:cs="Arial" w:eastAsia="Arial" w:hAnsi="Arial"/>
                <w:sz w:val="18"/>
                <w:szCs w:val="18"/>
                <w:color w:val="auto"/>
              </w:rPr>
              <w:t>45,211</w:t>
            </w:r>
          </w:p>
        </w:tc>
        <w:tc>
          <w:tcPr>
            <w:tcW w:w="100" w:type="dxa"/>
            <w:vAlign w:val="bottom"/>
            <w:tcBorders>
              <w:bottom w:val="single" w:sz="8" w:color="CFF0FC"/>
            </w:tcBorders>
            <w:shd w:val="clear" w:color="auto" w:fill="CFF0FC"/>
          </w:tcPr>
          <w:p>
            <w:pPr>
              <w:spacing w:after="0"/>
              <w:rPr>
                <w:sz w:val="22"/>
                <w:szCs w:val="22"/>
                <w:color w:val="auto"/>
              </w:rPr>
            </w:pPr>
          </w:p>
        </w:tc>
        <w:tc>
          <w:tcPr>
            <w:tcW w:w="300" w:type="dxa"/>
            <w:vAlign w:val="bottom"/>
            <w:tcBorders>
              <w:bottom w:val="single" w:sz="8" w:color="auto"/>
            </w:tcBorders>
            <w:shd w:val="clear" w:color="auto" w:fill="CFF0FC"/>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shd w:val="clear" w:color="auto" w:fill="CFF0FC"/>
          </w:tcPr>
          <w:p>
            <w:pPr>
              <w:jc w:val="right"/>
              <w:ind w:right="34"/>
              <w:spacing w:after="0"/>
              <w:rPr>
                <w:sz w:val="20"/>
                <w:szCs w:val="20"/>
                <w:color w:val="auto"/>
              </w:rPr>
            </w:pPr>
            <w:r>
              <w:rPr>
                <w:rFonts w:ascii="Arial" w:cs="Arial" w:eastAsia="Arial" w:hAnsi="Arial"/>
                <w:sz w:val="18"/>
                <w:szCs w:val="18"/>
                <w:color w:val="auto"/>
              </w:rPr>
              <w:t>104,503</w:t>
            </w:r>
          </w:p>
        </w:tc>
        <w:tc>
          <w:tcPr>
            <w:tcW w:w="100" w:type="dxa"/>
            <w:vAlign w:val="bottom"/>
            <w:tcBorders>
              <w:bottom w:val="single" w:sz="8" w:color="CFF0FC"/>
            </w:tcBorders>
            <w:shd w:val="clear" w:color="auto" w:fill="CFF0FC"/>
          </w:tcPr>
          <w:p>
            <w:pPr>
              <w:spacing w:after="0"/>
              <w:rPr>
                <w:sz w:val="22"/>
                <w:szCs w:val="22"/>
                <w:color w:val="auto"/>
              </w:rPr>
            </w:pPr>
          </w:p>
        </w:tc>
        <w:tc>
          <w:tcPr>
            <w:tcW w:w="360" w:type="dxa"/>
            <w:vAlign w:val="bottom"/>
            <w:tcBorders>
              <w:bottom w:val="single" w:sz="8" w:color="auto"/>
            </w:tcBorders>
            <w:shd w:val="clear" w:color="auto" w:fill="CFF0FC"/>
          </w:tcPr>
          <w:p>
            <w:pPr>
              <w:jc w:val="right"/>
              <w:ind w:right="15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auto"/>
            </w:tcBorders>
            <w:shd w:val="clear" w:color="auto" w:fill="CFF0FC"/>
          </w:tcPr>
          <w:p>
            <w:pPr>
              <w:jc w:val="right"/>
              <w:ind w:right="12"/>
              <w:spacing w:after="0"/>
              <w:rPr>
                <w:sz w:val="20"/>
                <w:szCs w:val="20"/>
                <w:color w:val="auto"/>
              </w:rPr>
            </w:pPr>
            <w:r>
              <w:rPr>
                <w:rFonts w:ascii="Arial" w:cs="Arial" w:eastAsia="Arial" w:hAnsi="Arial"/>
                <w:sz w:val="18"/>
                <w:szCs w:val="18"/>
                <w:color w:val="auto"/>
              </w:rPr>
              <w:t>86,899</w:t>
            </w:r>
          </w:p>
        </w:tc>
        <w:tc>
          <w:tcPr>
            <w:tcW w:w="0" w:type="dxa"/>
            <w:vAlign w:val="bottom"/>
          </w:tcPr>
          <w:p>
            <w:pPr>
              <w:spacing w:after="0"/>
              <w:rPr>
                <w:sz w:val="1"/>
                <w:szCs w:val="1"/>
                <w:color w:val="auto"/>
              </w:rPr>
            </w:pPr>
          </w:p>
        </w:tc>
      </w:tr>
      <w:tr>
        <w:trPr>
          <w:trHeight w:val="20"/>
        </w:trPr>
        <w:tc>
          <w:tcPr>
            <w:tcW w:w="60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6" w:lineRule="exact"/>
        <w:rPr>
          <w:sz w:val="20"/>
          <w:szCs w:val="20"/>
          <w:color w:val="auto"/>
        </w:rPr>
      </w:pPr>
    </w:p>
    <w:p>
      <w:pPr>
        <w:ind w:left="480" w:hanging="323"/>
        <w:spacing w:after="0" w:line="275" w:lineRule="auto"/>
        <w:tabs>
          <w:tab w:leader="none" w:pos="480" w:val="left"/>
        </w:tabs>
        <w:numPr>
          <w:ilvl w:val="0"/>
          <w:numId w:val="9"/>
        </w:numPr>
        <w:rPr>
          <w:rFonts w:ascii="Arial" w:cs="Arial" w:eastAsia="Arial" w:hAnsi="Arial"/>
          <w:sz w:val="16"/>
          <w:szCs w:val="16"/>
          <w:color w:val="auto"/>
        </w:rPr>
      </w:pPr>
      <w:r>
        <w:rPr>
          <w:rFonts w:ascii="Arial" w:cs="Arial" w:eastAsia="Arial" w:hAnsi="Arial"/>
          <w:sz w:val="16"/>
          <w:szCs w:val="16"/>
          <w:color w:val="auto"/>
        </w:rPr>
        <w:t>Total Segment EBITDA is equal to EBITDA, which is a metric that is not presented in accordance with U.S. GAAP. Refer to “—Non-GAAP financial measures” for a definition of EBITDA and a reconciliation to net income, the most directly comparable U.S. GAAP measure.</w:t>
      </w:r>
    </w:p>
    <w:p>
      <w:pPr>
        <w:spacing w:after="0" w:line="3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20"/>
          </w:cols>
          <w:pgMar w:left="240" w:top="233" w:right="239" w:bottom="1440" w:gutter="0" w:footer="0" w:header="0"/>
        </w:sectPr>
      </w:pPr>
    </w:p>
    <w:bookmarkStart w:id="31" w:name="page32"/>
    <w:bookmarkEnd w:id="3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ind w:left="60"/>
        <w:spacing w:after="0"/>
        <w:rPr>
          <w:sz w:val="20"/>
          <w:szCs w:val="20"/>
          <w:color w:val="auto"/>
        </w:rPr>
      </w:pPr>
      <w:r>
        <w:rPr>
          <w:rFonts w:ascii="Arial" w:cs="Arial" w:eastAsia="Arial" w:hAnsi="Arial"/>
          <w:sz w:val="18"/>
          <w:szCs w:val="18"/>
          <w:color w:val="auto"/>
        </w:rPr>
        <w:t>A reconciliation of income from operations to Segment EBITDA is set forth below:</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78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(in thousands)</w:t>
            </w:r>
          </w:p>
        </w:tc>
        <w:tc>
          <w:tcPr>
            <w:tcW w:w="120" w:type="dxa"/>
            <w:vAlign w:val="bottom"/>
            <w:vMerge w:val="restart"/>
          </w:tcPr>
          <w:p>
            <w:pPr>
              <w:spacing w:after="0"/>
              <w:rPr>
                <w:sz w:val="14"/>
                <w:szCs w:val="14"/>
                <w:color w:val="auto"/>
              </w:rPr>
            </w:pPr>
          </w:p>
        </w:tc>
        <w:tc>
          <w:tcPr>
            <w:tcW w:w="200" w:type="dxa"/>
            <w:vAlign w:val="bottom"/>
          </w:tcPr>
          <w:p>
            <w:pPr>
              <w:spacing w:after="0"/>
              <w:rPr>
                <w:sz w:val="14"/>
                <w:szCs w:val="14"/>
                <w:color w:val="auto"/>
              </w:rPr>
            </w:pPr>
          </w:p>
        </w:tc>
        <w:tc>
          <w:tcPr>
            <w:tcW w:w="940" w:type="dxa"/>
            <w:vAlign w:val="bottom"/>
            <w:vMerge w:val="restart"/>
          </w:tcPr>
          <w:p>
            <w:pPr>
              <w:jc w:val="right"/>
              <w:ind w:right="171"/>
              <w:spacing w:after="0"/>
              <w:rPr>
                <w:sz w:val="20"/>
                <w:szCs w:val="20"/>
                <w:color w:val="auto"/>
              </w:rPr>
            </w:pPr>
            <w:r>
              <w:rPr>
                <w:rFonts w:ascii="Arial" w:cs="Arial" w:eastAsia="Arial" w:hAnsi="Arial"/>
                <w:sz w:val="14"/>
                <w:szCs w:val="14"/>
                <w:b w:val="1"/>
                <w:bCs w:val="1"/>
                <w:color w:val="auto"/>
                <w:w w:val="99"/>
              </w:rPr>
              <w:t>Franchise</w:t>
            </w:r>
          </w:p>
        </w:tc>
        <w:tc>
          <w:tcPr>
            <w:tcW w:w="120" w:type="dxa"/>
            <w:vAlign w:val="bottom"/>
            <w:vMerge w:val="restart"/>
          </w:tcPr>
          <w:p>
            <w:pPr>
              <w:spacing w:after="0"/>
              <w:rPr>
                <w:sz w:val="14"/>
                <w:szCs w:val="14"/>
                <w:color w:val="auto"/>
              </w:rPr>
            </w:pPr>
          </w:p>
        </w:tc>
        <w:tc>
          <w:tcPr>
            <w:tcW w:w="140" w:type="dxa"/>
            <w:vAlign w:val="bottom"/>
          </w:tcPr>
          <w:p>
            <w:pPr>
              <w:spacing w:after="0"/>
              <w:rPr>
                <w:sz w:val="14"/>
                <w:szCs w:val="14"/>
                <w:color w:val="auto"/>
              </w:rPr>
            </w:pPr>
          </w:p>
        </w:tc>
        <w:tc>
          <w:tcPr>
            <w:tcW w:w="1440" w:type="dxa"/>
            <w:vAlign w:val="bottom"/>
            <w:gridSpan w:val="2"/>
          </w:tcPr>
          <w:p>
            <w:pPr>
              <w:ind w:left="40"/>
              <w:spacing w:after="0"/>
              <w:rPr>
                <w:sz w:val="20"/>
                <w:szCs w:val="20"/>
                <w:color w:val="auto"/>
              </w:rPr>
            </w:pPr>
            <w:r>
              <w:rPr>
                <w:rFonts w:ascii="Arial" w:cs="Arial" w:eastAsia="Arial" w:hAnsi="Arial"/>
                <w:sz w:val="14"/>
                <w:szCs w:val="14"/>
                <w:b w:val="1"/>
                <w:bCs w:val="1"/>
                <w:color w:val="auto"/>
              </w:rPr>
              <w:t>Corporate-owned</w:t>
            </w:r>
          </w:p>
        </w:tc>
        <w:tc>
          <w:tcPr>
            <w:tcW w:w="160" w:type="dxa"/>
            <w:vAlign w:val="bottom"/>
          </w:tcPr>
          <w:p>
            <w:pPr>
              <w:spacing w:after="0"/>
              <w:rPr>
                <w:sz w:val="14"/>
                <w:szCs w:val="14"/>
                <w:color w:val="auto"/>
              </w:rPr>
            </w:pPr>
          </w:p>
        </w:tc>
        <w:tc>
          <w:tcPr>
            <w:tcW w:w="960" w:type="dxa"/>
            <w:vAlign w:val="bottom"/>
            <w:vMerge w:val="restart"/>
          </w:tcPr>
          <w:p>
            <w:pPr>
              <w:jc w:val="right"/>
              <w:ind w:right="131"/>
              <w:spacing w:after="0"/>
              <w:rPr>
                <w:sz w:val="20"/>
                <w:szCs w:val="20"/>
                <w:color w:val="auto"/>
              </w:rPr>
            </w:pPr>
            <w:r>
              <w:rPr>
                <w:rFonts w:ascii="Arial" w:cs="Arial" w:eastAsia="Arial" w:hAnsi="Arial"/>
                <w:sz w:val="14"/>
                <w:szCs w:val="14"/>
                <w:b w:val="1"/>
                <w:bCs w:val="1"/>
                <w:color w:val="auto"/>
                <w:w w:val="99"/>
              </w:rPr>
              <w:t>Equipment</w:t>
            </w:r>
          </w:p>
        </w:tc>
        <w:tc>
          <w:tcPr>
            <w:tcW w:w="120" w:type="dxa"/>
            <w:vAlign w:val="bottom"/>
            <w:vMerge w:val="restart"/>
          </w:tcPr>
          <w:p>
            <w:pPr>
              <w:spacing w:after="0"/>
              <w:rPr>
                <w:sz w:val="14"/>
                <w:szCs w:val="14"/>
                <w:color w:val="auto"/>
              </w:rPr>
            </w:pPr>
          </w:p>
        </w:tc>
        <w:tc>
          <w:tcPr>
            <w:tcW w:w="1240" w:type="dxa"/>
            <w:vAlign w:val="bottom"/>
            <w:gridSpan w:val="3"/>
          </w:tcPr>
          <w:p>
            <w:pPr>
              <w:ind w:left="100"/>
              <w:spacing w:after="0"/>
              <w:rPr>
                <w:sz w:val="20"/>
                <w:szCs w:val="20"/>
                <w:color w:val="auto"/>
              </w:rPr>
            </w:pPr>
            <w:r>
              <w:rPr>
                <w:rFonts w:ascii="Arial" w:cs="Arial" w:eastAsia="Arial" w:hAnsi="Arial"/>
                <w:sz w:val="14"/>
                <w:szCs w:val="14"/>
                <w:b w:val="1"/>
                <w:bCs w:val="1"/>
                <w:color w:val="auto"/>
              </w:rPr>
              <w:t>Corporate and</w:t>
            </w:r>
          </w:p>
        </w:tc>
        <w:tc>
          <w:tcPr>
            <w:tcW w:w="260" w:type="dxa"/>
            <w:vAlign w:val="bottom"/>
          </w:tcPr>
          <w:p>
            <w:pPr>
              <w:spacing w:after="0"/>
              <w:rPr>
                <w:sz w:val="14"/>
                <w:szCs w:val="14"/>
                <w:color w:val="auto"/>
              </w:rPr>
            </w:pPr>
          </w:p>
        </w:tc>
        <w:tc>
          <w:tcPr>
            <w:tcW w:w="880" w:type="dxa"/>
            <w:vAlign w:val="bottom"/>
            <w:vMerge w:val="restart"/>
          </w:tcPr>
          <w:p>
            <w:pPr>
              <w:jc w:val="right"/>
              <w:ind w:right="331"/>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478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FF0FC"/>
            </w:tcBorders>
            <w:vMerge w:val="continue"/>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FF0FC"/>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tcPr>
          <w:p>
            <w:pPr>
              <w:jc w:val="right"/>
              <w:ind w:right="472"/>
              <w:spacing w:after="0"/>
              <w:rPr>
                <w:sz w:val="20"/>
                <w:szCs w:val="20"/>
                <w:color w:val="auto"/>
              </w:rPr>
            </w:pPr>
            <w:r>
              <w:rPr>
                <w:rFonts w:ascii="Arial" w:cs="Arial" w:eastAsia="Arial" w:hAnsi="Arial"/>
                <w:sz w:val="14"/>
                <w:szCs w:val="14"/>
                <w:b w:val="1"/>
                <w:bCs w:val="1"/>
                <w:color w:val="auto"/>
              </w:rPr>
              <w:t>stores</w:t>
            </w:r>
          </w:p>
        </w:tc>
        <w:tc>
          <w:tcPr>
            <w:tcW w:w="120" w:type="dxa"/>
            <w:vAlign w:val="bottom"/>
            <w:tcBorders>
              <w:bottom w:val="single" w:sz="8" w:color="CFF0FC"/>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FF0FC"/>
            </w:tcBorders>
            <w:vMerge w:val="continue"/>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ind w:right="311"/>
              <w:spacing w:after="0"/>
              <w:rPr>
                <w:sz w:val="20"/>
                <w:szCs w:val="20"/>
                <w:color w:val="auto"/>
              </w:rPr>
            </w:pPr>
            <w:r>
              <w:rPr>
                <w:rFonts w:ascii="Arial" w:cs="Arial" w:eastAsia="Arial" w:hAnsi="Arial"/>
                <w:sz w:val="14"/>
                <w:szCs w:val="14"/>
                <w:b w:val="1"/>
                <w:bCs w:val="1"/>
                <w:color w:val="auto"/>
              </w:rPr>
              <w:t>other</w:t>
            </w:r>
          </w:p>
        </w:tc>
        <w:tc>
          <w:tcPr>
            <w:tcW w:w="120" w:type="dxa"/>
            <w:vAlign w:val="bottom"/>
            <w:tcBorders>
              <w:bottom w:val="single" w:sz="8" w:color="CFF0FC"/>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4900" w:type="dxa"/>
            <w:vAlign w:val="bottom"/>
            <w:tcBorders>
              <w:bottom w:val="single" w:sz="8" w:color="CFF0FC"/>
            </w:tcBorders>
            <w:gridSpan w:val="2"/>
            <w:shd w:val="clear" w:color="auto" w:fill="CFF0FC"/>
          </w:tcPr>
          <w:p>
            <w:pPr>
              <w:ind w:left="40"/>
              <w:spacing w:after="0"/>
              <w:rPr>
                <w:sz w:val="20"/>
                <w:szCs w:val="20"/>
                <w:color w:val="auto"/>
              </w:rPr>
            </w:pPr>
            <w:r>
              <w:rPr>
                <w:rFonts w:ascii="Arial" w:cs="Arial" w:eastAsia="Arial" w:hAnsi="Arial"/>
                <w:sz w:val="18"/>
                <w:szCs w:val="18"/>
                <w:b w:val="1"/>
                <w:bCs w:val="1"/>
                <w:color w:val="auto"/>
              </w:rPr>
              <w:t>Three months ended June 30, 2018</w:t>
            </w:r>
          </w:p>
        </w:tc>
        <w:tc>
          <w:tcPr>
            <w:tcW w:w="200" w:type="dxa"/>
            <w:vAlign w:val="bottom"/>
            <w:tcBorders>
              <w:bottom w:val="single" w:sz="8" w:color="CFF0FC"/>
            </w:tcBorders>
            <w:shd w:val="clear" w:color="auto" w:fill="CFF0FC"/>
          </w:tcPr>
          <w:p>
            <w:pPr>
              <w:spacing w:after="0"/>
              <w:rPr>
                <w:sz w:val="21"/>
                <w:szCs w:val="21"/>
                <w:color w:val="auto"/>
              </w:rPr>
            </w:pPr>
          </w:p>
        </w:tc>
        <w:tc>
          <w:tcPr>
            <w:tcW w:w="940" w:type="dxa"/>
            <w:vAlign w:val="bottom"/>
            <w:tcBorders>
              <w:bottom w:val="single" w:sz="8" w:color="CFF0FC"/>
            </w:tcBorders>
            <w:shd w:val="clear" w:color="auto" w:fill="CFF0FC"/>
          </w:tcPr>
          <w:p>
            <w:pPr>
              <w:spacing w:after="0"/>
              <w:rPr>
                <w:sz w:val="21"/>
                <w:szCs w:val="21"/>
                <w:color w:val="auto"/>
              </w:rPr>
            </w:pPr>
          </w:p>
        </w:tc>
        <w:tc>
          <w:tcPr>
            <w:tcW w:w="120" w:type="dxa"/>
            <w:vAlign w:val="bottom"/>
            <w:tcBorders>
              <w:bottom w:val="single" w:sz="8" w:color="CFF0FC"/>
            </w:tcBorders>
            <w:shd w:val="clear" w:color="auto" w:fill="CFF0FC"/>
          </w:tcPr>
          <w:p>
            <w:pPr>
              <w:spacing w:after="0"/>
              <w:rPr>
                <w:sz w:val="21"/>
                <w:szCs w:val="21"/>
                <w:color w:val="auto"/>
              </w:rPr>
            </w:pPr>
          </w:p>
        </w:tc>
        <w:tc>
          <w:tcPr>
            <w:tcW w:w="140" w:type="dxa"/>
            <w:vAlign w:val="bottom"/>
            <w:tcBorders>
              <w:bottom w:val="single" w:sz="8" w:color="CFF0FC"/>
            </w:tcBorders>
            <w:shd w:val="clear" w:color="auto" w:fill="CFF0FC"/>
          </w:tcPr>
          <w:p>
            <w:pPr>
              <w:spacing w:after="0"/>
              <w:rPr>
                <w:sz w:val="21"/>
                <w:szCs w:val="21"/>
                <w:color w:val="auto"/>
              </w:rPr>
            </w:pPr>
          </w:p>
        </w:tc>
        <w:tc>
          <w:tcPr>
            <w:tcW w:w="1320" w:type="dxa"/>
            <w:vAlign w:val="bottom"/>
            <w:tcBorders>
              <w:bottom w:val="single" w:sz="8" w:color="CFF0FC"/>
            </w:tcBorders>
            <w:shd w:val="clear" w:color="auto" w:fill="CFF0FC"/>
          </w:tcPr>
          <w:p>
            <w:pPr>
              <w:spacing w:after="0"/>
              <w:rPr>
                <w:sz w:val="21"/>
                <w:szCs w:val="21"/>
                <w:color w:val="auto"/>
              </w:rPr>
            </w:pPr>
          </w:p>
        </w:tc>
        <w:tc>
          <w:tcPr>
            <w:tcW w:w="120" w:type="dxa"/>
            <w:vAlign w:val="bottom"/>
            <w:tcBorders>
              <w:bottom w:val="single" w:sz="8" w:color="CFF0FC"/>
            </w:tcBorders>
            <w:shd w:val="clear" w:color="auto" w:fill="CFF0FC"/>
          </w:tcPr>
          <w:p>
            <w:pPr>
              <w:spacing w:after="0"/>
              <w:rPr>
                <w:sz w:val="21"/>
                <w:szCs w:val="21"/>
                <w:color w:val="auto"/>
              </w:rPr>
            </w:pPr>
          </w:p>
        </w:tc>
        <w:tc>
          <w:tcPr>
            <w:tcW w:w="160" w:type="dxa"/>
            <w:vAlign w:val="bottom"/>
            <w:tcBorders>
              <w:bottom w:val="single" w:sz="8" w:color="CFF0FC"/>
            </w:tcBorders>
            <w:shd w:val="clear" w:color="auto" w:fill="CFF0FC"/>
          </w:tcPr>
          <w:p>
            <w:pPr>
              <w:spacing w:after="0"/>
              <w:rPr>
                <w:sz w:val="21"/>
                <w:szCs w:val="21"/>
                <w:color w:val="auto"/>
              </w:rPr>
            </w:pPr>
          </w:p>
        </w:tc>
        <w:tc>
          <w:tcPr>
            <w:tcW w:w="960" w:type="dxa"/>
            <w:vAlign w:val="bottom"/>
            <w:tcBorders>
              <w:bottom w:val="single" w:sz="8" w:color="CFF0FC"/>
            </w:tcBorders>
            <w:shd w:val="clear" w:color="auto" w:fill="CFF0FC"/>
          </w:tcPr>
          <w:p>
            <w:pPr>
              <w:spacing w:after="0"/>
              <w:rPr>
                <w:sz w:val="21"/>
                <w:szCs w:val="21"/>
                <w:color w:val="auto"/>
              </w:rPr>
            </w:pPr>
          </w:p>
        </w:tc>
        <w:tc>
          <w:tcPr>
            <w:tcW w:w="120" w:type="dxa"/>
            <w:vAlign w:val="bottom"/>
            <w:tcBorders>
              <w:bottom w:val="single" w:sz="8" w:color="CFF0FC"/>
            </w:tcBorders>
            <w:shd w:val="clear" w:color="auto" w:fill="CFF0FC"/>
          </w:tcPr>
          <w:p>
            <w:pPr>
              <w:spacing w:after="0"/>
              <w:rPr>
                <w:sz w:val="21"/>
                <w:szCs w:val="21"/>
                <w:color w:val="auto"/>
              </w:rPr>
            </w:pPr>
          </w:p>
        </w:tc>
        <w:tc>
          <w:tcPr>
            <w:tcW w:w="260" w:type="dxa"/>
            <w:vAlign w:val="bottom"/>
            <w:tcBorders>
              <w:bottom w:val="single" w:sz="8" w:color="CFF0FC"/>
            </w:tcBorders>
            <w:shd w:val="clear" w:color="auto" w:fill="CFF0FC"/>
          </w:tcPr>
          <w:p>
            <w:pPr>
              <w:spacing w:after="0"/>
              <w:rPr>
                <w:sz w:val="21"/>
                <w:szCs w:val="21"/>
                <w:color w:val="auto"/>
              </w:rPr>
            </w:pPr>
          </w:p>
        </w:tc>
        <w:tc>
          <w:tcPr>
            <w:tcW w:w="860" w:type="dxa"/>
            <w:vAlign w:val="bottom"/>
            <w:tcBorders>
              <w:bottom w:val="single" w:sz="8" w:color="CFF0FC"/>
            </w:tcBorders>
            <w:shd w:val="clear" w:color="auto" w:fill="CFF0FC"/>
          </w:tcPr>
          <w:p>
            <w:pPr>
              <w:spacing w:after="0"/>
              <w:rPr>
                <w:sz w:val="21"/>
                <w:szCs w:val="21"/>
                <w:color w:val="auto"/>
              </w:rPr>
            </w:pPr>
          </w:p>
        </w:tc>
        <w:tc>
          <w:tcPr>
            <w:tcW w:w="120" w:type="dxa"/>
            <w:vAlign w:val="bottom"/>
            <w:tcBorders>
              <w:bottom w:val="single" w:sz="8" w:color="CFF0FC"/>
            </w:tcBorders>
            <w:shd w:val="clear" w:color="auto" w:fill="CFF0FC"/>
          </w:tcPr>
          <w:p>
            <w:pPr>
              <w:spacing w:after="0"/>
              <w:rPr>
                <w:sz w:val="21"/>
                <w:szCs w:val="21"/>
                <w:color w:val="auto"/>
              </w:rPr>
            </w:pPr>
          </w:p>
        </w:tc>
        <w:tc>
          <w:tcPr>
            <w:tcW w:w="260" w:type="dxa"/>
            <w:vAlign w:val="bottom"/>
            <w:tcBorders>
              <w:bottom w:val="single" w:sz="8" w:color="CFF0FC"/>
            </w:tcBorders>
            <w:shd w:val="clear" w:color="auto" w:fill="CFF0FC"/>
          </w:tcPr>
          <w:p>
            <w:pPr>
              <w:spacing w:after="0"/>
              <w:rPr>
                <w:sz w:val="21"/>
                <w:szCs w:val="21"/>
                <w:color w:val="auto"/>
              </w:rPr>
            </w:pPr>
          </w:p>
        </w:tc>
        <w:tc>
          <w:tcPr>
            <w:tcW w:w="880" w:type="dxa"/>
            <w:vAlign w:val="bottom"/>
            <w:tcBorders>
              <w:bottom w:val="single" w:sz="8" w:color="CFF0FC"/>
            </w:tcBorders>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900" w:type="dxa"/>
            <w:vAlign w:val="bottom"/>
            <w:gridSpan w:val="2"/>
          </w:tcPr>
          <w:p>
            <w:pPr>
              <w:ind w:left="40"/>
              <w:spacing w:after="0"/>
              <w:rPr>
                <w:sz w:val="20"/>
                <w:szCs w:val="20"/>
                <w:color w:val="auto"/>
              </w:rPr>
            </w:pPr>
            <w:r>
              <w:rPr>
                <w:rFonts w:ascii="Arial" w:cs="Arial" w:eastAsia="Arial" w:hAnsi="Arial"/>
                <w:sz w:val="18"/>
                <w:szCs w:val="18"/>
                <w:color w:val="auto"/>
              </w:rPr>
              <w:t>Income from operations</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Pr>
          <w:p>
            <w:pPr>
              <w:jc w:val="right"/>
              <w:ind w:right="11"/>
              <w:spacing w:after="0"/>
              <w:rPr>
                <w:sz w:val="20"/>
                <w:szCs w:val="20"/>
                <w:color w:val="auto"/>
              </w:rPr>
            </w:pPr>
            <w:r>
              <w:rPr>
                <w:rFonts w:ascii="Arial" w:cs="Arial" w:eastAsia="Arial" w:hAnsi="Arial"/>
                <w:sz w:val="18"/>
                <w:szCs w:val="18"/>
                <w:color w:val="auto"/>
              </w:rPr>
              <w:t>38,092</w:t>
            </w:r>
          </w:p>
        </w:tc>
        <w:tc>
          <w:tcPr>
            <w:tcW w:w="1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Pr>
          <w:p>
            <w:pPr>
              <w:jc w:val="right"/>
              <w:ind w:right="12"/>
              <w:spacing w:after="0"/>
              <w:rPr>
                <w:sz w:val="20"/>
                <w:szCs w:val="20"/>
                <w:color w:val="auto"/>
              </w:rPr>
            </w:pPr>
            <w:r>
              <w:rPr>
                <w:rFonts w:ascii="Arial" w:cs="Arial" w:eastAsia="Arial" w:hAnsi="Arial"/>
                <w:sz w:val="18"/>
                <w:szCs w:val="18"/>
                <w:color w:val="auto"/>
              </w:rPr>
              <w:t>9,849</w:t>
            </w:r>
          </w:p>
        </w:tc>
        <w:tc>
          <w:tcPr>
            <w:tcW w:w="12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ind w:right="11"/>
              <w:spacing w:after="0"/>
              <w:rPr>
                <w:sz w:val="20"/>
                <w:szCs w:val="20"/>
                <w:color w:val="auto"/>
              </w:rPr>
            </w:pPr>
            <w:r>
              <w:rPr>
                <w:rFonts w:ascii="Arial" w:cs="Arial" w:eastAsia="Arial" w:hAnsi="Arial"/>
                <w:sz w:val="18"/>
                <w:szCs w:val="18"/>
                <w:color w:val="auto"/>
              </w:rPr>
              <w:t>10,201</w:t>
            </w:r>
          </w:p>
        </w:tc>
        <w:tc>
          <w:tcPr>
            <w:tcW w:w="120" w:type="dxa"/>
            <w:vAlign w:val="bottom"/>
          </w:tcPr>
          <w:p>
            <w:pPr>
              <w:spacing w:after="0"/>
              <w:rPr>
                <w:sz w:val="21"/>
                <w:szCs w:val="21"/>
                <w:color w:val="auto"/>
              </w:rPr>
            </w:pPr>
          </w:p>
        </w:tc>
        <w:tc>
          <w:tcPr>
            <w:tcW w:w="260" w:type="dxa"/>
            <w:vAlign w:val="bottom"/>
          </w:tcPr>
          <w:p>
            <w:pPr>
              <w:jc w:val="right"/>
              <w:ind w:right="52"/>
              <w:spacing w:after="0"/>
              <w:rPr>
                <w:sz w:val="20"/>
                <w:szCs w:val="20"/>
                <w:color w:val="auto"/>
              </w:rPr>
            </w:pPr>
            <w:r>
              <w:rPr>
                <w:rFonts w:ascii="Arial" w:cs="Arial" w:eastAsia="Arial" w:hAnsi="Arial"/>
                <w:sz w:val="18"/>
                <w:szCs w:val="18"/>
                <w:color w:val="auto"/>
                <w:w w:val="99"/>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(9,331)</w:t>
            </w:r>
          </w:p>
        </w:tc>
        <w:tc>
          <w:tcPr>
            <w:tcW w:w="12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880" w:type="dxa"/>
            <w:vAlign w:val="bottom"/>
          </w:tcPr>
          <w:p>
            <w:pPr>
              <w:jc w:val="right"/>
              <w:ind w:right="31"/>
              <w:spacing w:after="0"/>
              <w:rPr>
                <w:sz w:val="20"/>
                <w:szCs w:val="20"/>
                <w:color w:val="auto"/>
              </w:rPr>
            </w:pPr>
            <w:r>
              <w:rPr>
                <w:rFonts w:ascii="Arial" w:cs="Arial" w:eastAsia="Arial" w:hAnsi="Arial"/>
                <w:sz w:val="18"/>
                <w:szCs w:val="18"/>
                <w:color w:val="auto"/>
              </w:rPr>
              <w:t>48,811</w:t>
            </w:r>
          </w:p>
        </w:tc>
        <w:tc>
          <w:tcPr>
            <w:tcW w:w="0" w:type="dxa"/>
            <w:vAlign w:val="bottom"/>
          </w:tcPr>
          <w:p>
            <w:pPr>
              <w:spacing w:after="0"/>
              <w:rPr>
                <w:sz w:val="1"/>
                <w:szCs w:val="1"/>
                <w:color w:val="auto"/>
              </w:rPr>
            </w:pPr>
          </w:p>
        </w:tc>
      </w:tr>
      <w:tr>
        <w:trPr>
          <w:trHeight w:val="27"/>
        </w:trPr>
        <w:tc>
          <w:tcPr>
            <w:tcW w:w="4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900" w:type="dxa"/>
            <w:vAlign w:val="bottom"/>
            <w:tcBorders>
              <w:bottom w:val="single" w:sz="8" w:color="CFF0FC"/>
            </w:tcBorders>
            <w:gridSpan w:val="2"/>
            <w:shd w:val="clear" w:color="auto" w:fill="CFF0FC"/>
          </w:tcPr>
          <w:p>
            <w:pPr>
              <w:ind w:left="40"/>
              <w:spacing w:after="0"/>
              <w:rPr>
                <w:sz w:val="20"/>
                <w:szCs w:val="20"/>
                <w:color w:val="auto"/>
              </w:rPr>
            </w:pPr>
            <w:r>
              <w:rPr>
                <w:rFonts w:ascii="Arial" w:cs="Arial" w:eastAsia="Arial" w:hAnsi="Arial"/>
                <w:sz w:val="18"/>
                <w:szCs w:val="18"/>
                <w:color w:val="auto"/>
              </w:rPr>
              <w:t>Depreciation and amortization</w:t>
            </w:r>
          </w:p>
        </w:tc>
        <w:tc>
          <w:tcPr>
            <w:tcW w:w="200" w:type="dxa"/>
            <w:vAlign w:val="bottom"/>
            <w:tcBorders>
              <w:bottom w:val="single" w:sz="8" w:color="CFF0FC"/>
            </w:tcBorders>
            <w:shd w:val="clear" w:color="auto" w:fill="CFF0FC"/>
          </w:tcPr>
          <w:p>
            <w:pPr>
              <w:spacing w:after="0"/>
              <w:rPr>
                <w:sz w:val="21"/>
                <w:szCs w:val="21"/>
                <w:color w:val="auto"/>
              </w:rPr>
            </w:pPr>
          </w:p>
        </w:tc>
        <w:tc>
          <w:tcPr>
            <w:tcW w:w="94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1,949</w:t>
            </w:r>
          </w:p>
        </w:tc>
        <w:tc>
          <w:tcPr>
            <w:tcW w:w="120" w:type="dxa"/>
            <w:vAlign w:val="bottom"/>
            <w:tcBorders>
              <w:bottom w:val="single" w:sz="8" w:color="CFF0FC"/>
            </w:tcBorders>
            <w:shd w:val="clear" w:color="auto" w:fill="CFF0FC"/>
          </w:tcPr>
          <w:p>
            <w:pPr>
              <w:spacing w:after="0"/>
              <w:rPr>
                <w:sz w:val="21"/>
                <w:szCs w:val="21"/>
                <w:color w:val="auto"/>
              </w:rPr>
            </w:pPr>
          </w:p>
        </w:tc>
        <w:tc>
          <w:tcPr>
            <w:tcW w:w="140" w:type="dxa"/>
            <w:vAlign w:val="bottom"/>
            <w:tcBorders>
              <w:bottom w:val="single" w:sz="8" w:color="CFF0FC"/>
            </w:tcBorders>
            <w:shd w:val="clear" w:color="auto" w:fill="CFF0FC"/>
          </w:tcPr>
          <w:p>
            <w:pPr>
              <w:spacing w:after="0"/>
              <w:rPr>
                <w:sz w:val="21"/>
                <w:szCs w:val="21"/>
                <w:color w:val="auto"/>
              </w:rPr>
            </w:pPr>
          </w:p>
        </w:tc>
        <w:tc>
          <w:tcPr>
            <w:tcW w:w="1320" w:type="dxa"/>
            <w:vAlign w:val="bottom"/>
            <w:tcBorders>
              <w:bottom w:val="single" w:sz="8" w:color="CFF0FC"/>
            </w:tcBorders>
            <w:shd w:val="clear" w:color="auto" w:fill="CFF0FC"/>
          </w:tcPr>
          <w:p>
            <w:pPr>
              <w:jc w:val="right"/>
              <w:ind w:right="12"/>
              <w:spacing w:after="0"/>
              <w:rPr>
                <w:sz w:val="20"/>
                <w:szCs w:val="20"/>
                <w:color w:val="auto"/>
              </w:rPr>
            </w:pPr>
            <w:r>
              <w:rPr>
                <w:rFonts w:ascii="Arial" w:cs="Arial" w:eastAsia="Arial" w:hAnsi="Arial"/>
                <w:sz w:val="18"/>
                <w:szCs w:val="18"/>
                <w:color w:val="auto"/>
              </w:rPr>
              <w:t>4,952</w:t>
            </w:r>
          </w:p>
        </w:tc>
        <w:tc>
          <w:tcPr>
            <w:tcW w:w="120" w:type="dxa"/>
            <w:vAlign w:val="bottom"/>
            <w:tcBorders>
              <w:bottom w:val="single" w:sz="8" w:color="CFF0FC"/>
            </w:tcBorders>
            <w:shd w:val="clear" w:color="auto" w:fill="CFF0FC"/>
          </w:tcPr>
          <w:p>
            <w:pPr>
              <w:spacing w:after="0"/>
              <w:rPr>
                <w:sz w:val="21"/>
                <w:szCs w:val="21"/>
                <w:color w:val="auto"/>
              </w:rPr>
            </w:pPr>
          </w:p>
        </w:tc>
        <w:tc>
          <w:tcPr>
            <w:tcW w:w="160" w:type="dxa"/>
            <w:vAlign w:val="bottom"/>
            <w:tcBorders>
              <w:bottom w:val="single" w:sz="8" w:color="CFF0FC"/>
            </w:tcBorders>
            <w:shd w:val="clear" w:color="auto" w:fill="CFF0FC"/>
          </w:tcPr>
          <w:p>
            <w:pPr>
              <w:spacing w:after="0"/>
              <w:rPr>
                <w:sz w:val="21"/>
                <w:szCs w:val="21"/>
                <w:color w:val="auto"/>
              </w:rPr>
            </w:pPr>
          </w:p>
        </w:tc>
        <w:tc>
          <w:tcPr>
            <w:tcW w:w="96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1,256</w:t>
            </w:r>
          </w:p>
        </w:tc>
        <w:tc>
          <w:tcPr>
            <w:tcW w:w="120" w:type="dxa"/>
            <w:vAlign w:val="bottom"/>
            <w:tcBorders>
              <w:bottom w:val="single" w:sz="8" w:color="CFF0FC"/>
            </w:tcBorders>
            <w:shd w:val="clear" w:color="auto" w:fill="CFF0FC"/>
          </w:tcPr>
          <w:p>
            <w:pPr>
              <w:spacing w:after="0"/>
              <w:rPr>
                <w:sz w:val="21"/>
                <w:szCs w:val="21"/>
                <w:color w:val="auto"/>
              </w:rPr>
            </w:pPr>
          </w:p>
        </w:tc>
        <w:tc>
          <w:tcPr>
            <w:tcW w:w="260" w:type="dxa"/>
            <w:vAlign w:val="bottom"/>
            <w:tcBorders>
              <w:bottom w:val="single" w:sz="8" w:color="CFF0FC"/>
            </w:tcBorders>
            <w:shd w:val="clear" w:color="auto" w:fill="CFF0FC"/>
          </w:tcPr>
          <w:p>
            <w:pPr>
              <w:spacing w:after="0"/>
              <w:rPr>
                <w:sz w:val="21"/>
                <w:szCs w:val="21"/>
                <w:color w:val="auto"/>
              </w:rPr>
            </w:pPr>
          </w:p>
        </w:tc>
        <w:tc>
          <w:tcPr>
            <w:tcW w:w="86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462</w:t>
            </w:r>
          </w:p>
        </w:tc>
        <w:tc>
          <w:tcPr>
            <w:tcW w:w="120" w:type="dxa"/>
            <w:vAlign w:val="bottom"/>
            <w:tcBorders>
              <w:bottom w:val="single" w:sz="8" w:color="CFF0FC"/>
            </w:tcBorders>
            <w:shd w:val="clear" w:color="auto" w:fill="CFF0FC"/>
          </w:tcPr>
          <w:p>
            <w:pPr>
              <w:spacing w:after="0"/>
              <w:rPr>
                <w:sz w:val="21"/>
                <w:szCs w:val="21"/>
                <w:color w:val="auto"/>
              </w:rPr>
            </w:pPr>
          </w:p>
        </w:tc>
        <w:tc>
          <w:tcPr>
            <w:tcW w:w="260" w:type="dxa"/>
            <w:vAlign w:val="bottom"/>
            <w:tcBorders>
              <w:bottom w:val="single" w:sz="8" w:color="CFF0FC"/>
            </w:tcBorders>
            <w:shd w:val="clear" w:color="auto" w:fill="CFF0FC"/>
          </w:tcPr>
          <w:p>
            <w:pPr>
              <w:spacing w:after="0"/>
              <w:rPr>
                <w:sz w:val="21"/>
                <w:szCs w:val="21"/>
                <w:color w:val="auto"/>
              </w:rPr>
            </w:pPr>
          </w:p>
        </w:tc>
        <w:tc>
          <w:tcPr>
            <w:tcW w:w="880" w:type="dxa"/>
            <w:vAlign w:val="bottom"/>
            <w:tcBorders>
              <w:bottom w:val="single" w:sz="8" w:color="CFF0FC"/>
            </w:tcBorders>
            <w:shd w:val="clear" w:color="auto" w:fill="CFF0FC"/>
          </w:tcPr>
          <w:p>
            <w:pPr>
              <w:jc w:val="right"/>
              <w:ind w:right="31"/>
              <w:spacing w:after="0"/>
              <w:rPr>
                <w:sz w:val="20"/>
                <w:szCs w:val="20"/>
                <w:color w:val="auto"/>
              </w:rPr>
            </w:pPr>
            <w:r>
              <w:rPr>
                <w:rFonts w:ascii="Arial" w:cs="Arial" w:eastAsia="Arial" w:hAnsi="Arial"/>
                <w:sz w:val="18"/>
                <w:szCs w:val="18"/>
                <w:color w:val="auto"/>
              </w:rPr>
              <w:t>8,619</w:t>
            </w:r>
          </w:p>
        </w:tc>
        <w:tc>
          <w:tcPr>
            <w:tcW w:w="0" w:type="dxa"/>
            <w:vAlign w:val="bottom"/>
          </w:tcPr>
          <w:p>
            <w:pPr>
              <w:spacing w:after="0"/>
              <w:rPr>
                <w:sz w:val="1"/>
                <w:szCs w:val="1"/>
                <w:color w:val="auto"/>
              </w:rPr>
            </w:pPr>
          </w:p>
        </w:tc>
      </w:tr>
      <w:tr>
        <w:trPr>
          <w:trHeight w:val="243"/>
        </w:trPr>
        <w:tc>
          <w:tcPr>
            <w:tcW w:w="4900" w:type="dxa"/>
            <w:vAlign w:val="bottom"/>
            <w:gridSpan w:val="2"/>
          </w:tcPr>
          <w:p>
            <w:pPr>
              <w:ind w:left="40"/>
              <w:spacing w:after="0"/>
              <w:rPr>
                <w:sz w:val="20"/>
                <w:szCs w:val="20"/>
                <w:color w:val="auto"/>
              </w:rPr>
            </w:pPr>
            <w:r>
              <w:rPr>
                <w:rFonts w:ascii="Arial" w:cs="Arial" w:eastAsia="Arial" w:hAnsi="Arial"/>
                <w:sz w:val="18"/>
                <w:szCs w:val="18"/>
                <w:color w:val="auto"/>
              </w:rPr>
              <w:t>Other expense</w:t>
            </w:r>
          </w:p>
        </w:tc>
        <w:tc>
          <w:tcPr>
            <w:tcW w:w="200" w:type="dxa"/>
            <w:vAlign w:val="bottom"/>
          </w:tcPr>
          <w:p>
            <w:pPr>
              <w:spacing w:after="0"/>
              <w:rPr>
                <w:sz w:val="21"/>
                <w:szCs w:val="21"/>
                <w:color w:val="auto"/>
              </w:rPr>
            </w:pPr>
          </w:p>
        </w:tc>
        <w:tc>
          <w:tcPr>
            <w:tcW w:w="10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(135)</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(367)</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(502)</w:t>
            </w:r>
          </w:p>
        </w:tc>
        <w:tc>
          <w:tcPr>
            <w:tcW w:w="0" w:type="dxa"/>
            <w:vAlign w:val="bottom"/>
          </w:tcPr>
          <w:p>
            <w:pPr>
              <w:spacing w:after="0"/>
              <w:rPr>
                <w:sz w:val="1"/>
                <w:szCs w:val="1"/>
                <w:color w:val="auto"/>
              </w:rPr>
            </w:pPr>
          </w:p>
        </w:tc>
      </w:tr>
      <w:tr>
        <w:trPr>
          <w:trHeight w:val="27"/>
        </w:trPr>
        <w:tc>
          <w:tcPr>
            <w:tcW w:w="4780" w:type="dxa"/>
            <w:vAlign w:val="bottom"/>
            <w:tcBorders>
              <w:bottom w:val="single" w:sz="8" w:color="CFF0FC"/>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4900" w:type="dxa"/>
            <w:vAlign w:val="bottom"/>
            <w:tcBorders>
              <w:bottom w:val="single" w:sz="8" w:color="CFF0FC"/>
            </w:tcBorders>
            <w:gridSpan w:val="2"/>
            <w:shd w:val="clear" w:color="auto" w:fill="CFF0FC"/>
          </w:tcPr>
          <w:p>
            <w:pPr>
              <w:ind w:left="40"/>
              <w:spacing w:after="0"/>
              <w:rPr>
                <w:sz w:val="20"/>
                <w:szCs w:val="20"/>
                <w:color w:val="auto"/>
              </w:rPr>
            </w:pPr>
            <w:r>
              <w:rPr>
                <w:rFonts w:ascii="Arial" w:cs="Arial" w:eastAsia="Arial" w:hAnsi="Arial"/>
                <w:sz w:val="18"/>
                <w:szCs w:val="18"/>
                <w:color w:val="auto"/>
              </w:rPr>
              <w:t>Segment EBITDA</w:t>
            </w:r>
            <w:r>
              <w:rPr>
                <w:rFonts w:ascii="Arial" w:cs="Arial" w:eastAsia="Arial" w:hAnsi="Arial"/>
                <w:sz w:val="21"/>
                <w:szCs w:val="21"/>
                <w:color w:val="auto"/>
                <w:vertAlign w:val="superscript"/>
              </w:rPr>
              <w:t>(1)</w:t>
            </w:r>
          </w:p>
        </w:tc>
        <w:tc>
          <w:tcPr>
            <w:tcW w:w="2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auto"/>
            </w:tcBorders>
            <w:shd w:val="clear" w:color="auto" w:fill="CFF0FC"/>
          </w:tcPr>
          <w:p>
            <w:pPr>
              <w:jc w:val="right"/>
              <w:ind w:right="11"/>
              <w:spacing w:after="0"/>
              <w:rPr>
                <w:sz w:val="20"/>
                <w:szCs w:val="20"/>
                <w:color w:val="auto"/>
              </w:rPr>
            </w:pPr>
            <w:r>
              <w:rPr>
                <w:rFonts w:ascii="Arial" w:cs="Arial" w:eastAsia="Arial" w:hAnsi="Arial"/>
                <w:sz w:val="18"/>
                <w:szCs w:val="18"/>
                <w:color w:val="auto"/>
              </w:rPr>
              <w:t>40,041</w:t>
            </w:r>
          </w:p>
        </w:tc>
        <w:tc>
          <w:tcPr>
            <w:tcW w:w="120" w:type="dxa"/>
            <w:vAlign w:val="bottom"/>
            <w:tcBorders>
              <w:bottom w:val="single" w:sz="8" w:color="CFF0FC"/>
            </w:tcBorders>
            <w:shd w:val="clear" w:color="auto" w:fill="CFF0FC"/>
          </w:tcPr>
          <w:p>
            <w:pPr>
              <w:spacing w:after="0"/>
              <w:rPr>
                <w:sz w:val="22"/>
                <w:szCs w:val="22"/>
                <w:color w:val="auto"/>
              </w:rPr>
            </w:pPr>
          </w:p>
        </w:tc>
        <w:tc>
          <w:tcPr>
            <w:tcW w:w="1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auto"/>
            </w:tcBorders>
            <w:shd w:val="clear" w:color="auto" w:fill="CFF0FC"/>
          </w:tcPr>
          <w:p>
            <w:pPr>
              <w:jc w:val="right"/>
              <w:ind w:right="12"/>
              <w:spacing w:after="0"/>
              <w:rPr>
                <w:sz w:val="20"/>
                <w:szCs w:val="20"/>
                <w:color w:val="auto"/>
              </w:rPr>
            </w:pPr>
            <w:r>
              <w:rPr>
                <w:rFonts w:ascii="Arial" w:cs="Arial" w:eastAsia="Arial" w:hAnsi="Arial"/>
                <w:sz w:val="18"/>
                <w:szCs w:val="18"/>
                <w:color w:val="auto"/>
              </w:rPr>
              <w:t>14,666</w:t>
            </w:r>
          </w:p>
        </w:tc>
        <w:tc>
          <w:tcPr>
            <w:tcW w:w="120" w:type="dxa"/>
            <w:vAlign w:val="bottom"/>
            <w:tcBorders>
              <w:bottom w:val="single" w:sz="8" w:color="CFF0FC"/>
            </w:tcBorders>
            <w:shd w:val="clear" w:color="auto" w:fill="CFF0FC"/>
          </w:tcPr>
          <w:p>
            <w:pPr>
              <w:spacing w:after="0"/>
              <w:rPr>
                <w:sz w:val="22"/>
                <w:szCs w:val="22"/>
                <w:color w:val="auto"/>
              </w:rPr>
            </w:pPr>
          </w:p>
        </w:tc>
        <w:tc>
          <w:tcPr>
            <w:tcW w:w="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shd w:val="clear" w:color="auto" w:fill="CFF0FC"/>
          </w:tcPr>
          <w:p>
            <w:pPr>
              <w:jc w:val="right"/>
              <w:ind w:right="11"/>
              <w:spacing w:after="0"/>
              <w:rPr>
                <w:sz w:val="20"/>
                <w:szCs w:val="20"/>
                <w:color w:val="auto"/>
              </w:rPr>
            </w:pPr>
            <w:r>
              <w:rPr>
                <w:rFonts w:ascii="Arial" w:cs="Arial" w:eastAsia="Arial" w:hAnsi="Arial"/>
                <w:sz w:val="18"/>
                <w:szCs w:val="18"/>
                <w:color w:val="auto"/>
              </w:rPr>
              <w:t>11,457</w:t>
            </w:r>
          </w:p>
        </w:tc>
        <w:tc>
          <w:tcPr>
            <w:tcW w:w="120" w:type="dxa"/>
            <w:vAlign w:val="bottom"/>
            <w:tcBorders>
              <w:bottom w:val="single" w:sz="8" w:color="CFF0FC"/>
            </w:tcBorders>
            <w:shd w:val="clear" w:color="auto" w:fill="CFF0FC"/>
          </w:tcPr>
          <w:p>
            <w:pPr>
              <w:spacing w:after="0"/>
              <w:rPr>
                <w:sz w:val="22"/>
                <w:szCs w:val="22"/>
                <w:color w:val="auto"/>
              </w:rPr>
            </w:pPr>
          </w:p>
        </w:tc>
        <w:tc>
          <w:tcPr>
            <w:tcW w:w="260" w:type="dxa"/>
            <w:vAlign w:val="bottom"/>
            <w:tcBorders>
              <w:bottom w:val="single" w:sz="8" w:color="auto"/>
            </w:tcBorders>
            <w:shd w:val="clear" w:color="auto" w:fill="CFF0FC"/>
          </w:tcPr>
          <w:p>
            <w:pPr>
              <w:jc w:val="right"/>
              <w:ind w:right="52"/>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(9,236)</w:t>
            </w:r>
          </w:p>
        </w:tc>
        <w:tc>
          <w:tcPr>
            <w:tcW w:w="120" w:type="dxa"/>
            <w:vAlign w:val="bottom"/>
            <w:tcBorders>
              <w:bottom w:val="single" w:sz="8" w:color="CFF0FC"/>
            </w:tcBorders>
            <w:shd w:val="clear" w:color="auto" w:fill="CFF0FC"/>
          </w:tcPr>
          <w:p>
            <w:pPr>
              <w:spacing w:after="0"/>
              <w:rPr>
                <w:sz w:val="22"/>
                <w:szCs w:val="22"/>
                <w:color w:val="auto"/>
              </w:rPr>
            </w:pPr>
          </w:p>
        </w:tc>
        <w:tc>
          <w:tcPr>
            <w:tcW w:w="26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auto"/>
            </w:tcBorders>
            <w:shd w:val="clear" w:color="auto" w:fill="CFF0FC"/>
          </w:tcPr>
          <w:p>
            <w:pPr>
              <w:jc w:val="right"/>
              <w:ind w:right="31"/>
              <w:spacing w:after="0"/>
              <w:rPr>
                <w:sz w:val="20"/>
                <w:szCs w:val="20"/>
                <w:color w:val="auto"/>
              </w:rPr>
            </w:pPr>
            <w:r>
              <w:rPr>
                <w:rFonts w:ascii="Arial" w:cs="Arial" w:eastAsia="Arial" w:hAnsi="Arial"/>
                <w:sz w:val="18"/>
                <w:szCs w:val="18"/>
                <w:color w:val="auto"/>
              </w:rPr>
              <w:t>56,928</w:t>
            </w:r>
          </w:p>
        </w:tc>
        <w:tc>
          <w:tcPr>
            <w:tcW w:w="0" w:type="dxa"/>
            <w:vAlign w:val="bottom"/>
          </w:tcPr>
          <w:p>
            <w:pPr>
              <w:spacing w:after="0"/>
              <w:rPr>
                <w:sz w:val="1"/>
                <w:szCs w:val="1"/>
                <w:color w:val="auto"/>
              </w:rPr>
            </w:pPr>
          </w:p>
        </w:tc>
      </w:tr>
      <w:tr>
        <w:trPr>
          <w:trHeight w:val="20"/>
        </w:trPr>
        <w:tc>
          <w:tcPr>
            <w:tcW w:w="47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8"/>
        </w:trPr>
        <w:tc>
          <w:tcPr>
            <w:tcW w:w="4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49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Three months ended June 30, 2017</w:t>
            </w:r>
          </w:p>
        </w:tc>
        <w:tc>
          <w:tcPr>
            <w:tcW w:w="2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900" w:type="dxa"/>
            <w:vAlign w:val="bottom"/>
            <w:gridSpan w:val="2"/>
          </w:tcPr>
          <w:p>
            <w:pPr>
              <w:ind w:left="40"/>
              <w:spacing w:after="0"/>
              <w:rPr>
                <w:sz w:val="20"/>
                <w:szCs w:val="20"/>
                <w:color w:val="auto"/>
              </w:rPr>
            </w:pPr>
            <w:r>
              <w:rPr>
                <w:rFonts w:ascii="Arial" w:cs="Arial" w:eastAsia="Arial" w:hAnsi="Arial"/>
                <w:sz w:val="18"/>
                <w:szCs w:val="18"/>
                <w:color w:val="auto"/>
              </w:rPr>
              <w:t>Income from operations</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Pr>
          <w:p>
            <w:pPr>
              <w:jc w:val="right"/>
              <w:ind w:right="11"/>
              <w:spacing w:after="0"/>
              <w:rPr>
                <w:sz w:val="20"/>
                <w:szCs w:val="20"/>
                <w:color w:val="auto"/>
              </w:rPr>
            </w:pPr>
            <w:r>
              <w:rPr>
                <w:rFonts w:ascii="Arial" w:cs="Arial" w:eastAsia="Arial" w:hAnsi="Arial"/>
                <w:sz w:val="18"/>
                <w:szCs w:val="18"/>
                <w:color w:val="auto"/>
              </w:rPr>
              <w:t>30,346</w:t>
            </w:r>
          </w:p>
        </w:tc>
        <w:tc>
          <w:tcPr>
            <w:tcW w:w="1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Pr>
          <w:p>
            <w:pPr>
              <w:jc w:val="right"/>
              <w:ind w:right="12"/>
              <w:spacing w:after="0"/>
              <w:rPr>
                <w:sz w:val="20"/>
                <w:szCs w:val="20"/>
                <w:color w:val="auto"/>
              </w:rPr>
            </w:pPr>
            <w:r>
              <w:rPr>
                <w:rFonts w:ascii="Arial" w:cs="Arial" w:eastAsia="Arial" w:hAnsi="Arial"/>
                <w:sz w:val="18"/>
                <w:szCs w:val="18"/>
                <w:color w:val="auto"/>
              </w:rPr>
              <w:t>8,949</w:t>
            </w:r>
          </w:p>
        </w:tc>
        <w:tc>
          <w:tcPr>
            <w:tcW w:w="12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ind w:right="11"/>
              <w:spacing w:after="0"/>
              <w:rPr>
                <w:sz w:val="20"/>
                <w:szCs w:val="20"/>
                <w:color w:val="auto"/>
              </w:rPr>
            </w:pPr>
            <w:r>
              <w:rPr>
                <w:rFonts w:ascii="Arial" w:cs="Arial" w:eastAsia="Arial" w:hAnsi="Arial"/>
                <w:sz w:val="18"/>
                <w:szCs w:val="18"/>
                <w:color w:val="auto"/>
              </w:rPr>
              <w:t>8,258</w:t>
            </w:r>
          </w:p>
        </w:tc>
        <w:tc>
          <w:tcPr>
            <w:tcW w:w="120" w:type="dxa"/>
            <w:vAlign w:val="bottom"/>
          </w:tcPr>
          <w:p>
            <w:pPr>
              <w:spacing w:after="0"/>
              <w:rPr>
                <w:sz w:val="21"/>
                <w:szCs w:val="21"/>
                <w:color w:val="auto"/>
              </w:rPr>
            </w:pPr>
          </w:p>
        </w:tc>
        <w:tc>
          <w:tcPr>
            <w:tcW w:w="260" w:type="dxa"/>
            <w:vAlign w:val="bottom"/>
          </w:tcPr>
          <w:p>
            <w:pPr>
              <w:jc w:val="right"/>
              <w:ind w:right="52"/>
              <w:spacing w:after="0"/>
              <w:rPr>
                <w:sz w:val="20"/>
                <w:szCs w:val="20"/>
                <w:color w:val="auto"/>
              </w:rPr>
            </w:pPr>
            <w:r>
              <w:rPr>
                <w:rFonts w:ascii="Arial" w:cs="Arial" w:eastAsia="Arial" w:hAnsi="Arial"/>
                <w:sz w:val="18"/>
                <w:szCs w:val="18"/>
                <w:color w:val="auto"/>
                <w:w w:val="99"/>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(9,303)</w:t>
            </w:r>
          </w:p>
        </w:tc>
        <w:tc>
          <w:tcPr>
            <w:tcW w:w="12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880" w:type="dxa"/>
            <w:vAlign w:val="bottom"/>
          </w:tcPr>
          <w:p>
            <w:pPr>
              <w:jc w:val="right"/>
              <w:ind w:right="31"/>
              <w:spacing w:after="0"/>
              <w:rPr>
                <w:sz w:val="20"/>
                <w:szCs w:val="20"/>
                <w:color w:val="auto"/>
              </w:rPr>
            </w:pPr>
            <w:r>
              <w:rPr>
                <w:rFonts w:ascii="Arial" w:cs="Arial" w:eastAsia="Arial" w:hAnsi="Arial"/>
                <w:sz w:val="18"/>
                <w:szCs w:val="18"/>
                <w:color w:val="auto"/>
              </w:rPr>
              <w:t>38,250</w:t>
            </w:r>
          </w:p>
        </w:tc>
        <w:tc>
          <w:tcPr>
            <w:tcW w:w="0" w:type="dxa"/>
            <w:vAlign w:val="bottom"/>
          </w:tcPr>
          <w:p>
            <w:pPr>
              <w:spacing w:after="0"/>
              <w:rPr>
                <w:sz w:val="1"/>
                <w:szCs w:val="1"/>
                <w:color w:val="auto"/>
              </w:rPr>
            </w:pPr>
          </w:p>
        </w:tc>
      </w:tr>
      <w:tr>
        <w:trPr>
          <w:trHeight w:val="27"/>
        </w:trPr>
        <w:tc>
          <w:tcPr>
            <w:tcW w:w="4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9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Depreciation and amortization</w:t>
            </w:r>
          </w:p>
        </w:tc>
        <w:tc>
          <w:tcPr>
            <w:tcW w:w="2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2,141</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3,812</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1,551</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390</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7,894</w:t>
            </w:r>
          </w:p>
        </w:tc>
        <w:tc>
          <w:tcPr>
            <w:tcW w:w="0" w:type="dxa"/>
            <w:vAlign w:val="bottom"/>
          </w:tcPr>
          <w:p>
            <w:pPr>
              <w:spacing w:after="0"/>
              <w:rPr>
                <w:sz w:val="1"/>
                <w:szCs w:val="1"/>
                <w:color w:val="auto"/>
              </w:rPr>
            </w:pPr>
          </w:p>
        </w:tc>
      </w:tr>
      <w:tr>
        <w:trPr>
          <w:trHeight w:val="243"/>
        </w:trPr>
        <w:tc>
          <w:tcPr>
            <w:tcW w:w="4900" w:type="dxa"/>
            <w:vAlign w:val="bottom"/>
            <w:gridSpan w:val="2"/>
          </w:tcPr>
          <w:p>
            <w:pPr>
              <w:ind w:left="40"/>
              <w:spacing w:after="0"/>
              <w:rPr>
                <w:sz w:val="20"/>
                <w:szCs w:val="20"/>
                <w:color w:val="auto"/>
              </w:rPr>
            </w:pPr>
            <w:r>
              <w:rPr>
                <w:rFonts w:ascii="Arial" w:cs="Arial" w:eastAsia="Arial" w:hAnsi="Arial"/>
                <w:sz w:val="18"/>
                <w:szCs w:val="18"/>
                <w:color w:val="auto"/>
              </w:rPr>
              <w:t>Other income (expense)</w:t>
            </w:r>
          </w:p>
        </w:tc>
        <w:tc>
          <w:tcPr>
            <w:tcW w:w="200" w:type="dxa"/>
            <w:vAlign w:val="bottom"/>
          </w:tcPr>
          <w:p>
            <w:pPr>
              <w:spacing w:after="0"/>
              <w:rPr>
                <w:sz w:val="21"/>
                <w:szCs w:val="21"/>
                <w:color w:val="auto"/>
              </w:rPr>
            </w:pPr>
          </w:p>
        </w:tc>
        <w:tc>
          <w:tcPr>
            <w:tcW w:w="10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320" w:type="dxa"/>
            <w:vAlign w:val="bottom"/>
          </w:tcPr>
          <w:p>
            <w:pPr>
              <w:jc w:val="right"/>
              <w:ind w:right="12"/>
              <w:spacing w:after="0"/>
              <w:rPr>
                <w:sz w:val="20"/>
                <w:szCs w:val="20"/>
                <w:color w:val="auto"/>
              </w:rPr>
            </w:pPr>
            <w:r>
              <w:rPr>
                <w:rFonts w:ascii="Arial" w:cs="Arial" w:eastAsia="Arial" w:hAnsi="Arial"/>
                <w:sz w:val="18"/>
                <w:szCs w:val="18"/>
                <w:color w:val="auto"/>
              </w:rPr>
              <w:t>79</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(1,012)</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(933)</w:t>
            </w:r>
          </w:p>
        </w:tc>
        <w:tc>
          <w:tcPr>
            <w:tcW w:w="0" w:type="dxa"/>
            <w:vAlign w:val="bottom"/>
          </w:tcPr>
          <w:p>
            <w:pPr>
              <w:spacing w:after="0"/>
              <w:rPr>
                <w:sz w:val="1"/>
                <w:szCs w:val="1"/>
                <w:color w:val="auto"/>
              </w:rPr>
            </w:pPr>
          </w:p>
        </w:tc>
      </w:tr>
      <w:tr>
        <w:trPr>
          <w:trHeight w:val="27"/>
        </w:trPr>
        <w:tc>
          <w:tcPr>
            <w:tcW w:w="478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49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Segment EBITDA</w:t>
            </w:r>
            <w:r>
              <w:rPr>
                <w:rFonts w:ascii="Arial" w:cs="Arial" w:eastAsia="Arial" w:hAnsi="Arial"/>
                <w:sz w:val="21"/>
                <w:szCs w:val="21"/>
                <w:color w:val="auto"/>
                <w:vertAlign w:val="superscript"/>
              </w:rPr>
              <w:t>(1)</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32,487</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12,840</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9,809</w:t>
            </w:r>
          </w:p>
        </w:tc>
        <w:tc>
          <w:tcPr>
            <w:tcW w:w="12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52"/>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(9,925)</w:t>
            </w:r>
          </w:p>
        </w:tc>
        <w:tc>
          <w:tcPr>
            <w:tcW w:w="12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rPr>
              <w:t>45,211</w:t>
            </w:r>
          </w:p>
        </w:tc>
        <w:tc>
          <w:tcPr>
            <w:tcW w:w="0" w:type="dxa"/>
            <w:vAlign w:val="bottom"/>
          </w:tcPr>
          <w:p>
            <w:pPr>
              <w:spacing w:after="0"/>
              <w:rPr>
                <w:sz w:val="1"/>
                <w:szCs w:val="1"/>
                <w:color w:val="auto"/>
              </w:rPr>
            </w:pPr>
          </w:p>
        </w:tc>
      </w:tr>
      <w:tr>
        <w:trPr>
          <w:trHeight w:val="20"/>
        </w:trPr>
        <w:tc>
          <w:tcPr>
            <w:tcW w:w="47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8"/>
        </w:trPr>
        <w:tc>
          <w:tcPr>
            <w:tcW w:w="4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4900" w:type="dxa"/>
            <w:vAlign w:val="bottom"/>
            <w:tcBorders>
              <w:bottom w:val="single" w:sz="8" w:color="CFF0FC"/>
            </w:tcBorders>
            <w:gridSpan w:val="2"/>
            <w:shd w:val="clear" w:color="auto" w:fill="CFF0FC"/>
          </w:tcPr>
          <w:p>
            <w:pPr>
              <w:ind w:left="40"/>
              <w:spacing w:after="0"/>
              <w:rPr>
                <w:sz w:val="20"/>
                <w:szCs w:val="20"/>
                <w:color w:val="auto"/>
              </w:rPr>
            </w:pPr>
            <w:r>
              <w:rPr>
                <w:rFonts w:ascii="Arial" w:cs="Arial" w:eastAsia="Arial" w:hAnsi="Arial"/>
                <w:sz w:val="18"/>
                <w:szCs w:val="18"/>
                <w:b w:val="1"/>
                <w:bCs w:val="1"/>
                <w:color w:val="auto"/>
              </w:rPr>
              <w:t>Six months ended June 30, 2018</w:t>
            </w:r>
          </w:p>
        </w:tc>
        <w:tc>
          <w:tcPr>
            <w:tcW w:w="200" w:type="dxa"/>
            <w:vAlign w:val="bottom"/>
            <w:tcBorders>
              <w:bottom w:val="single" w:sz="8" w:color="CFF0FC"/>
            </w:tcBorders>
            <w:shd w:val="clear" w:color="auto" w:fill="CFF0FC"/>
          </w:tcPr>
          <w:p>
            <w:pPr>
              <w:spacing w:after="0"/>
              <w:rPr>
                <w:sz w:val="21"/>
                <w:szCs w:val="21"/>
                <w:color w:val="auto"/>
              </w:rPr>
            </w:pPr>
          </w:p>
        </w:tc>
        <w:tc>
          <w:tcPr>
            <w:tcW w:w="940" w:type="dxa"/>
            <w:vAlign w:val="bottom"/>
            <w:tcBorders>
              <w:bottom w:val="single" w:sz="8" w:color="CFF0FC"/>
            </w:tcBorders>
            <w:shd w:val="clear" w:color="auto" w:fill="CFF0FC"/>
          </w:tcPr>
          <w:p>
            <w:pPr>
              <w:spacing w:after="0"/>
              <w:rPr>
                <w:sz w:val="21"/>
                <w:szCs w:val="21"/>
                <w:color w:val="auto"/>
              </w:rPr>
            </w:pPr>
          </w:p>
        </w:tc>
        <w:tc>
          <w:tcPr>
            <w:tcW w:w="120" w:type="dxa"/>
            <w:vAlign w:val="bottom"/>
            <w:tcBorders>
              <w:bottom w:val="single" w:sz="8" w:color="CFF0FC"/>
            </w:tcBorders>
            <w:shd w:val="clear" w:color="auto" w:fill="CFF0FC"/>
          </w:tcPr>
          <w:p>
            <w:pPr>
              <w:spacing w:after="0"/>
              <w:rPr>
                <w:sz w:val="21"/>
                <w:szCs w:val="21"/>
                <w:color w:val="auto"/>
              </w:rPr>
            </w:pPr>
          </w:p>
        </w:tc>
        <w:tc>
          <w:tcPr>
            <w:tcW w:w="140" w:type="dxa"/>
            <w:vAlign w:val="bottom"/>
            <w:tcBorders>
              <w:bottom w:val="single" w:sz="8" w:color="CFF0FC"/>
            </w:tcBorders>
            <w:shd w:val="clear" w:color="auto" w:fill="CFF0FC"/>
          </w:tcPr>
          <w:p>
            <w:pPr>
              <w:spacing w:after="0"/>
              <w:rPr>
                <w:sz w:val="21"/>
                <w:szCs w:val="21"/>
                <w:color w:val="auto"/>
              </w:rPr>
            </w:pPr>
          </w:p>
        </w:tc>
        <w:tc>
          <w:tcPr>
            <w:tcW w:w="1320" w:type="dxa"/>
            <w:vAlign w:val="bottom"/>
            <w:tcBorders>
              <w:bottom w:val="single" w:sz="8" w:color="CFF0FC"/>
            </w:tcBorders>
            <w:shd w:val="clear" w:color="auto" w:fill="CFF0FC"/>
          </w:tcPr>
          <w:p>
            <w:pPr>
              <w:spacing w:after="0"/>
              <w:rPr>
                <w:sz w:val="21"/>
                <w:szCs w:val="21"/>
                <w:color w:val="auto"/>
              </w:rPr>
            </w:pPr>
          </w:p>
        </w:tc>
        <w:tc>
          <w:tcPr>
            <w:tcW w:w="120" w:type="dxa"/>
            <w:vAlign w:val="bottom"/>
            <w:tcBorders>
              <w:bottom w:val="single" w:sz="8" w:color="CFF0FC"/>
            </w:tcBorders>
            <w:shd w:val="clear" w:color="auto" w:fill="CFF0FC"/>
          </w:tcPr>
          <w:p>
            <w:pPr>
              <w:spacing w:after="0"/>
              <w:rPr>
                <w:sz w:val="21"/>
                <w:szCs w:val="21"/>
                <w:color w:val="auto"/>
              </w:rPr>
            </w:pPr>
          </w:p>
        </w:tc>
        <w:tc>
          <w:tcPr>
            <w:tcW w:w="160" w:type="dxa"/>
            <w:vAlign w:val="bottom"/>
            <w:tcBorders>
              <w:bottom w:val="single" w:sz="8" w:color="CFF0FC"/>
            </w:tcBorders>
            <w:shd w:val="clear" w:color="auto" w:fill="CFF0FC"/>
          </w:tcPr>
          <w:p>
            <w:pPr>
              <w:spacing w:after="0"/>
              <w:rPr>
                <w:sz w:val="21"/>
                <w:szCs w:val="21"/>
                <w:color w:val="auto"/>
              </w:rPr>
            </w:pPr>
          </w:p>
        </w:tc>
        <w:tc>
          <w:tcPr>
            <w:tcW w:w="960" w:type="dxa"/>
            <w:vAlign w:val="bottom"/>
            <w:tcBorders>
              <w:bottom w:val="single" w:sz="8" w:color="CFF0FC"/>
            </w:tcBorders>
            <w:shd w:val="clear" w:color="auto" w:fill="CFF0FC"/>
          </w:tcPr>
          <w:p>
            <w:pPr>
              <w:spacing w:after="0"/>
              <w:rPr>
                <w:sz w:val="21"/>
                <w:szCs w:val="21"/>
                <w:color w:val="auto"/>
              </w:rPr>
            </w:pPr>
          </w:p>
        </w:tc>
        <w:tc>
          <w:tcPr>
            <w:tcW w:w="120" w:type="dxa"/>
            <w:vAlign w:val="bottom"/>
            <w:tcBorders>
              <w:bottom w:val="single" w:sz="8" w:color="CFF0FC"/>
            </w:tcBorders>
            <w:shd w:val="clear" w:color="auto" w:fill="CFF0FC"/>
          </w:tcPr>
          <w:p>
            <w:pPr>
              <w:spacing w:after="0"/>
              <w:rPr>
                <w:sz w:val="21"/>
                <w:szCs w:val="21"/>
                <w:color w:val="auto"/>
              </w:rPr>
            </w:pPr>
          </w:p>
        </w:tc>
        <w:tc>
          <w:tcPr>
            <w:tcW w:w="260" w:type="dxa"/>
            <w:vAlign w:val="bottom"/>
            <w:tcBorders>
              <w:bottom w:val="single" w:sz="8" w:color="CFF0FC"/>
            </w:tcBorders>
            <w:shd w:val="clear" w:color="auto" w:fill="CFF0FC"/>
          </w:tcPr>
          <w:p>
            <w:pPr>
              <w:spacing w:after="0"/>
              <w:rPr>
                <w:sz w:val="21"/>
                <w:szCs w:val="21"/>
                <w:color w:val="auto"/>
              </w:rPr>
            </w:pPr>
          </w:p>
        </w:tc>
        <w:tc>
          <w:tcPr>
            <w:tcW w:w="860" w:type="dxa"/>
            <w:vAlign w:val="bottom"/>
            <w:tcBorders>
              <w:bottom w:val="single" w:sz="8" w:color="CFF0FC"/>
            </w:tcBorders>
            <w:shd w:val="clear" w:color="auto" w:fill="CFF0FC"/>
          </w:tcPr>
          <w:p>
            <w:pPr>
              <w:spacing w:after="0"/>
              <w:rPr>
                <w:sz w:val="21"/>
                <w:szCs w:val="21"/>
                <w:color w:val="auto"/>
              </w:rPr>
            </w:pPr>
          </w:p>
        </w:tc>
        <w:tc>
          <w:tcPr>
            <w:tcW w:w="120" w:type="dxa"/>
            <w:vAlign w:val="bottom"/>
            <w:tcBorders>
              <w:bottom w:val="single" w:sz="8" w:color="CFF0FC"/>
            </w:tcBorders>
            <w:shd w:val="clear" w:color="auto" w:fill="CFF0FC"/>
          </w:tcPr>
          <w:p>
            <w:pPr>
              <w:spacing w:after="0"/>
              <w:rPr>
                <w:sz w:val="21"/>
                <w:szCs w:val="21"/>
                <w:color w:val="auto"/>
              </w:rPr>
            </w:pPr>
          </w:p>
        </w:tc>
        <w:tc>
          <w:tcPr>
            <w:tcW w:w="260" w:type="dxa"/>
            <w:vAlign w:val="bottom"/>
            <w:tcBorders>
              <w:bottom w:val="single" w:sz="8" w:color="CFF0FC"/>
            </w:tcBorders>
            <w:shd w:val="clear" w:color="auto" w:fill="CFF0FC"/>
          </w:tcPr>
          <w:p>
            <w:pPr>
              <w:spacing w:after="0"/>
              <w:rPr>
                <w:sz w:val="21"/>
                <w:szCs w:val="21"/>
                <w:color w:val="auto"/>
              </w:rPr>
            </w:pPr>
          </w:p>
        </w:tc>
        <w:tc>
          <w:tcPr>
            <w:tcW w:w="880" w:type="dxa"/>
            <w:vAlign w:val="bottom"/>
            <w:tcBorders>
              <w:bottom w:val="single" w:sz="8" w:color="CFF0FC"/>
            </w:tcBorders>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900" w:type="dxa"/>
            <w:vAlign w:val="bottom"/>
            <w:gridSpan w:val="2"/>
          </w:tcPr>
          <w:p>
            <w:pPr>
              <w:ind w:left="40"/>
              <w:spacing w:after="0"/>
              <w:rPr>
                <w:sz w:val="20"/>
                <w:szCs w:val="20"/>
                <w:color w:val="auto"/>
              </w:rPr>
            </w:pPr>
            <w:r>
              <w:rPr>
                <w:rFonts w:ascii="Arial" w:cs="Arial" w:eastAsia="Arial" w:hAnsi="Arial"/>
                <w:sz w:val="18"/>
                <w:szCs w:val="18"/>
                <w:color w:val="auto"/>
              </w:rPr>
              <w:t>Income from operations</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Pr>
          <w:p>
            <w:pPr>
              <w:jc w:val="right"/>
              <w:ind w:right="11"/>
              <w:spacing w:after="0"/>
              <w:rPr>
                <w:sz w:val="20"/>
                <w:szCs w:val="20"/>
                <w:color w:val="auto"/>
              </w:rPr>
            </w:pPr>
            <w:r>
              <w:rPr>
                <w:rFonts w:ascii="Arial" w:cs="Arial" w:eastAsia="Arial" w:hAnsi="Arial"/>
                <w:sz w:val="18"/>
                <w:szCs w:val="18"/>
                <w:color w:val="auto"/>
              </w:rPr>
              <w:t>72,790</w:t>
            </w:r>
          </w:p>
        </w:tc>
        <w:tc>
          <w:tcPr>
            <w:tcW w:w="1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Pr>
          <w:p>
            <w:pPr>
              <w:jc w:val="right"/>
              <w:ind w:right="12"/>
              <w:spacing w:after="0"/>
              <w:rPr>
                <w:sz w:val="20"/>
                <w:szCs w:val="20"/>
                <w:color w:val="auto"/>
              </w:rPr>
            </w:pPr>
            <w:r>
              <w:rPr>
                <w:rFonts w:ascii="Arial" w:cs="Arial" w:eastAsia="Arial" w:hAnsi="Arial"/>
                <w:sz w:val="18"/>
                <w:szCs w:val="18"/>
                <w:color w:val="auto"/>
              </w:rPr>
              <w:t>17,456</w:t>
            </w:r>
          </w:p>
        </w:tc>
        <w:tc>
          <w:tcPr>
            <w:tcW w:w="12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ind w:right="11"/>
              <w:spacing w:after="0"/>
              <w:rPr>
                <w:sz w:val="20"/>
                <w:szCs w:val="20"/>
                <w:color w:val="auto"/>
              </w:rPr>
            </w:pPr>
            <w:r>
              <w:rPr>
                <w:rFonts w:ascii="Arial" w:cs="Arial" w:eastAsia="Arial" w:hAnsi="Arial"/>
                <w:sz w:val="18"/>
                <w:szCs w:val="18"/>
                <w:color w:val="auto"/>
              </w:rPr>
              <w:t>16,412</w:t>
            </w:r>
          </w:p>
        </w:tc>
        <w:tc>
          <w:tcPr>
            <w:tcW w:w="120" w:type="dxa"/>
            <w:vAlign w:val="bottom"/>
          </w:tcPr>
          <w:p>
            <w:pPr>
              <w:spacing w:after="0"/>
              <w:rPr>
                <w:sz w:val="21"/>
                <w:szCs w:val="21"/>
                <w:color w:val="auto"/>
              </w:rPr>
            </w:pPr>
          </w:p>
        </w:tc>
        <w:tc>
          <w:tcPr>
            <w:tcW w:w="260" w:type="dxa"/>
            <w:vAlign w:val="bottom"/>
          </w:tcPr>
          <w:p>
            <w:pPr>
              <w:jc w:val="right"/>
              <w:ind w:right="52"/>
              <w:spacing w:after="0"/>
              <w:rPr>
                <w:sz w:val="20"/>
                <w:szCs w:val="20"/>
                <w:color w:val="auto"/>
              </w:rPr>
            </w:pPr>
            <w:r>
              <w:rPr>
                <w:rFonts w:ascii="Arial" w:cs="Arial" w:eastAsia="Arial" w:hAnsi="Arial"/>
                <w:sz w:val="18"/>
                <w:szCs w:val="18"/>
                <w:color w:val="auto"/>
                <w:w w:val="99"/>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(18,929)</w:t>
            </w:r>
          </w:p>
        </w:tc>
        <w:tc>
          <w:tcPr>
            <w:tcW w:w="12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880" w:type="dxa"/>
            <w:vAlign w:val="bottom"/>
          </w:tcPr>
          <w:p>
            <w:pPr>
              <w:jc w:val="right"/>
              <w:ind w:right="31"/>
              <w:spacing w:after="0"/>
              <w:rPr>
                <w:sz w:val="20"/>
                <w:szCs w:val="20"/>
                <w:color w:val="auto"/>
              </w:rPr>
            </w:pPr>
            <w:r>
              <w:rPr>
                <w:rFonts w:ascii="Arial" w:cs="Arial" w:eastAsia="Arial" w:hAnsi="Arial"/>
                <w:sz w:val="18"/>
                <w:szCs w:val="18"/>
                <w:color w:val="auto"/>
              </w:rPr>
              <w:t>87,729</w:t>
            </w:r>
          </w:p>
        </w:tc>
        <w:tc>
          <w:tcPr>
            <w:tcW w:w="0" w:type="dxa"/>
            <w:vAlign w:val="bottom"/>
          </w:tcPr>
          <w:p>
            <w:pPr>
              <w:spacing w:after="0"/>
              <w:rPr>
                <w:sz w:val="1"/>
                <w:szCs w:val="1"/>
                <w:color w:val="auto"/>
              </w:rPr>
            </w:pPr>
          </w:p>
        </w:tc>
      </w:tr>
      <w:tr>
        <w:trPr>
          <w:trHeight w:val="27"/>
        </w:trPr>
        <w:tc>
          <w:tcPr>
            <w:tcW w:w="4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900" w:type="dxa"/>
            <w:vAlign w:val="bottom"/>
            <w:tcBorders>
              <w:bottom w:val="single" w:sz="8" w:color="CFF0FC"/>
            </w:tcBorders>
            <w:gridSpan w:val="2"/>
            <w:shd w:val="clear" w:color="auto" w:fill="CFF0FC"/>
          </w:tcPr>
          <w:p>
            <w:pPr>
              <w:ind w:left="40"/>
              <w:spacing w:after="0"/>
              <w:rPr>
                <w:sz w:val="20"/>
                <w:szCs w:val="20"/>
                <w:color w:val="auto"/>
              </w:rPr>
            </w:pPr>
            <w:r>
              <w:rPr>
                <w:rFonts w:ascii="Arial" w:cs="Arial" w:eastAsia="Arial" w:hAnsi="Arial"/>
                <w:sz w:val="18"/>
                <w:szCs w:val="18"/>
                <w:color w:val="auto"/>
              </w:rPr>
              <w:t>Depreciation and amortization</w:t>
            </w:r>
          </w:p>
        </w:tc>
        <w:tc>
          <w:tcPr>
            <w:tcW w:w="200" w:type="dxa"/>
            <w:vAlign w:val="bottom"/>
            <w:tcBorders>
              <w:bottom w:val="single" w:sz="8" w:color="CFF0FC"/>
            </w:tcBorders>
            <w:shd w:val="clear" w:color="auto" w:fill="CFF0FC"/>
          </w:tcPr>
          <w:p>
            <w:pPr>
              <w:spacing w:after="0"/>
              <w:rPr>
                <w:sz w:val="21"/>
                <w:szCs w:val="21"/>
                <w:color w:val="auto"/>
              </w:rPr>
            </w:pPr>
          </w:p>
        </w:tc>
        <w:tc>
          <w:tcPr>
            <w:tcW w:w="94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3,941</w:t>
            </w:r>
          </w:p>
        </w:tc>
        <w:tc>
          <w:tcPr>
            <w:tcW w:w="120" w:type="dxa"/>
            <w:vAlign w:val="bottom"/>
            <w:tcBorders>
              <w:bottom w:val="single" w:sz="8" w:color="CFF0FC"/>
            </w:tcBorders>
            <w:shd w:val="clear" w:color="auto" w:fill="CFF0FC"/>
          </w:tcPr>
          <w:p>
            <w:pPr>
              <w:spacing w:after="0"/>
              <w:rPr>
                <w:sz w:val="21"/>
                <w:szCs w:val="21"/>
                <w:color w:val="auto"/>
              </w:rPr>
            </w:pPr>
          </w:p>
        </w:tc>
        <w:tc>
          <w:tcPr>
            <w:tcW w:w="140" w:type="dxa"/>
            <w:vAlign w:val="bottom"/>
            <w:tcBorders>
              <w:bottom w:val="single" w:sz="8" w:color="CFF0FC"/>
            </w:tcBorders>
            <w:shd w:val="clear" w:color="auto" w:fill="CFF0FC"/>
          </w:tcPr>
          <w:p>
            <w:pPr>
              <w:spacing w:after="0"/>
              <w:rPr>
                <w:sz w:val="21"/>
                <w:szCs w:val="21"/>
                <w:color w:val="auto"/>
              </w:rPr>
            </w:pPr>
          </w:p>
        </w:tc>
        <w:tc>
          <w:tcPr>
            <w:tcW w:w="1320" w:type="dxa"/>
            <w:vAlign w:val="bottom"/>
            <w:tcBorders>
              <w:bottom w:val="single" w:sz="8" w:color="CFF0FC"/>
            </w:tcBorders>
            <w:shd w:val="clear" w:color="auto" w:fill="CFF0FC"/>
          </w:tcPr>
          <w:p>
            <w:pPr>
              <w:jc w:val="right"/>
              <w:ind w:right="12"/>
              <w:spacing w:after="0"/>
              <w:rPr>
                <w:sz w:val="20"/>
                <w:szCs w:val="20"/>
                <w:color w:val="auto"/>
              </w:rPr>
            </w:pPr>
            <w:r>
              <w:rPr>
                <w:rFonts w:ascii="Arial" w:cs="Arial" w:eastAsia="Arial" w:hAnsi="Arial"/>
                <w:sz w:val="18"/>
                <w:szCs w:val="18"/>
                <w:color w:val="auto"/>
              </w:rPr>
              <w:t>9,729</w:t>
            </w:r>
          </w:p>
        </w:tc>
        <w:tc>
          <w:tcPr>
            <w:tcW w:w="120" w:type="dxa"/>
            <w:vAlign w:val="bottom"/>
            <w:tcBorders>
              <w:bottom w:val="single" w:sz="8" w:color="CFF0FC"/>
            </w:tcBorders>
            <w:shd w:val="clear" w:color="auto" w:fill="CFF0FC"/>
          </w:tcPr>
          <w:p>
            <w:pPr>
              <w:spacing w:after="0"/>
              <w:rPr>
                <w:sz w:val="21"/>
                <w:szCs w:val="21"/>
                <w:color w:val="auto"/>
              </w:rPr>
            </w:pPr>
          </w:p>
        </w:tc>
        <w:tc>
          <w:tcPr>
            <w:tcW w:w="160" w:type="dxa"/>
            <w:vAlign w:val="bottom"/>
            <w:tcBorders>
              <w:bottom w:val="single" w:sz="8" w:color="CFF0FC"/>
            </w:tcBorders>
            <w:shd w:val="clear" w:color="auto" w:fill="CFF0FC"/>
          </w:tcPr>
          <w:p>
            <w:pPr>
              <w:spacing w:after="0"/>
              <w:rPr>
                <w:sz w:val="21"/>
                <w:szCs w:val="21"/>
                <w:color w:val="auto"/>
              </w:rPr>
            </w:pPr>
          </w:p>
        </w:tc>
        <w:tc>
          <w:tcPr>
            <w:tcW w:w="96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2,513</w:t>
            </w:r>
          </w:p>
        </w:tc>
        <w:tc>
          <w:tcPr>
            <w:tcW w:w="120" w:type="dxa"/>
            <w:vAlign w:val="bottom"/>
            <w:tcBorders>
              <w:bottom w:val="single" w:sz="8" w:color="CFF0FC"/>
            </w:tcBorders>
            <w:shd w:val="clear" w:color="auto" w:fill="CFF0FC"/>
          </w:tcPr>
          <w:p>
            <w:pPr>
              <w:spacing w:after="0"/>
              <w:rPr>
                <w:sz w:val="21"/>
                <w:szCs w:val="21"/>
                <w:color w:val="auto"/>
              </w:rPr>
            </w:pPr>
          </w:p>
        </w:tc>
        <w:tc>
          <w:tcPr>
            <w:tcW w:w="260" w:type="dxa"/>
            <w:vAlign w:val="bottom"/>
            <w:tcBorders>
              <w:bottom w:val="single" w:sz="8" w:color="CFF0FC"/>
            </w:tcBorders>
            <w:shd w:val="clear" w:color="auto" w:fill="CFF0FC"/>
          </w:tcPr>
          <w:p>
            <w:pPr>
              <w:spacing w:after="0"/>
              <w:rPr>
                <w:sz w:val="21"/>
                <w:szCs w:val="21"/>
                <w:color w:val="auto"/>
              </w:rPr>
            </w:pPr>
          </w:p>
        </w:tc>
        <w:tc>
          <w:tcPr>
            <w:tcW w:w="86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901</w:t>
            </w:r>
          </w:p>
        </w:tc>
        <w:tc>
          <w:tcPr>
            <w:tcW w:w="120" w:type="dxa"/>
            <w:vAlign w:val="bottom"/>
            <w:tcBorders>
              <w:bottom w:val="single" w:sz="8" w:color="CFF0FC"/>
            </w:tcBorders>
            <w:shd w:val="clear" w:color="auto" w:fill="CFF0FC"/>
          </w:tcPr>
          <w:p>
            <w:pPr>
              <w:spacing w:after="0"/>
              <w:rPr>
                <w:sz w:val="21"/>
                <w:szCs w:val="21"/>
                <w:color w:val="auto"/>
              </w:rPr>
            </w:pPr>
          </w:p>
        </w:tc>
        <w:tc>
          <w:tcPr>
            <w:tcW w:w="260" w:type="dxa"/>
            <w:vAlign w:val="bottom"/>
            <w:tcBorders>
              <w:bottom w:val="single" w:sz="8" w:color="CFF0FC"/>
            </w:tcBorders>
            <w:shd w:val="clear" w:color="auto" w:fill="CFF0FC"/>
          </w:tcPr>
          <w:p>
            <w:pPr>
              <w:spacing w:after="0"/>
              <w:rPr>
                <w:sz w:val="21"/>
                <w:szCs w:val="21"/>
                <w:color w:val="auto"/>
              </w:rPr>
            </w:pPr>
          </w:p>
        </w:tc>
        <w:tc>
          <w:tcPr>
            <w:tcW w:w="880" w:type="dxa"/>
            <w:vAlign w:val="bottom"/>
            <w:tcBorders>
              <w:bottom w:val="single" w:sz="8" w:color="CFF0FC"/>
            </w:tcBorders>
            <w:shd w:val="clear" w:color="auto" w:fill="CFF0FC"/>
          </w:tcPr>
          <w:p>
            <w:pPr>
              <w:jc w:val="right"/>
              <w:ind w:right="31"/>
              <w:spacing w:after="0"/>
              <w:rPr>
                <w:sz w:val="20"/>
                <w:szCs w:val="20"/>
                <w:color w:val="auto"/>
              </w:rPr>
            </w:pPr>
            <w:r>
              <w:rPr>
                <w:rFonts w:ascii="Arial" w:cs="Arial" w:eastAsia="Arial" w:hAnsi="Arial"/>
                <w:sz w:val="18"/>
                <w:szCs w:val="18"/>
                <w:color w:val="auto"/>
              </w:rPr>
              <w:t>17,084</w:t>
            </w:r>
          </w:p>
        </w:tc>
        <w:tc>
          <w:tcPr>
            <w:tcW w:w="0" w:type="dxa"/>
            <w:vAlign w:val="bottom"/>
          </w:tcPr>
          <w:p>
            <w:pPr>
              <w:spacing w:after="0"/>
              <w:rPr>
                <w:sz w:val="1"/>
                <w:szCs w:val="1"/>
                <w:color w:val="auto"/>
              </w:rPr>
            </w:pPr>
          </w:p>
        </w:tc>
      </w:tr>
      <w:tr>
        <w:trPr>
          <w:trHeight w:val="243"/>
        </w:trPr>
        <w:tc>
          <w:tcPr>
            <w:tcW w:w="4900" w:type="dxa"/>
            <w:vAlign w:val="bottom"/>
            <w:gridSpan w:val="2"/>
          </w:tcPr>
          <w:p>
            <w:pPr>
              <w:ind w:left="40"/>
              <w:spacing w:after="0"/>
              <w:rPr>
                <w:sz w:val="20"/>
                <w:szCs w:val="20"/>
                <w:color w:val="auto"/>
              </w:rPr>
            </w:pPr>
            <w:r>
              <w:rPr>
                <w:rFonts w:ascii="Arial" w:cs="Arial" w:eastAsia="Arial" w:hAnsi="Arial"/>
                <w:sz w:val="18"/>
                <w:szCs w:val="18"/>
                <w:color w:val="auto"/>
              </w:rPr>
              <w:t>Other income (expense)</w:t>
            </w:r>
          </w:p>
        </w:tc>
        <w:tc>
          <w:tcPr>
            <w:tcW w:w="20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(12)</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(348)</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860" w:type="dxa"/>
            <w:vAlign w:val="bottom"/>
          </w:tcPr>
          <w:p>
            <w:pPr>
              <w:jc w:val="right"/>
              <w:ind w:right="11"/>
              <w:spacing w:after="0"/>
              <w:rPr>
                <w:sz w:val="20"/>
                <w:szCs w:val="20"/>
                <w:color w:val="auto"/>
              </w:rPr>
            </w:pPr>
            <w:r>
              <w:rPr>
                <w:rFonts w:ascii="Arial" w:cs="Arial" w:eastAsia="Arial" w:hAnsi="Arial"/>
                <w:sz w:val="18"/>
                <w:szCs w:val="18"/>
                <w:color w:val="auto"/>
              </w:rPr>
              <w:t>50</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(310)</w:t>
            </w:r>
          </w:p>
        </w:tc>
        <w:tc>
          <w:tcPr>
            <w:tcW w:w="0" w:type="dxa"/>
            <w:vAlign w:val="bottom"/>
          </w:tcPr>
          <w:p>
            <w:pPr>
              <w:spacing w:after="0"/>
              <w:rPr>
                <w:sz w:val="1"/>
                <w:szCs w:val="1"/>
                <w:color w:val="auto"/>
              </w:rPr>
            </w:pPr>
          </w:p>
        </w:tc>
      </w:tr>
      <w:tr>
        <w:trPr>
          <w:trHeight w:val="27"/>
        </w:trPr>
        <w:tc>
          <w:tcPr>
            <w:tcW w:w="4780" w:type="dxa"/>
            <w:vAlign w:val="bottom"/>
            <w:tcBorders>
              <w:bottom w:val="single" w:sz="8" w:color="CFF0FC"/>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4900" w:type="dxa"/>
            <w:vAlign w:val="bottom"/>
            <w:tcBorders>
              <w:bottom w:val="single" w:sz="8" w:color="CFF0FC"/>
            </w:tcBorders>
            <w:gridSpan w:val="2"/>
            <w:shd w:val="clear" w:color="auto" w:fill="CFF0FC"/>
          </w:tcPr>
          <w:p>
            <w:pPr>
              <w:ind w:left="40"/>
              <w:spacing w:after="0"/>
              <w:rPr>
                <w:sz w:val="20"/>
                <w:szCs w:val="20"/>
                <w:color w:val="auto"/>
              </w:rPr>
            </w:pPr>
            <w:r>
              <w:rPr>
                <w:rFonts w:ascii="Arial" w:cs="Arial" w:eastAsia="Arial" w:hAnsi="Arial"/>
                <w:sz w:val="18"/>
                <w:szCs w:val="18"/>
                <w:color w:val="auto"/>
              </w:rPr>
              <w:t>Segment EBITDA</w:t>
            </w:r>
            <w:r>
              <w:rPr>
                <w:rFonts w:ascii="Arial" w:cs="Arial" w:eastAsia="Arial" w:hAnsi="Arial"/>
                <w:sz w:val="21"/>
                <w:szCs w:val="21"/>
                <w:color w:val="auto"/>
                <w:vertAlign w:val="superscript"/>
              </w:rPr>
              <w:t>(1)</w:t>
            </w:r>
          </w:p>
        </w:tc>
        <w:tc>
          <w:tcPr>
            <w:tcW w:w="2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auto"/>
            </w:tcBorders>
            <w:shd w:val="clear" w:color="auto" w:fill="CFF0FC"/>
          </w:tcPr>
          <w:p>
            <w:pPr>
              <w:jc w:val="right"/>
              <w:ind w:right="11"/>
              <w:spacing w:after="0"/>
              <w:rPr>
                <w:sz w:val="20"/>
                <w:szCs w:val="20"/>
                <w:color w:val="auto"/>
              </w:rPr>
            </w:pPr>
            <w:r>
              <w:rPr>
                <w:rFonts w:ascii="Arial" w:cs="Arial" w:eastAsia="Arial" w:hAnsi="Arial"/>
                <w:sz w:val="18"/>
                <w:szCs w:val="18"/>
                <w:color w:val="auto"/>
              </w:rPr>
              <w:t>76,719</w:t>
            </w:r>
          </w:p>
        </w:tc>
        <w:tc>
          <w:tcPr>
            <w:tcW w:w="120" w:type="dxa"/>
            <w:vAlign w:val="bottom"/>
            <w:tcBorders>
              <w:bottom w:val="single" w:sz="8" w:color="CFF0FC"/>
            </w:tcBorders>
            <w:shd w:val="clear" w:color="auto" w:fill="CFF0FC"/>
          </w:tcPr>
          <w:p>
            <w:pPr>
              <w:spacing w:after="0"/>
              <w:rPr>
                <w:sz w:val="22"/>
                <w:szCs w:val="22"/>
                <w:color w:val="auto"/>
              </w:rPr>
            </w:pPr>
          </w:p>
        </w:tc>
        <w:tc>
          <w:tcPr>
            <w:tcW w:w="1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auto"/>
            </w:tcBorders>
            <w:shd w:val="clear" w:color="auto" w:fill="CFF0FC"/>
          </w:tcPr>
          <w:p>
            <w:pPr>
              <w:jc w:val="right"/>
              <w:ind w:right="12"/>
              <w:spacing w:after="0"/>
              <w:rPr>
                <w:sz w:val="20"/>
                <w:szCs w:val="20"/>
                <w:color w:val="auto"/>
              </w:rPr>
            </w:pPr>
            <w:r>
              <w:rPr>
                <w:rFonts w:ascii="Arial" w:cs="Arial" w:eastAsia="Arial" w:hAnsi="Arial"/>
                <w:sz w:val="18"/>
                <w:szCs w:val="18"/>
                <w:color w:val="auto"/>
              </w:rPr>
              <w:t>26,837</w:t>
            </w:r>
          </w:p>
        </w:tc>
        <w:tc>
          <w:tcPr>
            <w:tcW w:w="120" w:type="dxa"/>
            <w:vAlign w:val="bottom"/>
            <w:tcBorders>
              <w:bottom w:val="single" w:sz="8" w:color="CFF0FC"/>
            </w:tcBorders>
            <w:shd w:val="clear" w:color="auto" w:fill="CFF0FC"/>
          </w:tcPr>
          <w:p>
            <w:pPr>
              <w:spacing w:after="0"/>
              <w:rPr>
                <w:sz w:val="22"/>
                <w:szCs w:val="22"/>
                <w:color w:val="auto"/>
              </w:rPr>
            </w:pPr>
          </w:p>
        </w:tc>
        <w:tc>
          <w:tcPr>
            <w:tcW w:w="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shd w:val="clear" w:color="auto" w:fill="CFF0FC"/>
          </w:tcPr>
          <w:p>
            <w:pPr>
              <w:jc w:val="right"/>
              <w:ind w:right="11"/>
              <w:spacing w:after="0"/>
              <w:rPr>
                <w:sz w:val="20"/>
                <w:szCs w:val="20"/>
                <w:color w:val="auto"/>
              </w:rPr>
            </w:pPr>
            <w:r>
              <w:rPr>
                <w:rFonts w:ascii="Arial" w:cs="Arial" w:eastAsia="Arial" w:hAnsi="Arial"/>
                <w:sz w:val="18"/>
                <w:szCs w:val="18"/>
                <w:color w:val="auto"/>
              </w:rPr>
              <w:t>18,925</w:t>
            </w:r>
          </w:p>
        </w:tc>
        <w:tc>
          <w:tcPr>
            <w:tcW w:w="120" w:type="dxa"/>
            <w:vAlign w:val="bottom"/>
            <w:tcBorders>
              <w:bottom w:val="single" w:sz="8" w:color="CFF0FC"/>
            </w:tcBorders>
            <w:shd w:val="clear" w:color="auto" w:fill="CFF0FC"/>
          </w:tcPr>
          <w:p>
            <w:pPr>
              <w:spacing w:after="0"/>
              <w:rPr>
                <w:sz w:val="22"/>
                <w:szCs w:val="22"/>
                <w:color w:val="auto"/>
              </w:rPr>
            </w:pPr>
          </w:p>
        </w:tc>
        <w:tc>
          <w:tcPr>
            <w:tcW w:w="260" w:type="dxa"/>
            <w:vAlign w:val="bottom"/>
            <w:tcBorders>
              <w:bottom w:val="single" w:sz="8" w:color="auto"/>
            </w:tcBorders>
            <w:shd w:val="clear" w:color="auto" w:fill="CFF0FC"/>
          </w:tcPr>
          <w:p>
            <w:pPr>
              <w:jc w:val="right"/>
              <w:ind w:right="52"/>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(17,978)</w:t>
            </w:r>
          </w:p>
        </w:tc>
        <w:tc>
          <w:tcPr>
            <w:tcW w:w="120" w:type="dxa"/>
            <w:vAlign w:val="bottom"/>
            <w:tcBorders>
              <w:bottom w:val="single" w:sz="8" w:color="CFF0FC"/>
            </w:tcBorders>
            <w:shd w:val="clear" w:color="auto" w:fill="CFF0FC"/>
          </w:tcPr>
          <w:p>
            <w:pPr>
              <w:spacing w:after="0"/>
              <w:rPr>
                <w:sz w:val="22"/>
                <w:szCs w:val="22"/>
                <w:color w:val="auto"/>
              </w:rPr>
            </w:pPr>
          </w:p>
        </w:tc>
        <w:tc>
          <w:tcPr>
            <w:tcW w:w="26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auto"/>
            </w:tcBorders>
            <w:shd w:val="clear" w:color="auto" w:fill="CFF0FC"/>
          </w:tcPr>
          <w:p>
            <w:pPr>
              <w:jc w:val="right"/>
              <w:ind w:right="31"/>
              <w:spacing w:after="0"/>
              <w:rPr>
                <w:sz w:val="20"/>
                <w:szCs w:val="20"/>
                <w:color w:val="auto"/>
              </w:rPr>
            </w:pPr>
            <w:r>
              <w:rPr>
                <w:rFonts w:ascii="Arial" w:cs="Arial" w:eastAsia="Arial" w:hAnsi="Arial"/>
                <w:sz w:val="18"/>
                <w:szCs w:val="18"/>
                <w:color w:val="auto"/>
              </w:rPr>
              <w:t>104,503</w:t>
            </w:r>
          </w:p>
        </w:tc>
        <w:tc>
          <w:tcPr>
            <w:tcW w:w="0" w:type="dxa"/>
            <w:vAlign w:val="bottom"/>
          </w:tcPr>
          <w:p>
            <w:pPr>
              <w:spacing w:after="0"/>
              <w:rPr>
                <w:sz w:val="1"/>
                <w:szCs w:val="1"/>
                <w:color w:val="auto"/>
              </w:rPr>
            </w:pPr>
          </w:p>
        </w:tc>
      </w:tr>
      <w:tr>
        <w:trPr>
          <w:trHeight w:val="20"/>
        </w:trPr>
        <w:tc>
          <w:tcPr>
            <w:tcW w:w="4900" w:type="dxa"/>
            <w:vAlign w:val="bottom"/>
            <w:gridSpan w:val="2"/>
            <w:vMerge w:val="restart"/>
          </w:tcPr>
          <w:p>
            <w:pPr>
              <w:ind w:left="40"/>
              <w:spacing w:after="0"/>
              <w:rPr>
                <w:sz w:val="20"/>
                <w:szCs w:val="20"/>
                <w:color w:val="auto"/>
              </w:rPr>
            </w:pPr>
            <w:r>
              <w:rPr>
                <w:rFonts w:ascii="Arial" w:cs="Arial" w:eastAsia="Arial" w:hAnsi="Arial"/>
                <w:sz w:val="18"/>
                <w:szCs w:val="18"/>
                <w:b w:val="1"/>
                <w:bCs w:val="1"/>
                <w:color w:val="auto"/>
              </w:rPr>
              <w:t>Six months ended June 30, 2017</w:t>
            </w: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21"/>
        </w:trPr>
        <w:tc>
          <w:tcPr>
            <w:tcW w:w="4900" w:type="dxa"/>
            <w:vAlign w:val="bottom"/>
            <w:gridSpan w:val="2"/>
            <w:vMerge w:val="continue"/>
          </w:tcPr>
          <w:p>
            <w:pPr>
              <w:spacing w:after="0"/>
              <w:rPr>
                <w:sz w:val="24"/>
                <w:szCs w:val="24"/>
                <w:color w:val="auto"/>
              </w:rPr>
            </w:pPr>
          </w:p>
        </w:tc>
        <w:tc>
          <w:tcPr>
            <w:tcW w:w="2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4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900" w:type="dxa"/>
            <w:vAlign w:val="bottom"/>
            <w:tcBorders>
              <w:bottom w:val="single" w:sz="8" w:color="CFF0FC"/>
            </w:tcBorders>
            <w:gridSpan w:val="2"/>
            <w:shd w:val="clear" w:color="auto" w:fill="CFF0FC"/>
          </w:tcPr>
          <w:p>
            <w:pPr>
              <w:ind w:left="40"/>
              <w:spacing w:after="0"/>
              <w:rPr>
                <w:sz w:val="20"/>
                <w:szCs w:val="20"/>
                <w:color w:val="auto"/>
              </w:rPr>
            </w:pPr>
            <w:r>
              <w:rPr>
                <w:rFonts w:ascii="Arial" w:cs="Arial" w:eastAsia="Arial" w:hAnsi="Arial"/>
                <w:sz w:val="18"/>
                <w:szCs w:val="18"/>
                <w:color w:val="auto"/>
              </w:rPr>
              <w:t>Income from operations</w:t>
            </w:r>
          </w:p>
        </w:tc>
        <w:tc>
          <w:tcPr>
            <w:tcW w:w="20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60,243</w:t>
            </w:r>
          </w:p>
        </w:tc>
        <w:tc>
          <w:tcPr>
            <w:tcW w:w="120" w:type="dxa"/>
            <w:vAlign w:val="bottom"/>
            <w:tcBorders>
              <w:bottom w:val="single" w:sz="8" w:color="CFF0FC"/>
            </w:tcBorders>
            <w:shd w:val="clear" w:color="auto" w:fill="CFF0FC"/>
          </w:tcPr>
          <w:p>
            <w:pPr>
              <w:spacing w:after="0"/>
              <w:rPr>
                <w:sz w:val="21"/>
                <w:szCs w:val="21"/>
                <w:color w:val="auto"/>
              </w:rPr>
            </w:pPr>
          </w:p>
        </w:tc>
        <w:tc>
          <w:tcPr>
            <w:tcW w:w="1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FF0FC"/>
            </w:tcBorders>
            <w:shd w:val="clear" w:color="auto" w:fill="CFF0FC"/>
          </w:tcPr>
          <w:p>
            <w:pPr>
              <w:jc w:val="right"/>
              <w:ind w:right="12"/>
              <w:spacing w:after="0"/>
              <w:rPr>
                <w:sz w:val="20"/>
                <w:szCs w:val="20"/>
                <w:color w:val="auto"/>
              </w:rPr>
            </w:pPr>
            <w:r>
              <w:rPr>
                <w:rFonts w:ascii="Arial" w:cs="Arial" w:eastAsia="Arial" w:hAnsi="Arial"/>
                <w:sz w:val="18"/>
                <w:szCs w:val="18"/>
                <w:color w:val="auto"/>
              </w:rPr>
              <w:t>15,629</w:t>
            </w:r>
          </w:p>
        </w:tc>
        <w:tc>
          <w:tcPr>
            <w:tcW w:w="120" w:type="dxa"/>
            <w:vAlign w:val="bottom"/>
            <w:tcBorders>
              <w:bottom w:val="single" w:sz="8" w:color="CFF0FC"/>
            </w:tcBorders>
            <w:shd w:val="clear" w:color="auto" w:fill="CFF0FC"/>
          </w:tcPr>
          <w:p>
            <w:pPr>
              <w:spacing w:after="0"/>
              <w:rPr>
                <w:sz w:val="21"/>
                <w:szCs w:val="21"/>
                <w:color w:val="auto"/>
              </w:rPr>
            </w:pPr>
          </w:p>
        </w:tc>
        <w:tc>
          <w:tcPr>
            <w:tcW w:w="16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12,803</w:t>
            </w:r>
          </w:p>
        </w:tc>
        <w:tc>
          <w:tcPr>
            <w:tcW w:w="120" w:type="dxa"/>
            <w:vAlign w:val="bottom"/>
            <w:tcBorders>
              <w:bottom w:val="single" w:sz="8" w:color="CFF0FC"/>
            </w:tcBorders>
            <w:shd w:val="clear" w:color="auto" w:fill="CFF0FC"/>
          </w:tcPr>
          <w:p>
            <w:pPr>
              <w:spacing w:after="0"/>
              <w:rPr>
                <w:sz w:val="21"/>
                <w:szCs w:val="21"/>
                <w:color w:val="auto"/>
              </w:rPr>
            </w:pPr>
          </w:p>
        </w:tc>
        <w:tc>
          <w:tcPr>
            <w:tcW w:w="260" w:type="dxa"/>
            <w:vAlign w:val="bottom"/>
            <w:tcBorders>
              <w:bottom w:val="single" w:sz="8" w:color="CFF0FC"/>
            </w:tcBorders>
            <w:shd w:val="clear" w:color="auto" w:fill="CFF0FC"/>
          </w:tcPr>
          <w:p>
            <w:pPr>
              <w:jc w:val="right"/>
              <w:ind w:right="52"/>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(17,370)</w:t>
            </w:r>
          </w:p>
        </w:tc>
        <w:tc>
          <w:tcPr>
            <w:tcW w:w="120" w:type="dxa"/>
            <w:vAlign w:val="bottom"/>
            <w:tcBorders>
              <w:bottom w:val="single" w:sz="8" w:color="CFF0FC"/>
            </w:tcBorders>
            <w:shd w:val="clear" w:color="auto" w:fill="CFF0FC"/>
          </w:tcPr>
          <w:p>
            <w:pPr>
              <w:spacing w:after="0"/>
              <w:rPr>
                <w:sz w:val="21"/>
                <w:szCs w:val="21"/>
                <w:color w:val="auto"/>
              </w:rPr>
            </w:pPr>
          </w:p>
        </w:tc>
        <w:tc>
          <w:tcPr>
            <w:tcW w:w="260" w:type="dxa"/>
            <w:vAlign w:val="bottom"/>
            <w:tcBorders>
              <w:bottom w:val="single" w:sz="8" w:color="CFF0FC"/>
            </w:tcBorders>
            <w:shd w:val="clear" w:color="auto" w:fill="CFF0FC"/>
          </w:tcPr>
          <w:p>
            <w:pPr>
              <w:jc w:val="right"/>
              <w:ind w:right="5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CFF0FC"/>
            </w:tcBorders>
            <w:shd w:val="clear" w:color="auto" w:fill="CFF0FC"/>
          </w:tcPr>
          <w:p>
            <w:pPr>
              <w:jc w:val="right"/>
              <w:ind w:right="31"/>
              <w:spacing w:after="0"/>
              <w:rPr>
                <w:sz w:val="20"/>
                <w:szCs w:val="20"/>
                <w:color w:val="auto"/>
              </w:rPr>
            </w:pPr>
            <w:r>
              <w:rPr>
                <w:rFonts w:ascii="Arial" w:cs="Arial" w:eastAsia="Arial" w:hAnsi="Arial"/>
                <w:sz w:val="18"/>
                <w:szCs w:val="18"/>
                <w:color w:val="auto"/>
              </w:rPr>
              <w:t>71,305</w:t>
            </w:r>
          </w:p>
        </w:tc>
        <w:tc>
          <w:tcPr>
            <w:tcW w:w="0" w:type="dxa"/>
            <w:vAlign w:val="bottom"/>
          </w:tcPr>
          <w:p>
            <w:pPr>
              <w:spacing w:after="0"/>
              <w:rPr>
                <w:sz w:val="1"/>
                <w:szCs w:val="1"/>
                <w:color w:val="auto"/>
              </w:rPr>
            </w:pPr>
          </w:p>
        </w:tc>
      </w:tr>
      <w:tr>
        <w:trPr>
          <w:trHeight w:val="243"/>
        </w:trPr>
        <w:tc>
          <w:tcPr>
            <w:tcW w:w="4900" w:type="dxa"/>
            <w:vAlign w:val="bottom"/>
            <w:gridSpan w:val="2"/>
          </w:tcPr>
          <w:p>
            <w:pPr>
              <w:ind w:left="40"/>
              <w:spacing w:after="0"/>
              <w:rPr>
                <w:sz w:val="20"/>
                <w:szCs w:val="20"/>
                <w:color w:val="auto"/>
              </w:rPr>
            </w:pPr>
            <w:r>
              <w:rPr>
                <w:rFonts w:ascii="Arial" w:cs="Arial" w:eastAsia="Arial" w:hAnsi="Arial"/>
                <w:sz w:val="18"/>
                <w:szCs w:val="18"/>
                <w:color w:val="auto"/>
              </w:rPr>
              <w:t>Depreciation and amortization</w:t>
            </w:r>
          </w:p>
        </w:tc>
        <w:tc>
          <w:tcPr>
            <w:tcW w:w="200" w:type="dxa"/>
            <w:vAlign w:val="bottom"/>
          </w:tcPr>
          <w:p>
            <w:pPr>
              <w:spacing w:after="0"/>
              <w:rPr>
                <w:sz w:val="21"/>
                <w:szCs w:val="21"/>
                <w:color w:val="auto"/>
              </w:rPr>
            </w:pPr>
          </w:p>
        </w:tc>
        <w:tc>
          <w:tcPr>
            <w:tcW w:w="940" w:type="dxa"/>
            <w:vAlign w:val="bottom"/>
          </w:tcPr>
          <w:p>
            <w:pPr>
              <w:jc w:val="right"/>
              <w:ind w:right="11"/>
              <w:spacing w:after="0"/>
              <w:rPr>
                <w:sz w:val="20"/>
                <w:szCs w:val="20"/>
                <w:color w:val="auto"/>
              </w:rPr>
            </w:pPr>
            <w:r>
              <w:rPr>
                <w:rFonts w:ascii="Arial" w:cs="Arial" w:eastAsia="Arial" w:hAnsi="Arial"/>
                <w:sz w:val="18"/>
                <w:szCs w:val="18"/>
                <w:color w:val="auto"/>
              </w:rPr>
              <w:t>4,284</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20" w:type="dxa"/>
            <w:vAlign w:val="bottom"/>
          </w:tcPr>
          <w:p>
            <w:pPr>
              <w:jc w:val="right"/>
              <w:ind w:right="12"/>
              <w:spacing w:after="0"/>
              <w:rPr>
                <w:sz w:val="20"/>
                <w:szCs w:val="20"/>
                <w:color w:val="auto"/>
              </w:rPr>
            </w:pPr>
            <w:r>
              <w:rPr>
                <w:rFonts w:ascii="Arial" w:cs="Arial" w:eastAsia="Arial" w:hAnsi="Arial"/>
                <w:sz w:val="18"/>
                <w:szCs w:val="18"/>
                <w:color w:val="auto"/>
              </w:rPr>
              <w:t>7,684</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60" w:type="dxa"/>
            <w:vAlign w:val="bottom"/>
          </w:tcPr>
          <w:p>
            <w:pPr>
              <w:jc w:val="right"/>
              <w:ind w:right="11"/>
              <w:spacing w:after="0"/>
              <w:rPr>
                <w:sz w:val="20"/>
                <w:szCs w:val="20"/>
                <w:color w:val="auto"/>
              </w:rPr>
            </w:pPr>
            <w:r>
              <w:rPr>
                <w:rFonts w:ascii="Arial" w:cs="Arial" w:eastAsia="Arial" w:hAnsi="Arial"/>
                <w:sz w:val="18"/>
                <w:szCs w:val="18"/>
                <w:color w:val="auto"/>
              </w:rPr>
              <w:t>3,101</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60" w:type="dxa"/>
            <w:vAlign w:val="bottom"/>
          </w:tcPr>
          <w:p>
            <w:pPr>
              <w:jc w:val="right"/>
              <w:ind w:right="11"/>
              <w:spacing w:after="0"/>
              <w:rPr>
                <w:sz w:val="20"/>
                <w:szCs w:val="20"/>
                <w:color w:val="auto"/>
              </w:rPr>
            </w:pPr>
            <w:r>
              <w:rPr>
                <w:rFonts w:ascii="Arial" w:cs="Arial" w:eastAsia="Arial" w:hAnsi="Arial"/>
                <w:sz w:val="18"/>
                <w:szCs w:val="18"/>
                <w:color w:val="auto"/>
              </w:rPr>
              <w:t>776</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jc w:val="right"/>
              <w:ind w:right="31"/>
              <w:spacing w:after="0"/>
              <w:rPr>
                <w:sz w:val="20"/>
                <w:szCs w:val="20"/>
                <w:color w:val="auto"/>
              </w:rPr>
            </w:pPr>
            <w:r>
              <w:rPr>
                <w:rFonts w:ascii="Arial" w:cs="Arial" w:eastAsia="Arial" w:hAnsi="Arial"/>
                <w:sz w:val="18"/>
                <w:szCs w:val="18"/>
                <w:color w:val="auto"/>
              </w:rPr>
              <w:t>15,845</w:t>
            </w:r>
          </w:p>
        </w:tc>
        <w:tc>
          <w:tcPr>
            <w:tcW w:w="0" w:type="dxa"/>
            <w:vAlign w:val="bottom"/>
          </w:tcPr>
          <w:p>
            <w:pPr>
              <w:spacing w:after="0"/>
              <w:rPr>
                <w:sz w:val="1"/>
                <w:szCs w:val="1"/>
                <w:color w:val="auto"/>
              </w:rPr>
            </w:pPr>
          </w:p>
        </w:tc>
      </w:tr>
      <w:tr>
        <w:trPr>
          <w:trHeight w:val="27"/>
        </w:trPr>
        <w:tc>
          <w:tcPr>
            <w:tcW w:w="4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900" w:type="dxa"/>
            <w:vAlign w:val="bottom"/>
            <w:tcBorders>
              <w:bottom w:val="single" w:sz="8" w:color="CFF0FC"/>
            </w:tcBorders>
            <w:gridSpan w:val="2"/>
            <w:shd w:val="clear" w:color="auto" w:fill="CFF0FC"/>
          </w:tcPr>
          <w:p>
            <w:pPr>
              <w:ind w:left="40"/>
              <w:spacing w:after="0"/>
              <w:rPr>
                <w:sz w:val="20"/>
                <w:szCs w:val="20"/>
                <w:color w:val="auto"/>
              </w:rPr>
            </w:pPr>
            <w:r>
              <w:rPr>
                <w:rFonts w:ascii="Arial" w:cs="Arial" w:eastAsia="Arial" w:hAnsi="Arial"/>
                <w:sz w:val="18"/>
                <w:szCs w:val="18"/>
                <w:color w:val="auto"/>
              </w:rPr>
              <w:t>Other income (expense)</w:t>
            </w:r>
          </w:p>
        </w:tc>
        <w:tc>
          <w:tcPr>
            <w:tcW w:w="200" w:type="dxa"/>
            <w:vAlign w:val="bottom"/>
            <w:tcBorders>
              <w:bottom w:val="single" w:sz="8" w:color="CFF0FC"/>
            </w:tcBorders>
            <w:shd w:val="clear" w:color="auto" w:fill="CFF0FC"/>
          </w:tcPr>
          <w:p>
            <w:pPr>
              <w:spacing w:after="0"/>
              <w:rPr>
                <w:sz w:val="23"/>
                <w:szCs w:val="23"/>
                <w:color w:val="auto"/>
              </w:rPr>
            </w:pPr>
          </w:p>
        </w:tc>
        <w:tc>
          <w:tcPr>
            <w:tcW w:w="9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(8)</w:t>
            </w:r>
          </w:p>
        </w:tc>
        <w:tc>
          <w:tcPr>
            <w:tcW w:w="120" w:type="dxa"/>
            <w:vAlign w:val="bottom"/>
            <w:tcBorders>
              <w:bottom w:val="single" w:sz="8" w:color="CFF0FC"/>
            </w:tcBorders>
            <w:shd w:val="clear" w:color="auto" w:fill="CFF0FC"/>
          </w:tcPr>
          <w:p>
            <w:pPr>
              <w:spacing w:after="0"/>
              <w:rPr>
                <w:sz w:val="23"/>
                <w:szCs w:val="23"/>
                <w:color w:val="auto"/>
              </w:rPr>
            </w:pPr>
          </w:p>
        </w:tc>
        <w:tc>
          <w:tcPr>
            <w:tcW w:w="140" w:type="dxa"/>
            <w:vAlign w:val="bottom"/>
            <w:tcBorders>
              <w:bottom w:val="single" w:sz="8" w:color="CFF0FC"/>
            </w:tcBorders>
            <w:shd w:val="clear" w:color="auto" w:fill="CFF0FC"/>
          </w:tcPr>
          <w:p>
            <w:pPr>
              <w:spacing w:after="0"/>
              <w:rPr>
                <w:sz w:val="23"/>
                <w:szCs w:val="23"/>
                <w:color w:val="auto"/>
              </w:rPr>
            </w:pPr>
          </w:p>
        </w:tc>
        <w:tc>
          <w:tcPr>
            <w:tcW w:w="1320" w:type="dxa"/>
            <w:vAlign w:val="bottom"/>
            <w:tcBorders>
              <w:bottom w:val="single" w:sz="8" w:color="CFF0FC"/>
            </w:tcBorders>
            <w:shd w:val="clear" w:color="auto" w:fill="CFF0FC"/>
          </w:tcPr>
          <w:p>
            <w:pPr>
              <w:jc w:val="right"/>
              <w:ind w:right="12"/>
              <w:spacing w:after="0"/>
              <w:rPr>
                <w:sz w:val="20"/>
                <w:szCs w:val="20"/>
                <w:color w:val="auto"/>
              </w:rPr>
            </w:pPr>
            <w:r>
              <w:rPr>
                <w:rFonts w:ascii="Arial" w:cs="Arial" w:eastAsia="Arial" w:hAnsi="Arial"/>
                <w:sz w:val="18"/>
                <w:szCs w:val="18"/>
                <w:color w:val="auto"/>
              </w:rPr>
              <w:t>220</w:t>
            </w:r>
          </w:p>
        </w:tc>
        <w:tc>
          <w:tcPr>
            <w:tcW w:w="120" w:type="dxa"/>
            <w:vAlign w:val="bottom"/>
            <w:tcBorders>
              <w:bottom w:val="single" w:sz="8" w:color="CFF0FC"/>
            </w:tcBorders>
            <w:shd w:val="clear" w:color="auto" w:fill="CFF0FC"/>
          </w:tcPr>
          <w:p>
            <w:pPr>
              <w:spacing w:after="0"/>
              <w:rPr>
                <w:sz w:val="23"/>
                <w:szCs w:val="23"/>
                <w:color w:val="auto"/>
              </w:rPr>
            </w:pPr>
          </w:p>
        </w:tc>
        <w:tc>
          <w:tcPr>
            <w:tcW w:w="160" w:type="dxa"/>
            <w:vAlign w:val="bottom"/>
            <w:tcBorders>
              <w:bottom w:val="single" w:sz="8" w:color="CFF0FC"/>
            </w:tcBorders>
            <w:shd w:val="clear" w:color="auto" w:fill="CFF0FC"/>
          </w:tcPr>
          <w:p>
            <w:pPr>
              <w:spacing w:after="0"/>
              <w:rPr>
                <w:sz w:val="23"/>
                <w:szCs w:val="23"/>
                <w:color w:val="auto"/>
              </w:rPr>
            </w:pPr>
          </w:p>
        </w:tc>
        <w:tc>
          <w:tcPr>
            <w:tcW w:w="1080" w:type="dxa"/>
            <w:vAlign w:val="bottom"/>
            <w:tcBorders>
              <w:bottom w:val="single" w:sz="8" w:color="CFF0FC"/>
            </w:tcBorders>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FF0FC"/>
            </w:tcBorders>
            <w:shd w:val="clear" w:color="auto" w:fill="CFF0FC"/>
          </w:tcPr>
          <w:p>
            <w:pPr>
              <w:spacing w:after="0"/>
              <w:rPr>
                <w:sz w:val="23"/>
                <w:szCs w:val="23"/>
                <w:color w:val="auto"/>
              </w:rPr>
            </w:pPr>
          </w:p>
        </w:tc>
        <w:tc>
          <w:tcPr>
            <w:tcW w:w="86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(463)</w:t>
            </w:r>
          </w:p>
        </w:tc>
        <w:tc>
          <w:tcPr>
            <w:tcW w:w="120" w:type="dxa"/>
            <w:vAlign w:val="bottom"/>
            <w:tcBorders>
              <w:bottom w:val="single" w:sz="8" w:color="CFF0FC"/>
            </w:tcBorders>
            <w:shd w:val="clear" w:color="auto" w:fill="CFF0FC"/>
          </w:tcPr>
          <w:p>
            <w:pPr>
              <w:spacing w:after="0"/>
              <w:rPr>
                <w:sz w:val="23"/>
                <w:szCs w:val="23"/>
                <w:color w:val="auto"/>
              </w:rPr>
            </w:pPr>
          </w:p>
        </w:tc>
        <w:tc>
          <w:tcPr>
            <w:tcW w:w="260" w:type="dxa"/>
            <w:vAlign w:val="bottom"/>
            <w:tcBorders>
              <w:bottom w:val="single" w:sz="8" w:color="CFF0FC"/>
            </w:tcBorders>
            <w:shd w:val="clear" w:color="auto" w:fill="CFF0FC"/>
          </w:tcPr>
          <w:p>
            <w:pPr>
              <w:spacing w:after="0"/>
              <w:rPr>
                <w:sz w:val="23"/>
                <w:szCs w:val="23"/>
                <w:color w:val="auto"/>
              </w:rPr>
            </w:pPr>
          </w:p>
        </w:tc>
        <w:tc>
          <w:tcPr>
            <w:tcW w:w="88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(251)</w:t>
            </w:r>
          </w:p>
        </w:tc>
        <w:tc>
          <w:tcPr>
            <w:tcW w:w="0" w:type="dxa"/>
            <w:vAlign w:val="bottom"/>
          </w:tcPr>
          <w:p>
            <w:pPr>
              <w:spacing w:after="0"/>
              <w:rPr>
                <w:sz w:val="1"/>
                <w:szCs w:val="1"/>
                <w:color w:val="auto"/>
              </w:rPr>
            </w:pPr>
          </w:p>
        </w:tc>
      </w:tr>
      <w:tr>
        <w:trPr>
          <w:trHeight w:val="264"/>
        </w:trPr>
        <w:tc>
          <w:tcPr>
            <w:tcW w:w="4900" w:type="dxa"/>
            <w:vAlign w:val="bottom"/>
            <w:gridSpan w:val="2"/>
          </w:tcPr>
          <w:p>
            <w:pPr>
              <w:ind w:left="40"/>
              <w:spacing w:after="0"/>
              <w:rPr>
                <w:sz w:val="20"/>
                <w:szCs w:val="20"/>
                <w:color w:val="auto"/>
              </w:rPr>
            </w:pPr>
            <w:r>
              <w:rPr>
                <w:rFonts w:ascii="Arial" w:cs="Arial" w:eastAsia="Arial" w:hAnsi="Arial"/>
                <w:sz w:val="18"/>
                <w:szCs w:val="18"/>
                <w:color w:val="auto"/>
              </w:rPr>
              <w:t>Segment EBITDA</w:t>
            </w:r>
            <w:r>
              <w:rPr>
                <w:rFonts w:ascii="Arial" w:cs="Arial" w:eastAsia="Arial" w:hAnsi="Arial"/>
                <w:sz w:val="21"/>
                <w:szCs w:val="21"/>
                <w:color w:val="auto"/>
                <w:vertAlign w:val="superscript"/>
              </w:rPr>
              <w:t>(1)</w:t>
            </w: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64,519</w:t>
            </w:r>
          </w:p>
        </w:tc>
        <w:tc>
          <w:tcPr>
            <w:tcW w:w="120" w:type="dxa"/>
            <w:vAlign w:val="bottom"/>
          </w:tcPr>
          <w:p>
            <w:pPr>
              <w:spacing w:after="0"/>
              <w:rPr>
                <w:sz w:val="22"/>
                <w:szCs w:val="22"/>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top w:val="single" w:sz="8" w:color="auto"/>
              <w:bottom w:val="single" w:sz="8" w:color="auto"/>
            </w:tcBorders>
          </w:tcPr>
          <w:p>
            <w:pPr>
              <w:jc w:val="right"/>
              <w:ind w:right="12"/>
              <w:spacing w:after="0"/>
              <w:rPr>
                <w:sz w:val="20"/>
                <w:szCs w:val="20"/>
                <w:color w:val="auto"/>
              </w:rPr>
            </w:pPr>
            <w:r>
              <w:rPr>
                <w:rFonts w:ascii="Arial" w:cs="Arial" w:eastAsia="Arial" w:hAnsi="Arial"/>
                <w:sz w:val="18"/>
                <w:szCs w:val="18"/>
                <w:color w:val="auto"/>
              </w:rPr>
              <w:t>23,533</w:t>
            </w:r>
          </w:p>
        </w:tc>
        <w:tc>
          <w:tcPr>
            <w:tcW w:w="120" w:type="dxa"/>
            <w:vAlign w:val="bottom"/>
          </w:tcPr>
          <w:p>
            <w:pPr>
              <w:spacing w:after="0"/>
              <w:rPr>
                <w:sz w:val="22"/>
                <w:szCs w:val="22"/>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15,904</w:t>
            </w:r>
          </w:p>
        </w:tc>
        <w:tc>
          <w:tcPr>
            <w:tcW w:w="120" w:type="dxa"/>
            <w:vAlign w:val="bottom"/>
          </w:tcPr>
          <w:p>
            <w:pPr>
              <w:spacing w:after="0"/>
              <w:rPr>
                <w:sz w:val="22"/>
                <w:szCs w:val="22"/>
                <w:color w:val="auto"/>
              </w:rPr>
            </w:pPr>
          </w:p>
        </w:tc>
        <w:tc>
          <w:tcPr>
            <w:tcW w:w="260" w:type="dxa"/>
            <w:vAlign w:val="bottom"/>
            <w:tcBorders>
              <w:top w:val="single" w:sz="8" w:color="auto"/>
              <w:bottom w:val="single" w:sz="8" w:color="auto"/>
            </w:tcBorders>
          </w:tcPr>
          <w:p>
            <w:pPr>
              <w:jc w:val="right"/>
              <w:ind w:right="52"/>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(17,057)</w:t>
            </w:r>
          </w:p>
        </w:tc>
        <w:tc>
          <w:tcPr>
            <w:tcW w:w="120" w:type="dxa"/>
            <w:vAlign w:val="bottom"/>
          </w:tcPr>
          <w:p>
            <w:pPr>
              <w:spacing w:after="0"/>
              <w:rPr>
                <w:sz w:val="22"/>
                <w:szCs w:val="22"/>
                <w:color w:val="auto"/>
              </w:rPr>
            </w:pP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88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8"/>
                <w:szCs w:val="18"/>
                <w:color w:val="auto"/>
              </w:rPr>
              <w:t>86,899</w:t>
            </w:r>
          </w:p>
        </w:tc>
        <w:tc>
          <w:tcPr>
            <w:tcW w:w="0" w:type="dxa"/>
            <w:vAlign w:val="bottom"/>
          </w:tcPr>
          <w:p>
            <w:pPr>
              <w:spacing w:after="0"/>
              <w:rPr>
                <w:sz w:val="1"/>
                <w:szCs w:val="1"/>
                <w:color w:val="auto"/>
              </w:rPr>
            </w:pPr>
          </w:p>
        </w:tc>
      </w:tr>
      <w:tr>
        <w:trPr>
          <w:trHeight w:val="20"/>
        </w:trPr>
        <w:tc>
          <w:tcPr>
            <w:tcW w:w="47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6" w:lineRule="exact"/>
        <w:rPr>
          <w:sz w:val="20"/>
          <w:szCs w:val="20"/>
          <w:color w:val="auto"/>
        </w:rPr>
      </w:pPr>
    </w:p>
    <w:p>
      <w:pPr>
        <w:ind w:left="480" w:hanging="323"/>
        <w:spacing w:after="0" w:line="275" w:lineRule="auto"/>
        <w:tabs>
          <w:tab w:leader="none" w:pos="480" w:val="left"/>
        </w:tabs>
        <w:numPr>
          <w:ilvl w:val="0"/>
          <w:numId w:val="10"/>
        </w:numPr>
        <w:rPr>
          <w:rFonts w:ascii="Arial" w:cs="Arial" w:eastAsia="Arial" w:hAnsi="Arial"/>
          <w:sz w:val="16"/>
          <w:szCs w:val="16"/>
          <w:color w:val="auto"/>
        </w:rPr>
      </w:pPr>
      <w:r>
        <w:rPr>
          <w:rFonts w:ascii="Arial" w:cs="Arial" w:eastAsia="Arial" w:hAnsi="Arial"/>
          <w:sz w:val="16"/>
          <w:szCs w:val="16"/>
          <w:color w:val="auto"/>
        </w:rPr>
        <w:t>Total Segment EBITDA is equal to EBITDA, which is a metric that is not presented in accordance with U.S. GAAP. Refer to “—Non-GAAP Financial Measures” for a definition of EBITDA and a reconciliation to net income, the most directly comparable U.S. GAAP measure.</w:t>
      </w:r>
    </w:p>
    <w:p>
      <w:pPr>
        <w:spacing w:after="0" w:line="5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How we assess the performance of our business</w:t>
      </w:r>
    </w:p>
    <w:p>
      <w:pPr>
        <w:spacing w:after="0" w:line="121"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In assessing the performance of our business, we consider a variety of performance and financial measures. The key measures for determining how our business is performing include the number of new store openings, same store sales for both corporate-owned and franchisee-owned stores, EBITDA, Adjusted EBITDA, Segment EBITDA, Adjusted net income, and Adjusted net income per share, diluted. See “—Non-GAAP financial measures” below for our definition of EBITDA, Adjusted EBITDA, Adjusted net income, and Adjusted net income per share, diluted and why we present EBITDA, Adjusted EBITDA, Adjusted net income, and Adjusted net income per share, diluted, and for a reconciliation of our EBITDA, Adjusted EBITDA, and Adjusted net income to net income, the most directly comparable financial measure calculated and presented in accordance with U.S. GAAP, and a reconciliation of Adjusted net income per share, diluted to net income per share, diluted, the most directly comparable financial measure calculated and presented in accordance with U.S. GAAP.</w:t>
      </w:r>
    </w:p>
    <w:p>
      <w:pPr>
        <w:spacing w:after="0" w:line="8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Number of new store openings</w:t>
      </w:r>
    </w:p>
    <w:p>
      <w:pPr>
        <w:spacing w:after="0" w:line="117"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The number of new store openings reflects stores opened during a particular reporting period for both corporate-owned and franchisee-owned stores. Opening new stores is an important part of our growth strategy and we expect the majority of our future new stores will be franchisee-owned. Before we obtain the certificate of occupancy or report any revenue for new corporate-owned stores, we incur pre-opening costs, such as rent expense, labor expense and other operating expenses. Some of our stores open with an initial start-up period of higher than normal marketing and operating expenses, particularly as a percentage of monthly revenue. New stores may not be profitable and their revenue may not follow historical patterns.</w:t>
      </w:r>
    </w:p>
    <w:p>
      <w:pPr>
        <w:spacing w:after="0" w:line="2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20"/>
          </w:cols>
          <w:pgMar w:left="240" w:top="233" w:right="239" w:bottom="1440" w:gutter="0" w:footer="0" w:header="0"/>
        </w:sectPr>
      </w:pPr>
    </w:p>
    <w:bookmarkStart w:id="32" w:name="page33"/>
    <w:bookmarkEnd w:id="3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1" w:lineRule="exact"/>
        <w:rPr>
          <w:sz w:val="20"/>
          <w:szCs w:val="20"/>
          <w:color w:val="auto"/>
        </w:rPr>
      </w:pPr>
    </w:p>
    <w:p>
      <w:pPr>
        <w:spacing w:after="0"/>
        <w:rPr>
          <w:sz w:val="20"/>
          <w:szCs w:val="20"/>
          <w:color w:val="auto"/>
        </w:rPr>
      </w:pPr>
      <w:r>
        <w:rPr>
          <w:rFonts w:ascii="Arial" w:cs="Arial" w:eastAsia="Arial" w:hAnsi="Arial"/>
          <w:sz w:val="16"/>
          <w:szCs w:val="16"/>
          <w:color w:val="auto"/>
        </w:rPr>
        <w:t>The following table shows the change in our corporate-owned and franchisee-owned store base for the three and six months ended June 30, 2018 and 2017:</w:t>
      </w:r>
    </w:p>
    <w:p>
      <w:pPr>
        <w:spacing w:after="0" w:line="26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080" w:type="dxa"/>
            <w:vAlign w:val="bottom"/>
          </w:tcPr>
          <w:p>
            <w:pPr>
              <w:spacing w:after="0"/>
              <w:rPr>
                <w:sz w:val="16"/>
                <w:szCs w:val="16"/>
                <w:color w:val="auto"/>
              </w:rPr>
            </w:pPr>
          </w:p>
        </w:tc>
        <w:tc>
          <w:tcPr>
            <w:tcW w:w="2640" w:type="dxa"/>
            <w:vAlign w:val="bottom"/>
            <w:tcBorders>
              <w:bottom w:val="single" w:sz="8" w:color="auto"/>
            </w:tcBorders>
            <w:gridSpan w:val="3"/>
          </w:tcPr>
          <w:p>
            <w:pPr>
              <w:jc w:val="right"/>
              <w:ind w:right="311"/>
              <w:spacing w:after="0"/>
              <w:rPr>
                <w:sz w:val="20"/>
                <w:szCs w:val="20"/>
                <w:color w:val="auto"/>
              </w:rPr>
            </w:pPr>
            <w:r>
              <w:rPr>
                <w:rFonts w:ascii="Arial" w:cs="Arial" w:eastAsia="Arial" w:hAnsi="Arial"/>
                <w:sz w:val="14"/>
                <w:szCs w:val="14"/>
                <w:b w:val="1"/>
                <w:bCs w:val="1"/>
                <w:color w:val="auto"/>
              </w:rPr>
              <w:t>Three months ended June 30,</w:t>
            </w:r>
          </w:p>
        </w:tc>
        <w:tc>
          <w:tcPr>
            <w:tcW w:w="100" w:type="dxa"/>
            <w:vAlign w:val="bottom"/>
          </w:tcPr>
          <w:p>
            <w:pPr>
              <w:spacing w:after="0"/>
              <w:rPr>
                <w:sz w:val="16"/>
                <w:szCs w:val="16"/>
                <w:color w:val="auto"/>
              </w:rPr>
            </w:pPr>
          </w:p>
        </w:tc>
        <w:tc>
          <w:tcPr>
            <w:tcW w:w="2600" w:type="dxa"/>
            <w:vAlign w:val="bottom"/>
            <w:tcBorders>
              <w:bottom w:val="single" w:sz="8" w:color="auto"/>
            </w:tcBorders>
            <w:gridSpan w:val="3"/>
          </w:tcPr>
          <w:p>
            <w:pPr>
              <w:jc w:val="right"/>
              <w:ind w:right="371"/>
              <w:spacing w:after="0"/>
              <w:rPr>
                <w:sz w:val="20"/>
                <w:szCs w:val="20"/>
                <w:color w:val="auto"/>
              </w:rPr>
            </w:pPr>
            <w:r>
              <w:rPr>
                <w:rFonts w:ascii="Arial" w:cs="Arial" w:eastAsia="Arial" w:hAnsi="Arial"/>
                <w:sz w:val="14"/>
                <w:szCs w:val="14"/>
                <w:b w:val="1"/>
                <w:bCs w:val="1"/>
                <w:color w:val="auto"/>
              </w:rPr>
              <w:t>Six months ended June 30,</w:t>
            </w:r>
          </w:p>
        </w:tc>
      </w:tr>
      <w:tr>
        <w:trPr>
          <w:trHeight w:val="264"/>
        </w:trPr>
        <w:tc>
          <w:tcPr>
            <w:tcW w:w="6080" w:type="dxa"/>
            <w:vAlign w:val="bottom"/>
          </w:tcPr>
          <w:p>
            <w:pPr>
              <w:spacing w:after="0"/>
              <w:rPr>
                <w:sz w:val="22"/>
                <w:szCs w:val="22"/>
                <w:color w:val="auto"/>
              </w:rPr>
            </w:pPr>
          </w:p>
        </w:tc>
        <w:tc>
          <w:tcPr>
            <w:tcW w:w="1260" w:type="dxa"/>
            <w:vAlign w:val="bottom"/>
          </w:tcPr>
          <w:p>
            <w:pPr>
              <w:jc w:val="right"/>
              <w:ind w:right="393"/>
              <w:spacing w:after="0"/>
              <w:rPr>
                <w:sz w:val="20"/>
                <w:szCs w:val="20"/>
                <w:color w:val="auto"/>
              </w:rPr>
            </w:pPr>
            <w:r>
              <w:rPr>
                <w:rFonts w:ascii="Arial" w:cs="Arial" w:eastAsia="Arial" w:hAnsi="Arial"/>
                <w:sz w:val="14"/>
                <w:szCs w:val="14"/>
                <w:b w:val="1"/>
                <w:bCs w:val="1"/>
                <w:color w:val="auto"/>
              </w:rPr>
              <w:t>2018</w:t>
            </w:r>
          </w:p>
        </w:tc>
        <w:tc>
          <w:tcPr>
            <w:tcW w:w="120" w:type="dxa"/>
            <w:vAlign w:val="bottom"/>
          </w:tcPr>
          <w:p>
            <w:pPr>
              <w:spacing w:after="0"/>
              <w:rPr>
                <w:sz w:val="22"/>
                <w:szCs w:val="22"/>
                <w:color w:val="auto"/>
              </w:rPr>
            </w:pPr>
          </w:p>
        </w:tc>
        <w:tc>
          <w:tcPr>
            <w:tcW w:w="1260" w:type="dxa"/>
            <w:vAlign w:val="bottom"/>
          </w:tcPr>
          <w:p>
            <w:pPr>
              <w:jc w:val="right"/>
              <w:ind w:right="391"/>
              <w:spacing w:after="0"/>
              <w:rPr>
                <w:sz w:val="20"/>
                <w:szCs w:val="20"/>
                <w:color w:val="auto"/>
              </w:rPr>
            </w:pPr>
            <w:r>
              <w:rPr>
                <w:rFonts w:ascii="Arial" w:cs="Arial" w:eastAsia="Arial" w:hAnsi="Arial"/>
                <w:sz w:val="14"/>
                <w:szCs w:val="14"/>
                <w:b w:val="1"/>
                <w:bCs w:val="1"/>
                <w:color w:val="auto"/>
              </w:rPr>
              <w:t>2017</w:t>
            </w:r>
          </w:p>
        </w:tc>
        <w:tc>
          <w:tcPr>
            <w:tcW w:w="1340" w:type="dxa"/>
            <w:vAlign w:val="bottom"/>
            <w:gridSpan w:val="2"/>
          </w:tcPr>
          <w:p>
            <w:pPr>
              <w:jc w:val="right"/>
              <w:ind w:right="374"/>
              <w:spacing w:after="0"/>
              <w:rPr>
                <w:sz w:val="20"/>
                <w:szCs w:val="20"/>
                <w:color w:val="auto"/>
              </w:rPr>
            </w:pPr>
            <w:r>
              <w:rPr>
                <w:rFonts w:ascii="Arial" w:cs="Arial" w:eastAsia="Arial" w:hAnsi="Arial"/>
                <w:sz w:val="14"/>
                <w:szCs w:val="14"/>
                <w:b w:val="1"/>
                <w:bCs w:val="1"/>
                <w:color w:val="auto"/>
              </w:rPr>
              <w:t>2018</w:t>
            </w:r>
          </w:p>
        </w:tc>
        <w:tc>
          <w:tcPr>
            <w:tcW w:w="120" w:type="dxa"/>
            <w:vAlign w:val="bottom"/>
          </w:tcPr>
          <w:p>
            <w:pPr>
              <w:spacing w:after="0"/>
              <w:rPr>
                <w:sz w:val="22"/>
                <w:szCs w:val="22"/>
                <w:color w:val="auto"/>
              </w:rPr>
            </w:pPr>
          </w:p>
        </w:tc>
        <w:tc>
          <w:tcPr>
            <w:tcW w:w="1240" w:type="dxa"/>
            <w:vAlign w:val="bottom"/>
          </w:tcPr>
          <w:p>
            <w:pPr>
              <w:jc w:val="right"/>
              <w:ind w:right="391"/>
              <w:spacing w:after="0"/>
              <w:rPr>
                <w:sz w:val="20"/>
                <w:szCs w:val="20"/>
                <w:color w:val="auto"/>
              </w:rPr>
            </w:pPr>
            <w:r>
              <w:rPr>
                <w:rFonts w:ascii="Arial" w:cs="Arial" w:eastAsia="Arial" w:hAnsi="Arial"/>
                <w:sz w:val="14"/>
                <w:szCs w:val="14"/>
                <w:b w:val="1"/>
                <w:bCs w:val="1"/>
                <w:color w:val="auto"/>
              </w:rPr>
              <w:t>2017</w:t>
            </w:r>
          </w:p>
        </w:tc>
      </w:tr>
      <w:tr>
        <w:trPr>
          <w:trHeight w:val="250"/>
        </w:trPr>
        <w:tc>
          <w:tcPr>
            <w:tcW w:w="6080" w:type="dxa"/>
            <w:vAlign w:val="bottom"/>
            <w:tcBorders>
              <w:top w:val="single" w:sz="8" w:color="CFF0FC"/>
              <w:bottom w:val="single" w:sz="8" w:color="CFF0FC"/>
            </w:tcBorders>
            <w:shd w:val="clear" w:color="auto" w:fill="CFF0FC"/>
          </w:tcPr>
          <w:p>
            <w:pPr>
              <w:ind w:left="40"/>
              <w:spacing w:after="0"/>
              <w:rPr>
                <w:sz w:val="20"/>
                <w:szCs w:val="20"/>
                <w:color w:val="auto"/>
              </w:rPr>
            </w:pPr>
            <w:r>
              <w:rPr>
                <w:rFonts w:ascii="Arial" w:cs="Arial" w:eastAsia="Arial" w:hAnsi="Arial"/>
                <w:sz w:val="18"/>
                <w:szCs w:val="18"/>
                <w:b w:val="1"/>
                <w:bCs w:val="1"/>
                <w:color w:val="auto"/>
              </w:rPr>
              <w:t>Franchisee-owned stores:</w:t>
            </w:r>
          </w:p>
        </w:tc>
        <w:tc>
          <w:tcPr>
            <w:tcW w:w="1260" w:type="dxa"/>
            <w:vAlign w:val="bottom"/>
            <w:tcBorders>
              <w:top w:val="single" w:sz="8" w:color="auto"/>
              <w:bottom w:val="single" w:sz="8" w:color="CFF0FC"/>
            </w:tcBorders>
            <w:shd w:val="clear" w:color="auto" w:fill="CFF0FC"/>
          </w:tcPr>
          <w:p>
            <w:pPr>
              <w:spacing w:after="0"/>
              <w:rPr>
                <w:sz w:val="21"/>
                <w:szCs w:val="21"/>
                <w:color w:val="auto"/>
              </w:rPr>
            </w:pPr>
          </w:p>
        </w:tc>
        <w:tc>
          <w:tcPr>
            <w:tcW w:w="120" w:type="dxa"/>
            <w:vAlign w:val="bottom"/>
            <w:tcBorders>
              <w:top w:val="single" w:sz="8" w:color="CFF0FC"/>
              <w:bottom w:val="single" w:sz="8" w:color="CFF0FC"/>
            </w:tcBorders>
            <w:shd w:val="clear" w:color="auto" w:fill="CFF0FC"/>
          </w:tcPr>
          <w:p>
            <w:pPr>
              <w:spacing w:after="0"/>
              <w:rPr>
                <w:sz w:val="21"/>
                <w:szCs w:val="21"/>
                <w:color w:val="auto"/>
              </w:rPr>
            </w:pPr>
          </w:p>
        </w:tc>
        <w:tc>
          <w:tcPr>
            <w:tcW w:w="1260" w:type="dxa"/>
            <w:vAlign w:val="bottom"/>
            <w:tcBorders>
              <w:top w:val="single" w:sz="8" w:color="auto"/>
              <w:bottom w:val="single" w:sz="8" w:color="CFF0FC"/>
            </w:tcBorders>
            <w:shd w:val="clear" w:color="auto" w:fill="CFF0FC"/>
          </w:tcPr>
          <w:p>
            <w:pPr>
              <w:spacing w:after="0"/>
              <w:rPr>
                <w:sz w:val="21"/>
                <w:szCs w:val="21"/>
                <w:color w:val="auto"/>
              </w:rPr>
            </w:pPr>
          </w:p>
        </w:tc>
        <w:tc>
          <w:tcPr>
            <w:tcW w:w="100" w:type="dxa"/>
            <w:vAlign w:val="bottom"/>
            <w:tcBorders>
              <w:top w:val="single" w:sz="8" w:color="CFF0FC"/>
              <w:bottom w:val="single" w:sz="8" w:color="CFF0FC"/>
            </w:tcBorders>
            <w:shd w:val="clear" w:color="auto" w:fill="CFF0FC"/>
          </w:tcPr>
          <w:p>
            <w:pPr>
              <w:spacing w:after="0"/>
              <w:rPr>
                <w:sz w:val="21"/>
                <w:szCs w:val="21"/>
                <w:color w:val="auto"/>
              </w:rPr>
            </w:pPr>
          </w:p>
        </w:tc>
        <w:tc>
          <w:tcPr>
            <w:tcW w:w="1240" w:type="dxa"/>
            <w:vAlign w:val="bottom"/>
            <w:tcBorders>
              <w:top w:val="single" w:sz="8" w:color="auto"/>
              <w:bottom w:val="single" w:sz="8" w:color="CFF0FC"/>
            </w:tcBorders>
            <w:shd w:val="clear" w:color="auto" w:fill="CFF0FC"/>
          </w:tcPr>
          <w:p>
            <w:pPr>
              <w:spacing w:after="0"/>
              <w:rPr>
                <w:sz w:val="21"/>
                <w:szCs w:val="21"/>
                <w:color w:val="auto"/>
              </w:rPr>
            </w:pPr>
          </w:p>
        </w:tc>
        <w:tc>
          <w:tcPr>
            <w:tcW w:w="120" w:type="dxa"/>
            <w:vAlign w:val="bottom"/>
            <w:tcBorders>
              <w:top w:val="single" w:sz="8" w:color="CFF0FC"/>
              <w:bottom w:val="single" w:sz="8" w:color="CFF0FC"/>
            </w:tcBorders>
            <w:shd w:val="clear" w:color="auto" w:fill="CFF0FC"/>
          </w:tcPr>
          <w:p>
            <w:pPr>
              <w:spacing w:after="0"/>
              <w:rPr>
                <w:sz w:val="21"/>
                <w:szCs w:val="21"/>
                <w:color w:val="auto"/>
              </w:rPr>
            </w:pPr>
          </w:p>
        </w:tc>
        <w:tc>
          <w:tcPr>
            <w:tcW w:w="1240" w:type="dxa"/>
            <w:vAlign w:val="bottom"/>
            <w:tcBorders>
              <w:top w:val="single" w:sz="8" w:color="auto"/>
              <w:bottom w:val="single" w:sz="8" w:color="CFF0FC"/>
            </w:tcBorders>
            <w:shd w:val="clear" w:color="auto" w:fill="CFF0FC"/>
          </w:tcPr>
          <w:p>
            <w:pPr>
              <w:spacing w:after="0"/>
              <w:rPr>
                <w:sz w:val="21"/>
                <w:szCs w:val="21"/>
                <w:color w:val="auto"/>
              </w:rPr>
            </w:pPr>
          </w:p>
        </w:tc>
      </w:tr>
      <w:tr>
        <w:trPr>
          <w:trHeight w:val="243"/>
        </w:trPr>
        <w:tc>
          <w:tcPr>
            <w:tcW w:w="6080" w:type="dxa"/>
            <w:vAlign w:val="bottom"/>
          </w:tcPr>
          <w:p>
            <w:pPr>
              <w:ind w:left="40"/>
              <w:spacing w:after="0"/>
              <w:rPr>
                <w:sz w:val="20"/>
                <w:szCs w:val="20"/>
                <w:color w:val="auto"/>
              </w:rPr>
            </w:pPr>
            <w:r>
              <w:rPr>
                <w:rFonts w:ascii="Arial" w:cs="Arial" w:eastAsia="Arial" w:hAnsi="Arial"/>
                <w:sz w:val="18"/>
                <w:szCs w:val="18"/>
                <w:color w:val="auto"/>
              </w:rPr>
              <w:t>Stores operated at beginning of period</w:t>
            </w:r>
          </w:p>
        </w:tc>
        <w:tc>
          <w:tcPr>
            <w:tcW w:w="1260" w:type="dxa"/>
            <w:vAlign w:val="bottom"/>
          </w:tcPr>
          <w:p>
            <w:pPr>
              <w:jc w:val="right"/>
              <w:ind w:right="33"/>
              <w:spacing w:after="0"/>
              <w:rPr>
                <w:sz w:val="20"/>
                <w:szCs w:val="20"/>
                <w:color w:val="auto"/>
              </w:rPr>
            </w:pPr>
            <w:r>
              <w:rPr>
                <w:rFonts w:ascii="Arial" w:cs="Arial" w:eastAsia="Arial" w:hAnsi="Arial"/>
                <w:sz w:val="18"/>
                <w:szCs w:val="18"/>
                <w:color w:val="auto"/>
              </w:rPr>
              <w:t>1,497</w:t>
            </w:r>
          </w:p>
        </w:tc>
        <w:tc>
          <w:tcPr>
            <w:tcW w:w="120" w:type="dxa"/>
            <w:vAlign w:val="bottom"/>
          </w:tcPr>
          <w:p>
            <w:pPr>
              <w:spacing w:after="0"/>
              <w:rPr>
                <w:sz w:val="21"/>
                <w:szCs w:val="21"/>
                <w:color w:val="auto"/>
              </w:rPr>
            </w:pP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1,309</w:t>
            </w:r>
          </w:p>
        </w:tc>
        <w:tc>
          <w:tcPr>
            <w:tcW w:w="1340" w:type="dxa"/>
            <w:vAlign w:val="bottom"/>
            <w:gridSpan w:val="2"/>
          </w:tcPr>
          <w:p>
            <w:pPr>
              <w:jc w:val="right"/>
              <w:ind w:right="14"/>
              <w:spacing w:after="0"/>
              <w:rPr>
                <w:sz w:val="20"/>
                <w:szCs w:val="20"/>
                <w:color w:val="auto"/>
              </w:rPr>
            </w:pPr>
            <w:r>
              <w:rPr>
                <w:rFonts w:ascii="Arial" w:cs="Arial" w:eastAsia="Arial" w:hAnsi="Arial"/>
                <w:sz w:val="18"/>
                <w:szCs w:val="18"/>
                <w:color w:val="auto"/>
              </w:rPr>
              <w:t>1,456</w:t>
            </w:r>
          </w:p>
        </w:tc>
        <w:tc>
          <w:tcPr>
            <w:tcW w:w="120" w:type="dxa"/>
            <w:vAlign w:val="bottom"/>
          </w:tcPr>
          <w:p>
            <w:pPr>
              <w:spacing w:after="0"/>
              <w:rPr>
                <w:sz w:val="21"/>
                <w:szCs w:val="21"/>
                <w:color w:val="auto"/>
              </w:rPr>
            </w:pPr>
          </w:p>
        </w:tc>
        <w:tc>
          <w:tcPr>
            <w:tcW w:w="1240" w:type="dxa"/>
            <w:vAlign w:val="bottom"/>
          </w:tcPr>
          <w:p>
            <w:pPr>
              <w:jc w:val="right"/>
              <w:ind w:right="11"/>
              <w:spacing w:after="0"/>
              <w:rPr>
                <w:sz w:val="20"/>
                <w:szCs w:val="20"/>
                <w:color w:val="auto"/>
              </w:rPr>
            </w:pPr>
            <w:r>
              <w:rPr>
                <w:rFonts w:ascii="Arial" w:cs="Arial" w:eastAsia="Arial" w:hAnsi="Arial"/>
                <w:sz w:val="18"/>
                <w:szCs w:val="18"/>
                <w:color w:val="auto"/>
              </w:rPr>
              <w:t>1,255</w:t>
            </w:r>
          </w:p>
        </w:tc>
      </w:tr>
      <w:tr>
        <w:trPr>
          <w:trHeight w:val="27"/>
        </w:trPr>
        <w:tc>
          <w:tcPr>
            <w:tcW w:w="60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608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New stores opened</w:t>
            </w:r>
          </w:p>
        </w:tc>
        <w:tc>
          <w:tcPr>
            <w:tcW w:w="1260" w:type="dxa"/>
            <w:vAlign w:val="bottom"/>
            <w:tcBorders>
              <w:bottom w:val="single" w:sz="8" w:color="CFF0FC"/>
            </w:tcBorders>
            <w:shd w:val="clear" w:color="auto" w:fill="CFF0FC"/>
          </w:tcPr>
          <w:p>
            <w:pPr>
              <w:jc w:val="right"/>
              <w:ind w:right="33"/>
              <w:spacing w:after="0"/>
              <w:rPr>
                <w:sz w:val="20"/>
                <w:szCs w:val="20"/>
                <w:color w:val="auto"/>
              </w:rPr>
            </w:pPr>
            <w:r>
              <w:rPr>
                <w:rFonts w:ascii="Arial" w:cs="Arial" w:eastAsia="Arial" w:hAnsi="Arial"/>
                <w:sz w:val="18"/>
                <w:szCs w:val="18"/>
                <w:color w:val="auto"/>
              </w:rPr>
              <w:t>44</w:t>
            </w:r>
          </w:p>
        </w:tc>
        <w:tc>
          <w:tcPr>
            <w:tcW w:w="120" w:type="dxa"/>
            <w:vAlign w:val="bottom"/>
            <w:tcBorders>
              <w:bottom w:val="single" w:sz="8" w:color="CFF0FC"/>
            </w:tcBorders>
            <w:shd w:val="clear" w:color="auto" w:fill="CFF0FC"/>
          </w:tcPr>
          <w:p>
            <w:pPr>
              <w:spacing w:after="0"/>
              <w:rPr>
                <w:sz w:val="21"/>
                <w:szCs w:val="21"/>
                <w:color w:val="auto"/>
              </w:rPr>
            </w:pPr>
          </w:p>
        </w:tc>
        <w:tc>
          <w:tcPr>
            <w:tcW w:w="126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37</w:t>
            </w:r>
          </w:p>
        </w:tc>
        <w:tc>
          <w:tcPr>
            <w:tcW w:w="1340" w:type="dxa"/>
            <w:vAlign w:val="bottom"/>
            <w:tcBorders>
              <w:bottom w:val="single" w:sz="8" w:color="CFF0FC"/>
            </w:tcBorders>
            <w:gridSpan w:val="2"/>
            <w:shd w:val="clear" w:color="auto" w:fill="CFF0FC"/>
          </w:tcPr>
          <w:p>
            <w:pPr>
              <w:jc w:val="right"/>
              <w:ind w:right="14"/>
              <w:spacing w:after="0"/>
              <w:rPr>
                <w:sz w:val="20"/>
                <w:szCs w:val="20"/>
                <w:color w:val="auto"/>
              </w:rPr>
            </w:pPr>
            <w:r>
              <w:rPr>
                <w:rFonts w:ascii="Arial" w:cs="Arial" w:eastAsia="Arial" w:hAnsi="Arial"/>
                <w:sz w:val="18"/>
                <w:szCs w:val="18"/>
                <w:color w:val="auto"/>
              </w:rPr>
              <w:t>91</w:t>
            </w:r>
          </w:p>
        </w:tc>
        <w:tc>
          <w:tcPr>
            <w:tcW w:w="120" w:type="dxa"/>
            <w:vAlign w:val="bottom"/>
            <w:tcBorders>
              <w:bottom w:val="single" w:sz="8" w:color="CFF0FC"/>
            </w:tcBorders>
            <w:shd w:val="clear" w:color="auto" w:fill="CFF0FC"/>
          </w:tcPr>
          <w:p>
            <w:pPr>
              <w:spacing w:after="0"/>
              <w:rPr>
                <w:sz w:val="21"/>
                <w:szCs w:val="21"/>
                <w:color w:val="auto"/>
              </w:rPr>
            </w:pPr>
          </w:p>
        </w:tc>
        <w:tc>
          <w:tcPr>
            <w:tcW w:w="124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91</w:t>
            </w:r>
          </w:p>
        </w:tc>
      </w:tr>
      <w:tr>
        <w:trPr>
          <w:trHeight w:val="270"/>
        </w:trPr>
        <w:tc>
          <w:tcPr>
            <w:tcW w:w="6080" w:type="dxa"/>
            <w:vAlign w:val="bottom"/>
            <w:tcBorders>
              <w:bottom w:val="single" w:sz="8" w:color="CFF0FC"/>
            </w:tcBorders>
          </w:tcPr>
          <w:p>
            <w:pPr>
              <w:ind w:left="40"/>
              <w:spacing w:after="0"/>
              <w:rPr>
                <w:sz w:val="20"/>
                <w:szCs w:val="20"/>
                <w:color w:val="auto"/>
              </w:rPr>
            </w:pPr>
            <w:r>
              <w:rPr>
                <w:rFonts w:ascii="Arial" w:cs="Arial" w:eastAsia="Arial" w:hAnsi="Arial"/>
                <w:sz w:val="18"/>
                <w:szCs w:val="18"/>
                <w:color w:val="auto"/>
              </w:rPr>
              <w:t>Stores debranded, sold or consolidated</w:t>
            </w:r>
            <w:r>
              <w:rPr>
                <w:rFonts w:ascii="Arial" w:cs="Arial" w:eastAsia="Arial" w:hAnsi="Arial"/>
                <w:sz w:val="21"/>
                <w:szCs w:val="21"/>
                <w:color w:val="auto"/>
                <w:vertAlign w:val="superscript"/>
              </w:rPr>
              <w:t>(1)</w:t>
            </w: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20" w:type="dxa"/>
            <w:vAlign w:val="bottom"/>
            <w:tcBorders>
              <w:bottom w:val="single" w:sz="8" w:color="CFF0FC"/>
            </w:tcBorders>
          </w:tcPr>
          <w:p>
            <w:pPr>
              <w:spacing w:after="0"/>
              <w:rPr>
                <w:sz w:val="23"/>
                <w:szCs w:val="23"/>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00" w:type="dxa"/>
            <w:vAlign w:val="bottom"/>
            <w:tcBorders>
              <w:bottom w:val="single" w:sz="8" w:color="CFF0FC"/>
            </w:tcBorders>
          </w:tcPr>
          <w:p>
            <w:pPr>
              <w:spacing w:after="0"/>
              <w:rPr>
                <w:sz w:val="23"/>
                <w:szCs w:val="23"/>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w:t>
            </w:r>
          </w:p>
        </w:tc>
        <w:tc>
          <w:tcPr>
            <w:tcW w:w="120" w:type="dxa"/>
            <w:vAlign w:val="bottom"/>
            <w:tcBorders>
              <w:bottom w:val="single" w:sz="8" w:color="CFF0FC"/>
            </w:tcBorders>
          </w:tcPr>
          <w:p>
            <w:pPr>
              <w:spacing w:after="0"/>
              <w:rPr>
                <w:sz w:val="23"/>
                <w:szCs w:val="23"/>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w:t>
            </w:r>
          </w:p>
        </w:tc>
      </w:tr>
      <w:tr>
        <w:trPr>
          <w:trHeight w:val="257"/>
        </w:trPr>
        <w:tc>
          <w:tcPr>
            <w:tcW w:w="6080" w:type="dxa"/>
            <w:vAlign w:val="bottom"/>
            <w:shd w:val="clear" w:color="auto" w:fill="CFF0FC"/>
          </w:tcPr>
          <w:p>
            <w:pPr>
              <w:ind w:left="40"/>
              <w:spacing w:after="0"/>
              <w:rPr>
                <w:sz w:val="20"/>
                <w:szCs w:val="20"/>
                <w:color w:val="auto"/>
              </w:rPr>
            </w:pPr>
            <w:r>
              <w:rPr>
                <w:rFonts w:ascii="Arial" w:cs="Arial" w:eastAsia="Arial" w:hAnsi="Arial"/>
                <w:sz w:val="18"/>
                <w:szCs w:val="18"/>
                <w:color w:val="auto"/>
              </w:rPr>
              <w:t>Stores operated at end of period</w:t>
            </w:r>
          </w:p>
        </w:tc>
        <w:tc>
          <w:tcPr>
            <w:tcW w:w="1260" w:type="dxa"/>
            <w:vAlign w:val="bottom"/>
            <w:shd w:val="clear" w:color="auto" w:fill="CFF0FC"/>
          </w:tcPr>
          <w:p>
            <w:pPr>
              <w:jc w:val="right"/>
              <w:ind w:right="33"/>
              <w:spacing w:after="0"/>
              <w:rPr>
                <w:sz w:val="20"/>
                <w:szCs w:val="20"/>
                <w:color w:val="auto"/>
              </w:rPr>
            </w:pPr>
            <w:r>
              <w:rPr>
                <w:rFonts w:ascii="Arial" w:cs="Arial" w:eastAsia="Arial" w:hAnsi="Arial"/>
                <w:sz w:val="18"/>
                <w:szCs w:val="18"/>
                <w:color w:val="auto"/>
              </w:rPr>
              <w:t>1,540</w:t>
            </w:r>
          </w:p>
        </w:tc>
        <w:tc>
          <w:tcPr>
            <w:tcW w:w="120" w:type="dxa"/>
            <w:vAlign w:val="bottom"/>
            <w:shd w:val="clear" w:color="auto" w:fill="CFF0FC"/>
          </w:tcPr>
          <w:p>
            <w:pPr>
              <w:spacing w:after="0"/>
              <w:rPr>
                <w:sz w:val="22"/>
                <w:szCs w:val="22"/>
                <w:color w:val="auto"/>
              </w:rPr>
            </w:pPr>
          </w:p>
        </w:tc>
        <w:tc>
          <w:tcPr>
            <w:tcW w:w="126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rPr>
              <w:t>1,345</w:t>
            </w:r>
          </w:p>
        </w:tc>
        <w:tc>
          <w:tcPr>
            <w:tcW w:w="1340" w:type="dxa"/>
            <w:vAlign w:val="bottom"/>
            <w:gridSpan w:val="2"/>
            <w:shd w:val="clear" w:color="auto" w:fill="CFF0FC"/>
          </w:tcPr>
          <w:p>
            <w:pPr>
              <w:jc w:val="right"/>
              <w:ind w:right="14"/>
              <w:spacing w:after="0"/>
              <w:rPr>
                <w:sz w:val="20"/>
                <w:szCs w:val="20"/>
                <w:color w:val="auto"/>
              </w:rPr>
            </w:pPr>
            <w:r>
              <w:rPr>
                <w:rFonts w:ascii="Arial" w:cs="Arial" w:eastAsia="Arial" w:hAnsi="Arial"/>
                <w:sz w:val="18"/>
                <w:szCs w:val="18"/>
                <w:color w:val="auto"/>
              </w:rPr>
              <w:t>1,540</w:t>
            </w:r>
          </w:p>
        </w:tc>
        <w:tc>
          <w:tcPr>
            <w:tcW w:w="120" w:type="dxa"/>
            <w:vAlign w:val="bottom"/>
            <w:shd w:val="clear" w:color="auto" w:fill="CFF0FC"/>
          </w:tcPr>
          <w:p>
            <w:pPr>
              <w:spacing w:after="0"/>
              <w:rPr>
                <w:sz w:val="22"/>
                <w:szCs w:val="22"/>
                <w:color w:val="auto"/>
              </w:rPr>
            </w:pPr>
          </w:p>
        </w:tc>
        <w:tc>
          <w:tcPr>
            <w:tcW w:w="124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rPr>
              <w:t>1,345</w:t>
            </w:r>
          </w:p>
        </w:tc>
      </w:tr>
      <w:tr>
        <w:trPr>
          <w:trHeight w:val="20"/>
        </w:trPr>
        <w:tc>
          <w:tcPr>
            <w:tcW w:w="6080" w:type="dxa"/>
            <w:vAlign w:val="bottom"/>
            <w:tcBorders>
              <w:top w:val="single" w:sz="8" w:color="CFF0FC"/>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r>
      <w:tr>
        <w:trPr>
          <w:trHeight w:val="284"/>
        </w:trPr>
        <w:tc>
          <w:tcPr>
            <w:tcW w:w="60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40" w:type="dxa"/>
            <w:vAlign w:val="bottom"/>
          </w:tcPr>
          <w:p>
            <w:pPr>
              <w:spacing w:after="0"/>
              <w:rPr>
                <w:sz w:val="24"/>
                <w:szCs w:val="24"/>
                <w:color w:val="auto"/>
              </w:rPr>
            </w:pPr>
          </w:p>
        </w:tc>
      </w:tr>
      <w:tr>
        <w:trPr>
          <w:trHeight w:val="250"/>
        </w:trPr>
        <w:tc>
          <w:tcPr>
            <w:tcW w:w="608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b w:val="1"/>
                <w:bCs w:val="1"/>
                <w:color w:val="auto"/>
              </w:rPr>
              <w:t>Corporate-owned stores:</w:t>
            </w:r>
          </w:p>
        </w:tc>
        <w:tc>
          <w:tcPr>
            <w:tcW w:w="1260" w:type="dxa"/>
            <w:vAlign w:val="bottom"/>
            <w:tcBorders>
              <w:bottom w:val="single" w:sz="8" w:color="CFF0FC"/>
            </w:tcBorders>
            <w:shd w:val="clear" w:color="auto" w:fill="CFF0FC"/>
          </w:tcPr>
          <w:p>
            <w:pPr>
              <w:spacing w:after="0"/>
              <w:rPr>
                <w:sz w:val="21"/>
                <w:szCs w:val="21"/>
                <w:color w:val="auto"/>
              </w:rPr>
            </w:pPr>
          </w:p>
        </w:tc>
        <w:tc>
          <w:tcPr>
            <w:tcW w:w="120" w:type="dxa"/>
            <w:vAlign w:val="bottom"/>
            <w:tcBorders>
              <w:bottom w:val="single" w:sz="8" w:color="CFF0FC"/>
            </w:tcBorders>
            <w:shd w:val="clear" w:color="auto" w:fill="CFF0FC"/>
          </w:tcPr>
          <w:p>
            <w:pPr>
              <w:spacing w:after="0"/>
              <w:rPr>
                <w:sz w:val="21"/>
                <w:szCs w:val="21"/>
                <w:color w:val="auto"/>
              </w:rPr>
            </w:pPr>
          </w:p>
        </w:tc>
        <w:tc>
          <w:tcPr>
            <w:tcW w:w="1260" w:type="dxa"/>
            <w:vAlign w:val="bottom"/>
            <w:tcBorders>
              <w:bottom w:val="single" w:sz="8" w:color="CFF0FC"/>
            </w:tcBorders>
            <w:shd w:val="clear" w:color="auto" w:fill="CFF0FC"/>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r>
      <w:tr>
        <w:trPr>
          <w:trHeight w:val="243"/>
        </w:trPr>
        <w:tc>
          <w:tcPr>
            <w:tcW w:w="6080" w:type="dxa"/>
            <w:vAlign w:val="bottom"/>
          </w:tcPr>
          <w:p>
            <w:pPr>
              <w:ind w:left="40"/>
              <w:spacing w:after="0"/>
              <w:rPr>
                <w:sz w:val="20"/>
                <w:szCs w:val="20"/>
                <w:color w:val="auto"/>
              </w:rPr>
            </w:pPr>
            <w:r>
              <w:rPr>
                <w:rFonts w:ascii="Arial" w:cs="Arial" w:eastAsia="Arial" w:hAnsi="Arial"/>
                <w:sz w:val="18"/>
                <w:szCs w:val="18"/>
                <w:color w:val="auto"/>
              </w:rPr>
              <w:t>Stores operated at beginning of period</w:t>
            </w:r>
          </w:p>
        </w:tc>
        <w:tc>
          <w:tcPr>
            <w:tcW w:w="1260" w:type="dxa"/>
            <w:vAlign w:val="bottom"/>
          </w:tcPr>
          <w:p>
            <w:pPr>
              <w:jc w:val="right"/>
              <w:ind w:right="33"/>
              <w:spacing w:after="0"/>
              <w:rPr>
                <w:sz w:val="20"/>
                <w:szCs w:val="20"/>
                <w:color w:val="auto"/>
              </w:rPr>
            </w:pPr>
            <w:r>
              <w:rPr>
                <w:rFonts w:ascii="Arial" w:cs="Arial" w:eastAsia="Arial" w:hAnsi="Arial"/>
                <w:sz w:val="18"/>
                <w:szCs w:val="18"/>
                <w:color w:val="auto"/>
              </w:rPr>
              <w:t>68</w:t>
            </w:r>
          </w:p>
        </w:tc>
        <w:tc>
          <w:tcPr>
            <w:tcW w:w="120" w:type="dxa"/>
            <w:vAlign w:val="bottom"/>
          </w:tcPr>
          <w:p>
            <w:pPr>
              <w:spacing w:after="0"/>
              <w:rPr>
                <w:sz w:val="21"/>
                <w:szCs w:val="21"/>
                <w:color w:val="auto"/>
              </w:rPr>
            </w:pP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58</w:t>
            </w:r>
          </w:p>
        </w:tc>
        <w:tc>
          <w:tcPr>
            <w:tcW w:w="1340" w:type="dxa"/>
            <w:vAlign w:val="bottom"/>
            <w:gridSpan w:val="2"/>
          </w:tcPr>
          <w:p>
            <w:pPr>
              <w:jc w:val="right"/>
              <w:ind w:right="14"/>
              <w:spacing w:after="0"/>
              <w:rPr>
                <w:sz w:val="20"/>
                <w:szCs w:val="20"/>
                <w:color w:val="auto"/>
              </w:rPr>
            </w:pPr>
            <w:r>
              <w:rPr>
                <w:rFonts w:ascii="Arial" w:cs="Arial" w:eastAsia="Arial" w:hAnsi="Arial"/>
                <w:sz w:val="18"/>
                <w:szCs w:val="18"/>
                <w:color w:val="auto"/>
              </w:rPr>
              <w:t>62</w:t>
            </w:r>
          </w:p>
        </w:tc>
        <w:tc>
          <w:tcPr>
            <w:tcW w:w="120" w:type="dxa"/>
            <w:vAlign w:val="bottom"/>
          </w:tcPr>
          <w:p>
            <w:pPr>
              <w:spacing w:after="0"/>
              <w:rPr>
                <w:sz w:val="21"/>
                <w:szCs w:val="21"/>
                <w:color w:val="auto"/>
              </w:rPr>
            </w:pPr>
          </w:p>
        </w:tc>
        <w:tc>
          <w:tcPr>
            <w:tcW w:w="1240" w:type="dxa"/>
            <w:vAlign w:val="bottom"/>
          </w:tcPr>
          <w:p>
            <w:pPr>
              <w:jc w:val="right"/>
              <w:ind w:right="11"/>
              <w:spacing w:after="0"/>
              <w:rPr>
                <w:sz w:val="20"/>
                <w:szCs w:val="20"/>
                <w:color w:val="auto"/>
              </w:rPr>
            </w:pPr>
            <w:r>
              <w:rPr>
                <w:rFonts w:ascii="Arial" w:cs="Arial" w:eastAsia="Arial" w:hAnsi="Arial"/>
                <w:sz w:val="18"/>
                <w:szCs w:val="18"/>
                <w:color w:val="auto"/>
              </w:rPr>
              <w:t>58</w:t>
            </w:r>
          </w:p>
        </w:tc>
      </w:tr>
      <w:tr>
        <w:trPr>
          <w:trHeight w:val="27"/>
        </w:trPr>
        <w:tc>
          <w:tcPr>
            <w:tcW w:w="60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608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New stores opened</w:t>
            </w:r>
          </w:p>
        </w:tc>
        <w:tc>
          <w:tcPr>
            <w:tcW w:w="1380" w:type="dxa"/>
            <w:vAlign w:val="bottom"/>
            <w:tcBorders>
              <w:bottom w:val="single" w:sz="8" w:color="CFF0FC"/>
            </w:tcBorders>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FF0FC"/>
            </w:tcBorders>
            <w:shd w:val="clear" w:color="auto" w:fill="CFF0FC"/>
          </w:tcPr>
          <w:p>
            <w:pPr>
              <w:spacing w:after="0"/>
              <w:rPr>
                <w:sz w:val="21"/>
                <w:szCs w:val="21"/>
                <w:color w:val="auto"/>
              </w:rPr>
            </w:pPr>
          </w:p>
        </w:tc>
        <w:tc>
          <w:tcPr>
            <w:tcW w:w="1360" w:type="dxa"/>
            <w:vAlign w:val="bottom"/>
            <w:tcBorders>
              <w:bottom w:val="single" w:sz="8" w:color="CFF0FC"/>
            </w:tcBorders>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w:t>
            </w:r>
          </w:p>
        </w:tc>
      </w:tr>
      <w:tr>
        <w:trPr>
          <w:trHeight w:val="243"/>
        </w:trPr>
        <w:tc>
          <w:tcPr>
            <w:tcW w:w="6080" w:type="dxa"/>
            <w:vAlign w:val="bottom"/>
          </w:tcPr>
          <w:p>
            <w:pPr>
              <w:ind w:left="40"/>
              <w:spacing w:after="0"/>
              <w:rPr>
                <w:sz w:val="20"/>
                <w:szCs w:val="20"/>
                <w:color w:val="auto"/>
              </w:rPr>
            </w:pPr>
            <w:r>
              <w:rPr>
                <w:rFonts w:ascii="Arial" w:cs="Arial" w:eastAsia="Arial" w:hAnsi="Arial"/>
                <w:sz w:val="18"/>
                <w:szCs w:val="18"/>
                <w:color w:val="auto"/>
              </w:rPr>
              <w:t>Stores acquired from franchisees</w:t>
            </w:r>
          </w:p>
        </w:tc>
        <w:tc>
          <w:tcPr>
            <w:tcW w:w="13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1340" w:type="dxa"/>
            <w:vAlign w:val="bottom"/>
            <w:gridSpan w:val="2"/>
          </w:tcPr>
          <w:p>
            <w:pPr>
              <w:jc w:val="right"/>
              <w:ind w:right="14"/>
              <w:spacing w:after="0"/>
              <w:rPr>
                <w:sz w:val="20"/>
                <w:szCs w:val="20"/>
                <w:color w:val="auto"/>
              </w:rPr>
            </w:pPr>
            <w:r>
              <w:rPr>
                <w:rFonts w:ascii="Arial" w:cs="Arial" w:eastAsia="Arial" w:hAnsi="Arial"/>
                <w:sz w:val="18"/>
                <w:szCs w:val="18"/>
                <w:color w:val="auto"/>
              </w:rPr>
              <w:t>6</w:t>
            </w:r>
          </w:p>
        </w:tc>
        <w:tc>
          <w:tcPr>
            <w:tcW w:w="120" w:type="dxa"/>
            <w:vAlign w:val="bottom"/>
          </w:tcPr>
          <w:p>
            <w:pPr>
              <w:spacing w:after="0"/>
              <w:rPr>
                <w:sz w:val="21"/>
                <w:szCs w:val="21"/>
                <w:color w:val="auto"/>
              </w:rPr>
            </w:pPr>
          </w:p>
        </w:tc>
        <w:tc>
          <w:tcPr>
            <w:tcW w:w="124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
        </w:trPr>
        <w:tc>
          <w:tcPr>
            <w:tcW w:w="6080" w:type="dxa"/>
            <w:vAlign w:val="bottom"/>
            <w:tcBorders>
              <w:bottom w:val="single" w:sz="8" w:color="CFF0FC"/>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257"/>
        </w:trPr>
        <w:tc>
          <w:tcPr>
            <w:tcW w:w="6080" w:type="dxa"/>
            <w:vAlign w:val="bottom"/>
            <w:shd w:val="clear" w:color="auto" w:fill="CFF0FC"/>
          </w:tcPr>
          <w:p>
            <w:pPr>
              <w:ind w:left="40"/>
              <w:spacing w:after="0"/>
              <w:rPr>
                <w:sz w:val="20"/>
                <w:szCs w:val="20"/>
                <w:color w:val="auto"/>
              </w:rPr>
            </w:pPr>
            <w:r>
              <w:rPr>
                <w:rFonts w:ascii="Arial" w:cs="Arial" w:eastAsia="Arial" w:hAnsi="Arial"/>
                <w:sz w:val="18"/>
                <w:szCs w:val="18"/>
                <w:color w:val="auto"/>
              </w:rPr>
              <w:t>Stores operated at end of period</w:t>
            </w:r>
          </w:p>
        </w:tc>
        <w:tc>
          <w:tcPr>
            <w:tcW w:w="1260" w:type="dxa"/>
            <w:vAlign w:val="bottom"/>
            <w:shd w:val="clear" w:color="auto" w:fill="CFF0FC"/>
          </w:tcPr>
          <w:p>
            <w:pPr>
              <w:jc w:val="right"/>
              <w:ind w:right="33"/>
              <w:spacing w:after="0"/>
              <w:rPr>
                <w:sz w:val="20"/>
                <w:szCs w:val="20"/>
                <w:color w:val="auto"/>
              </w:rPr>
            </w:pPr>
            <w:r>
              <w:rPr>
                <w:rFonts w:ascii="Arial" w:cs="Arial" w:eastAsia="Arial" w:hAnsi="Arial"/>
                <w:sz w:val="18"/>
                <w:szCs w:val="18"/>
                <w:color w:val="auto"/>
              </w:rPr>
              <w:t>68</w:t>
            </w:r>
          </w:p>
        </w:tc>
        <w:tc>
          <w:tcPr>
            <w:tcW w:w="120" w:type="dxa"/>
            <w:vAlign w:val="bottom"/>
            <w:shd w:val="clear" w:color="auto" w:fill="CFF0FC"/>
          </w:tcPr>
          <w:p>
            <w:pPr>
              <w:spacing w:after="0"/>
              <w:rPr>
                <w:sz w:val="22"/>
                <w:szCs w:val="22"/>
                <w:color w:val="auto"/>
              </w:rPr>
            </w:pPr>
          </w:p>
        </w:tc>
        <w:tc>
          <w:tcPr>
            <w:tcW w:w="126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rPr>
              <w:t>58</w:t>
            </w:r>
          </w:p>
        </w:tc>
        <w:tc>
          <w:tcPr>
            <w:tcW w:w="1340" w:type="dxa"/>
            <w:vAlign w:val="bottom"/>
            <w:gridSpan w:val="2"/>
            <w:shd w:val="clear" w:color="auto" w:fill="CCEEFF"/>
          </w:tcPr>
          <w:p>
            <w:pPr>
              <w:jc w:val="right"/>
              <w:ind w:right="14"/>
              <w:spacing w:after="0"/>
              <w:rPr>
                <w:sz w:val="20"/>
                <w:szCs w:val="20"/>
                <w:color w:val="auto"/>
              </w:rPr>
            </w:pPr>
            <w:r>
              <w:rPr>
                <w:rFonts w:ascii="Arial" w:cs="Arial" w:eastAsia="Arial" w:hAnsi="Arial"/>
                <w:sz w:val="18"/>
                <w:szCs w:val="18"/>
                <w:color w:val="auto"/>
              </w:rPr>
              <w:t>68</w:t>
            </w:r>
          </w:p>
        </w:tc>
        <w:tc>
          <w:tcPr>
            <w:tcW w:w="120" w:type="dxa"/>
            <w:vAlign w:val="bottom"/>
            <w:shd w:val="clear" w:color="auto" w:fill="CCEEFF"/>
          </w:tcPr>
          <w:p>
            <w:pPr>
              <w:spacing w:after="0"/>
              <w:rPr>
                <w:sz w:val="22"/>
                <w:szCs w:val="22"/>
                <w:color w:val="auto"/>
              </w:rPr>
            </w:pPr>
          </w:p>
        </w:tc>
        <w:tc>
          <w:tcPr>
            <w:tcW w:w="124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58</w:t>
            </w:r>
          </w:p>
        </w:tc>
      </w:tr>
      <w:tr>
        <w:trPr>
          <w:trHeight w:val="20"/>
        </w:trPr>
        <w:tc>
          <w:tcPr>
            <w:tcW w:w="6080" w:type="dxa"/>
            <w:vAlign w:val="bottom"/>
            <w:tcBorders>
              <w:top w:val="single" w:sz="8" w:color="CFF0FC"/>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r>
      <w:tr>
        <w:trPr>
          <w:trHeight w:val="284"/>
        </w:trPr>
        <w:tc>
          <w:tcPr>
            <w:tcW w:w="60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40" w:type="dxa"/>
            <w:vAlign w:val="bottom"/>
          </w:tcPr>
          <w:p>
            <w:pPr>
              <w:spacing w:after="0"/>
              <w:rPr>
                <w:sz w:val="24"/>
                <w:szCs w:val="24"/>
                <w:color w:val="auto"/>
              </w:rPr>
            </w:pPr>
          </w:p>
        </w:tc>
      </w:tr>
      <w:tr>
        <w:trPr>
          <w:trHeight w:val="250"/>
        </w:trPr>
        <w:tc>
          <w:tcPr>
            <w:tcW w:w="608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b w:val="1"/>
                <w:bCs w:val="1"/>
                <w:color w:val="auto"/>
              </w:rPr>
              <w:t>Total stores:</w:t>
            </w:r>
          </w:p>
        </w:tc>
        <w:tc>
          <w:tcPr>
            <w:tcW w:w="1260" w:type="dxa"/>
            <w:vAlign w:val="bottom"/>
            <w:tcBorders>
              <w:bottom w:val="single" w:sz="8" w:color="CFF0FC"/>
            </w:tcBorders>
            <w:shd w:val="clear" w:color="auto" w:fill="CFF0FC"/>
          </w:tcPr>
          <w:p>
            <w:pPr>
              <w:spacing w:after="0"/>
              <w:rPr>
                <w:sz w:val="21"/>
                <w:szCs w:val="21"/>
                <w:color w:val="auto"/>
              </w:rPr>
            </w:pPr>
          </w:p>
        </w:tc>
        <w:tc>
          <w:tcPr>
            <w:tcW w:w="120" w:type="dxa"/>
            <w:vAlign w:val="bottom"/>
            <w:tcBorders>
              <w:bottom w:val="single" w:sz="8" w:color="CFF0FC"/>
            </w:tcBorders>
            <w:shd w:val="clear" w:color="auto" w:fill="CFF0FC"/>
          </w:tcPr>
          <w:p>
            <w:pPr>
              <w:spacing w:after="0"/>
              <w:rPr>
                <w:sz w:val="21"/>
                <w:szCs w:val="21"/>
                <w:color w:val="auto"/>
              </w:rPr>
            </w:pPr>
          </w:p>
        </w:tc>
        <w:tc>
          <w:tcPr>
            <w:tcW w:w="1260" w:type="dxa"/>
            <w:vAlign w:val="bottom"/>
            <w:tcBorders>
              <w:bottom w:val="single" w:sz="8" w:color="CFF0FC"/>
            </w:tcBorders>
            <w:shd w:val="clear" w:color="auto" w:fill="CFF0FC"/>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r>
      <w:tr>
        <w:trPr>
          <w:trHeight w:val="243"/>
        </w:trPr>
        <w:tc>
          <w:tcPr>
            <w:tcW w:w="6080" w:type="dxa"/>
            <w:vAlign w:val="bottom"/>
          </w:tcPr>
          <w:p>
            <w:pPr>
              <w:ind w:left="40"/>
              <w:spacing w:after="0"/>
              <w:rPr>
                <w:sz w:val="20"/>
                <w:szCs w:val="20"/>
                <w:color w:val="auto"/>
              </w:rPr>
            </w:pPr>
            <w:r>
              <w:rPr>
                <w:rFonts w:ascii="Arial" w:cs="Arial" w:eastAsia="Arial" w:hAnsi="Arial"/>
                <w:sz w:val="18"/>
                <w:szCs w:val="18"/>
                <w:color w:val="auto"/>
              </w:rPr>
              <w:t>Stores operated at beginning of period</w:t>
            </w:r>
          </w:p>
        </w:tc>
        <w:tc>
          <w:tcPr>
            <w:tcW w:w="1260" w:type="dxa"/>
            <w:vAlign w:val="bottom"/>
          </w:tcPr>
          <w:p>
            <w:pPr>
              <w:jc w:val="right"/>
              <w:ind w:right="33"/>
              <w:spacing w:after="0"/>
              <w:rPr>
                <w:sz w:val="20"/>
                <w:szCs w:val="20"/>
                <w:color w:val="auto"/>
              </w:rPr>
            </w:pPr>
            <w:r>
              <w:rPr>
                <w:rFonts w:ascii="Arial" w:cs="Arial" w:eastAsia="Arial" w:hAnsi="Arial"/>
                <w:sz w:val="18"/>
                <w:szCs w:val="18"/>
                <w:color w:val="auto"/>
              </w:rPr>
              <w:t>1,565</w:t>
            </w:r>
          </w:p>
        </w:tc>
        <w:tc>
          <w:tcPr>
            <w:tcW w:w="120" w:type="dxa"/>
            <w:vAlign w:val="bottom"/>
          </w:tcPr>
          <w:p>
            <w:pPr>
              <w:spacing w:after="0"/>
              <w:rPr>
                <w:sz w:val="21"/>
                <w:szCs w:val="21"/>
                <w:color w:val="auto"/>
              </w:rPr>
            </w:pP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1,367</w:t>
            </w:r>
          </w:p>
        </w:tc>
        <w:tc>
          <w:tcPr>
            <w:tcW w:w="1340" w:type="dxa"/>
            <w:vAlign w:val="bottom"/>
            <w:gridSpan w:val="2"/>
          </w:tcPr>
          <w:p>
            <w:pPr>
              <w:jc w:val="right"/>
              <w:ind w:right="14"/>
              <w:spacing w:after="0"/>
              <w:rPr>
                <w:sz w:val="20"/>
                <w:szCs w:val="20"/>
                <w:color w:val="auto"/>
              </w:rPr>
            </w:pPr>
            <w:r>
              <w:rPr>
                <w:rFonts w:ascii="Arial" w:cs="Arial" w:eastAsia="Arial" w:hAnsi="Arial"/>
                <w:sz w:val="18"/>
                <w:szCs w:val="18"/>
                <w:color w:val="auto"/>
              </w:rPr>
              <w:t>1,518</w:t>
            </w:r>
          </w:p>
        </w:tc>
        <w:tc>
          <w:tcPr>
            <w:tcW w:w="120" w:type="dxa"/>
            <w:vAlign w:val="bottom"/>
          </w:tcPr>
          <w:p>
            <w:pPr>
              <w:spacing w:after="0"/>
              <w:rPr>
                <w:sz w:val="21"/>
                <w:szCs w:val="21"/>
                <w:color w:val="auto"/>
              </w:rPr>
            </w:pPr>
          </w:p>
        </w:tc>
        <w:tc>
          <w:tcPr>
            <w:tcW w:w="1240" w:type="dxa"/>
            <w:vAlign w:val="bottom"/>
          </w:tcPr>
          <w:p>
            <w:pPr>
              <w:jc w:val="right"/>
              <w:ind w:right="11"/>
              <w:spacing w:after="0"/>
              <w:rPr>
                <w:sz w:val="20"/>
                <w:szCs w:val="20"/>
                <w:color w:val="auto"/>
              </w:rPr>
            </w:pPr>
            <w:r>
              <w:rPr>
                <w:rFonts w:ascii="Arial" w:cs="Arial" w:eastAsia="Arial" w:hAnsi="Arial"/>
                <w:sz w:val="18"/>
                <w:szCs w:val="18"/>
                <w:color w:val="auto"/>
              </w:rPr>
              <w:t>1,313</w:t>
            </w:r>
          </w:p>
        </w:tc>
      </w:tr>
      <w:tr>
        <w:trPr>
          <w:trHeight w:val="27"/>
        </w:trPr>
        <w:tc>
          <w:tcPr>
            <w:tcW w:w="60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608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New stores opened</w:t>
            </w:r>
          </w:p>
        </w:tc>
        <w:tc>
          <w:tcPr>
            <w:tcW w:w="1260" w:type="dxa"/>
            <w:vAlign w:val="bottom"/>
            <w:tcBorders>
              <w:bottom w:val="single" w:sz="8" w:color="CFF0FC"/>
            </w:tcBorders>
            <w:shd w:val="clear" w:color="auto" w:fill="CFF0FC"/>
          </w:tcPr>
          <w:p>
            <w:pPr>
              <w:jc w:val="right"/>
              <w:ind w:right="33"/>
              <w:spacing w:after="0"/>
              <w:rPr>
                <w:sz w:val="20"/>
                <w:szCs w:val="20"/>
                <w:color w:val="auto"/>
              </w:rPr>
            </w:pPr>
            <w:r>
              <w:rPr>
                <w:rFonts w:ascii="Arial" w:cs="Arial" w:eastAsia="Arial" w:hAnsi="Arial"/>
                <w:sz w:val="18"/>
                <w:szCs w:val="18"/>
                <w:color w:val="auto"/>
              </w:rPr>
              <w:t>44</w:t>
            </w:r>
          </w:p>
        </w:tc>
        <w:tc>
          <w:tcPr>
            <w:tcW w:w="120" w:type="dxa"/>
            <w:vAlign w:val="bottom"/>
            <w:tcBorders>
              <w:bottom w:val="single" w:sz="8" w:color="CFF0FC"/>
            </w:tcBorders>
            <w:shd w:val="clear" w:color="auto" w:fill="CFF0FC"/>
          </w:tcPr>
          <w:p>
            <w:pPr>
              <w:spacing w:after="0"/>
              <w:rPr>
                <w:sz w:val="21"/>
                <w:szCs w:val="21"/>
                <w:color w:val="auto"/>
              </w:rPr>
            </w:pPr>
          </w:p>
        </w:tc>
        <w:tc>
          <w:tcPr>
            <w:tcW w:w="126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37</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FF0FC"/>
            </w:tcBorders>
            <w:shd w:val="clear" w:color="auto" w:fill="CFF0FC"/>
          </w:tcPr>
          <w:p>
            <w:pPr>
              <w:jc w:val="right"/>
              <w:ind w:right="14"/>
              <w:spacing w:after="0"/>
              <w:rPr>
                <w:sz w:val="20"/>
                <w:szCs w:val="20"/>
                <w:color w:val="auto"/>
              </w:rPr>
            </w:pPr>
            <w:r>
              <w:rPr>
                <w:rFonts w:ascii="Arial" w:cs="Arial" w:eastAsia="Arial" w:hAnsi="Arial"/>
                <w:sz w:val="18"/>
                <w:szCs w:val="18"/>
                <w:color w:val="auto"/>
              </w:rPr>
              <w:t>91</w:t>
            </w:r>
          </w:p>
        </w:tc>
        <w:tc>
          <w:tcPr>
            <w:tcW w:w="120" w:type="dxa"/>
            <w:vAlign w:val="bottom"/>
            <w:tcBorders>
              <w:bottom w:val="single" w:sz="8" w:color="CFF0FC"/>
            </w:tcBorders>
            <w:shd w:val="clear" w:color="auto" w:fill="CFF0FC"/>
          </w:tcPr>
          <w:p>
            <w:pPr>
              <w:spacing w:after="0"/>
              <w:rPr>
                <w:sz w:val="21"/>
                <w:szCs w:val="21"/>
                <w:color w:val="auto"/>
              </w:rPr>
            </w:pPr>
          </w:p>
        </w:tc>
        <w:tc>
          <w:tcPr>
            <w:tcW w:w="124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91</w:t>
            </w:r>
          </w:p>
        </w:tc>
      </w:tr>
      <w:tr>
        <w:trPr>
          <w:trHeight w:val="270"/>
        </w:trPr>
        <w:tc>
          <w:tcPr>
            <w:tcW w:w="6080" w:type="dxa"/>
            <w:vAlign w:val="bottom"/>
            <w:tcBorders>
              <w:bottom w:val="single" w:sz="8" w:color="CFF0FC"/>
            </w:tcBorders>
          </w:tcPr>
          <w:p>
            <w:pPr>
              <w:ind w:left="40"/>
              <w:spacing w:after="0"/>
              <w:rPr>
                <w:sz w:val="20"/>
                <w:szCs w:val="20"/>
                <w:color w:val="auto"/>
              </w:rPr>
            </w:pPr>
            <w:r>
              <w:rPr>
                <w:rFonts w:ascii="Arial" w:cs="Arial" w:eastAsia="Arial" w:hAnsi="Arial"/>
                <w:sz w:val="18"/>
                <w:szCs w:val="18"/>
                <w:color w:val="auto"/>
              </w:rPr>
              <w:t>Stores acquired, debranded, sold or consolidated</w:t>
            </w:r>
            <w:r>
              <w:rPr>
                <w:rFonts w:ascii="Arial" w:cs="Arial" w:eastAsia="Arial" w:hAnsi="Arial"/>
                <w:sz w:val="21"/>
                <w:szCs w:val="21"/>
                <w:color w:val="auto"/>
                <w:vertAlign w:val="superscript"/>
              </w:rPr>
              <w:t>(1)</w:t>
            </w: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20" w:type="dxa"/>
            <w:vAlign w:val="bottom"/>
            <w:tcBorders>
              <w:bottom w:val="single" w:sz="8" w:color="CFF0FC"/>
            </w:tcBorders>
          </w:tcPr>
          <w:p>
            <w:pPr>
              <w:spacing w:after="0"/>
              <w:rPr>
                <w:sz w:val="23"/>
                <w:szCs w:val="23"/>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00" w:type="dxa"/>
            <w:vAlign w:val="bottom"/>
            <w:tcBorders>
              <w:bottom w:val="single" w:sz="8" w:color="CCEEFF"/>
            </w:tcBorders>
          </w:tcPr>
          <w:p>
            <w:pPr>
              <w:spacing w:after="0"/>
              <w:rPr>
                <w:sz w:val="23"/>
                <w:szCs w:val="23"/>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20" w:type="dxa"/>
            <w:vAlign w:val="bottom"/>
            <w:tcBorders>
              <w:bottom w:val="single" w:sz="8" w:color="CCEEFF"/>
            </w:tcBorders>
          </w:tcPr>
          <w:p>
            <w:pPr>
              <w:spacing w:after="0"/>
              <w:rPr>
                <w:sz w:val="23"/>
                <w:szCs w:val="23"/>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w:t>
            </w:r>
          </w:p>
        </w:tc>
      </w:tr>
      <w:tr>
        <w:trPr>
          <w:trHeight w:val="257"/>
        </w:trPr>
        <w:tc>
          <w:tcPr>
            <w:tcW w:w="6080" w:type="dxa"/>
            <w:vAlign w:val="bottom"/>
            <w:shd w:val="clear" w:color="auto" w:fill="CFF0FC"/>
          </w:tcPr>
          <w:p>
            <w:pPr>
              <w:ind w:left="40"/>
              <w:spacing w:after="0"/>
              <w:rPr>
                <w:sz w:val="20"/>
                <w:szCs w:val="20"/>
                <w:color w:val="auto"/>
              </w:rPr>
            </w:pPr>
            <w:r>
              <w:rPr>
                <w:rFonts w:ascii="Arial" w:cs="Arial" w:eastAsia="Arial" w:hAnsi="Arial"/>
                <w:sz w:val="18"/>
                <w:szCs w:val="18"/>
                <w:color w:val="auto"/>
              </w:rPr>
              <w:t>Stores operated at end of period</w:t>
            </w:r>
          </w:p>
        </w:tc>
        <w:tc>
          <w:tcPr>
            <w:tcW w:w="1260" w:type="dxa"/>
            <w:vAlign w:val="bottom"/>
            <w:shd w:val="clear" w:color="auto" w:fill="CFF0FC"/>
          </w:tcPr>
          <w:p>
            <w:pPr>
              <w:jc w:val="right"/>
              <w:ind w:right="33"/>
              <w:spacing w:after="0"/>
              <w:rPr>
                <w:sz w:val="20"/>
                <w:szCs w:val="20"/>
                <w:color w:val="auto"/>
              </w:rPr>
            </w:pPr>
            <w:r>
              <w:rPr>
                <w:rFonts w:ascii="Arial" w:cs="Arial" w:eastAsia="Arial" w:hAnsi="Arial"/>
                <w:sz w:val="18"/>
                <w:szCs w:val="18"/>
                <w:color w:val="auto"/>
              </w:rPr>
              <w:t>1,608</w:t>
            </w:r>
          </w:p>
        </w:tc>
        <w:tc>
          <w:tcPr>
            <w:tcW w:w="120" w:type="dxa"/>
            <w:vAlign w:val="bottom"/>
            <w:shd w:val="clear" w:color="auto" w:fill="CFF0FC"/>
          </w:tcPr>
          <w:p>
            <w:pPr>
              <w:spacing w:after="0"/>
              <w:rPr>
                <w:sz w:val="22"/>
                <w:szCs w:val="22"/>
                <w:color w:val="auto"/>
              </w:rPr>
            </w:pPr>
          </w:p>
        </w:tc>
        <w:tc>
          <w:tcPr>
            <w:tcW w:w="126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rPr>
              <w:t>1,403</w:t>
            </w:r>
          </w:p>
        </w:tc>
        <w:tc>
          <w:tcPr>
            <w:tcW w:w="1340" w:type="dxa"/>
            <w:vAlign w:val="bottom"/>
            <w:gridSpan w:val="2"/>
            <w:shd w:val="clear" w:color="auto" w:fill="CCEEFF"/>
          </w:tcPr>
          <w:p>
            <w:pPr>
              <w:jc w:val="right"/>
              <w:ind w:right="14"/>
              <w:spacing w:after="0"/>
              <w:rPr>
                <w:sz w:val="20"/>
                <w:szCs w:val="20"/>
                <w:color w:val="auto"/>
              </w:rPr>
            </w:pPr>
            <w:r>
              <w:rPr>
                <w:rFonts w:ascii="Arial" w:cs="Arial" w:eastAsia="Arial" w:hAnsi="Arial"/>
                <w:sz w:val="18"/>
                <w:szCs w:val="18"/>
                <w:color w:val="auto"/>
              </w:rPr>
              <w:t>1,608</w:t>
            </w:r>
          </w:p>
        </w:tc>
        <w:tc>
          <w:tcPr>
            <w:tcW w:w="120" w:type="dxa"/>
            <w:vAlign w:val="bottom"/>
            <w:shd w:val="clear" w:color="auto" w:fill="CCEEFF"/>
          </w:tcPr>
          <w:p>
            <w:pPr>
              <w:spacing w:after="0"/>
              <w:rPr>
                <w:sz w:val="22"/>
                <w:szCs w:val="22"/>
                <w:color w:val="auto"/>
              </w:rPr>
            </w:pPr>
          </w:p>
        </w:tc>
        <w:tc>
          <w:tcPr>
            <w:tcW w:w="124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1,403</w:t>
            </w:r>
          </w:p>
        </w:tc>
      </w:tr>
      <w:tr>
        <w:trPr>
          <w:trHeight w:val="20"/>
        </w:trPr>
        <w:tc>
          <w:tcPr>
            <w:tcW w:w="6080" w:type="dxa"/>
            <w:vAlign w:val="bottom"/>
            <w:tcBorders>
              <w:top w:val="single" w:sz="8" w:color="CFF0FC"/>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r>
    </w:tbl>
    <w:p>
      <w:pPr>
        <w:spacing w:after="0" w:line="206" w:lineRule="exact"/>
        <w:rPr>
          <w:sz w:val="20"/>
          <w:szCs w:val="20"/>
          <w:color w:val="auto"/>
        </w:rPr>
      </w:pPr>
    </w:p>
    <w:p>
      <w:pPr>
        <w:jc w:val="both"/>
        <w:ind w:left="480" w:hanging="323"/>
        <w:spacing w:after="0" w:line="256" w:lineRule="auto"/>
        <w:tabs>
          <w:tab w:leader="none" w:pos="480" w:val="left"/>
        </w:tabs>
        <w:numPr>
          <w:ilvl w:val="0"/>
          <w:numId w:val="11"/>
        </w:numPr>
        <w:rPr>
          <w:rFonts w:ascii="Arial" w:cs="Arial" w:eastAsia="Arial" w:hAnsi="Arial"/>
          <w:sz w:val="16"/>
          <w:szCs w:val="16"/>
          <w:color w:val="auto"/>
        </w:rPr>
      </w:pPr>
      <w:r>
        <w:rPr>
          <w:rFonts w:ascii="Arial" w:cs="Arial" w:eastAsia="Arial" w:hAnsi="Arial"/>
          <w:sz w:val="16"/>
          <w:szCs w:val="16"/>
          <w:color w:val="auto"/>
        </w:rPr>
        <w:t>The term “debrand” refers to a franchisee-owned store whose right to use the Planet Fitness brand and marks has been terminated in accordance with the franchise agreement. We retain the right to prevent debranded stores from continuing to operate as fitness centers. The term “consolidated” refers to the combination of a franchisee’s store with another store located in close proximity with our prior approval. This often coincides with an enlargement, re-equipment and/or refurbishment of the remaining store.</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Same store sales</w:t>
      </w:r>
    </w:p>
    <w:p>
      <w:pPr>
        <w:spacing w:after="0" w:line="117"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Same store sales refers to year-over-year sales comparisons for the same store sales base of both corporate-owned and franchisee-owned stores. We define the same store sales base to include those stores that have been open and for which monthly membership dues have been billed for longer than 12 months. We measure same store sales based solely upon monthly dues billed to members of our corporate-owned and franchisee-owned stores.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color w:val="auto"/>
        </w:rPr>
        <w:t>Several factors affect our same store sales in any given period, including the following:</w:t>
      </w:r>
    </w:p>
    <w:p>
      <w:pPr>
        <w:spacing w:after="0" w:line="23" w:lineRule="exact"/>
        <w:rPr>
          <w:sz w:val="20"/>
          <w:szCs w:val="20"/>
          <w:color w:val="auto"/>
        </w:rPr>
      </w:pPr>
    </w:p>
    <w:p>
      <w:pPr>
        <w:ind w:left="580" w:hanging="315"/>
        <w:spacing w:after="0"/>
        <w:tabs>
          <w:tab w:leader="none" w:pos="5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number of stores that have been in operation for more than 12 months;</w:t>
      </w:r>
    </w:p>
    <w:p>
      <w:pPr>
        <w:spacing w:after="0" w:line="9" w:lineRule="exact"/>
        <w:rPr>
          <w:rFonts w:ascii="Arial" w:cs="Arial" w:eastAsia="Arial" w:hAnsi="Arial"/>
          <w:sz w:val="18"/>
          <w:szCs w:val="18"/>
          <w:color w:val="auto"/>
        </w:rPr>
      </w:pPr>
    </w:p>
    <w:p>
      <w:pPr>
        <w:ind w:left="580" w:hanging="315"/>
        <w:spacing w:after="0"/>
        <w:tabs>
          <w:tab w:leader="none" w:pos="5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percentage mix of PF Black Card and standard memberships in any period;</w:t>
      </w:r>
    </w:p>
    <w:p>
      <w:pPr>
        <w:spacing w:after="0" w:line="9" w:lineRule="exact"/>
        <w:rPr>
          <w:rFonts w:ascii="Arial" w:cs="Arial" w:eastAsia="Arial" w:hAnsi="Arial"/>
          <w:sz w:val="18"/>
          <w:szCs w:val="18"/>
          <w:color w:val="auto"/>
        </w:rPr>
      </w:pPr>
    </w:p>
    <w:p>
      <w:pPr>
        <w:ind w:left="580" w:hanging="315"/>
        <w:spacing w:after="0"/>
        <w:tabs>
          <w:tab w:leader="none" w:pos="5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growth in total net memberships per store;</w:t>
      </w:r>
    </w:p>
    <w:p>
      <w:pPr>
        <w:spacing w:after="0" w:line="9" w:lineRule="exact"/>
        <w:rPr>
          <w:rFonts w:ascii="Arial" w:cs="Arial" w:eastAsia="Arial" w:hAnsi="Arial"/>
          <w:sz w:val="18"/>
          <w:szCs w:val="18"/>
          <w:color w:val="auto"/>
        </w:rPr>
      </w:pPr>
    </w:p>
    <w:p>
      <w:pPr>
        <w:ind w:left="580" w:hanging="315"/>
        <w:spacing w:after="0"/>
        <w:tabs>
          <w:tab w:leader="none" w:pos="5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consumer recognition of our brand and our ability to respond to changing consumer preferences;</w:t>
      </w:r>
    </w:p>
    <w:p>
      <w:pPr>
        <w:spacing w:after="0" w:line="9" w:lineRule="exact"/>
        <w:rPr>
          <w:rFonts w:ascii="Arial" w:cs="Arial" w:eastAsia="Arial" w:hAnsi="Arial"/>
          <w:sz w:val="18"/>
          <w:szCs w:val="18"/>
          <w:color w:val="auto"/>
        </w:rPr>
      </w:pPr>
    </w:p>
    <w:p>
      <w:pPr>
        <w:ind w:left="580" w:hanging="315"/>
        <w:spacing w:after="0"/>
        <w:tabs>
          <w:tab w:leader="none" w:pos="5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overall economic trends, particularly those related to consumer spending;</w:t>
      </w:r>
    </w:p>
    <w:p>
      <w:pPr>
        <w:spacing w:after="0" w:line="9" w:lineRule="exact"/>
        <w:rPr>
          <w:rFonts w:ascii="Arial" w:cs="Arial" w:eastAsia="Arial" w:hAnsi="Arial"/>
          <w:sz w:val="18"/>
          <w:szCs w:val="18"/>
          <w:color w:val="auto"/>
        </w:rPr>
      </w:pPr>
    </w:p>
    <w:p>
      <w:pPr>
        <w:ind w:left="580" w:hanging="315"/>
        <w:spacing w:after="0"/>
        <w:tabs>
          <w:tab w:leader="none" w:pos="5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our and our franchisees’ ability to operate stores effectively and efficiently to meet consumer expectations;</w:t>
      </w:r>
    </w:p>
    <w:p>
      <w:pPr>
        <w:spacing w:after="0" w:line="9" w:lineRule="exact"/>
        <w:rPr>
          <w:rFonts w:ascii="Arial" w:cs="Arial" w:eastAsia="Arial" w:hAnsi="Arial"/>
          <w:sz w:val="18"/>
          <w:szCs w:val="18"/>
          <w:color w:val="auto"/>
        </w:rPr>
      </w:pPr>
    </w:p>
    <w:p>
      <w:pPr>
        <w:ind w:left="580" w:hanging="315"/>
        <w:spacing w:after="0"/>
        <w:tabs>
          <w:tab w:leader="none" w:pos="5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marketing and promotional efforts;</w:t>
      </w:r>
    </w:p>
    <w:p>
      <w:pPr>
        <w:spacing w:after="0" w:line="9" w:lineRule="exact"/>
        <w:rPr>
          <w:rFonts w:ascii="Arial" w:cs="Arial" w:eastAsia="Arial" w:hAnsi="Arial"/>
          <w:sz w:val="18"/>
          <w:szCs w:val="18"/>
          <w:color w:val="auto"/>
        </w:rPr>
      </w:pPr>
    </w:p>
    <w:p>
      <w:pPr>
        <w:ind w:left="580" w:hanging="315"/>
        <w:spacing w:after="0"/>
        <w:tabs>
          <w:tab w:leader="none" w:pos="5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local competition;</w:t>
      </w:r>
    </w:p>
    <w:p>
      <w:pPr>
        <w:spacing w:after="0" w:line="9" w:lineRule="exact"/>
        <w:rPr>
          <w:rFonts w:ascii="Arial" w:cs="Arial" w:eastAsia="Arial" w:hAnsi="Arial"/>
          <w:sz w:val="18"/>
          <w:szCs w:val="18"/>
          <w:color w:val="auto"/>
        </w:rPr>
      </w:pPr>
    </w:p>
    <w:p>
      <w:pPr>
        <w:ind w:left="580" w:hanging="315"/>
        <w:spacing w:after="0"/>
        <w:tabs>
          <w:tab w:leader="none" w:pos="5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trade area dynamics; and</w:t>
      </w:r>
    </w:p>
    <w:p>
      <w:pPr>
        <w:spacing w:after="0" w:line="9" w:lineRule="exact"/>
        <w:rPr>
          <w:rFonts w:ascii="Arial" w:cs="Arial" w:eastAsia="Arial" w:hAnsi="Arial"/>
          <w:sz w:val="18"/>
          <w:szCs w:val="18"/>
          <w:color w:val="auto"/>
        </w:rPr>
      </w:pPr>
    </w:p>
    <w:p>
      <w:pPr>
        <w:ind w:left="580" w:hanging="315"/>
        <w:spacing w:after="0"/>
        <w:tabs>
          <w:tab w:leader="none" w:pos="5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opening of new stores in the vicinity of existing locations.</w:t>
      </w:r>
    </w:p>
    <w:p>
      <w:pPr>
        <w:spacing w:after="0" w:line="21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Consistent with common industry practice, we present same store sales as compared to the same period in the prior year for all stores that have been open and for which monthly membership dues have been billed for longer than 12 months, beginning with the 13</w:t>
      </w:r>
      <w:r>
        <w:rPr>
          <w:rFonts w:ascii="Arial" w:cs="Arial" w:eastAsia="Arial" w:hAnsi="Arial"/>
          <w:sz w:val="16"/>
          <w:szCs w:val="16"/>
          <w:color w:val="auto"/>
        </w:rPr>
        <w:t>th</w:t>
      </w:r>
      <w:r>
        <w:rPr>
          <w:rFonts w:ascii="Arial" w:cs="Arial" w:eastAsia="Arial" w:hAnsi="Arial"/>
          <w:sz w:val="18"/>
          <w:szCs w:val="18"/>
          <w:color w:val="auto"/>
        </w:rPr>
        <w:t xml:space="preserve"> month and thereafter, as applicable. Same store sales of our international stores are calculated on a constant currency basis, meaning that we translate the current year’s same store sales of our international stores at the same exchange rates used in the prior year. Since opening new stores will be a significant component of our revenue growth, same store sales is only one measure of how we evaluate our performance.</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420"/>
          </w:cols>
          <w:pgMar w:left="240" w:top="233" w:right="239" w:bottom="1440" w:gutter="0" w:footer="0" w:header="0"/>
        </w:sectPr>
      </w:pPr>
    </w:p>
    <w:bookmarkStart w:id="33" w:name="page34"/>
    <w:bookmarkEnd w:id="3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6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Stores acquired from or sold to franchisees are removed from the franchisee-owned or corporate-owned same store sales base, as applicable, upon the ownership change and for the 12 months following the date of the ownership change. These stores are included in the corporate-owned or franchisee-owned same store sales base, as applicable, following the 12th month after the acquisition or sale. These stores remain in the system-wide same store sales base in all periods.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shows our same store sales for the three and six months ended June 30, 2018 and 2017:</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880" w:type="dxa"/>
            <w:vAlign w:val="bottom"/>
          </w:tcPr>
          <w:p>
            <w:pPr>
              <w:spacing w:after="0"/>
              <w:rPr>
                <w:sz w:val="16"/>
                <w:szCs w:val="16"/>
                <w:color w:val="auto"/>
              </w:rPr>
            </w:pPr>
          </w:p>
        </w:tc>
        <w:tc>
          <w:tcPr>
            <w:tcW w:w="2560" w:type="dxa"/>
            <w:vAlign w:val="bottom"/>
            <w:gridSpan w:val="4"/>
          </w:tcPr>
          <w:p>
            <w:pPr>
              <w:ind w:left="340"/>
              <w:spacing w:after="0"/>
              <w:rPr>
                <w:sz w:val="20"/>
                <w:szCs w:val="20"/>
                <w:color w:val="auto"/>
              </w:rPr>
            </w:pPr>
            <w:r>
              <w:rPr>
                <w:rFonts w:ascii="Arial" w:cs="Arial" w:eastAsia="Arial" w:hAnsi="Arial"/>
                <w:sz w:val="14"/>
                <w:szCs w:val="14"/>
                <w:b w:val="1"/>
                <w:bCs w:val="1"/>
                <w:color w:val="auto"/>
              </w:rPr>
              <w:t>Three months ended June 30,</w:t>
            </w:r>
          </w:p>
        </w:tc>
        <w:tc>
          <w:tcPr>
            <w:tcW w:w="2820" w:type="dxa"/>
            <w:vAlign w:val="bottom"/>
            <w:gridSpan w:val="4"/>
          </w:tcPr>
          <w:p>
            <w:pPr>
              <w:ind w:left="560"/>
              <w:spacing w:after="0"/>
              <w:rPr>
                <w:sz w:val="20"/>
                <w:szCs w:val="20"/>
                <w:color w:val="auto"/>
              </w:rPr>
            </w:pPr>
            <w:r>
              <w:rPr>
                <w:rFonts w:ascii="Arial" w:cs="Arial" w:eastAsia="Arial" w:hAnsi="Arial"/>
                <w:sz w:val="14"/>
                <w:szCs w:val="14"/>
                <w:b w:val="1"/>
                <w:bCs w:val="1"/>
                <w:color w:val="auto"/>
              </w:rPr>
              <w:t>Six months ended June 30,</w:t>
            </w:r>
          </w:p>
        </w:tc>
      </w:tr>
      <w:tr>
        <w:trPr>
          <w:trHeight w:val="264"/>
        </w:trPr>
        <w:tc>
          <w:tcPr>
            <w:tcW w:w="5880" w:type="dxa"/>
            <w:vAlign w:val="bottom"/>
            <w:tcBorders>
              <w:bottom w:val="single" w:sz="8" w:color="CFF0FC"/>
            </w:tcBorders>
          </w:tcPr>
          <w:p>
            <w:pPr>
              <w:spacing w:after="0"/>
              <w:rPr>
                <w:sz w:val="22"/>
                <w:szCs w:val="22"/>
                <w:color w:val="auto"/>
              </w:rPr>
            </w:pPr>
          </w:p>
        </w:tc>
        <w:tc>
          <w:tcPr>
            <w:tcW w:w="1180" w:type="dxa"/>
            <w:vAlign w:val="bottom"/>
            <w:tcBorders>
              <w:top w:val="single" w:sz="8" w:color="auto"/>
              <w:bottom w:val="single" w:sz="8" w:color="auto"/>
            </w:tcBorders>
          </w:tcPr>
          <w:p>
            <w:pPr>
              <w:jc w:val="right"/>
              <w:ind w:right="354"/>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bottom w:val="single" w:sz="8" w:color="CFF0FC"/>
            </w:tcBorders>
          </w:tcPr>
          <w:p>
            <w:pPr>
              <w:spacing w:after="0"/>
              <w:rPr>
                <w:sz w:val="22"/>
                <w:szCs w:val="22"/>
                <w:color w:val="auto"/>
              </w:rPr>
            </w:pPr>
          </w:p>
        </w:tc>
        <w:tc>
          <w:tcPr>
            <w:tcW w:w="1180" w:type="dxa"/>
            <w:vAlign w:val="bottom"/>
            <w:tcBorders>
              <w:top w:val="single" w:sz="8" w:color="auto"/>
              <w:bottom w:val="single" w:sz="8" w:color="auto"/>
            </w:tcBorders>
          </w:tcPr>
          <w:p>
            <w:pPr>
              <w:jc w:val="right"/>
              <w:ind w:right="353"/>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FF0FC"/>
            </w:tcBorders>
          </w:tcPr>
          <w:p>
            <w:pPr>
              <w:spacing w:after="0"/>
              <w:rPr>
                <w:sz w:val="22"/>
                <w:szCs w:val="22"/>
                <w:color w:val="auto"/>
              </w:rPr>
            </w:pPr>
          </w:p>
        </w:tc>
        <w:tc>
          <w:tcPr>
            <w:tcW w:w="1300" w:type="dxa"/>
            <w:vAlign w:val="bottom"/>
            <w:tcBorders>
              <w:top w:val="single" w:sz="8" w:color="auto"/>
              <w:bottom w:val="single" w:sz="8" w:color="auto"/>
            </w:tcBorders>
          </w:tcPr>
          <w:p>
            <w:pPr>
              <w:jc w:val="right"/>
              <w:ind w:right="414"/>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top w:val="single" w:sz="8" w:color="auto"/>
              <w:bottom w:val="single" w:sz="8" w:color="CFF0FC"/>
            </w:tcBorders>
          </w:tcPr>
          <w:p>
            <w:pPr>
              <w:spacing w:after="0"/>
              <w:rPr>
                <w:sz w:val="22"/>
                <w:szCs w:val="22"/>
                <w:color w:val="auto"/>
              </w:rPr>
            </w:pPr>
          </w:p>
        </w:tc>
        <w:tc>
          <w:tcPr>
            <w:tcW w:w="1280" w:type="dxa"/>
            <w:vAlign w:val="bottom"/>
            <w:tcBorders>
              <w:top w:val="single" w:sz="8" w:color="auto"/>
              <w:bottom w:val="single" w:sz="8" w:color="auto"/>
            </w:tcBorders>
          </w:tcPr>
          <w:p>
            <w:pPr>
              <w:jc w:val="right"/>
              <w:ind w:right="413"/>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FF0FC"/>
            </w:tcBorders>
          </w:tcPr>
          <w:p>
            <w:pPr>
              <w:spacing w:after="0"/>
              <w:rPr>
                <w:sz w:val="22"/>
                <w:szCs w:val="22"/>
                <w:color w:val="auto"/>
              </w:rPr>
            </w:pPr>
          </w:p>
        </w:tc>
      </w:tr>
      <w:tr>
        <w:trPr>
          <w:trHeight w:val="250"/>
        </w:trPr>
        <w:tc>
          <w:tcPr>
            <w:tcW w:w="588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b w:val="1"/>
                <w:bCs w:val="1"/>
                <w:color w:val="auto"/>
              </w:rPr>
              <w:t>Same store sales data</w:t>
            </w:r>
          </w:p>
        </w:tc>
        <w:tc>
          <w:tcPr>
            <w:tcW w:w="1180" w:type="dxa"/>
            <w:vAlign w:val="bottom"/>
            <w:tcBorders>
              <w:bottom w:val="single" w:sz="8" w:color="CFF0FC"/>
            </w:tcBorders>
            <w:shd w:val="clear" w:color="auto" w:fill="CFF0FC"/>
          </w:tcPr>
          <w:p>
            <w:pPr>
              <w:spacing w:after="0"/>
              <w:rPr>
                <w:sz w:val="21"/>
                <w:szCs w:val="21"/>
                <w:color w:val="auto"/>
              </w:rPr>
            </w:pPr>
          </w:p>
        </w:tc>
        <w:tc>
          <w:tcPr>
            <w:tcW w:w="100" w:type="dxa"/>
            <w:vAlign w:val="bottom"/>
            <w:tcBorders>
              <w:bottom w:val="single" w:sz="8" w:color="CFF0FC"/>
            </w:tcBorders>
            <w:shd w:val="clear" w:color="auto" w:fill="CFF0FC"/>
          </w:tcPr>
          <w:p>
            <w:pPr>
              <w:spacing w:after="0"/>
              <w:rPr>
                <w:sz w:val="21"/>
                <w:szCs w:val="21"/>
                <w:color w:val="auto"/>
              </w:rPr>
            </w:pPr>
          </w:p>
        </w:tc>
        <w:tc>
          <w:tcPr>
            <w:tcW w:w="1180" w:type="dxa"/>
            <w:vAlign w:val="bottom"/>
            <w:tcBorders>
              <w:bottom w:val="single" w:sz="8" w:color="CFF0FC"/>
            </w:tcBorders>
            <w:shd w:val="clear" w:color="auto" w:fill="CFF0FC"/>
          </w:tcPr>
          <w:p>
            <w:pPr>
              <w:spacing w:after="0"/>
              <w:rPr>
                <w:sz w:val="21"/>
                <w:szCs w:val="21"/>
                <w:color w:val="auto"/>
              </w:rPr>
            </w:pPr>
          </w:p>
        </w:tc>
        <w:tc>
          <w:tcPr>
            <w:tcW w:w="100" w:type="dxa"/>
            <w:vAlign w:val="bottom"/>
            <w:tcBorders>
              <w:bottom w:val="single" w:sz="8" w:color="CFF0FC"/>
            </w:tcBorders>
            <w:shd w:val="clear" w:color="auto" w:fill="CFF0FC"/>
          </w:tcPr>
          <w:p>
            <w:pPr>
              <w:spacing w:after="0"/>
              <w:rPr>
                <w:sz w:val="21"/>
                <w:szCs w:val="21"/>
                <w:color w:val="auto"/>
              </w:rPr>
            </w:pPr>
          </w:p>
        </w:tc>
        <w:tc>
          <w:tcPr>
            <w:tcW w:w="1300" w:type="dxa"/>
            <w:vAlign w:val="bottom"/>
            <w:tcBorders>
              <w:bottom w:val="single" w:sz="8" w:color="CFF0FC"/>
            </w:tcBorders>
            <w:shd w:val="clear" w:color="auto" w:fill="CFF0FC"/>
          </w:tcPr>
          <w:p>
            <w:pPr>
              <w:spacing w:after="0"/>
              <w:rPr>
                <w:sz w:val="21"/>
                <w:szCs w:val="21"/>
                <w:color w:val="auto"/>
              </w:rPr>
            </w:pPr>
          </w:p>
        </w:tc>
        <w:tc>
          <w:tcPr>
            <w:tcW w:w="120" w:type="dxa"/>
            <w:vAlign w:val="bottom"/>
            <w:tcBorders>
              <w:bottom w:val="single" w:sz="8" w:color="CFF0FC"/>
            </w:tcBorders>
            <w:shd w:val="clear" w:color="auto" w:fill="CFF0FC"/>
          </w:tcPr>
          <w:p>
            <w:pPr>
              <w:spacing w:after="0"/>
              <w:rPr>
                <w:sz w:val="21"/>
                <w:szCs w:val="21"/>
                <w:color w:val="auto"/>
              </w:rPr>
            </w:pPr>
          </w:p>
        </w:tc>
        <w:tc>
          <w:tcPr>
            <w:tcW w:w="1280" w:type="dxa"/>
            <w:vAlign w:val="bottom"/>
            <w:tcBorders>
              <w:bottom w:val="single" w:sz="8" w:color="CFF0FC"/>
            </w:tcBorders>
            <w:shd w:val="clear" w:color="auto" w:fill="CFF0FC"/>
          </w:tcPr>
          <w:p>
            <w:pPr>
              <w:spacing w:after="0"/>
              <w:rPr>
                <w:sz w:val="21"/>
                <w:szCs w:val="21"/>
                <w:color w:val="auto"/>
              </w:rPr>
            </w:pPr>
          </w:p>
        </w:tc>
        <w:tc>
          <w:tcPr>
            <w:tcW w:w="120" w:type="dxa"/>
            <w:vAlign w:val="bottom"/>
            <w:tcBorders>
              <w:bottom w:val="single" w:sz="8" w:color="CFF0FC"/>
            </w:tcBorders>
            <w:shd w:val="clear" w:color="auto" w:fill="CFF0FC"/>
          </w:tcPr>
          <w:p>
            <w:pPr>
              <w:spacing w:after="0"/>
              <w:rPr>
                <w:sz w:val="21"/>
                <w:szCs w:val="21"/>
                <w:color w:val="auto"/>
              </w:rPr>
            </w:pPr>
          </w:p>
        </w:tc>
      </w:tr>
      <w:tr>
        <w:trPr>
          <w:trHeight w:val="243"/>
        </w:trPr>
        <w:tc>
          <w:tcPr>
            <w:tcW w:w="5880" w:type="dxa"/>
            <w:vAlign w:val="bottom"/>
          </w:tcPr>
          <w:p>
            <w:pPr>
              <w:ind w:left="40"/>
              <w:spacing w:after="0"/>
              <w:rPr>
                <w:sz w:val="20"/>
                <w:szCs w:val="20"/>
                <w:color w:val="auto"/>
              </w:rPr>
            </w:pPr>
            <w:r>
              <w:rPr>
                <w:rFonts w:ascii="Arial" w:cs="Arial" w:eastAsia="Arial" w:hAnsi="Arial"/>
                <w:sz w:val="18"/>
                <w:szCs w:val="18"/>
                <w:color w:val="auto"/>
              </w:rPr>
              <w:t>Same store sales growth:</w:t>
            </w:r>
          </w:p>
        </w:tc>
        <w:tc>
          <w:tcPr>
            <w:tcW w:w="1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120" w:type="dxa"/>
            <w:vAlign w:val="bottom"/>
          </w:tcPr>
          <w:p>
            <w:pPr>
              <w:spacing w:after="0"/>
              <w:rPr>
                <w:sz w:val="21"/>
                <w:szCs w:val="21"/>
                <w:color w:val="auto"/>
              </w:rPr>
            </w:pPr>
          </w:p>
        </w:tc>
      </w:tr>
      <w:tr>
        <w:trPr>
          <w:trHeight w:val="27"/>
        </w:trPr>
        <w:tc>
          <w:tcPr>
            <w:tcW w:w="58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r>
      <w:tr>
        <w:trPr>
          <w:trHeight w:val="250"/>
        </w:trPr>
        <w:tc>
          <w:tcPr>
            <w:tcW w:w="588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Franchisee-owned stores</w:t>
            </w:r>
          </w:p>
        </w:tc>
        <w:tc>
          <w:tcPr>
            <w:tcW w:w="118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10.4%</w:t>
            </w:r>
          </w:p>
        </w:tc>
        <w:tc>
          <w:tcPr>
            <w:tcW w:w="100" w:type="dxa"/>
            <w:vAlign w:val="bottom"/>
            <w:tcBorders>
              <w:bottom w:val="single" w:sz="8" w:color="CFF0FC"/>
            </w:tcBorders>
            <w:shd w:val="clear" w:color="auto" w:fill="CFF0FC"/>
          </w:tcPr>
          <w:p>
            <w:pPr>
              <w:spacing w:after="0"/>
              <w:rPr>
                <w:sz w:val="21"/>
                <w:szCs w:val="21"/>
                <w:color w:val="auto"/>
              </w:rPr>
            </w:pPr>
          </w:p>
        </w:tc>
        <w:tc>
          <w:tcPr>
            <w:tcW w:w="118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9.3%</w:t>
            </w:r>
          </w:p>
        </w:tc>
        <w:tc>
          <w:tcPr>
            <w:tcW w:w="100" w:type="dxa"/>
            <w:vAlign w:val="bottom"/>
            <w:tcBorders>
              <w:bottom w:val="single" w:sz="8" w:color="CFF0FC"/>
            </w:tcBorders>
            <w:shd w:val="clear" w:color="auto" w:fill="CFF0FC"/>
          </w:tcPr>
          <w:p>
            <w:pPr>
              <w:spacing w:after="0"/>
              <w:rPr>
                <w:sz w:val="21"/>
                <w:szCs w:val="21"/>
                <w:color w:val="auto"/>
              </w:rPr>
            </w:pPr>
          </w:p>
        </w:tc>
        <w:tc>
          <w:tcPr>
            <w:tcW w:w="130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10.8%</w:t>
            </w:r>
          </w:p>
        </w:tc>
        <w:tc>
          <w:tcPr>
            <w:tcW w:w="120" w:type="dxa"/>
            <w:vAlign w:val="bottom"/>
            <w:tcBorders>
              <w:bottom w:val="single" w:sz="8" w:color="CFF0FC"/>
            </w:tcBorders>
            <w:shd w:val="clear" w:color="auto" w:fill="CFF0FC"/>
          </w:tcPr>
          <w:p>
            <w:pPr>
              <w:spacing w:after="0"/>
              <w:rPr>
                <w:sz w:val="21"/>
                <w:szCs w:val="21"/>
                <w:color w:val="auto"/>
              </w:rPr>
            </w:pPr>
          </w:p>
        </w:tc>
        <w:tc>
          <w:tcPr>
            <w:tcW w:w="128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10.3%</w:t>
            </w:r>
          </w:p>
        </w:tc>
        <w:tc>
          <w:tcPr>
            <w:tcW w:w="120" w:type="dxa"/>
            <w:vAlign w:val="bottom"/>
            <w:tcBorders>
              <w:bottom w:val="single" w:sz="8" w:color="CFF0FC"/>
            </w:tcBorders>
            <w:shd w:val="clear" w:color="auto" w:fill="CFF0FC"/>
          </w:tcPr>
          <w:p>
            <w:pPr>
              <w:spacing w:after="0"/>
              <w:rPr>
                <w:sz w:val="21"/>
                <w:szCs w:val="21"/>
                <w:color w:val="auto"/>
              </w:rPr>
            </w:pPr>
          </w:p>
        </w:tc>
      </w:tr>
      <w:tr>
        <w:trPr>
          <w:trHeight w:val="243"/>
        </w:trPr>
        <w:tc>
          <w:tcPr>
            <w:tcW w:w="5880" w:type="dxa"/>
            <w:vAlign w:val="bottom"/>
          </w:tcPr>
          <w:p>
            <w:pPr>
              <w:ind w:left="280"/>
              <w:spacing w:after="0"/>
              <w:rPr>
                <w:sz w:val="20"/>
                <w:szCs w:val="20"/>
                <w:color w:val="auto"/>
              </w:rPr>
            </w:pPr>
            <w:r>
              <w:rPr>
                <w:rFonts w:ascii="Arial" w:cs="Arial" w:eastAsia="Arial" w:hAnsi="Arial"/>
                <w:sz w:val="18"/>
                <w:szCs w:val="18"/>
                <w:color w:val="auto"/>
              </w:rPr>
              <w:t>Corporate-owned stores</w:t>
            </w:r>
          </w:p>
        </w:tc>
        <w:tc>
          <w:tcPr>
            <w:tcW w:w="1180" w:type="dxa"/>
            <w:vAlign w:val="bottom"/>
          </w:tcPr>
          <w:p>
            <w:pPr>
              <w:jc w:val="right"/>
              <w:spacing w:after="0"/>
              <w:rPr>
                <w:sz w:val="20"/>
                <w:szCs w:val="20"/>
                <w:color w:val="auto"/>
              </w:rPr>
            </w:pPr>
            <w:r>
              <w:rPr>
                <w:rFonts w:ascii="Arial" w:cs="Arial" w:eastAsia="Arial" w:hAnsi="Arial"/>
                <w:sz w:val="18"/>
                <w:szCs w:val="18"/>
                <w:color w:val="auto"/>
              </w:rPr>
              <w:t>5.7%</w:t>
            </w:r>
          </w:p>
        </w:tc>
        <w:tc>
          <w:tcPr>
            <w:tcW w:w="10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4.3%</w:t>
            </w:r>
          </w:p>
        </w:tc>
        <w:tc>
          <w:tcPr>
            <w:tcW w:w="10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5.4%</w:t>
            </w:r>
          </w:p>
        </w:tc>
        <w:tc>
          <w:tcPr>
            <w:tcW w:w="12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4.4%</w:t>
            </w:r>
          </w:p>
        </w:tc>
        <w:tc>
          <w:tcPr>
            <w:tcW w:w="120" w:type="dxa"/>
            <w:vAlign w:val="bottom"/>
          </w:tcPr>
          <w:p>
            <w:pPr>
              <w:spacing w:after="0"/>
              <w:rPr>
                <w:sz w:val="21"/>
                <w:szCs w:val="21"/>
                <w:color w:val="auto"/>
              </w:rPr>
            </w:pPr>
          </w:p>
        </w:tc>
      </w:tr>
      <w:tr>
        <w:trPr>
          <w:trHeight w:val="27"/>
        </w:trPr>
        <w:tc>
          <w:tcPr>
            <w:tcW w:w="58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r>
      <w:tr>
        <w:trPr>
          <w:trHeight w:val="250"/>
        </w:trPr>
        <w:tc>
          <w:tcPr>
            <w:tcW w:w="588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Total stores</w:t>
            </w:r>
          </w:p>
        </w:tc>
        <w:tc>
          <w:tcPr>
            <w:tcW w:w="118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10.2%</w:t>
            </w:r>
          </w:p>
        </w:tc>
        <w:tc>
          <w:tcPr>
            <w:tcW w:w="100" w:type="dxa"/>
            <w:vAlign w:val="bottom"/>
            <w:tcBorders>
              <w:bottom w:val="single" w:sz="8" w:color="CFF0FC"/>
            </w:tcBorders>
            <w:shd w:val="clear" w:color="auto" w:fill="CFF0FC"/>
          </w:tcPr>
          <w:p>
            <w:pPr>
              <w:spacing w:after="0"/>
              <w:rPr>
                <w:sz w:val="21"/>
                <w:szCs w:val="21"/>
                <w:color w:val="auto"/>
              </w:rPr>
            </w:pPr>
          </w:p>
        </w:tc>
        <w:tc>
          <w:tcPr>
            <w:tcW w:w="118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9.0%</w:t>
            </w:r>
          </w:p>
        </w:tc>
        <w:tc>
          <w:tcPr>
            <w:tcW w:w="100" w:type="dxa"/>
            <w:vAlign w:val="bottom"/>
            <w:tcBorders>
              <w:bottom w:val="single" w:sz="8" w:color="CFF0FC"/>
            </w:tcBorders>
            <w:shd w:val="clear" w:color="auto" w:fill="CFF0FC"/>
          </w:tcPr>
          <w:p>
            <w:pPr>
              <w:spacing w:after="0"/>
              <w:rPr>
                <w:sz w:val="21"/>
                <w:szCs w:val="21"/>
                <w:color w:val="auto"/>
              </w:rPr>
            </w:pPr>
          </w:p>
        </w:tc>
        <w:tc>
          <w:tcPr>
            <w:tcW w:w="130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10.6%</w:t>
            </w:r>
          </w:p>
        </w:tc>
        <w:tc>
          <w:tcPr>
            <w:tcW w:w="120" w:type="dxa"/>
            <w:vAlign w:val="bottom"/>
            <w:tcBorders>
              <w:bottom w:val="single" w:sz="8" w:color="CFF0FC"/>
            </w:tcBorders>
            <w:shd w:val="clear" w:color="auto" w:fill="CFF0FC"/>
          </w:tcPr>
          <w:p>
            <w:pPr>
              <w:spacing w:after="0"/>
              <w:rPr>
                <w:sz w:val="21"/>
                <w:szCs w:val="21"/>
                <w:color w:val="auto"/>
              </w:rPr>
            </w:pPr>
          </w:p>
        </w:tc>
        <w:tc>
          <w:tcPr>
            <w:tcW w:w="128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10.0%</w:t>
            </w:r>
          </w:p>
        </w:tc>
        <w:tc>
          <w:tcPr>
            <w:tcW w:w="120" w:type="dxa"/>
            <w:vAlign w:val="bottom"/>
            <w:tcBorders>
              <w:bottom w:val="single" w:sz="8" w:color="CFF0FC"/>
            </w:tcBorders>
            <w:shd w:val="clear" w:color="auto" w:fill="CFF0FC"/>
          </w:tcPr>
          <w:p>
            <w:pPr>
              <w:spacing w:after="0"/>
              <w:rPr>
                <w:sz w:val="21"/>
                <w:szCs w:val="21"/>
                <w:color w:val="auto"/>
              </w:rPr>
            </w:pPr>
          </w:p>
        </w:tc>
      </w:tr>
      <w:tr>
        <w:trPr>
          <w:trHeight w:val="243"/>
        </w:trPr>
        <w:tc>
          <w:tcPr>
            <w:tcW w:w="5880" w:type="dxa"/>
            <w:vAlign w:val="bottom"/>
          </w:tcPr>
          <w:p>
            <w:pPr>
              <w:ind w:left="40"/>
              <w:spacing w:after="0"/>
              <w:rPr>
                <w:sz w:val="20"/>
                <w:szCs w:val="20"/>
                <w:color w:val="auto"/>
              </w:rPr>
            </w:pPr>
            <w:r>
              <w:rPr>
                <w:rFonts w:ascii="Arial" w:cs="Arial" w:eastAsia="Arial" w:hAnsi="Arial"/>
                <w:sz w:val="18"/>
                <w:szCs w:val="18"/>
                <w:color w:val="auto"/>
              </w:rPr>
              <w:t>Number of stores in same store sales base:</w:t>
            </w:r>
          </w:p>
        </w:tc>
        <w:tc>
          <w:tcPr>
            <w:tcW w:w="1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120" w:type="dxa"/>
            <w:vAlign w:val="bottom"/>
          </w:tcPr>
          <w:p>
            <w:pPr>
              <w:spacing w:after="0"/>
              <w:rPr>
                <w:sz w:val="21"/>
                <w:szCs w:val="21"/>
                <w:color w:val="auto"/>
              </w:rPr>
            </w:pPr>
          </w:p>
        </w:tc>
      </w:tr>
      <w:tr>
        <w:trPr>
          <w:trHeight w:val="27"/>
        </w:trPr>
        <w:tc>
          <w:tcPr>
            <w:tcW w:w="58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r>
      <w:tr>
        <w:trPr>
          <w:trHeight w:val="250"/>
        </w:trPr>
        <w:tc>
          <w:tcPr>
            <w:tcW w:w="588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Franchisee-owned stores</w:t>
            </w:r>
          </w:p>
        </w:tc>
        <w:tc>
          <w:tcPr>
            <w:tcW w:w="1180" w:type="dxa"/>
            <w:vAlign w:val="bottom"/>
            <w:tcBorders>
              <w:bottom w:val="single" w:sz="8" w:color="CFF0FC"/>
            </w:tcBorders>
            <w:shd w:val="clear" w:color="auto" w:fill="CFF0FC"/>
          </w:tcPr>
          <w:p>
            <w:pPr>
              <w:jc w:val="right"/>
              <w:ind w:right="114"/>
              <w:spacing w:after="0"/>
              <w:rPr>
                <w:sz w:val="20"/>
                <w:szCs w:val="20"/>
                <w:color w:val="auto"/>
              </w:rPr>
            </w:pPr>
            <w:r>
              <w:rPr>
                <w:rFonts w:ascii="Arial" w:cs="Arial" w:eastAsia="Arial" w:hAnsi="Arial"/>
                <w:sz w:val="18"/>
                <w:szCs w:val="18"/>
                <w:color w:val="auto"/>
              </w:rPr>
              <w:t>1,328</w:t>
            </w:r>
          </w:p>
        </w:tc>
        <w:tc>
          <w:tcPr>
            <w:tcW w:w="100" w:type="dxa"/>
            <w:vAlign w:val="bottom"/>
            <w:tcBorders>
              <w:bottom w:val="single" w:sz="8" w:color="CFF0FC"/>
            </w:tcBorders>
            <w:shd w:val="clear" w:color="auto" w:fill="CFF0FC"/>
          </w:tcPr>
          <w:p>
            <w:pPr>
              <w:spacing w:after="0"/>
              <w:rPr>
                <w:sz w:val="21"/>
                <w:szCs w:val="21"/>
                <w:color w:val="auto"/>
              </w:rPr>
            </w:pPr>
          </w:p>
        </w:tc>
        <w:tc>
          <w:tcPr>
            <w:tcW w:w="1180" w:type="dxa"/>
            <w:vAlign w:val="bottom"/>
            <w:tcBorders>
              <w:bottom w:val="single" w:sz="8" w:color="CFF0FC"/>
            </w:tcBorders>
            <w:shd w:val="clear" w:color="auto" w:fill="CFF0FC"/>
          </w:tcPr>
          <w:p>
            <w:pPr>
              <w:jc w:val="right"/>
              <w:ind w:right="93"/>
              <w:spacing w:after="0"/>
              <w:rPr>
                <w:sz w:val="20"/>
                <w:szCs w:val="20"/>
                <w:color w:val="auto"/>
              </w:rPr>
            </w:pPr>
            <w:r>
              <w:rPr>
                <w:rFonts w:ascii="Arial" w:cs="Arial" w:eastAsia="Arial" w:hAnsi="Arial"/>
                <w:sz w:val="18"/>
                <w:szCs w:val="18"/>
                <w:color w:val="auto"/>
              </w:rPr>
              <w:t>1,138</w:t>
            </w:r>
          </w:p>
        </w:tc>
        <w:tc>
          <w:tcPr>
            <w:tcW w:w="100" w:type="dxa"/>
            <w:vAlign w:val="bottom"/>
            <w:tcBorders>
              <w:bottom w:val="single" w:sz="8" w:color="CFF0FC"/>
            </w:tcBorders>
            <w:shd w:val="clear" w:color="auto" w:fill="CFF0FC"/>
          </w:tcPr>
          <w:p>
            <w:pPr>
              <w:spacing w:after="0"/>
              <w:rPr>
                <w:sz w:val="21"/>
                <w:szCs w:val="21"/>
                <w:color w:val="auto"/>
              </w:rPr>
            </w:pPr>
          </w:p>
        </w:tc>
        <w:tc>
          <w:tcPr>
            <w:tcW w:w="1300" w:type="dxa"/>
            <w:vAlign w:val="bottom"/>
            <w:tcBorders>
              <w:bottom w:val="single" w:sz="8" w:color="CFF0FC"/>
            </w:tcBorders>
            <w:shd w:val="clear" w:color="auto" w:fill="CFF0FC"/>
          </w:tcPr>
          <w:p>
            <w:pPr>
              <w:jc w:val="right"/>
              <w:ind w:right="94"/>
              <w:spacing w:after="0"/>
              <w:rPr>
                <w:sz w:val="20"/>
                <w:szCs w:val="20"/>
                <w:color w:val="auto"/>
              </w:rPr>
            </w:pPr>
            <w:r>
              <w:rPr>
                <w:rFonts w:ascii="Arial" w:cs="Arial" w:eastAsia="Arial" w:hAnsi="Arial"/>
                <w:sz w:val="18"/>
                <w:szCs w:val="18"/>
                <w:color w:val="auto"/>
              </w:rPr>
              <w:t>1,328</w:t>
            </w:r>
          </w:p>
        </w:tc>
        <w:tc>
          <w:tcPr>
            <w:tcW w:w="120" w:type="dxa"/>
            <w:vAlign w:val="bottom"/>
            <w:tcBorders>
              <w:bottom w:val="single" w:sz="8" w:color="CFF0FC"/>
            </w:tcBorders>
            <w:shd w:val="clear" w:color="auto" w:fill="CFF0FC"/>
          </w:tcPr>
          <w:p>
            <w:pPr>
              <w:spacing w:after="0"/>
              <w:rPr>
                <w:sz w:val="21"/>
                <w:szCs w:val="21"/>
                <w:color w:val="auto"/>
              </w:rPr>
            </w:pPr>
          </w:p>
        </w:tc>
        <w:tc>
          <w:tcPr>
            <w:tcW w:w="1280" w:type="dxa"/>
            <w:vAlign w:val="bottom"/>
            <w:tcBorders>
              <w:bottom w:val="single" w:sz="8" w:color="CFF0FC"/>
            </w:tcBorders>
            <w:shd w:val="clear" w:color="auto" w:fill="CFF0FC"/>
          </w:tcPr>
          <w:p>
            <w:pPr>
              <w:jc w:val="right"/>
              <w:ind w:right="93"/>
              <w:spacing w:after="0"/>
              <w:rPr>
                <w:sz w:val="20"/>
                <w:szCs w:val="20"/>
                <w:color w:val="auto"/>
              </w:rPr>
            </w:pPr>
            <w:r>
              <w:rPr>
                <w:rFonts w:ascii="Arial" w:cs="Arial" w:eastAsia="Arial" w:hAnsi="Arial"/>
                <w:sz w:val="18"/>
                <w:szCs w:val="18"/>
                <w:color w:val="auto"/>
              </w:rPr>
              <w:t>1,138</w:t>
            </w:r>
          </w:p>
        </w:tc>
        <w:tc>
          <w:tcPr>
            <w:tcW w:w="120" w:type="dxa"/>
            <w:vAlign w:val="bottom"/>
            <w:tcBorders>
              <w:bottom w:val="single" w:sz="8" w:color="CFF0FC"/>
            </w:tcBorders>
            <w:shd w:val="clear" w:color="auto" w:fill="CFF0FC"/>
          </w:tcPr>
          <w:p>
            <w:pPr>
              <w:spacing w:after="0"/>
              <w:rPr>
                <w:sz w:val="21"/>
                <w:szCs w:val="21"/>
                <w:color w:val="auto"/>
              </w:rPr>
            </w:pPr>
          </w:p>
        </w:tc>
      </w:tr>
      <w:tr>
        <w:trPr>
          <w:trHeight w:val="243"/>
        </w:trPr>
        <w:tc>
          <w:tcPr>
            <w:tcW w:w="5880" w:type="dxa"/>
            <w:vAlign w:val="bottom"/>
          </w:tcPr>
          <w:p>
            <w:pPr>
              <w:ind w:left="280"/>
              <w:spacing w:after="0"/>
              <w:rPr>
                <w:sz w:val="20"/>
                <w:szCs w:val="20"/>
                <w:color w:val="auto"/>
              </w:rPr>
            </w:pPr>
            <w:r>
              <w:rPr>
                <w:rFonts w:ascii="Arial" w:cs="Arial" w:eastAsia="Arial" w:hAnsi="Arial"/>
                <w:sz w:val="18"/>
                <w:szCs w:val="18"/>
                <w:color w:val="auto"/>
              </w:rPr>
              <w:t>Corporate-owned stores</w:t>
            </w:r>
          </w:p>
        </w:tc>
        <w:tc>
          <w:tcPr>
            <w:tcW w:w="1180" w:type="dxa"/>
            <w:vAlign w:val="bottom"/>
          </w:tcPr>
          <w:p>
            <w:pPr>
              <w:jc w:val="right"/>
              <w:ind w:right="114"/>
              <w:spacing w:after="0"/>
              <w:rPr>
                <w:sz w:val="20"/>
                <w:szCs w:val="20"/>
                <w:color w:val="auto"/>
              </w:rPr>
            </w:pPr>
            <w:r>
              <w:rPr>
                <w:rFonts w:ascii="Arial" w:cs="Arial" w:eastAsia="Arial" w:hAnsi="Arial"/>
                <w:sz w:val="18"/>
                <w:szCs w:val="18"/>
                <w:color w:val="auto"/>
              </w:rPr>
              <w:t>58</w:t>
            </w:r>
          </w:p>
        </w:tc>
        <w:tc>
          <w:tcPr>
            <w:tcW w:w="100" w:type="dxa"/>
            <w:vAlign w:val="bottom"/>
          </w:tcPr>
          <w:p>
            <w:pPr>
              <w:spacing w:after="0"/>
              <w:rPr>
                <w:sz w:val="21"/>
                <w:szCs w:val="21"/>
                <w:color w:val="auto"/>
              </w:rPr>
            </w:pPr>
          </w:p>
        </w:tc>
        <w:tc>
          <w:tcPr>
            <w:tcW w:w="1180" w:type="dxa"/>
            <w:vAlign w:val="bottom"/>
          </w:tcPr>
          <w:p>
            <w:pPr>
              <w:jc w:val="right"/>
              <w:ind w:right="93"/>
              <w:spacing w:after="0"/>
              <w:rPr>
                <w:sz w:val="20"/>
                <w:szCs w:val="20"/>
                <w:color w:val="auto"/>
              </w:rPr>
            </w:pPr>
            <w:r>
              <w:rPr>
                <w:rFonts w:ascii="Arial" w:cs="Arial" w:eastAsia="Arial" w:hAnsi="Arial"/>
                <w:sz w:val="18"/>
                <w:szCs w:val="18"/>
                <w:color w:val="auto"/>
              </w:rPr>
              <w:t>58</w:t>
            </w:r>
          </w:p>
        </w:tc>
        <w:tc>
          <w:tcPr>
            <w:tcW w:w="100" w:type="dxa"/>
            <w:vAlign w:val="bottom"/>
          </w:tcPr>
          <w:p>
            <w:pPr>
              <w:spacing w:after="0"/>
              <w:rPr>
                <w:sz w:val="21"/>
                <w:szCs w:val="21"/>
                <w:color w:val="auto"/>
              </w:rPr>
            </w:pPr>
          </w:p>
        </w:tc>
        <w:tc>
          <w:tcPr>
            <w:tcW w:w="1300" w:type="dxa"/>
            <w:vAlign w:val="bottom"/>
          </w:tcPr>
          <w:p>
            <w:pPr>
              <w:jc w:val="right"/>
              <w:ind w:right="94"/>
              <w:spacing w:after="0"/>
              <w:rPr>
                <w:sz w:val="20"/>
                <w:szCs w:val="20"/>
                <w:color w:val="auto"/>
              </w:rPr>
            </w:pPr>
            <w:r>
              <w:rPr>
                <w:rFonts w:ascii="Arial" w:cs="Arial" w:eastAsia="Arial" w:hAnsi="Arial"/>
                <w:sz w:val="18"/>
                <w:szCs w:val="18"/>
                <w:color w:val="auto"/>
              </w:rPr>
              <w:t>58</w:t>
            </w:r>
          </w:p>
        </w:tc>
        <w:tc>
          <w:tcPr>
            <w:tcW w:w="120" w:type="dxa"/>
            <w:vAlign w:val="bottom"/>
          </w:tcPr>
          <w:p>
            <w:pPr>
              <w:spacing w:after="0"/>
              <w:rPr>
                <w:sz w:val="21"/>
                <w:szCs w:val="21"/>
                <w:color w:val="auto"/>
              </w:rPr>
            </w:pPr>
          </w:p>
        </w:tc>
        <w:tc>
          <w:tcPr>
            <w:tcW w:w="1280" w:type="dxa"/>
            <w:vAlign w:val="bottom"/>
          </w:tcPr>
          <w:p>
            <w:pPr>
              <w:jc w:val="right"/>
              <w:ind w:right="93"/>
              <w:spacing w:after="0"/>
              <w:rPr>
                <w:sz w:val="20"/>
                <w:szCs w:val="20"/>
                <w:color w:val="auto"/>
              </w:rPr>
            </w:pPr>
            <w:r>
              <w:rPr>
                <w:rFonts w:ascii="Arial" w:cs="Arial" w:eastAsia="Arial" w:hAnsi="Arial"/>
                <w:sz w:val="18"/>
                <w:szCs w:val="18"/>
                <w:color w:val="auto"/>
              </w:rPr>
              <w:t>58</w:t>
            </w:r>
          </w:p>
        </w:tc>
        <w:tc>
          <w:tcPr>
            <w:tcW w:w="120" w:type="dxa"/>
            <w:vAlign w:val="bottom"/>
          </w:tcPr>
          <w:p>
            <w:pPr>
              <w:spacing w:after="0"/>
              <w:rPr>
                <w:sz w:val="21"/>
                <w:szCs w:val="21"/>
                <w:color w:val="auto"/>
              </w:rPr>
            </w:pPr>
          </w:p>
        </w:tc>
      </w:tr>
      <w:tr>
        <w:trPr>
          <w:trHeight w:val="27"/>
        </w:trPr>
        <w:tc>
          <w:tcPr>
            <w:tcW w:w="58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r>
      <w:tr>
        <w:trPr>
          <w:trHeight w:val="243"/>
        </w:trPr>
        <w:tc>
          <w:tcPr>
            <w:tcW w:w="5880" w:type="dxa"/>
            <w:vAlign w:val="bottom"/>
            <w:shd w:val="clear" w:color="auto" w:fill="CFF0FC"/>
          </w:tcPr>
          <w:p>
            <w:pPr>
              <w:ind w:left="280"/>
              <w:spacing w:after="0"/>
              <w:rPr>
                <w:sz w:val="20"/>
                <w:szCs w:val="20"/>
                <w:color w:val="auto"/>
              </w:rPr>
            </w:pPr>
            <w:r>
              <w:rPr>
                <w:rFonts w:ascii="Arial" w:cs="Arial" w:eastAsia="Arial" w:hAnsi="Arial"/>
                <w:sz w:val="18"/>
                <w:szCs w:val="18"/>
                <w:color w:val="auto"/>
              </w:rPr>
              <w:t>Total stores</w:t>
            </w:r>
          </w:p>
        </w:tc>
        <w:tc>
          <w:tcPr>
            <w:tcW w:w="1180" w:type="dxa"/>
            <w:vAlign w:val="bottom"/>
            <w:shd w:val="clear" w:color="auto" w:fill="CFF0FC"/>
          </w:tcPr>
          <w:p>
            <w:pPr>
              <w:jc w:val="right"/>
              <w:ind w:right="114"/>
              <w:spacing w:after="0"/>
              <w:rPr>
                <w:sz w:val="20"/>
                <w:szCs w:val="20"/>
                <w:color w:val="auto"/>
              </w:rPr>
            </w:pPr>
            <w:r>
              <w:rPr>
                <w:rFonts w:ascii="Arial" w:cs="Arial" w:eastAsia="Arial" w:hAnsi="Arial"/>
                <w:sz w:val="18"/>
                <w:szCs w:val="18"/>
                <w:color w:val="auto"/>
              </w:rPr>
              <w:t>1,392</w:t>
            </w:r>
          </w:p>
        </w:tc>
        <w:tc>
          <w:tcPr>
            <w:tcW w:w="100" w:type="dxa"/>
            <w:vAlign w:val="bottom"/>
            <w:shd w:val="clear" w:color="auto" w:fill="CFF0FC"/>
          </w:tcPr>
          <w:p>
            <w:pPr>
              <w:spacing w:after="0"/>
              <w:rPr>
                <w:sz w:val="21"/>
                <w:szCs w:val="21"/>
                <w:color w:val="auto"/>
              </w:rPr>
            </w:pPr>
          </w:p>
        </w:tc>
        <w:tc>
          <w:tcPr>
            <w:tcW w:w="1180" w:type="dxa"/>
            <w:vAlign w:val="bottom"/>
            <w:shd w:val="clear" w:color="auto" w:fill="CFF0FC"/>
          </w:tcPr>
          <w:p>
            <w:pPr>
              <w:jc w:val="right"/>
              <w:ind w:right="93"/>
              <w:spacing w:after="0"/>
              <w:rPr>
                <w:sz w:val="20"/>
                <w:szCs w:val="20"/>
                <w:color w:val="auto"/>
              </w:rPr>
            </w:pPr>
            <w:r>
              <w:rPr>
                <w:rFonts w:ascii="Arial" w:cs="Arial" w:eastAsia="Arial" w:hAnsi="Arial"/>
                <w:sz w:val="18"/>
                <w:szCs w:val="18"/>
                <w:color w:val="auto"/>
              </w:rPr>
              <w:t>1,196</w:t>
            </w:r>
          </w:p>
        </w:tc>
        <w:tc>
          <w:tcPr>
            <w:tcW w:w="100" w:type="dxa"/>
            <w:vAlign w:val="bottom"/>
            <w:shd w:val="clear" w:color="auto" w:fill="CFF0FC"/>
          </w:tcPr>
          <w:p>
            <w:pPr>
              <w:spacing w:after="0"/>
              <w:rPr>
                <w:sz w:val="21"/>
                <w:szCs w:val="21"/>
                <w:color w:val="auto"/>
              </w:rPr>
            </w:pPr>
          </w:p>
        </w:tc>
        <w:tc>
          <w:tcPr>
            <w:tcW w:w="1300" w:type="dxa"/>
            <w:vAlign w:val="bottom"/>
            <w:shd w:val="clear" w:color="auto" w:fill="CFF0FC"/>
          </w:tcPr>
          <w:p>
            <w:pPr>
              <w:jc w:val="right"/>
              <w:ind w:right="94"/>
              <w:spacing w:after="0"/>
              <w:rPr>
                <w:sz w:val="20"/>
                <w:szCs w:val="20"/>
                <w:color w:val="auto"/>
              </w:rPr>
            </w:pPr>
            <w:r>
              <w:rPr>
                <w:rFonts w:ascii="Arial" w:cs="Arial" w:eastAsia="Arial" w:hAnsi="Arial"/>
                <w:sz w:val="18"/>
                <w:szCs w:val="18"/>
                <w:color w:val="auto"/>
              </w:rPr>
              <w:t>1,392</w:t>
            </w:r>
          </w:p>
        </w:tc>
        <w:tc>
          <w:tcPr>
            <w:tcW w:w="120" w:type="dxa"/>
            <w:vAlign w:val="bottom"/>
            <w:shd w:val="clear" w:color="auto" w:fill="CFF0FC"/>
          </w:tcPr>
          <w:p>
            <w:pPr>
              <w:spacing w:after="0"/>
              <w:rPr>
                <w:sz w:val="21"/>
                <w:szCs w:val="21"/>
                <w:color w:val="auto"/>
              </w:rPr>
            </w:pPr>
          </w:p>
        </w:tc>
        <w:tc>
          <w:tcPr>
            <w:tcW w:w="1280" w:type="dxa"/>
            <w:vAlign w:val="bottom"/>
            <w:shd w:val="clear" w:color="auto" w:fill="CFF0FC"/>
          </w:tcPr>
          <w:p>
            <w:pPr>
              <w:jc w:val="right"/>
              <w:ind w:right="93"/>
              <w:spacing w:after="0"/>
              <w:rPr>
                <w:sz w:val="20"/>
                <w:szCs w:val="20"/>
                <w:color w:val="auto"/>
              </w:rPr>
            </w:pPr>
            <w:r>
              <w:rPr>
                <w:rFonts w:ascii="Arial" w:cs="Arial" w:eastAsia="Arial" w:hAnsi="Arial"/>
                <w:sz w:val="18"/>
                <w:szCs w:val="18"/>
                <w:color w:val="auto"/>
              </w:rPr>
              <w:t>1,196</w:t>
            </w:r>
          </w:p>
        </w:tc>
        <w:tc>
          <w:tcPr>
            <w:tcW w:w="120" w:type="dxa"/>
            <w:vAlign w:val="bottom"/>
            <w:shd w:val="clear" w:color="auto" w:fill="CFF0FC"/>
          </w:tcPr>
          <w:p>
            <w:pPr>
              <w:spacing w:after="0"/>
              <w:rPr>
                <w:sz w:val="21"/>
                <w:szCs w:val="21"/>
                <w:color w:val="auto"/>
              </w:rPr>
            </w:pPr>
          </w:p>
        </w:tc>
      </w:tr>
      <w:tr>
        <w:trPr>
          <w:trHeight w:val="27"/>
        </w:trPr>
        <w:tc>
          <w:tcPr>
            <w:tcW w:w="5880" w:type="dxa"/>
            <w:vAlign w:val="bottom"/>
            <w:shd w:val="clear" w:color="auto" w:fill="CFF0FC"/>
          </w:tcPr>
          <w:p>
            <w:pPr>
              <w:spacing w:after="0"/>
              <w:rPr>
                <w:sz w:val="2"/>
                <w:szCs w:val="2"/>
                <w:color w:val="auto"/>
              </w:rPr>
            </w:pPr>
          </w:p>
        </w:tc>
        <w:tc>
          <w:tcPr>
            <w:tcW w:w="1180" w:type="dxa"/>
            <w:vAlign w:val="bottom"/>
            <w:shd w:val="clear" w:color="auto" w:fill="CFF0FC"/>
          </w:tcPr>
          <w:p>
            <w:pPr>
              <w:spacing w:after="0"/>
              <w:rPr>
                <w:sz w:val="2"/>
                <w:szCs w:val="2"/>
                <w:color w:val="auto"/>
              </w:rPr>
            </w:pPr>
          </w:p>
        </w:tc>
        <w:tc>
          <w:tcPr>
            <w:tcW w:w="100" w:type="dxa"/>
            <w:vAlign w:val="bottom"/>
            <w:shd w:val="clear" w:color="auto" w:fill="CFF0FC"/>
          </w:tcPr>
          <w:p>
            <w:pPr>
              <w:spacing w:after="0"/>
              <w:rPr>
                <w:sz w:val="2"/>
                <w:szCs w:val="2"/>
                <w:color w:val="auto"/>
              </w:rPr>
            </w:pPr>
          </w:p>
        </w:tc>
        <w:tc>
          <w:tcPr>
            <w:tcW w:w="1180" w:type="dxa"/>
            <w:vAlign w:val="bottom"/>
            <w:shd w:val="clear" w:color="auto" w:fill="CFF0FC"/>
          </w:tcPr>
          <w:p>
            <w:pPr>
              <w:spacing w:after="0"/>
              <w:rPr>
                <w:sz w:val="2"/>
                <w:szCs w:val="2"/>
                <w:color w:val="auto"/>
              </w:rPr>
            </w:pPr>
          </w:p>
        </w:tc>
        <w:tc>
          <w:tcPr>
            <w:tcW w:w="100" w:type="dxa"/>
            <w:vAlign w:val="bottom"/>
            <w:shd w:val="clear" w:color="auto" w:fill="CFF0FC"/>
          </w:tcPr>
          <w:p>
            <w:pPr>
              <w:spacing w:after="0"/>
              <w:rPr>
                <w:sz w:val="2"/>
                <w:szCs w:val="2"/>
                <w:color w:val="auto"/>
              </w:rPr>
            </w:pPr>
          </w:p>
        </w:tc>
        <w:tc>
          <w:tcPr>
            <w:tcW w:w="1300" w:type="dxa"/>
            <w:vAlign w:val="bottom"/>
            <w:shd w:val="clear" w:color="auto" w:fill="CFF0FC"/>
          </w:tcPr>
          <w:p>
            <w:pPr>
              <w:spacing w:after="0"/>
              <w:rPr>
                <w:sz w:val="2"/>
                <w:szCs w:val="2"/>
                <w:color w:val="auto"/>
              </w:rPr>
            </w:pPr>
          </w:p>
        </w:tc>
        <w:tc>
          <w:tcPr>
            <w:tcW w:w="120" w:type="dxa"/>
            <w:vAlign w:val="bottom"/>
            <w:shd w:val="clear" w:color="auto" w:fill="CFF0FC"/>
          </w:tcPr>
          <w:p>
            <w:pPr>
              <w:spacing w:after="0"/>
              <w:rPr>
                <w:sz w:val="2"/>
                <w:szCs w:val="2"/>
                <w:color w:val="auto"/>
              </w:rPr>
            </w:pPr>
          </w:p>
        </w:tc>
        <w:tc>
          <w:tcPr>
            <w:tcW w:w="1280" w:type="dxa"/>
            <w:vAlign w:val="bottom"/>
            <w:shd w:val="clear" w:color="auto" w:fill="CFF0FC"/>
          </w:tcPr>
          <w:p>
            <w:pPr>
              <w:spacing w:after="0"/>
              <w:rPr>
                <w:sz w:val="2"/>
                <w:szCs w:val="2"/>
                <w:color w:val="auto"/>
              </w:rPr>
            </w:pPr>
          </w:p>
        </w:tc>
        <w:tc>
          <w:tcPr>
            <w:tcW w:w="120" w:type="dxa"/>
            <w:vAlign w:val="bottom"/>
            <w:shd w:val="clear" w:color="auto" w:fill="CFF0FC"/>
          </w:tcPr>
          <w:p>
            <w:pPr>
              <w:spacing w:after="0"/>
              <w:rPr>
                <w:sz w:val="2"/>
                <w:szCs w:val="2"/>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Non-GAAP financial measures</w:t>
      </w:r>
    </w:p>
    <w:p>
      <w:pPr>
        <w:spacing w:after="0" w:line="121"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 xml:space="preserve">We refer to EBITDA and Adjusted EBITDA as we use these measures to evaluate our operating performance and we believe these measures provide useful information to investors in evaluating our performance. EBITDA and Adjusted EBITDA as presented in this Quarterly Report on Form 10-Q are supplemental measures of our performance that are neither required by, nor presented in accordance with U.S. GAAP. EBITDA and Adjusted EBITDA should not be considered as substitutes for U.S. GAAP metrics such as net income or any other performance measures derived in accordance with U.S. GAAP. Also, in the future we may incur expenses or charges such as those used to calculate Adjusted EBITDA. Our presentation of EBITDA and Adjusted EBITDA should not be construed as an inference that our future results will be unaffected by unusual or nonrecurring items. We have also disclosed Segment EBITDA as an important financial metric utilized by the Company to evaluate performance and allocate resources to segments in accordance with ASC 280, </w:t>
      </w:r>
      <w:r>
        <w:rPr>
          <w:rFonts w:ascii="Arial" w:cs="Arial" w:eastAsia="Arial" w:hAnsi="Arial"/>
          <w:sz w:val="18"/>
          <w:szCs w:val="18"/>
          <w:i w:val="1"/>
          <w:iCs w:val="1"/>
          <w:color w:val="auto"/>
        </w:rPr>
        <w:t>Segment Reporting</w:t>
      </w:r>
      <w:r>
        <w:rPr>
          <w:rFonts w:ascii="Arial" w:cs="Arial" w:eastAsia="Arial" w:hAnsi="Arial"/>
          <w:sz w:val="18"/>
          <w:szCs w:val="18"/>
          <w:color w:val="auto"/>
        </w:rPr>
        <w:t>. As part of such disclosure in “Our Segments” within Management’s Discussion and Analysis of Financial Condition and Results of</w:t>
      </w:r>
      <w:r>
        <w:rPr>
          <w:rFonts w:ascii="Arial" w:cs="Arial" w:eastAsia="Arial" w:hAnsi="Arial"/>
          <w:sz w:val="18"/>
          <w:szCs w:val="18"/>
          <w:i w:val="1"/>
          <w:iCs w:val="1"/>
          <w:color w:val="auto"/>
        </w:rPr>
        <w:t xml:space="preserve"> </w:t>
      </w:r>
      <w:r>
        <w:rPr>
          <w:rFonts w:ascii="Arial" w:cs="Arial" w:eastAsia="Arial" w:hAnsi="Arial"/>
          <w:sz w:val="18"/>
          <w:szCs w:val="18"/>
          <w:color w:val="auto"/>
        </w:rPr>
        <w:t>Operations, the Company has provided a reconciliation from income from operations to Total Segment EBITDA, which is equal to the Non-GAAP financial metric EBITDA.</w:t>
      </w:r>
    </w:p>
    <w:p>
      <w:pPr>
        <w:spacing w:after="0" w:line="87"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We define EBITDA as net income before interest, taxes, depreciation and amortization. We believe that EBITDA, which eliminates the impact of certain expenses that we do not believe reflect our underlying business performance, provides useful information to investors to assess the performance of our segments as well as the business as a whole. Our Board of Directors also uses EBITDA as a key metric to assess the performance of management. We define Adjusted EBITDA as net income before interest, taxes, depreciation and amortization, adjusted for the impact of certain additional non-cash and other items that we do not consider in our evaluation of ongoing performance of the Company’s core operations. These items include certain purchase accounting adjustments, stock offering-related costs, and certain other charges and gains. We believe that Adjusted EBITDA is an appropriate measure of operating performance in addition to EBITDA because it eliminates the impact of other items that we believe reduce the comparability of our underlying core business performance from period to period and is therefore useful to our investors in comparing the core performance of our business from period to period. Four-wall EBITDA is an assessment of store-level profitability for stores included in the same-store-sales base, which adjusts for certain administrative and other items that we do not consider in our evaluation of individual store-level performance.</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420"/>
          </w:cols>
          <w:pgMar w:left="240" w:top="233" w:right="239" w:bottom="1440" w:gutter="0" w:footer="0" w:header="0"/>
        </w:sectPr>
      </w:pPr>
    </w:p>
    <w:bookmarkStart w:id="34" w:name="page35"/>
    <w:bookmarkEnd w:id="3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60" w:lineRule="exact"/>
        <w:rPr>
          <w:sz w:val="20"/>
          <w:szCs w:val="20"/>
          <w:color w:val="auto"/>
        </w:rPr>
      </w:pPr>
    </w:p>
    <w:p>
      <w:pPr>
        <w:spacing w:after="0"/>
        <w:rPr>
          <w:sz w:val="20"/>
          <w:szCs w:val="20"/>
          <w:color w:val="auto"/>
        </w:rPr>
      </w:pPr>
      <w:r>
        <w:rPr>
          <w:rFonts w:ascii="Arial" w:cs="Arial" w:eastAsia="Arial" w:hAnsi="Arial"/>
          <w:sz w:val="18"/>
          <w:szCs w:val="18"/>
          <w:color w:val="auto"/>
        </w:rPr>
        <w:t>A reconciliation of net income to EBITDA and Adjusted EBITDA is set forth below for the three and six months ended June 30, 2018 and 2017:</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08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2360" w:type="dxa"/>
            <w:vAlign w:val="bottom"/>
            <w:tcBorders>
              <w:bottom w:val="single" w:sz="8" w:color="auto"/>
            </w:tcBorders>
            <w:gridSpan w:val="4"/>
          </w:tcPr>
          <w:p>
            <w:pPr>
              <w:jc w:val="right"/>
              <w:ind w:right="311"/>
              <w:spacing w:after="0"/>
              <w:rPr>
                <w:sz w:val="20"/>
                <w:szCs w:val="20"/>
                <w:color w:val="auto"/>
              </w:rPr>
            </w:pPr>
            <w:r>
              <w:rPr>
                <w:rFonts w:ascii="Arial" w:cs="Arial" w:eastAsia="Arial" w:hAnsi="Arial"/>
                <w:sz w:val="14"/>
                <w:szCs w:val="14"/>
                <w:b w:val="1"/>
                <w:bCs w:val="1"/>
                <w:color w:val="auto"/>
                <w:w w:val="98"/>
              </w:rPr>
              <w:t>Three months ended June 30,</w:t>
            </w:r>
          </w:p>
        </w:tc>
        <w:tc>
          <w:tcPr>
            <w:tcW w:w="400" w:type="dxa"/>
            <w:vAlign w:val="bottom"/>
            <w:tcBorders>
              <w:bottom w:val="single" w:sz="8" w:color="auto"/>
            </w:tcBorders>
          </w:tcPr>
          <w:p>
            <w:pPr>
              <w:spacing w:after="0"/>
              <w:rPr>
                <w:sz w:val="16"/>
                <w:szCs w:val="16"/>
                <w:color w:val="auto"/>
              </w:rPr>
            </w:pPr>
          </w:p>
        </w:tc>
        <w:tc>
          <w:tcPr>
            <w:tcW w:w="2320" w:type="dxa"/>
            <w:vAlign w:val="bottom"/>
            <w:tcBorders>
              <w:bottom w:val="single" w:sz="8" w:color="auto"/>
            </w:tcBorders>
            <w:gridSpan w:val="3"/>
          </w:tcPr>
          <w:p>
            <w:pPr>
              <w:jc w:val="right"/>
              <w:ind w:right="391"/>
              <w:spacing w:after="0"/>
              <w:rPr>
                <w:sz w:val="20"/>
                <w:szCs w:val="20"/>
                <w:color w:val="auto"/>
              </w:rPr>
            </w:pPr>
            <w:r>
              <w:rPr>
                <w:rFonts w:ascii="Arial" w:cs="Arial" w:eastAsia="Arial" w:hAnsi="Arial"/>
                <w:sz w:val="14"/>
                <w:szCs w:val="14"/>
                <w:b w:val="1"/>
                <w:bCs w:val="1"/>
                <w:color w:val="auto"/>
              </w:rPr>
              <w:t>Six months ended June 30,</w:t>
            </w:r>
          </w:p>
        </w:tc>
      </w:tr>
      <w:tr>
        <w:trPr>
          <w:trHeight w:val="263"/>
        </w:trPr>
        <w:tc>
          <w:tcPr>
            <w:tcW w:w="6080" w:type="dxa"/>
            <w:vAlign w:val="bottom"/>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392"/>
              <w:spacing w:after="0"/>
              <w:rPr>
                <w:sz w:val="20"/>
                <w:szCs w:val="20"/>
                <w:color w:val="auto"/>
              </w:rPr>
            </w:pPr>
            <w:r>
              <w:rPr>
                <w:rFonts w:ascii="Arial" w:cs="Arial" w:eastAsia="Arial" w:hAnsi="Arial"/>
                <w:sz w:val="14"/>
                <w:szCs w:val="14"/>
                <w:b w:val="1"/>
                <w:bCs w:val="1"/>
                <w:color w:val="auto"/>
              </w:rPr>
              <w:t>2018</w:t>
            </w:r>
          </w:p>
        </w:tc>
        <w:tc>
          <w:tcPr>
            <w:tcW w:w="120" w:type="dxa"/>
            <w:vAlign w:val="bottom"/>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411"/>
              <w:spacing w:after="0"/>
              <w:rPr>
                <w:sz w:val="20"/>
                <w:szCs w:val="20"/>
                <w:color w:val="auto"/>
              </w:rPr>
            </w:pPr>
            <w:r>
              <w:rPr>
                <w:rFonts w:ascii="Arial" w:cs="Arial" w:eastAsia="Arial" w:hAnsi="Arial"/>
                <w:sz w:val="14"/>
                <w:szCs w:val="14"/>
                <w:b w:val="1"/>
                <w:bCs w:val="1"/>
                <w:color w:val="auto"/>
              </w:rPr>
              <w:t>2017</w:t>
            </w:r>
          </w:p>
        </w:tc>
        <w:tc>
          <w:tcPr>
            <w:tcW w:w="4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392"/>
              <w:spacing w:after="0"/>
              <w:rPr>
                <w:sz w:val="20"/>
                <w:szCs w:val="20"/>
                <w:color w:val="auto"/>
              </w:rPr>
            </w:pPr>
            <w:r>
              <w:rPr>
                <w:rFonts w:ascii="Arial" w:cs="Arial" w:eastAsia="Arial" w:hAnsi="Arial"/>
                <w:sz w:val="14"/>
                <w:szCs w:val="14"/>
                <w:b w:val="1"/>
                <w:bCs w:val="1"/>
                <w:color w:val="auto"/>
              </w:rPr>
              <w:t>2018</w:t>
            </w:r>
          </w:p>
        </w:tc>
        <w:tc>
          <w:tcPr>
            <w:tcW w:w="4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391"/>
              <w:spacing w:after="0"/>
              <w:rPr>
                <w:sz w:val="20"/>
                <w:szCs w:val="20"/>
                <w:color w:val="auto"/>
              </w:rPr>
            </w:pPr>
            <w:r>
              <w:rPr>
                <w:rFonts w:ascii="Arial" w:cs="Arial" w:eastAsia="Arial" w:hAnsi="Arial"/>
                <w:sz w:val="14"/>
                <w:szCs w:val="14"/>
                <w:b w:val="1"/>
                <w:bCs w:val="1"/>
                <w:color w:val="auto"/>
              </w:rPr>
              <w:t>2017</w:t>
            </w:r>
          </w:p>
        </w:tc>
      </w:tr>
      <w:tr>
        <w:trPr>
          <w:trHeight w:val="264"/>
        </w:trPr>
        <w:tc>
          <w:tcPr>
            <w:tcW w:w="6080" w:type="dxa"/>
            <w:vAlign w:val="bottom"/>
          </w:tcPr>
          <w:p>
            <w:pPr>
              <w:ind w:left="40"/>
              <w:spacing w:after="0"/>
              <w:rPr>
                <w:sz w:val="20"/>
                <w:szCs w:val="20"/>
                <w:color w:val="auto"/>
              </w:rPr>
            </w:pPr>
            <w:r>
              <w:rPr>
                <w:rFonts w:ascii="Arial" w:cs="Arial" w:eastAsia="Arial" w:hAnsi="Arial"/>
                <w:sz w:val="14"/>
                <w:szCs w:val="14"/>
                <w:b w:val="1"/>
                <w:bCs w:val="1"/>
                <w:color w:val="auto"/>
              </w:rPr>
              <w:t>(in thousands)</w:t>
            </w:r>
          </w:p>
        </w:tc>
        <w:tc>
          <w:tcPr>
            <w:tcW w:w="26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960" w:type="dxa"/>
            <w:vAlign w:val="bottom"/>
          </w:tcPr>
          <w:p>
            <w:pPr>
              <w:spacing w:after="0"/>
              <w:rPr>
                <w:sz w:val="22"/>
                <w:szCs w:val="22"/>
                <w:color w:val="auto"/>
              </w:rPr>
            </w:pPr>
          </w:p>
        </w:tc>
      </w:tr>
      <w:tr>
        <w:trPr>
          <w:trHeight w:val="256"/>
        </w:trPr>
        <w:tc>
          <w:tcPr>
            <w:tcW w:w="608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Net income</w:t>
            </w:r>
          </w:p>
        </w:tc>
        <w:tc>
          <w:tcPr>
            <w:tcW w:w="260" w:type="dxa"/>
            <w:vAlign w:val="bottom"/>
            <w:tcBorders>
              <w:bottom w:val="single" w:sz="8" w:color="CFF0FC"/>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CFF0FC"/>
            </w:tcBorders>
            <w:shd w:val="clear" w:color="auto" w:fill="CFF0FC"/>
          </w:tcPr>
          <w:p>
            <w:pPr>
              <w:jc w:val="right"/>
              <w:ind w:right="12"/>
              <w:spacing w:after="0"/>
              <w:rPr>
                <w:sz w:val="20"/>
                <w:szCs w:val="20"/>
                <w:color w:val="auto"/>
              </w:rPr>
            </w:pPr>
            <w:r>
              <w:rPr>
                <w:rFonts w:ascii="Arial" w:cs="Arial" w:eastAsia="Arial" w:hAnsi="Arial"/>
                <w:sz w:val="18"/>
                <w:szCs w:val="18"/>
                <w:color w:val="auto"/>
              </w:rPr>
              <w:t>30,418</w:t>
            </w:r>
          </w:p>
        </w:tc>
        <w:tc>
          <w:tcPr>
            <w:tcW w:w="120" w:type="dxa"/>
            <w:vAlign w:val="bottom"/>
            <w:tcBorders>
              <w:bottom w:val="single" w:sz="8" w:color="CFF0FC"/>
            </w:tcBorders>
            <w:shd w:val="clear" w:color="auto" w:fill="CFF0FC"/>
          </w:tcPr>
          <w:p>
            <w:pPr>
              <w:spacing w:after="0"/>
              <w:rPr>
                <w:sz w:val="22"/>
                <w:szCs w:val="22"/>
                <w:color w:val="auto"/>
              </w:rPr>
            </w:pPr>
          </w:p>
        </w:tc>
        <w:tc>
          <w:tcPr>
            <w:tcW w:w="300" w:type="dxa"/>
            <w:vAlign w:val="bottom"/>
            <w:tcBorders>
              <w:bottom w:val="single" w:sz="8" w:color="CFF0FC"/>
            </w:tcBorders>
            <w:shd w:val="clear" w:color="auto" w:fill="CFF0FC"/>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FF0FC"/>
            </w:tcBorders>
            <w:shd w:val="clear" w:color="auto" w:fill="CFF0FC"/>
          </w:tcPr>
          <w:p>
            <w:pPr>
              <w:jc w:val="right"/>
              <w:ind w:right="31"/>
              <w:spacing w:after="0"/>
              <w:rPr>
                <w:sz w:val="20"/>
                <w:szCs w:val="20"/>
                <w:color w:val="auto"/>
              </w:rPr>
            </w:pPr>
            <w:r>
              <w:rPr>
                <w:rFonts w:ascii="Arial" w:cs="Arial" w:eastAsia="Arial" w:hAnsi="Arial"/>
                <w:sz w:val="18"/>
                <w:szCs w:val="18"/>
                <w:color w:val="auto"/>
              </w:rPr>
              <w:t>18,004</w:t>
            </w:r>
          </w:p>
        </w:tc>
        <w:tc>
          <w:tcPr>
            <w:tcW w:w="400" w:type="dxa"/>
            <w:vAlign w:val="bottom"/>
            <w:tcBorders>
              <w:bottom w:val="single" w:sz="8" w:color="CFF0FC"/>
            </w:tcBorders>
            <w:shd w:val="clear" w:color="auto" w:fill="CFF0FC"/>
          </w:tcPr>
          <w:p>
            <w:pPr>
              <w:jc w:val="right"/>
              <w:ind w:right="90"/>
              <w:spacing w:after="0"/>
              <w:rPr>
                <w:sz w:val="20"/>
                <w:szCs w:val="20"/>
                <w:color w:val="auto"/>
              </w:rPr>
            </w:pPr>
            <w:r>
              <w:rPr>
                <w:rFonts w:ascii="Arial" w:cs="Arial" w:eastAsia="Arial" w:hAnsi="Arial"/>
                <w:sz w:val="18"/>
                <w:szCs w:val="18"/>
                <w:color w:val="auto"/>
              </w:rPr>
              <w:t>$</w:t>
            </w:r>
          </w:p>
        </w:tc>
        <w:tc>
          <w:tcPr>
            <w:tcW w:w="960" w:type="dxa"/>
            <w:vAlign w:val="bottom"/>
            <w:tcBorders>
              <w:bottom w:val="single" w:sz="8" w:color="CFF0FC"/>
            </w:tcBorders>
            <w:shd w:val="clear" w:color="auto" w:fill="CFF0FC"/>
          </w:tcPr>
          <w:p>
            <w:pPr>
              <w:jc w:val="right"/>
              <w:ind w:right="32"/>
              <w:spacing w:after="0"/>
              <w:rPr>
                <w:sz w:val="20"/>
                <w:szCs w:val="20"/>
                <w:color w:val="auto"/>
              </w:rPr>
            </w:pPr>
            <w:r>
              <w:rPr>
                <w:rFonts w:ascii="Arial" w:cs="Arial" w:eastAsia="Arial" w:hAnsi="Arial"/>
                <w:sz w:val="18"/>
                <w:szCs w:val="18"/>
                <w:color w:val="auto"/>
              </w:rPr>
              <w:t>53,912</w:t>
            </w:r>
          </w:p>
        </w:tc>
        <w:tc>
          <w:tcPr>
            <w:tcW w:w="400" w:type="dxa"/>
            <w:vAlign w:val="bottom"/>
            <w:tcBorders>
              <w:bottom w:val="single" w:sz="8" w:color="CFF0FC"/>
            </w:tcBorders>
            <w:shd w:val="clear" w:color="auto" w:fill="CFF0FC"/>
          </w:tcPr>
          <w:p>
            <w:pPr>
              <w:jc w:val="right"/>
              <w:ind w:right="90"/>
              <w:spacing w:after="0"/>
              <w:rPr>
                <w:sz w:val="20"/>
                <w:szCs w:val="20"/>
                <w:color w:val="auto"/>
              </w:rPr>
            </w:pPr>
            <w:r>
              <w:rPr>
                <w:rFonts w:ascii="Arial" w:cs="Arial" w:eastAsia="Arial" w:hAnsi="Arial"/>
                <w:sz w:val="18"/>
                <w:szCs w:val="18"/>
                <w:color w:val="auto"/>
              </w:rPr>
              <w:t>$</w:t>
            </w:r>
          </w:p>
        </w:tc>
        <w:tc>
          <w:tcPr>
            <w:tcW w:w="96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35,870</w:t>
            </w:r>
          </w:p>
        </w:tc>
      </w:tr>
      <w:tr>
        <w:trPr>
          <w:trHeight w:val="243"/>
        </w:trPr>
        <w:tc>
          <w:tcPr>
            <w:tcW w:w="6080" w:type="dxa"/>
            <w:vAlign w:val="bottom"/>
          </w:tcPr>
          <w:p>
            <w:pPr>
              <w:ind w:left="280"/>
              <w:spacing w:after="0"/>
              <w:rPr>
                <w:sz w:val="20"/>
                <w:szCs w:val="20"/>
                <w:color w:val="auto"/>
              </w:rPr>
            </w:pPr>
            <w:r>
              <w:rPr>
                <w:rFonts w:ascii="Arial" w:cs="Arial" w:eastAsia="Arial" w:hAnsi="Arial"/>
                <w:sz w:val="18"/>
                <w:szCs w:val="18"/>
                <w:color w:val="auto"/>
              </w:rPr>
              <w:t>Interest expense, net</w:t>
            </w:r>
          </w:p>
        </w:tc>
        <w:tc>
          <w:tcPr>
            <w:tcW w:w="260" w:type="dxa"/>
            <w:vAlign w:val="bottom"/>
          </w:tcPr>
          <w:p>
            <w:pPr>
              <w:spacing w:after="0"/>
              <w:rPr>
                <w:sz w:val="21"/>
                <w:szCs w:val="21"/>
                <w:color w:val="auto"/>
              </w:rPr>
            </w:pPr>
          </w:p>
        </w:tc>
        <w:tc>
          <w:tcPr>
            <w:tcW w:w="980" w:type="dxa"/>
            <w:vAlign w:val="bottom"/>
          </w:tcPr>
          <w:p>
            <w:pPr>
              <w:jc w:val="right"/>
              <w:ind w:right="12"/>
              <w:spacing w:after="0"/>
              <w:rPr>
                <w:sz w:val="20"/>
                <w:szCs w:val="20"/>
                <w:color w:val="auto"/>
              </w:rPr>
            </w:pPr>
            <w:r>
              <w:rPr>
                <w:rFonts w:ascii="Arial" w:cs="Arial" w:eastAsia="Arial" w:hAnsi="Arial"/>
                <w:sz w:val="18"/>
                <w:szCs w:val="18"/>
                <w:color w:val="auto"/>
              </w:rPr>
              <w:t>8,628</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ind w:right="31"/>
              <w:spacing w:after="0"/>
              <w:rPr>
                <w:sz w:val="20"/>
                <w:szCs w:val="20"/>
                <w:color w:val="auto"/>
              </w:rPr>
            </w:pPr>
            <w:r>
              <w:rPr>
                <w:rFonts w:ascii="Arial" w:cs="Arial" w:eastAsia="Arial" w:hAnsi="Arial"/>
                <w:sz w:val="18"/>
                <w:szCs w:val="18"/>
                <w:color w:val="auto"/>
              </w:rPr>
              <w:t>9,028</w:t>
            </w:r>
          </w:p>
        </w:tc>
        <w:tc>
          <w:tcPr>
            <w:tcW w:w="400" w:type="dxa"/>
            <w:vAlign w:val="bottom"/>
          </w:tcPr>
          <w:p>
            <w:pPr>
              <w:spacing w:after="0"/>
              <w:rPr>
                <w:sz w:val="21"/>
                <w:szCs w:val="21"/>
                <w:color w:val="auto"/>
              </w:rPr>
            </w:pPr>
          </w:p>
        </w:tc>
        <w:tc>
          <w:tcPr>
            <w:tcW w:w="960" w:type="dxa"/>
            <w:vAlign w:val="bottom"/>
          </w:tcPr>
          <w:p>
            <w:pPr>
              <w:jc w:val="right"/>
              <w:ind w:right="32"/>
              <w:spacing w:after="0"/>
              <w:rPr>
                <w:sz w:val="20"/>
                <w:szCs w:val="20"/>
                <w:color w:val="auto"/>
              </w:rPr>
            </w:pPr>
            <w:r>
              <w:rPr>
                <w:rFonts w:ascii="Arial" w:cs="Arial" w:eastAsia="Arial" w:hAnsi="Arial"/>
                <w:sz w:val="18"/>
                <w:szCs w:val="18"/>
                <w:color w:val="auto"/>
              </w:rPr>
              <w:t>17,361</w:t>
            </w:r>
          </w:p>
        </w:tc>
        <w:tc>
          <w:tcPr>
            <w:tcW w:w="400" w:type="dxa"/>
            <w:vAlign w:val="bottom"/>
          </w:tcPr>
          <w:p>
            <w:pPr>
              <w:spacing w:after="0"/>
              <w:rPr>
                <w:sz w:val="21"/>
                <w:szCs w:val="21"/>
                <w:color w:val="auto"/>
              </w:rPr>
            </w:pPr>
          </w:p>
        </w:tc>
        <w:tc>
          <w:tcPr>
            <w:tcW w:w="960" w:type="dxa"/>
            <w:vAlign w:val="bottom"/>
          </w:tcPr>
          <w:p>
            <w:pPr>
              <w:jc w:val="right"/>
              <w:ind w:right="11"/>
              <w:spacing w:after="0"/>
              <w:rPr>
                <w:sz w:val="20"/>
                <w:szCs w:val="20"/>
                <w:color w:val="auto"/>
              </w:rPr>
            </w:pPr>
            <w:r>
              <w:rPr>
                <w:rFonts w:ascii="Arial" w:cs="Arial" w:eastAsia="Arial" w:hAnsi="Arial"/>
                <w:sz w:val="18"/>
                <w:szCs w:val="18"/>
                <w:color w:val="auto"/>
              </w:rPr>
              <w:t>17,791</w:t>
            </w:r>
          </w:p>
        </w:tc>
      </w:tr>
      <w:tr>
        <w:trPr>
          <w:trHeight w:val="27"/>
        </w:trPr>
        <w:tc>
          <w:tcPr>
            <w:tcW w:w="608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608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Provision for income taxes</w:t>
            </w:r>
          </w:p>
        </w:tc>
        <w:tc>
          <w:tcPr>
            <w:tcW w:w="260" w:type="dxa"/>
            <w:vAlign w:val="bottom"/>
            <w:tcBorders>
              <w:bottom w:val="single" w:sz="8" w:color="CFF0FC"/>
            </w:tcBorders>
            <w:shd w:val="clear" w:color="auto" w:fill="CFF0FC"/>
          </w:tcPr>
          <w:p>
            <w:pPr>
              <w:spacing w:after="0"/>
              <w:rPr>
                <w:sz w:val="21"/>
                <w:szCs w:val="21"/>
                <w:color w:val="auto"/>
              </w:rPr>
            </w:pPr>
          </w:p>
        </w:tc>
        <w:tc>
          <w:tcPr>
            <w:tcW w:w="980" w:type="dxa"/>
            <w:vAlign w:val="bottom"/>
            <w:tcBorders>
              <w:bottom w:val="single" w:sz="8" w:color="CFF0FC"/>
            </w:tcBorders>
            <w:shd w:val="clear" w:color="auto" w:fill="CFF0FC"/>
          </w:tcPr>
          <w:p>
            <w:pPr>
              <w:jc w:val="right"/>
              <w:ind w:right="12"/>
              <w:spacing w:after="0"/>
              <w:rPr>
                <w:sz w:val="20"/>
                <w:szCs w:val="20"/>
                <w:color w:val="auto"/>
              </w:rPr>
            </w:pPr>
            <w:r>
              <w:rPr>
                <w:rFonts w:ascii="Arial" w:cs="Arial" w:eastAsia="Arial" w:hAnsi="Arial"/>
                <w:sz w:val="18"/>
                <w:szCs w:val="18"/>
                <w:color w:val="auto"/>
              </w:rPr>
              <w:t>9,263</w:t>
            </w:r>
          </w:p>
        </w:tc>
        <w:tc>
          <w:tcPr>
            <w:tcW w:w="12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CFF0FC"/>
            </w:tcBorders>
            <w:shd w:val="clear" w:color="auto" w:fill="CFF0FC"/>
          </w:tcPr>
          <w:p>
            <w:pPr>
              <w:spacing w:after="0"/>
              <w:rPr>
                <w:sz w:val="21"/>
                <w:szCs w:val="21"/>
                <w:color w:val="auto"/>
              </w:rPr>
            </w:pPr>
          </w:p>
        </w:tc>
        <w:tc>
          <w:tcPr>
            <w:tcW w:w="960" w:type="dxa"/>
            <w:vAlign w:val="bottom"/>
            <w:tcBorders>
              <w:bottom w:val="single" w:sz="8" w:color="CFF0FC"/>
            </w:tcBorders>
            <w:shd w:val="clear" w:color="auto" w:fill="CFF0FC"/>
          </w:tcPr>
          <w:p>
            <w:pPr>
              <w:jc w:val="right"/>
              <w:ind w:right="31"/>
              <w:spacing w:after="0"/>
              <w:rPr>
                <w:sz w:val="20"/>
                <w:szCs w:val="20"/>
                <w:color w:val="auto"/>
              </w:rPr>
            </w:pPr>
            <w:r>
              <w:rPr>
                <w:rFonts w:ascii="Arial" w:cs="Arial" w:eastAsia="Arial" w:hAnsi="Arial"/>
                <w:sz w:val="18"/>
                <w:szCs w:val="18"/>
                <w:color w:val="auto"/>
              </w:rPr>
              <w:t>10,285</w:t>
            </w:r>
          </w:p>
        </w:tc>
        <w:tc>
          <w:tcPr>
            <w:tcW w:w="400" w:type="dxa"/>
            <w:vAlign w:val="bottom"/>
            <w:tcBorders>
              <w:bottom w:val="single" w:sz="8" w:color="CFF0FC"/>
            </w:tcBorders>
            <w:shd w:val="clear" w:color="auto" w:fill="CFF0FC"/>
          </w:tcPr>
          <w:p>
            <w:pPr>
              <w:spacing w:after="0"/>
              <w:rPr>
                <w:sz w:val="21"/>
                <w:szCs w:val="21"/>
                <w:color w:val="auto"/>
              </w:rPr>
            </w:pPr>
          </w:p>
        </w:tc>
        <w:tc>
          <w:tcPr>
            <w:tcW w:w="960" w:type="dxa"/>
            <w:vAlign w:val="bottom"/>
            <w:tcBorders>
              <w:bottom w:val="single" w:sz="8" w:color="CFF0FC"/>
            </w:tcBorders>
            <w:shd w:val="clear" w:color="auto" w:fill="CFF0FC"/>
          </w:tcPr>
          <w:p>
            <w:pPr>
              <w:jc w:val="right"/>
              <w:ind w:right="32"/>
              <w:spacing w:after="0"/>
              <w:rPr>
                <w:sz w:val="20"/>
                <w:szCs w:val="20"/>
                <w:color w:val="auto"/>
              </w:rPr>
            </w:pPr>
            <w:r>
              <w:rPr>
                <w:rFonts w:ascii="Arial" w:cs="Arial" w:eastAsia="Arial" w:hAnsi="Arial"/>
                <w:sz w:val="18"/>
                <w:szCs w:val="18"/>
                <w:color w:val="auto"/>
              </w:rPr>
              <w:t>16,146</w:t>
            </w:r>
          </w:p>
        </w:tc>
        <w:tc>
          <w:tcPr>
            <w:tcW w:w="400" w:type="dxa"/>
            <w:vAlign w:val="bottom"/>
            <w:tcBorders>
              <w:bottom w:val="single" w:sz="8" w:color="CFF0FC"/>
            </w:tcBorders>
            <w:shd w:val="clear" w:color="auto" w:fill="CFF0FC"/>
          </w:tcPr>
          <w:p>
            <w:pPr>
              <w:spacing w:after="0"/>
              <w:rPr>
                <w:sz w:val="21"/>
                <w:szCs w:val="21"/>
                <w:color w:val="auto"/>
              </w:rPr>
            </w:pPr>
          </w:p>
        </w:tc>
        <w:tc>
          <w:tcPr>
            <w:tcW w:w="96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17,393</w:t>
            </w:r>
          </w:p>
        </w:tc>
      </w:tr>
      <w:tr>
        <w:trPr>
          <w:trHeight w:val="243"/>
        </w:trPr>
        <w:tc>
          <w:tcPr>
            <w:tcW w:w="6080" w:type="dxa"/>
            <w:vAlign w:val="bottom"/>
          </w:tcPr>
          <w:p>
            <w:pPr>
              <w:ind w:left="280"/>
              <w:spacing w:after="0"/>
              <w:rPr>
                <w:sz w:val="20"/>
                <w:szCs w:val="20"/>
                <w:color w:val="auto"/>
              </w:rPr>
            </w:pPr>
            <w:r>
              <w:rPr>
                <w:rFonts w:ascii="Arial" w:cs="Arial" w:eastAsia="Arial" w:hAnsi="Arial"/>
                <w:sz w:val="18"/>
                <w:szCs w:val="18"/>
                <w:color w:val="auto"/>
              </w:rPr>
              <w:t>Depreciation and amortization</w:t>
            </w:r>
          </w:p>
        </w:tc>
        <w:tc>
          <w:tcPr>
            <w:tcW w:w="260" w:type="dxa"/>
            <w:vAlign w:val="bottom"/>
          </w:tcPr>
          <w:p>
            <w:pPr>
              <w:spacing w:after="0"/>
              <w:rPr>
                <w:sz w:val="21"/>
                <w:szCs w:val="21"/>
                <w:color w:val="auto"/>
              </w:rPr>
            </w:pPr>
          </w:p>
        </w:tc>
        <w:tc>
          <w:tcPr>
            <w:tcW w:w="980" w:type="dxa"/>
            <w:vAlign w:val="bottom"/>
          </w:tcPr>
          <w:p>
            <w:pPr>
              <w:jc w:val="right"/>
              <w:ind w:right="12"/>
              <w:spacing w:after="0"/>
              <w:rPr>
                <w:sz w:val="20"/>
                <w:szCs w:val="20"/>
                <w:color w:val="auto"/>
              </w:rPr>
            </w:pPr>
            <w:r>
              <w:rPr>
                <w:rFonts w:ascii="Arial" w:cs="Arial" w:eastAsia="Arial" w:hAnsi="Arial"/>
                <w:sz w:val="18"/>
                <w:szCs w:val="18"/>
                <w:color w:val="auto"/>
              </w:rPr>
              <w:t>8,619</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ind w:right="31"/>
              <w:spacing w:after="0"/>
              <w:rPr>
                <w:sz w:val="20"/>
                <w:szCs w:val="20"/>
                <w:color w:val="auto"/>
              </w:rPr>
            </w:pPr>
            <w:r>
              <w:rPr>
                <w:rFonts w:ascii="Arial" w:cs="Arial" w:eastAsia="Arial" w:hAnsi="Arial"/>
                <w:sz w:val="18"/>
                <w:szCs w:val="18"/>
                <w:color w:val="auto"/>
              </w:rPr>
              <w:t>7,894</w:t>
            </w:r>
          </w:p>
        </w:tc>
        <w:tc>
          <w:tcPr>
            <w:tcW w:w="400" w:type="dxa"/>
            <w:vAlign w:val="bottom"/>
          </w:tcPr>
          <w:p>
            <w:pPr>
              <w:spacing w:after="0"/>
              <w:rPr>
                <w:sz w:val="21"/>
                <w:szCs w:val="21"/>
                <w:color w:val="auto"/>
              </w:rPr>
            </w:pPr>
          </w:p>
        </w:tc>
        <w:tc>
          <w:tcPr>
            <w:tcW w:w="960" w:type="dxa"/>
            <w:vAlign w:val="bottom"/>
          </w:tcPr>
          <w:p>
            <w:pPr>
              <w:jc w:val="right"/>
              <w:ind w:right="32"/>
              <w:spacing w:after="0"/>
              <w:rPr>
                <w:sz w:val="20"/>
                <w:szCs w:val="20"/>
                <w:color w:val="auto"/>
              </w:rPr>
            </w:pPr>
            <w:r>
              <w:rPr>
                <w:rFonts w:ascii="Arial" w:cs="Arial" w:eastAsia="Arial" w:hAnsi="Arial"/>
                <w:sz w:val="18"/>
                <w:szCs w:val="18"/>
                <w:color w:val="auto"/>
              </w:rPr>
              <w:t>17,084</w:t>
            </w:r>
          </w:p>
        </w:tc>
        <w:tc>
          <w:tcPr>
            <w:tcW w:w="400" w:type="dxa"/>
            <w:vAlign w:val="bottom"/>
          </w:tcPr>
          <w:p>
            <w:pPr>
              <w:spacing w:after="0"/>
              <w:rPr>
                <w:sz w:val="21"/>
                <w:szCs w:val="21"/>
                <w:color w:val="auto"/>
              </w:rPr>
            </w:pPr>
          </w:p>
        </w:tc>
        <w:tc>
          <w:tcPr>
            <w:tcW w:w="960" w:type="dxa"/>
            <w:vAlign w:val="bottom"/>
          </w:tcPr>
          <w:p>
            <w:pPr>
              <w:jc w:val="right"/>
              <w:ind w:right="11"/>
              <w:spacing w:after="0"/>
              <w:rPr>
                <w:sz w:val="20"/>
                <w:szCs w:val="20"/>
                <w:color w:val="auto"/>
              </w:rPr>
            </w:pPr>
            <w:r>
              <w:rPr>
                <w:rFonts w:ascii="Arial" w:cs="Arial" w:eastAsia="Arial" w:hAnsi="Arial"/>
                <w:sz w:val="18"/>
                <w:szCs w:val="18"/>
                <w:color w:val="auto"/>
              </w:rPr>
              <w:t>15,845</w:t>
            </w:r>
          </w:p>
        </w:tc>
      </w:tr>
      <w:tr>
        <w:trPr>
          <w:trHeight w:val="27"/>
        </w:trPr>
        <w:tc>
          <w:tcPr>
            <w:tcW w:w="6080" w:type="dxa"/>
            <w:vAlign w:val="bottom"/>
            <w:tcBorders>
              <w:bottom w:val="single" w:sz="8" w:color="CFF0FC"/>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44"/>
        </w:trPr>
        <w:tc>
          <w:tcPr>
            <w:tcW w:w="608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EBITDA</w:t>
            </w:r>
          </w:p>
        </w:tc>
        <w:tc>
          <w:tcPr>
            <w:tcW w:w="260" w:type="dxa"/>
            <w:vAlign w:val="bottom"/>
            <w:tcBorders>
              <w:bottom w:val="single" w:sz="8" w:color="CFF0FC"/>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CFF0FC"/>
            </w:tcBorders>
            <w:shd w:val="clear" w:color="auto" w:fill="CFF0FC"/>
          </w:tcPr>
          <w:p>
            <w:pPr>
              <w:jc w:val="right"/>
              <w:ind w:right="12"/>
              <w:spacing w:after="0"/>
              <w:rPr>
                <w:sz w:val="20"/>
                <w:szCs w:val="20"/>
                <w:color w:val="auto"/>
              </w:rPr>
            </w:pPr>
            <w:r>
              <w:rPr>
                <w:rFonts w:ascii="Arial" w:cs="Arial" w:eastAsia="Arial" w:hAnsi="Arial"/>
                <w:sz w:val="18"/>
                <w:szCs w:val="18"/>
                <w:color w:val="auto"/>
              </w:rPr>
              <w:t>56,928</w:t>
            </w:r>
          </w:p>
        </w:tc>
        <w:tc>
          <w:tcPr>
            <w:tcW w:w="12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CFF0FC"/>
            </w:tcBorders>
            <w:shd w:val="clear" w:color="auto" w:fill="CFF0FC"/>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FF0FC"/>
            </w:tcBorders>
            <w:shd w:val="clear" w:color="auto" w:fill="CFF0FC"/>
          </w:tcPr>
          <w:p>
            <w:pPr>
              <w:jc w:val="right"/>
              <w:ind w:right="31"/>
              <w:spacing w:after="0"/>
              <w:rPr>
                <w:sz w:val="20"/>
                <w:szCs w:val="20"/>
                <w:color w:val="auto"/>
              </w:rPr>
            </w:pPr>
            <w:r>
              <w:rPr>
                <w:rFonts w:ascii="Arial" w:cs="Arial" w:eastAsia="Arial" w:hAnsi="Arial"/>
                <w:sz w:val="18"/>
                <w:szCs w:val="18"/>
                <w:color w:val="auto"/>
              </w:rPr>
              <w:t>45,211</w:t>
            </w:r>
          </w:p>
        </w:tc>
        <w:tc>
          <w:tcPr>
            <w:tcW w:w="400" w:type="dxa"/>
            <w:vAlign w:val="bottom"/>
            <w:tcBorders>
              <w:bottom w:val="single" w:sz="8" w:color="CFF0FC"/>
            </w:tcBorders>
            <w:shd w:val="clear" w:color="auto" w:fill="CFF0FC"/>
          </w:tcPr>
          <w:p>
            <w:pPr>
              <w:jc w:val="right"/>
              <w:ind w:right="90"/>
              <w:spacing w:after="0"/>
              <w:rPr>
                <w:sz w:val="20"/>
                <w:szCs w:val="20"/>
                <w:color w:val="auto"/>
              </w:rPr>
            </w:pPr>
            <w:r>
              <w:rPr>
                <w:rFonts w:ascii="Arial" w:cs="Arial" w:eastAsia="Arial" w:hAnsi="Arial"/>
                <w:sz w:val="18"/>
                <w:szCs w:val="18"/>
                <w:color w:val="auto"/>
              </w:rPr>
              <w:t>$</w:t>
            </w:r>
          </w:p>
        </w:tc>
        <w:tc>
          <w:tcPr>
            <w:tcW w:w="960" w:type="dxa"/>
            <w:vAlign w:val="bottom"/>
            <w:tcBorders>
              <w:bottom w:val="single" w:sz="8" w:color="CFF0FC"/>
            </w:tcBorders>
            <w:shd w:val="clear" w:color="auto" w:fill="CFF0FC"/>
          </w:tcPr>
          <w:p>
            <w:pPr>
              <w:jc w:val="right"/>
              <w:ind w:right="32"/>
              <w:spacing w:after="0"/>
              <w:rPr>
                <w:sz w:val="20"/>
                <w:szCs w:val="20"/>
                <w:color w:val="auto"/>
              </w:rPr>
            </w:pPr>
            <w:r>
              <w:rPr>
                <w:rFonts w:ascii="Arial" w:cs="Arial" w:eastAsia="Arial" w:hAnsi="Arial"/>
                <w:sz w:val="18"/>
                <w:szCs w:val="18"/>
                <w:color w:val="auto"/>
              </w:rPr>
              <w:t>104,503</w:t>
            </w:r>
          </w:p>
        </w:tc>
        <w:tc>
          <w:tcPr>
            <w:tcW w:w="400" w:type="dxa"/>
            <w:vAlign w:val="bottom"/>
            <w:tcBorders>
              <w:bottom w:val="single" w:sz="8" w:color="CFF0FC"/>
            </w:tcBorders>
            <w:shd w:val="clear" w:color="auto" w:fill="CFF0FC"/>
          </w:tcPr>
          <w:p>
            <w:pPr>
              <w:jc w:val="right"/>
              <w:ind w:right="90"/>
              <w:spacing w:after="0"/>
              <w:rPr>
                <w:sz w:val="20"/>
                <w:szCs w:val="20"/>
                <w:color w:val="auto"/>
              </w:rPr>
            </w:pPr>
            <w:r>
              <w:rPr>
                <w:rFonts w:ascii="Arial" w:cs="Arial" w:eastAsia="Arial" w:hAnsi="Arial"/>
                <w:sz w:val="18"/>
                <w:szCs w:val="18"/>
                <w:color w:val="auto"/>
              </w:rPr>
              <w:t>$</w:t>
            </w:r>
          </w:p>
        </w:tc>
        <w:tc>
          <w:tcPr>
            <w:tcW w:w="96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86,899</w:t>
            </w:r>
          </w:p>
        </w:tc>
      </w:tr>
      <w:tr>
        <w:trPr>
          <w:trHeight w:val="270"/>
        </w:trPr>
        <w:tc>
          <w:tcPr>
            <w:tcW w:w="6080" w:type="dxa"/>
            <w:vAlign w:val="bottom"/>
          </w:tcPr>
          <w:p>
            <w:pPr>
              <w:ind w:left="280"/>
              <w:spacing w:after="0"/>
              <w:rPr>
                <w:sz w:val="20"/>
                <w:szCs w:val="20"/>
                <w:color w:val="auto"/>
              </w:rPr>
            </w:pPr>
            <w:r>
              <w:rPr>
                <w:rFonts w:ascii="Arial" w:cs="Arial" w:eastAsia="Arial" w:hAnsi="Arial"/>
                <w:sz w:val="18"/>
                <w:szCs w:val="18"/>
                <w:color w:val="auto"/>
              </w:rPr>
              <w:t>Purchase accounting adjustments-revenue</w:t>
            </w:r>
            <w:r>
              <w:rPr>
                <w:rFonts w:ascii="Arial" w:cs="Arial" w:eastAsia="Arial" w:hAnsi="Arial"/>
                <w:sz w:val="21"/>
                <w:szCs w:val="21"/>
                <w:color w:val="auto"/>
                <w:vertAlign w:val="superscript"/>
              </w:rPr>
              <w:t>(1)</w:t>
            </w:r>
          </w:p>
        </w:tc>
        <w:tc>
          <w:tcPr>
            <w:tcW w:w="26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(30)</w:t>
            </w:r>
          </w:p>
        </w:tc>
        <w:tc>
          <w:tcPr>
            <w:tcW w:w="12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960" w:type="dxa"/>
            <w:vAlign w:val="bottom"/>
          </w:tcPr>
          <w:p>
            <w:pPr>
              <w:jc w:val="right"/>
              <w:ind w:right="31"/>
              <w:spacing w:after="0"/>
              <w:rPr>
                <w:sz w:val="20"/>
                <w:szCs w:val="20"/>
                <w:color w:val="auto"/>
              </w:rPr>
            </w:pPr>
            <w:r>
              <w:rPr>
                <w:rFonts w:ascii="Arial" w:cs="Arial" w:eastAsia="Arial" w:hAnsi="Arial"/>
                <w:sz w:val="18"/>
                <w:szCs w:val="18"/>
                <w:color w:val="auto"/>
              </w:rPr>
              <w:t>444</w:t>
            </w:r>
          </w:p>
        </w:tc>
        <w:tc>
          <w:tcPr>
            <w:tcW w:w="400" w:type="dxa"/>
            <w:vAlign w:val="bottom"/>
          </w:tcPr>
          <w:p>
            <w:pPr>
              <w:spacing w:after="0"/>
              <w:rPr>
                <w:sz w:val="23"/>
                <w:szCs w:val="23"/>
                <w:color w:val="auto"/>
              </w:rPr>
            </w:pPr>
          </w:p>
        </w:tc>
        <w:tc>
          <w:tcPr>
            <w:tcW w:w="960" w:type="dxa"/>
            <w:vAlign w:val="bottom"/>
          </w:tcPr>
          <w:p>
            <w:pPr>
              <w:jc w:val="right"/>
              <w:ind w:right="32"/>
              <w:spacing w:after="0"/>
              <w:rPr>
                <w:sz w:val="20"/>
                <w:szCs w:val="20"/>
                <w:color w:val="auto"/>
              </w:rPr>
            </w:pPr>
            <w:r>
              <w:rPr>
                <w:rFonts w:ascii="Arial" w:cs="Arial" w:eastAsia="Arial" w:hAnsi="Arial"/>
                <w:sz w:val="18"/>
                <w:szCs w:val="18"/>
                <w:color w:val="auto"/>
              </w:rPr>
              <w:t>414</w:t>
            </w:r>
          </w:p>
        </w:tc>
        <w:tc>
          <w:tcPr>
            <w:tcW w:w="400" w:type="dxa"/>
            <w:vAlign w:val="bottom"/>
          </w:tcPr>
          <w:p>
            <w:pPr>
              <w:spacing w:after="0"/>
              <w:rPr>
                <w:sz w:val="23"/>
                <w:szCs w:val="23"/>
                <w:color w:val="auto"/>
              </w:rPr>
            </w:pPr>
          </w:p>
        </w:tc>
        <w:tc>
          <w:tcPr>
            <w:tcW w:w="960" w:type="dxa"/>
            <w:vAlign w:val="bottom"/>
          </w:tcPr>
          <w:p>
            <w:pPr>
              <w:jc w:val="right"/>
              <w:ind w:right="11"/>
              <w:spacing w:after="0"/>
              <w:rPr>
                <w:sz w:val="20"/>
                <w:szCs w:val="20"/>
                <w:color w:val="auto"/>
              </w:rPr>
            </w:pPr>
            <w:r>
              <w:rPr>
                <w:rFonts w:ascii="Arial" w:cs="Arial" w:eastAsia="Arial" w:hAnsi="Arial"/>
                <w:sz w:val="18"/>
                <w:szCs w:val="18"/>
                <w:color w:val="auto"/>
              </w:rPr>
              <w:t>780</w:t>
            </w:r>
          </w:p>
        </w:tc>
      </w:tr>
      <w:tr>
        <w:trPr>
          <w:trHeight w:val="270"/>
        </w:trPr>
        <w:tc>
          <w:tcPr>
            <w:tcW w:w="6080" w:type="dxa"/>
            <w:vAlign w:val="bottom"/>
            <w:shd w:val="clear" w:color="auto" w:fill="CFF0FC"/>
          </w:tcPr>
          <w:p>
            <w:pPr>
              <w:ind w:left="280"/>
              <w:spacing w:after="0"/>
              <w:rPr>
                <w:sz w:val="20"/>
                <w:szCs w:val="20"/>
                <w:color w:val="auto"/>
              </w:rPr>
            </w:pPr>
            <w:r>
              <w:rPr>
                <w:rFonts w:ascii="Arial" w:cs="Arial" w:eastAsia="Arial" w:hAnsi="Arial"/>
                <w:sz w:val="18"/>
                <w:szCs w:val="18"/>
                <w:color w:val="auto"/>
              </w:rPr>
              <w:t>Purchase accounting adjustments-rent</w:t>
            </w:r>
            <w:r>
              <w:rPr>
                <w:rFonts w:ascii="Arial" w:cs="Arial" w:eastAsia="Arial" w:hAnsi="Arial"/>
                <w:sz w:val="21"/>
                <w:szCs w:val="21"/>
                <w:color w:val="auto"/>
                <w:vertAlign w:val="superscript"/>
              </w:rPr>
              <w:t>(2)</w:t>
            </w:r>
          </w:p>
        </w:tc>
        <w:tc>
          <w:tcPr>
            <w:tcW w:w="260" w:type="dxa"/>
            <w:vAlign w:val="bottom"/>
            <w:shd w:val="clear" w:color="auto" w:fill="CFF0FC"/>
          </w:tcPr>
          <w:p>
            <w:pPr>
              <w:spacing w:after="0"/>
              <w:rPr>
                <w:sz w:val="23"/>
                <w:szCs w:val="23"/>
                <w:color w:val="auto"/>
              </w:rPr>
            </w:pPr>
          </w:p>
        </w:tc>
        <w:tc>
          <w:tcPr>
            <w:tcW w:w="980" w:type="dxa"/>
            <w:vAlign w:val="bottom"/>
            <w:shd w:val="clear" w:color="auto" w:fill="CFF0FC"/>
          </w:tcPr>
          <w:p>
            <w:pPr>
              <w:jc w:val="right"/>
              <w:ind w:right="12"/>
              <w:spacing w:after="0"/>
              <w:rPr>
                <w:sz w:val="20"/>
                <w:szCs w:val="20"/>
                <w:color w:val="auto"/>
              </w:rPr>
            </w:pPr>
            <w:r>
              <w:rPr>
                <w:rFonts w:ascii="Arial" w:cs="Arial" w:eastAsia="Arial" w:hAnsi="Arial"/>
                <w:sz w:val="18"/>
                <w:szCs w:val="18"/>
                <w:color w:val="auto"/>
              </w:rPr>
              <w:t>168</w:t>
            </w:r>
          </w:p>
        </w:tc>
        <w:tc>
          <w:tcPr>
            <w:tcW w:w="120" w:type="dxa"/>
            <w:vAlign w:val="bottom"/>
            <w:shd w:val="clear" w:color="auto" w:fill="CFF0FC"/>
          </w:tcPr>
          <w:p>
            <w:pPr>
              <w:spacing w:after="0"/>
              <w:rPr>
                <w:sz w:val="23"/>
                <w:szCs w:val="23"/>
                <w:color w:val="auto"/>
              </w:rPr>
            </w:pPr>
          </w:p>
        </w:tc>
        <w:tc>
          <w:tcPr>
            <w:tcW w:w="300" w:type="dxa"/>
            <w:vAlign w:val="bottom"/>
            <w:shd w:val="clear" w:color="auto" w:fill="CFF0FC"/>
          </w:tcPr>
          <w:p>
            <w:pPr>
              <w:spacing w:after="0"/>
              <w:rPr>
                <w:sz w:val="23"/>
                <w:szCs w:val="23"/>
                <w:color w:val="auto"/>
              </w:rPr>
            </w:pPr>
          </w:p>
        </w:tc>
        <w:tc>
          <w:tcPr>
            <w:tcW w:w="960" w:type="dxa"/>
            <w:vAlign w:val="bottom"/>
            <w:shd w:val="clear" w:color="auto" w:fill="CFF0FC"/>
          </w:tcPr>
          <w:p>
            <w:pPr>
              <w:jc w:val="right"/>
              <w:ind w:right="31"/>
              <w:spacing w:after="0"/>
              <w:rPr>
                <w:sz w:val="20"/>
                <w:szCs w:val="20"/>
                <w:color w:val="auto"/>
              </w:rPr>
            </w:pPr>
            <w:r>
              <w:rPr>
                <w:rFonts w:ascii="Arial" w:cs="Arial" w:eastAsia="Arial" w:hAnsi="Arial"/>
                <w:sz w:val="18"/>
                <w:szCs w:val="18"/>
                <w:color w:val="auto"/>
              </w:rPr>
              <w:t>191</w:t>
            </w:r>
          </w:p>
        </w:tc>
        <w:tc>
          <w:tcPr>
            <w:tcW w:w="400" w:type="dxa"/>
            <w:vAlign w:val="bottom"/>
            <w:shd w:val="clear" w:color="auto" w:fill="CFF0FC"/>
          </w:tcPr>
          <w:p>
            <w:pPr>
              <w:spacing w:after="0"/>
              <w:rPr>
                <w:sz w:val="23"/>
                <w:szCs w:val="23"/>
                <w:color w:val="auto"/>
              </w:rPr>
            </w:pPr>
          </w:p>
        </w:tc>
        <w:tc>
          <w:tcPr>
            <w:tcW w:w="960" w:type="dxa"/>
            <w:vAlign w:val="bottom"/>
            <w:shd w:val="clear" w:color="auto" w:fill="CFF0FC"/>
          </w:tcPr>
          <w:p>
            <w:pPr>
              <w:jc w:val="right"/>
              <w:ind w:right="32"/>
              <w:spacing w:after="0"/>
              <w:rPr>
                <w:sz w:val="20"/>
                <w:szCs w:val="20"/>
                <w:color w:val="auto"/>
              </w:rPr>
            </w:pPr>
            <w:r>
              <w:rPr>
                <w:rFonts w:ascii="Arial" w:cs="Arial" w:eastAsia="Arial" w:hAnsi="Arial"/>
                <w:sz w:val="18"/>
                <w:szCs w:val="18"/>
                <w:color w:val="auto"/>
              </w:rPr>
              <w:t>350</w:t>
            </w:r>
          </w:p>
        </w:tc>
        <w:tc>
          <w:tcPr>
            <w:tcW w:w="400" w:type="dxa"/>
            <w:vAlign w:val="bottom"/>
            <w:shd w:val="clear" w:color="auto" w:fill="CFF0FC"/>
          </w:tcPr>
          <w:p>
            <w:pPr>
              <w:spacing w:after="0"/>
              <w:rPr>
                <w:sz w:val="23"/>
                <w:szCs w:val="23"/>
                <w:color w:val="auto"/>
              </w:rPr>
            </w:pPr>
          </w:p>
        </w:tc>
        <w:tc>
          <w:tcPr>
            <w:tcW w:w="96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rPr>
              <w:t>387</w:t>
            </w:r>
          </w:p>
        </w:tc>
      </w:tr>
      <w:tr>
        <w:trPr>
          <w:trHeight w:val="270"/>
        </w:trPr>
        <w:tc>
          <w:tcPr>
            <w:tcW w:w="6080" w:type="dxa"/>
            <w:vAlign w:val="bottom"/>
          </w:tcPr>
          <w:p>
            <w:pPr>
              <w:ind w:left="280"/>
              <w:spacing w:after="0" w:line="270" w:lineRule="exact"/>
              <w:rPr>
                <w:sz w:val="20"/>
                <w:szCs w:val="20"/>
                <w:color w:val="auto"/>
              </w:rPr>
            </w:pPr>
            <w:r>
              <w:rPr>
                <w:rFonts w:ascii="Arial" w:cs="Arial" w:eastAsia="Arial" w:hAnsi="Arial"/>
                <w:sz w:val="18"/>
                <w:szCs w:val="18"/>
                <w:color w:val="auto"/>
              </w:rPr>
              <w:t>Loss on reacquired franchise rights</w:t>
            </w:r>
            <w:r>
              <w:rPr>
                <w:rFonts w:ascii="Arial" w:cs="Arial" w:eastAsia="Arial" w:hAnsi="Arial"/>
                <w:sz w:val="25"/>
                <w:szCs w:val="25"/>
                <w:color w:val="auto"/>
                <w:vertAlign w:val="superscript"/>
              </w:rPr>
              <w:t>(3)</w:t>
            </w:r>
          </w:p>
        </w:tc>
        <w:tc>
          <w:tcPr>
            <w:tcW w:w="260" w:type="dxa"/>
            <w:vAlign w:val="bottom"/>
          </w:tcPr>
          <w:p>
            <w:pPr>
              <w:spacing w:after="0"/>
              <w:rPr>
                <w:sz w:val="23"/>
                <w:szCs w:val="23"/>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3"/>
                <w:szCs w:val="23"/>
                <w:color w:val="auto"/>
              </w:rPr>
            </w:pPr>
          </w:p>
        </w:tc>
        <w:tc>
          <w:tcPr>
            <w:tcW w:w="960" w:type="dxa"/>
            <w:vAlign w:val="bottom"/>
          </w:tcPr>
          <w:p>
            <w:pPr>
              <w:jc w:val="right"/>
              <w:ind w:right="31"/>
              <w:spacing w:after="0"/>
              <w:rPr>
                <w:sz w:val="20"/>
                <w:szCs w:val="20"/>
                <w:color w:val="auto"/>
              </w:rPr>
            </w:pPr>
            <w:r>
              <w:rPr>
                <w:rFonts w:ascii="Arial" w:cs="Arial" w:eastAsia="Arial" w:hAnsi="Arial"/>
                <w:sz w:val="18"/>
                <w:szCs w:val="18"/>
                <w:color w:val="auto"/>
              </w:rPr>
              <w:t>—</w:t>
            </w:r>
          </w:p>
        </w:tc>
        <w:tc>
          <w:tcPr>
            <w:tcW w:w="400" w:type="dxa"/>
            <w:vAlign w:val="bottom"/>
          </w:tcPr>
          <w:p>
            <w:pPr>
              <w:spacing w:after="0"/>
              <w:rPr>
                <w:sz w:val="23"/>
                <w:szCs w:val="23"/>
                <w:color w:val="auto"/>
              </w:rPr>
            </w:pPr>
          </w:p>
        </w:tc>
        <w:tc>
          <w:tcPr>
            <w:tcW w:w="960" w:type="dxa"/>
            <w:vAlign w:val="bottom"/>
          </w:tcPr>
          <w:p>
            <w:pPr>
              <w:jc w:val="right"/>
              <w:ind w:right="32"/>
              <w:spacing w:after="0"/>
              <w:rPr>
                <w:sz w:val="20"/>
                <w:szCs w:val="20"/>
                <w:color w:val="auto"/>
              </w:rPr>
            </w:pPr>
            <w:r>
              <w:rPr>
                <w:rFonts w:ascii="Arial" w:cs="Arial" w:eastAsia="Arial" w:hAnsi="Arial"/>
                <w:sz w:val="18"/>
                <w:szCs w:val="18"/>
                <w:color w:val="auto"/>
              </w:rPr>
              <w:t>350</w:t>
            </w:r>
          </w:p>
        </w:tc>
        <w:tc>
          <w:tcPr>
            <w:tcW w:w="400" w:type="dxa"/>
            <w:vAlign w:val="bottom"/>
          </w:tcPr>
          <w:p>
            <w:pPr>
              <w:spacing w:after="0"/>
              <w:rPr>
                <w:sz w:val="23"/>
                <w:szCs w:val="23"/>
                <w:color w:val="auto"/>
              </w:rPr>
            </w:pPr>
          </w:p>
        </w:tc>
        <w:tc>
          <w:tcPr>
            <w:tcW w:w="96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0"/>
        </w:trPr>
        <w:tc>
          <w:tcPr>
            <w:tcW w:w="6080" w:type="dxa"/>
            <w:vAlign w:val="bottom"/>
            <w:shd w:val="clear" w:color="auto" w:fill="CFF0FC"/>
          </w:tcPr>
          <w:p>
            <w:pPr>
              <w:ind w:left="280"/>
              <w:spacing w:after="0" w:line="270" w:lineRule="exact"/>
              <w:rPr>
                <w:sz w:val="20"/>
                <w:szCs w:val="20"/>
                <w:color w:val="auto"/>
              </w:rPr>
            </w:pPr>
            <w:r>
              <w:rPr>
                <w:rFonts w:ascii="Arial" w:cs="Arial" w:eastAsia="Arial" w:hAnsi="Arial"/>
                <w:sz w:val="18"/>
                <w:szCs w:val="18"/>
                <w:color w:val="auto"/>
              </w:rPr>
              <w:t>Transaction fees</w:t>
            </w:r>
            <w:r>
              <w:rPr>
                <w:rFonts w:ascii="Arial" w:cs="Arial" w:eastAsia="Arial" w:hAnsi="Arial"/>
                <w:sz w:val="25"/>
                <w:szCs w:val="25"/>
                <w:color w:val="auto"/>
                <w:vertAlign w:val="superscript"/>
              </w:rPr>
              <w:t>(4)</w:t>
            </w:r>
          </w:p>
        </w:tc>
        <w:tc>
          <w:tcPr>
            <w:tcW w:w="260" w:type="dxa"/>
            <w:vAlign w:val="bottom"/>
            <w:shd w:val="clear" w:color="auto" w:fill="CFF0FC"/>
          </w:tcPr>
          <w:p>
            <w:pPr>
              <w:spacing w:after="0"/>
              <w:rPr>
                <w:sz w:val="23"/>
                <w:szCs w:val="23"/>
                <w:color w:val="auto"/>
              </w:rPr>
            </w:pPr>
          </w:p>
        </w:tc>
        <w:tc>
          <w:tcPr>
            <w:tcW w:w="110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shd w:val="clear" w:color="auto" w:fill="CFF0FC"/>
          </w:tcPr>
          <w:p>
            <w:pPr>
              <w:spacing w:after="0"/>
              <w:rPr>
                <w:sz w:val="23"/>
                <w:szCs w:val="23"/>
                <w:color w:val="auto"/>
              </w:rPr>
            </w:pPr>
          </w:p>
        </w:tc>
        <w:tc>
          <w:tcPr>
            <w:tcW w:w="960" w:type="dxa"/>
            <w:vAlign w:val="bottom"/>
            <w:shd w:val="clear" w:color="auto" w:fill="CFF0FC"/>
          </w:tcPr>
          <w:p>
            <w:pPr>
              <w:jc w:val="right"/>
              <w:ind w:right="31"/>
              <w:spacing w:after="0"/>
              <w:rPr>
                <w:sz w:val="20"/>
                <w:szCs w:val="20"/>
                <w:color w:val="auto"/>
              </w:rPr>
            </w:pPr>
            <w:r>
              <w:rPr>
                <w:rFonts w:ascii="Arial" w:cs="Arial" w:eastAsia="Arial" w:hAnsi="Arial"/>
                <w:sz w:val="18"/>
                <w:szCs w:val="18"/>
                <w:color w:val="auto"/>
              </w:rPr>
              <w:t>1,021</w:t>
            </w:r>
          </w:p>
        </w:tc>
        <w:tc>
          <w:tcPr>
            <w:tcW w:w="400" w:type="dxa"/>
            <w:vAlign w:val="bottom"/>
            <w:shd w:val="clear" w:color="auto" w:fill="CFF0FC"/>
          </w:tcPr>
          <w:p>
            <w:pPr>
              <w:spacing w:after="0"/>
              <w:rPr>
                <w:sz w:val="23"/>
                <w:szCs w:val="23"/>
                <w:color w:val="auto"/>
              </w:rPr>
            </w:pPr>
          </w:p>
        </w:tc>
        <w:tc>
          <w:tcPr>
            <w:tcW w:w="960" w:type="dxa"/>
            <w:vAlign w:val="bottom"/>
            <w:shd w:val="clear" w:color="auto" w:fill="CFF0FC"/>
          </w:tcPr>
          <w:p>
            <w:pPr>
              <w:jc w:val="right"/>
              <w:ind w:right="32"/>
              <w:spacing w:after="0"/>
              <w:rPr>
                <w:sz w:val="20"/>
                <w:szCs w:val="20"/>
                <w:color w:val="auto"/>
              </w:rPr>
            </w:pPr>
            <w:r>
              <w:rPr>
                <w:rFonts w:ascii="Arial" w:cs="Arial" w:eastAsia="Arial" w:hAnsi="Arial"/>
                <w:sz w:val="18"/>
                <w:szCs w:val="18"/>
                <w:color w:val="auto"/>
              </w:rPr>
              <w:t>—</w:t>
            </w:r>
          </w:p>
        </w:tc>
        <w:tc>
          <w:tcPr>
            <w:tcW w:w="400" w:type="dxa"/>
            <w:vAlign w:val="bottom"/>
            <w:shd w:val="clear" w:color="auto" w:fill="CFF0FC"/>
          </w:tcPr>
          <w:p>
            <w:pPr>
              <w:spacing w:after="0"/>
              <w:rPr>
                <w:sz w:val="23"/>
                <w:szCs w:val="23"/>
                <w:color w:val="auto"/>
              </w:rPr>
            </w:pPr>
          </w:p>
        </w:tc>
        <w:tc>
          <w:tcPr>
            <w:tcW w:w="96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rPr>
              <w:t>1,021</w:t>
            </w:r>
          </w:p>
        </w:tc>
      </w:tr>
      <w:tr>
        <w:trPr>
          <w:trHeight w:val="270"/>
        </w:trPr>
        <w:tc>
          <w:tcPr>
            <w:tcW w:w="6080" w:type="dxa"/>
            <w:vAlign w:val="bottom"/>
          </w:tcPr>
          <w:p>
            <w:pPr>
              <w:ind w:left="280"/>
              <w:spacing w:after="0"/>
              <w:rPr>
                <w:sz w:val="20"/>
                <w:szCs w:val="20"/>
                <w:color w:val="auto"/>
              </w:rPr>
            </w:pPr>
            <w:r>
              <w:rPr>
                <w:rFonts w:ascii="Arial" w:cs="Arial" w:eastAsia="Arial" w:hAnsi="Arial"/>
                <w:sz w:val="18"/>
                <w:szCs w:val="18"/>
                <w:color w:val="auto"/>
              </w:rPr>
              <w:t>Stock offering-related costs</w:t>
            </w:r>
            <w:r>
              <w:rPr>
                <w:rFonts w:ascii="Arial" w:cs="Arial" w:eastAsia="Arial" w:hAnsi="Arial"/>
                <w:sz w:val="21"/>
                <w:szCs w:val="21"/>
                <w:color w:val="auto"/>
                <w:vertAlign w:val="superscript"/>
              </w:rPr>
              <w:t>(5)</w:t>
            </w:r>
          </w:p>
        </w:tc>
        <w:tc>
          <w:tcPr>
            <w:tcW w:w="260" w:type="dxa"/>
            <w:vAlign w:val="bottom"/>
          </w:tcPr>
          <w:p>
            <w:pPr>
              <w:spacing w:after="0"/>
              <w:rPr>
                <w:sz w:val="23"/>
                <w:szCs w:val="23"/>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3"/>
                <w:szCs w:val="23"/>
                <w:color w:val="auto"/>
              </w:rPr>
            </w:pPr>
          </w:p>
        </w:tc>
        <w:tc>
          <w:tcPr>
            <w:tcW w:w="960" w:type="dxa"/>
            <w:vAlign w:val="bottom"/>
          </w:tcPr>
          <w:p>
            <w:pPr>
              <w:jc w:val="right"/>
              <w:ind w:right="31"/>
              <w:spacing w:after="0"/>
              <w:rPr>
                <w:sz w:val="20"/>
                <w:szCs w:val="20"/>
                <w:color w:val="auto"/>
              </w:rPr>
            </w:pPr>
            <w:r>
              <w:rPr>
                <w:rFonts w:ascii="Arial" w:cs="Arial" w:eastAsia="Arial" w:hAnsi="Arial"/>
                <w:sz w:val="18"/>
                <w:szCs w:val="18"/>
                <w:color w:val="auto"/>
              </w:rPr>
              <w:t>329</w:t>
            </w:r>
          </w:p>
        </w:tc>
        <w:tc>
          <w:tcPr>
            <w:tcW w:w="400" w:type="dxa"/>
            <w:vAlign w:val="bottom"/>
          </w:tcPr>
          <w:p>
            <w:pPr>
              <w:spacing w:after="0"/>
              <w:rPr>
                <w:sz w:val="23"/>
                <w:szCs w:val="23"/>
                <w:color w:val="auto"/>
              </w:rPr>
            </w:pPr>
          </w:p>
        </w:tc>
        <w:tc>
          <w:tcPr>
            <w:tcW w:w="960" w:type="dxa"/>
            <w:vAlign w:val="bottom"/>
          </w:tcPr>
          <w:p>
            <w:pPr>
              <w:jc w:val="right"/>
              <w:ind w:right="32"/>
              <w:spacing w:after="0"/>
              <w:rPr>
                <w:sz w:val="20"/>
                <w:szCs w:val="20"/>
                <w:color w:val="auto"/>
              </w:rPr>
            </w:pPr>
            <w:r>
              <w:rPr>
                <w:rFonts w:ascii="Arial" w:cs="Arial" w:eastAsia="Arial" w:hAnsi="Arial"/>
                <w:sz w:val="18"/>
                <w:szCs w:val="18"/>
                <w:color w:val="auto"/>
              </w:rPr>
              <w:t>—</w:t>
            </w:r>
          </w:p>
        </w:tc>
        <w:tc>
          <w:tcPr>
            <w:tcW w:w="400" w:type="dxa"/>
            <w:vAlign w:val="bottom"/>
          </w:tcPr>
          <w:p>
            <w:pPr>
              <w:spacing w:after="0"/>
              <w:rPr>
                <w:sz w:val="23"/>
                <w:szCs w:val="23"/>
                <w:color w:val="auto"/>
              </w:rPr>
            </w:pPr>
          </w:p>
        </w:tc>
        <w:tc>
          <w:tcPr>
            <w:tcW w:w="960" w:type="dxa"/>
            <w:vAlign w:val="bottom"/>
          </w:tcPr>
          <w:p>
            <w:pPr>
              <w:jc w:val="right"/>
              <w:ind w:right="11"/>
              <w:spacing w:after="0"/>
              <w:rPr>
                <w:sz w:val="20"/>
                <w:szCs w:val="20"/>
                <w:color w:val="auto"/>
              </w:rPr>
            </w:pPr>
            <w:r>
              <w:rPr>
                <w:rFonts w:ascii="Arial" w:cs="Arial" w:eastAsia="Arial" w:hAnsi="Arial"/>
                <w:sz w:val="18"/>
                <w:szCs w:val="18"/>
                <w:color w:val="auto"/>
              </w:rPr>
              <w:t>937</w:t>
            </w:r>
          </w:p>
        </w:tc>
      </w:tr>
      <w:tr>
        <w:trPr>
          <w:trHeight w:val="270"/>
        </w:trPr>
        <w:tc>
          <w:tcPr>
            <w:tcW w:w="6080" w:type="dxa"/>
            <w:vAlign w:val="bottom"/>
            <w:shd w:val="clear" w:color="auto" w:fill="CFF0FC"/>
          </w:tcPr>
          <w:p>
            <w:pPr>
              <w:ind w:left="280"/>
              <w:spacing w:after="0"/>
              <w:rPr>
                <w:sz w:val="20"/>
                <w:szCs w:val="20"/>
                <w:color w:val="auto"/>
              </w:rPr>
            </w:pPr>
            <w:r>
              <w:rPr>
                <w:rFonts w:ascii="Arial" w:cs="Arial" w:eastAsia="Arial" w:hAnsi="Arial"/>
                <w:sz w:val="18"/>
                <w:szCs w:val="18"/>
                <w:color w:val="auto"/>
              </w:rPr>
              <w:t>Severance costs</w:t>
            </w:r>
            <w:r>
              <w:rPr>
                <w:rFonts w:ascii="Arial" w:cs="Arial" w:eastAsia="Arial" w:hAnsi="Arial"/>
                <w:sz w:val="21"/>
                <w:szCs w:val="21"/>
                <w:color w:val="auto"/>
                <w:vertAlign w:val="superscript"/>
              </w:rPr>
              <w:t>(6)</w:t>
            </w:r>
          </w:p>
        </w:tc>
        <w:tc>
          <w:tcPr>
            <w:tcW w:w="260" w:type="dxa"/>
            <w:vAlign w:val="bottom"/>
            <w:shd w:val="clear" w:color="auto" w:fill="CFF0FC"/>
          </w:tcPr>
          <w:p>
            <w:pPr>
              <w:spacing w:after="0"/>
              <w:rPr>
                <w:sz w:val="23"/>
                <w:szCs w:val="23"/>
                <w:color w:val="auto"/>
              </w:rPr>
            </w:pPr>
          </w:p>
        </w:tc>
        <w:tc>
          <w:tcPr>
            <w:tcW w:w="980" w:type="dxa"/>
            <w:vAlign w:val="bottom"/>
            <w:shd w:val="clear" w:color="auto" w:fill="CFF0FC"/>
          </w:tcPr>
          <w:p>
            <w:pPr>
              <w:jc w:val="right"/>
              <w:ind w:right="12"/>
              <w:spacing w:after="0"/>
              <w:rPr>
                <w:sz w:val="20"/>
                <w:szCs w:val="20"/>
                <w:color w:val="auto"/>
              </w:rPr>
            </w:pPr>
            <w:r>
              <w:rPr>
                <w:rFonts w:ascii="Arial" w:cs="Arial" w:eastAsia="Arial" w:hAnsi="Arial"/>
                <w:sz w:val="18"/>
                <w:szCs w:val="18"/>
                <w:color w:val="auto"/>
              </w:rPr>
              <w:t>352</w:t>
            </w:r>
          </w:p>
        </w:tc>
        <w:tc>
          <w:tcPr>
            <w:tcW w:w="120" w:type="dxa"/>
            <w:vAlign w:val="bottom"/>
            <w:shd w:val="clear" w:color="auto" w:fill="CFF0FC"/>
          </w:tcPr>
          <w:p>
            <w:pPr>
              <w:spacing w:after="0"/>
              <w:rPr>
                <w:sz w:val="23"/>
                <w:szCs w:val="23"/>
                <w:color w:val="auto"/>
              </w:rPr>
            </w:pPr>
          </w:p>
        </w:tc>
        <w:tc>
          <w:tcPr>
            <w:tcW w:w="300" w:type="dxa"/>
            <w:vAlign w:val="bottom"/>
            <w:shd w:val="clear" w:color="auto" w:fill="CFF0FC"/>
          </w:tcPr>
          <w:p>
            <w:pPr>
              <w:spacing w:after="0"/>
              <w:rPr>
                <w:sz w:val="23"/>
                <w:szCs w:val="23"/>
                <w:color w:val="auto"/>
              </w:rPr>
            </w:pPr>
          </w:p>
        </w:tc>
        <w:tc>
          <w:tcPr>
            <w:tcW w:w="960" w:type="dxa"/>
            <w:vAlign w:val="bottom"/>
            <w:shd w:val="clear" w:color="auto" w:fill="CFF0FC"/>
          </w:tcPr>
          <w:p>
            <w:pPr>
              <w:jc w:val="right"/>
              <w:ind w:right="31"/>
              <w:spacing w:after="0"/>
              <w:rPr>
                <w:sz w:val="20"/>
                <w:szCs w:val="20"/>
                <w:color w:val="auto"/>
              </w:rPr>
            </w:pPr>
            <w:r>
              <w:rPr>
                <w:rFonts w:ascii="Arial" w:cs="Arial" w:eastAsia="Arial" w:hAnsi="Arial"/>
                <w:sz w:val="18"/>
                <w:szCs w:val="18"/>
                <w:color w:val="auto"/>
              </w:rPr>
              <w:t>—</w:t>
            </w:r>
          </w:p>
        </w:tc>
        <w:tc>
          <w:tcPr>
            <w:tcW w:w="400" w:type="dxa"/>
            <w:vAlign w:val="bottom"/>
            <w:shd w:val="clear" w:color="auto" w:fill="CFF0FC"/>
          </w:tcPr>
          <w:p>
            <w:pPr>
              <w:spacing w:after="0"/>
              <w:rPr>
                <w:sz w:val="23"/>
                <w:szCs w:val="23"/>
                <w:color w:val="auto"/>
              </w:rPr>
            </w:pPr>
          </w:p>
        </w:tc>
        <w:tc>
          <w:tcPr>
            <w:tcW w:w="960" w:type="dxa"/>
            <w:vAlign w:val="bottom"/>
            <w:shd w:val="clear" w:color="auto" w:fill="CFF0FC"/>
          </w:tcPr>
          <w:p>
            <w:pPr>
              <w:jc w:val="right"/>
              <w:ind w:right="32"/>
              <w:spacing w:after="0"/>
              <w:rPr>
                <w:sz w:val="20"/>
                <w:szCs w:val="20"/>
                <w:color w:val="auto"/>
              </w:rPr>
            </w:pPr>
            <w:r>
              <w:rPr>
                <w:rFonts w:ascii="Arial" w:cs="Arial" w:eastAsia="Arial" w:hAnsi="Arial"/>
                <w:sz w:val="18"/>
                <w:szCs w:val="18"/>
                <w:color w:val="auto"/>
              </w:rPr>
              <w:t>352</w:t>
            </w:r>
          </w:p>
        </w:tc>
        <w:tc>
          <w:tcPr>
            <w:tcW w:w="400" w:type="dxa"/>
            <w:vAlign w:val="bottom"/>
            <w:shd w:val="clear" w:color="auto" w:fill="CFF0FC"/>
          </w:tcPr>
          <w:p>
            <w:pPr>
              <w:spacing w:after="0"/>
              <w:rPr>
                <w:sz w:val="23"/>
                <w:szCs w:val="23"/>
                <w:color w:val="auto"/>
              </w:rPr>
            </w:pPr>
          </w:p>
        </w:tc>
        <w:tc>
          <w:tcPr>
            <w:tcW w:w="96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rPr>
              <w:t>—</w:t>
            </w:r>
          </w:p>
        </w:tc>
      </w:tr>
      <w:tr>
        <w:trPr>
          <w:trHeight w:val="270"/>
        </w:trPr>
        <w:tc>
          <w:tcPr>
            <w:tcW w:w="6080" w:type="dxa"/>
            <w:vAlign w:val="bottom"/>
          </w:tcPr>
          <w:p>
            <w:pPr>
              <w:ind w:left="280"/>
              <w:spacing w:after="0"/>
              <w:rPr>
                <w:sz w:val="20"/>
                <w:szCs w:val="20"/>
                <w:color w:val="auto"/>
              </w:rPr>
            </w:pPr>
            <w:r>
              <w:rPr>
                <w:rFonts w:ascii="Arial" w:cs="Arial" w:eastAsia="Arial" w:hAnsi="Arial"/>
                <w:sz w:val="18"/>
                <w:szCs w:val="18"/>
                <w:color w:val="auto"/>
              </w:rPr>
              <w:t>Pre-opening costs</w:t>
            </w:r>
            <w:r>
              <w:rPr>
                <w:rFonts w:ascii="Arial" w:cs="Arial" w:eastAsia="Arial" w:hAnsi="Arial"/>
                <w:sz w:val="21"/>
                <w:szCs w:val="21"/>
                <w:color w:val="auto"/>
                <w:vertAlign w:val="superscript"/>
              </w:rPr>
              <w:t>(7)</w:t>
            </w:r>
          </w:p>
        </w:tc>
        <w:tc>
          <w:tcPr>
            <w:tcW w:w="260" w:type="dxa"/>
            <w:vAlign w:val="bottom"/>
          </w:tcPr>
          <w:p>
            <w:pPr>
              <w:spacing w:after="0"/>
              <w:rPr>
                <w:sz w:val="23"/>
                <w:szCs w:val="23"/>
                <w:color w:val="auto"/>
              </w:rPr>
            </w:pPr>
          </w:p>
        </w:tc>
        <w:tc>
          <w:tcPr>
            <w:tcW w:w="980" w:type="dxa"/>
            <w:vAlign w:val="bottom"/>
          </w:tcPr>
          <w:p>
            <w:pPr>
              <w:jc w:val="right"/>
              <w:ind w:right="12"/>
              <w:spacing w:after="0"/>
              <w:rPr>
                <w:sz w:val="20"/>
                <w:szCs w:val="20"/>
                <w:color w:val="auto"/>
              </w:rPr>
            </w:pPr>
            <w:r>
              <w:rPr>
                <w:rFonts w:ascii="Arial" w:cs="Arial" w:eastAsia="Arial" w:hAnsi="Arial"/>
                <w:sz w:val="18"/>
                <w:szCs w:val="18"/>
                <w:color w:val="auto"/>
              </w:rPr>
              <w:t>461</w:t>
            </w:r>
          </w:p>
        </w:tc>
        <w:tc>
          <w:tcPr>
            <w:tcW w:w="12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960" w:type="dxa"/>
            <w:vAlign w:val="bottom"/>
          </w:tcPr>
          <w:p>
            <w:pPr>
              <w:jc w:val="right"/>
              <w:ind w:right="31"/>
              <w:spacing w:after="0"/>
              <w:rPr>
                <w:sz w:val="20"/>
                <w:szCs w:val="20"/>
                <w:color w:val="auto"/>
              </w:rPr>
            </w:pPr>
            <w:r>
              <w:rPr>
                <w:rFonts w:ascii="Arial" w:cs="Arial" w:eastAsia="Arial" w:hAnsi="Arial"/>
                <w:sz w:val="18"/>
                <w:szCs w:val="18"/>
                <w:color w:val="auto"/>
              </w:rPr>
              <w:t>—</w:t>
            </w:r>
          </w:p>
        </w:tc>
        <w:tc>
          <w:tcPr>
            <w:tcW w:w="400" w:type="dxa"/>
            <w:vAlign w:val="bottom"/>
          </w:tcPr>
          <w:p>
            <w:pPr>
              <w:spacing w:after="0"/>
              <w:rPr>
                <w:sz w:val="23"/>
                <w:szCs w:val="23"/>
                <w:color w:val="auto"/>
              </w:rPr>
            </w:pPr>
          </w:p>
        </w:tc>
        <w:tc>
          <w:tcPr>
            <w:tcW w:w="960" w:type="dxa"/>
            <w:vAlign w:val="bottom"/>
          </w:tcPr>
          <w:p>
            <w:pPr>
              <w:jc w:val="right"/>
              <w:ind w:right="32"/>
              <w:spacing w:after="0"/>
              <w:rPr>
                <w:sz w:val="20"/>
                <w:szCs w:val="20"/>
                <w:color w:val="auto"/>
              </w:rPr>
            </w:pPr>
            <w:r>
              <w:rPr>
                <w:rFonts w:ascii="Arial" w:cs="Arial" w:eastAsia="Arial" w:hAnsi="Arial"/>
                <w:sz w:val="18"/>
                <w:szCs w:val="18"/>
                <w:color w:val="auto"/>
              </w:rPr>
              <w:t>483</w:t>
            </w:r>
          </w:p>
        </w:tc>
        <w:tc>
          <w:tcPr>
            <w:tcW w:w="400" w:type="dxa"/>
            <w:vAlign w:val="bottom"/>
          </w:tcPr>
          <w:p>
            <w:pPr>
              <w:spacing w:after="0"/>
              <w:rPr>
                <w:sz w:val="23"/>
                <w:szCs w:val="23"/>
                <w:color w:val="auto"/>
              </w:rPr>
            </w:pPr>
          </w:p>
        </w:tc>
        <w:tc>
          <w:tcPr>
            <w:tcW w:w="96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0"/>
        </w:trPr>
        <w:tc>
          <w:tcPr>
            <w:tcW w:w="6080" w:type="dxa"/>
            <w:vAlign w:val="bottom"/>
            <w:shd w:val="clear" w:color="auto" w:fill="CFF0FC"/>
          </w:tcPr>
          <w:p>
            <w:pPr>
              <w:ind w:left="280"/>
              <w:spacing w:after="0"/>
              <w:rPr>
                <w:sz w:val="20"/>
                <w:szCs w:val="20"/>
                <w:color w:val="auto"/>
              </w:rPr>
            </w:pPr>
            <w:r>
              <w:rPr>
                <w:rFonts w:ascii="Arial" w:cs="Arial" w:eastAsia="Arial" w:hAnsi="Arial"/>
                <w:sz w:val="18"/>
                <w:szCs w:val="18"/>
                <w:color w:val="auto"/>
              </w:rPr>
              <w:t>Early lease termination costs</w:t>
            </w:r>
            <w:r>
              <w:rPr>
                <w:rFonts w:ascii="Arial" w:cs="Arial" w:eastAsia="Arial" w:hAnsi="Arial"/>
                <w:sz w:val="21"/>
                <w:szCs w:val="21"/>
                <w:color w:val="auto"/>
                <w:vertAlign w:val="superscript"/>
              </w:rPr>
              <w:t>(8)</w:t>
            </w:r>
          </w:p>
        </w:tc>
        <w:tc>
          <w:tcPr>
            <w:tcW w:w="260" w:type="dxa"/>
            <w:vAlign w:val="bottom"/>
            <w:shd w:val="clear" w:color="auto" w:fill="CFF0FC"/>
          </w:tcPr>
          <w:p>
            <w:pPr>
              <w:spacing w:after="0"/>
              <w:rPr>
                <w:sz w:val="23"/>
                <w:szCs w:val="23"/>
                <w:color w:val="auto"/>
              </w:rPr>
            </w:pPr>
          </w:p>
        </w:tc>
        <w:tc>
          <w:tcPr>
            <w:tcW w:w="110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shd w:val="clear" w:color="auto" w:fill="CFF0FC"/>
          </w:tcPr>
          <w:p>
            <w:pPr>
              <w:spacing w:after="0"/>
              <w:rPr>
                <w:sz w:val="23"/>
                <w:szCs w:val="23"/>
                <w:color w:val="auto"/>
              </w:rPr>
            </w:pPr>
          </w:p>
        </w:tc>
        <w:tc>
          <w:tcPr>
            <w:tcW w:w="960" w:type="dxa"/>
            <w:vAlign w:val="bottom"/>
            <w:shd w:val="clear" w:color="auto" w:fill="CFF0FC"/>
          </w:tcPr>
          <w:p>
            <w:pPr>
              <w:jc w:val="right"/>
              <w:ind w:right="31"/>
              <w:spacing w:after="0"/>
              <w:rPr>
                <w:sz w:val="20"/>
                <w:szCs w:val="20"/>
                <w:color w:val="auto"/>
              </w:rPr>
            </w:pPr>
            <w:r>
              <w:rPr>
                <w:rFonts w:ascii="Arial" w:cs="Arial" w:eastAsia="Arial" w:hAnsi="Arial"/>
                <w:sz w:val="18"/>
                <w:szCs w:val="18"/>
                <w:color w:val="auto"/>
              </w:rPr>
              <w:t>719</w:t>
            </w:r>
          </w:p>
        </w:tc>
        <w:tc>
          <w:tcPr>
            <w:tcW w:w="400" w:type="dxa"/>
            <w:vAlign w:val="bottom"/>
            <w:shd w:val="clear" w:color="auto" w:fill="CFF0FC"/>
          </w:tcPr>
          <w:p>
            <w:pPr>
              <w:spacing w:after="0"/>
              <w:rPr>
                <w:sz w:val="23"/>
                <w:szCs w:val="23"/>
                <w:color w:val="auto"/>
              </w:rPr>
            </w:pPr>
          </w:p>
        </w:tc>
        <w:tc>
          <w:tcPr>
            <w:tcW w:w="960" w:type="dxa"/>
            <w:vAlign w:val="bottom"/>
            <w:shd w:val="clear" w:color="auto" w:fill="CFF0FC"/>
          </w:tcPr>
          <w:p>
            <w:pPr>
              <w:jc w:val="right"/>
              <w:ind w:right="32"/>
              <w:spacing w:after="0"/>
              <w:rPr>
                <w:sz w:val="20"/>
                <w:szCs w:val="20"/>
                <w:color w:val="auto"/>
              </w:rPr>
            </w:pPr>
            <w:r>
              <w:rPr>
                <w:rFonts w:ascii="Arial" w:cs="Arial" w:eastAsia="Arial" w:hAnsi="Arial"/>
                <w:sz w:val="18"/>
                <w:szCs w:val="18"/>
                <w:color w:val="auto"/>
              </w:rPr>
              <w:t>—</w:t>
            </w:r>
          </w:p>
        </w:tc>
        <w:tc>
          <w:tcPr>
            <w:tcW w:w="400" w:type="dxa"/>
            <w:vAlign w:val="bottom"/>
            <w:shd w:val="clear" w:color="auto" w:fill="CFF0FC"/>
          </w:tcPr>
          <w:p>
            <w:pPr>
              <w:spacing w:after="0"/>
              <w:rPr>
                <w:sz w:val="23"/>
                <w:szCs w:val="23"/>
                <w:color w:val="auto"/>
              </w:rPr>
            </w:pPr>
          </w:p>
        </w:tc>
        <w:tc>
          <w:tcPr>
            <w:tcW w:w="96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rPr>
              <w:t>719</w:t>
            </w:r>
          </w:p>
        </w:tc>
      </w:tr>
      <w:tr>
        <w:trPr>
          <w:trHeight w:val="270"/>
        </w:trPr>
        <w:tc>
          <w:tcPr>
            <w:tcW w:w="6080" w:type="dxa"/>
            <w:vAlign w:val="bottom"/>
            <w:tcBorders>
              <w:bottom w:val="single" w:sz="8" w:color="CFF0FC"/>
            </w:tcBorders>
          </w:tcPr>
          <w:p>
            <w:pPr>
              <w:ind w:left="280"/>
              <w:spacing w:after="0"/>
              <w:rPr>
                <w:sz w:val="20"/>
                <w:szCs w:val="20"/>
                <w:color w:val="auto"/>
              </w:rPr>
            </w:pPr>
            <w:r>
              <w:rPr>
                <w:rFonts w:ascii="Arial" w:cs="Arial" w:eastAsia="Arial" w:hAnsi="Arial"/>
                <w:sz w:val="18"/>
                <w:szCs w:val="18"/>
                <w:color w:val="auto"/>
              </w:rPr>
              <w:t>Other</w:t>
            </w:r>
            <w:r>
              <w:rPr>
                <w:rFonts w:ascii="Arial" w:cs="Arial" w:eastAsia="Arial" w:hAnsi="Arial"/>
                <w:sz w:val="21"/>
                <w:szCs w:val="21"/>
                <w:color w:val="auto"/>
                <w:vertAlign w:val="superscript"/>
              </w:rPr>
              <w:t>(9)</w:t>
            </w:r>
          </w:p>
        </w:tc>
        <w:tc>
          <w:tcPr>
            <w:tcW w:w="260" w:type="dxa"/>
            <w:vAlign w:val="bottom"/>
            <w:tcBorders>
              <w:bottom w:val="single" w:sz="8" w:color="auto"/>
            </w:tcBorders>
          </w:tcPr>
          <w:p>
            <w:pPr>
              <w:spacing w:after="0"/>
              <w:rPr>
                <w:sz w:val="23"/>
                <w:szCs w:val="23"/>
                <w:color w:val="auto"/>
              </w:rPr>
            </w:pPr>
          </w:p>
        </w:tc>
        <w:tc>
          <w:tcPr>
            <w:tcW w:w="98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rPr>
              <w:t>502</w:t>
            </w:r>
          </w:p>
        </w:tc>
        <w:tc>
          <w:tcPr>
            <w:tcW w:w="120" w:type="dxa"/>
            <w:vAlign w:val="bottom"/>
            <w:tcBorders>
              <w:bottom w:val="single" w:sz="8" w:color="CFF0FC"/>
            </w:tcBorders>
          </w:tcPr>
          <w:p>
            <w:pPr>
              <w:spacing w:after="0"/>
              <w:rPr>
                <w:sz w:val="23"/>
                <w:szCs w:val="23"/>
                <w:color w:val="auto"/>
              </w:rPr>
            </w:pPr>
          </w:p>
        </w:tc>
        <w:tc>
          <w:tcPr>
            <w:tcW w:w="300" w:type="dxa"/>
            <w:vAlign w:val="bottom"/>
            <w:tcBorders>
              <w:bottom w:val="single" w:sz="8" w:color="auto"/>
            </w:tcBorders>
          </w:tcPr>
          <w:p>
            <w:pPr>
              <w:spacing w:after="0"/>
              <w:rPr>
                <w:sz w:val="23"/>
                <w:szCs w:val="23"/>
                <w:color w:val="auto"/>
              </w:rPr>
            </w:pPr>
          </w:p>
        </w:tc>
        <w:tc>
          <w:tcPr>
            <w:tcW w:w="960" w:type="dxa"/>
            <w:vAlign w:val="bottom"/>
            <w:tcBorders>
              <w:bottom w:val="single" w:sz="8" w:color="auto"/>
            </w:tcBorders>
          </w:tcPr>
          <w:p>
            <w:pPr>
              <w:jc w:val="right"/>
              <w:ind w:right="31"/>
              <w:spacing w:after="0"/>
              <w:rPr>
                <w:sz w:val="20"/>
                <w:szCs w:val="20"/>
                <w:color w:val="auto"/>
              </w:rPr>
            </w:pPr>
            <w:r>
              <w:rPr>
                <w:rFonts w:ascii="Arial" w:cs="Arial" w:eastAsia="Arial" w:hAnsi="Arial"/>
                <w:sz w:val="18"/>
                <w:szCs w:val="18"/>
                <w:color w:val="auto"/>
              </w:rPr>
              <w:t>—</w:t>
            </w:r>
          </w:p>
        </w:tc>
        <w:tc>
          <w:tcPr>
            <w:tcW w:w="400" w:type="dxa"/>
            <w:vAlign w:val="bottom"/>
            <w:tcBorders>
              <w:bottom w:val="single" w:sz="8" w:color="auto"/>
            </w:tcBorders>
          </w:tcPr>
          <w:p>
            <w:pPr>
              <w:spacing w:after="0"/>
              <w:rPr>
                <w:sz w:val="23"/>
                <w:szCs w:val="23"/>
                <w:color w:val="auto"/>
              </w:rPr>
            </w:pPr>
          </w:p>
        </w:tc>
        <w:tc>
          <w:tcPr>
            <w:tcW w:w="960" w:type="dxa"/>
            <w:vAlign w:val="bottom"/>
            <w:tcBorders>
              <w:bottom w:val="single" w:sz="8" w:color="auto"/>
            </w:tcBorders>
          </w:tcPr>
          <w:p>
            <w:pPr>
              <w:jc w:val="right"/>
              <w:ind w:right="32"/>
              <w:spacing w:after="0"/>
              <w:rPr>
                <w:sz w:val="20"/>
                <w:szCs w:val="20"/>
                <w:color w:val="auto"/>
              </w:rPr>
            </w:pPr>
            <w:r>
              <w:rPr>
                <w:rFonts w:ascii="Arial" w:cs="Arial" w:eastAsia="Arial" w:hAnsi="Arial"/>
                <w:sz w:val="18"/>
                <w:szCs w:val="18"/>
                <w:color w:val="auto"/>
              </w:rPr>
              <w:t>702</w:t>
            </w:r>
          </w:p>
        </w:tc>
        <w:tc>
          <w:tcPr>
            <w:tcW w:w="400" w:type="dxa"/>
            <w:vAlign w:val="bottom"/>
            <w:tcBorders>
              <w:bottom w:val="single" w:sz="8" w:color="auto"/>
            </w:tcBorders>
          </w:tcPr>
          <w:p>
            <w:pPr>
              <w:spacing w:after="0"/>
              <w:rPr>
                <w:sz w:val="23"/>
                <w:szCs w:val="23"/>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(573)</w:t>
            </w:r>
          </w:p>
        </w:tc>
      </w:tr>
      <w:tr>
        <w:trPr>
          <w:trHeight w:val="257"/>
        </w:trPr>
        <w:tc>
          <w:tcPr>
            <w:tcW w:w="608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Adjusted EBITDA</w:t>
            </w:r>
          </w:p>
        </w:tc>
        <w:tc>
          <w:tcPr>
            <w:tcW w:w="26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auto"/>
            </w:tcBorders>
            <w:shd w:val="clear" w:color="auto" w:fill="CFF0FC"/>
          </w:tcPr>
          <w:p>
            <w:pPr>
              <w:jc w:val="right"/>
              <w:ind w:right="12"/>
              <w:spacing w:after="0"/>
              <w:rPr>
                <w:sz w:val="20"/>
                <w:szCs w:val="20"/>
                <w:color w:val="auto"/>
              </w:rPr>
            </w:pPr>
            <w:r>
              <w:rPr>
                <w:rFonts w:ascii="Arial" w:cs="Arial" w:eastAsia="Arial" w:hAnsi="Arial"/>
                <w:sz w:val="18"/>
                <w:szCs w:val="18"/>
                <w:color w:val="auto"/>
              </w:rPr>
              <w:t>58,381</w:t>
            </w:r>
          </w:p>
        </w:tc>
        <w:tc>
          <w:tcPr>
            <w:tcW w:w="120" w:type="dxa"/>
            <w:vAlign w:val="bottom"/>
            <w:tcBorders>
              <w:bottom w:val="single" w:sz="8" w:color="CFF0FC"/>
            </w:tcBorders>
            <w:shd w:val="clear" w:color="auto" w:fill="CFF0FC"/>
          </w:tcPr>
          <w:p>
            <w:pPr>
              <w:spacing w:after="0"/>
              <w:rPr>
                <w:sz w:val="22"/>
                <w:szCs w:val="22"/>
                <w:color w:val="auto"/>
              </w:rPr>
            </w:pPr>
          </w:p>
        </w:tc>
        <w:tc>
          <w:tcPr>
            <w:tcW w:w="300" w:type="dxa"/>
            <w:vAlign w:val="bottom"/>
            <w:tcBorders>
              <w:bottom w:val="single" w:sz="8" w:color="auto"/>
            </w:tcBorders>
            <w:shd w:val="clear" w:color="auto" w:fill="CFF0FC"/>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shd w:val="clear" w:color="auto" w:fill="CFF0FC"/>
          </w:tcPr>
          <w:p>
            <w:pPr>
              <w:jc w:val="right"/>
              <w:ind w:right="31"/>
              <w:spacing w:after="0"/>
              <w:rPr>
                <w:sz w:val="20"/>
                <w:szCs w:val="20"/>
                <w:color w:val="auto"/>
              </w:rPr>
            </w:pPr>
            <w:r>
              <w:rPr>
                <w:rFonts w:ascii="Arial" w:cs="Arial" w:eastAsia="Arial" w:hAnsi="Arial"/>
                <w:sz w:val="18"/>
                <w:szCs w:val="18"/>
                <w:color w:val="auto"/>
              </w:rPr>
              <w:t>47,915</w:t>
            </w:r>
          </w:p>
        </w:tc>
        <w:tc>
          <w:tcPr>
            <w:tcW w:w="400" w:type="dxa"/>
            <w:vAlign w:val="bottom"/>
            <w:tcBorders>
              <w:bottom w:val="single" w:sz="8" w:color="auto"/>
            </w:tcBorders>
            <w:shd w:val="clear" w:color="auto" w:fill="CFF0FC"/>
          </w:tcPr>
          <w:p>
            <w:pPr>
              <w:jc w:val="right"/>
              <w:ind w:right="90"/>
              <w:spacing w:after="0"/>
              <w:rPr>
                <w:sz w:val="20"/>
                <w:szCs w:val="20"/>
                <w:color w:val="auto"/>
              </w:rPr>
            </w:pPr>
            <w:r>
              <w:rPr>
                <w:rFonts w:ascii="Arial" w:cs="Arial" w:eastAsia="Arial" w:hAnsi="Arial"/>
                <w:sz w:val="18"/>
                <w:szCs w:val="18"/>
                <w:color w:val="auto"/>
              </w:rPr>
              <w:t>$</w:t>
            </w:r>
          </w:p>
        </w:tc>
        <w:tc>
          <w:tcPr>
            <w:tcW w:w="960" w:type="dxa"/>
            <w:vAlign w:val="bottom"/>
            <w:tcBorders>
              <w:bottom w:val="single" w:sz="8" w:color="auto"/>
            </w:tcBorders>
            <w:shd w:val="clear" w:color="auto" w:fill="CFF0FC"/>
          </w:tcPr>
          <w:p>
            <w:pPr>
              <w:jc w:val="right"/>
              <w:ind w:right="32"/>
              <w:spacing w:after="0"/>
              <w:rPr>
                <w:sz w:val="20"/>
                <w:szCs w:val="20"/>
                <w:color w:val="auto"/>
              </w:rPr>
            </w:pPr>
            <w:r>
              <w:rPr>
                <w:rFonts w:ascii="Arial" w:cs="Arial" w:eastAsia="Arial" w:hAnsi="Arial"/>
                <w:sz w:val="18"/>
                <w:szCs w:val="18"/>
                <w:color w:val="auto"/>
              </w:rPr>
              <w:t>107,154</w:t>
            </w:r>
          </w:p>
        </w:tc>
        <w:tc>
          <w:tcPr>
            <w:tcW w:w="400" w:type="dxa"/>
            <w:vAlign w:val="bottom"/>
            <w:tcBorders>
              <w:bottom w:val="single" w:sz="8" w:color="auto"/>
            </w:tcBorders>
            <w:shd w:val="clear" w:color="auto" w:fill="CFF0FC"/>
          </w:tcPr>
          <w:p>
            <w:pPr>
              <w:jc w:val="right"/>
              <w:ind w:right="90"/>
              <w:spacing w:after="0"/>
              <w:rPr>
                <w:sz w:val="20"/>
                <w:szCs w:val="20"/>
                <w:color w:val="auto"/>
              </w:rPr>
            </w:pPr>
            <w:r>
              <w:rPr>
                <w:rFonts w:ascii="Arial" w:cs="Arial" w:eastAsia="Arial" w:hAnsi="Arial"/>
                <w:sz w:val="18"/>
                <w:szCs w:val="18"/>
                <w:color w:val="auto"/>
              </w:rPr>
              <w:t>$</w:t>
            </w:r>
          </w:p>
        </w:tc>
        <w:tc>
          <w:tcPr>
            <w:tcW w:w="960" w:type="dxa"/>
            <w:vAlign w:val="bottom"/>
            <w:tcBorders>
              <w:bottom w:val="single" w:sz="8" w:color="auto"/>
            </w:tcBorders>
            <w:shd w:val="clear" w:color="auto" w:fill="CFF0FC"/>
          </w:tcPr>
          <w:p>
            <w:pPr>
              <w:jc w:val="right"/>
              <w:ind w:right="11"/>
              <w:spacing w:after="0"/>
              <w:rPr>
                <w:sz w:val="20"/>
                <w:szCs w:val="20"/>
                <w:color w:val="auto"/>
              </w:rPr>
            </w:pPr>
            <w:r>
              <w:rPr>
                <w:rFonts w:ascii="Arial" w:cs="Arial" w:eastAsia="Arial" w:hAnsi="Arial"/>
                <w:sz w:val="18"/>
                <w:szCs w:val="18"/>
                <w:color w:val="auto"/>
              </w:rPr>
              <w:t>90,170</w:t>
            </w:r>
          </w:p>
        </w:tc>
      </w:tr>
      <w:tr>
        <w:trPr>
          <w:trHeight w:val="20"/>
        </w:trPr>
        <w:tc>
          <w:tcPr>
            <w:tcW w:w="60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ind w:left="580" w:hanging="315"/>
        <w:spacing w:after="0" w:line="267" w:lineRule="auto"/>
        <w:tabs>
          <w:tab w:leader="none" w:pos="580" w:val="left"/>
        </w:tabs>
        <w:numPr>
          <w:ilvl w:val="0"/>
          <w:numId w:val="13"/>
        </w:numPr>
        <w:rPr>
          <w:rFonts w:ascii="Arial" w:cs="Arial" w:eastAsia="Arial" w:hAnsi="Arial"/>
          <w:sz w:val="17"/>
          <w:szCs w:val="17"/>
          <w:color w:val="auto"/>
        </w:rPr>
      </w:pPr>
      <w:r>
        <w:rPr>
          <w:rFonts w:ascii="Arial" w:cs="Arial" w:eastAsia="Arial" w:hAnsi="Arial"/>
          <w:sz w:val="17"/>
          <w:szCs w:val="17"/>
          <w:color w:val="auto"/>
        </w:rPr>
        <w:t>Represents the impact of revenue-related purchase accounting adjustments associated with the 2012 Acquisition. At the time of the 2012 Acquisition, the Company maintained a deferred revenue account, which consisted of deferred ADA fees, deferred franchise fees, and deferred enrollment fees that the Company billed and collected up front but recognizes for U.S. GAAP purposes at a later date. In connection with the 2012 Acquisition, it was determined that the carrying amount of deferred revenue was greater than the fair value assessed in accordance with ASC 805—Business Combinations, which resulted in a write-down of the carrying value of the deferred revenue balance upon application of acquisition push-down accounting under ASC 805. These amounts represent the additional revenue that would have been recognized in these periods if the write-down to deferred revenue had not occurred in connection with the application of acquisition pushdown accounting.</w:t>
      </w:r>
    </w:p>
    <w:p>
      <w:pPr>
        <w:spacing w:after="0" w:line="4" w:lineRule="exact"/>
        <w:rPr>
          <w:rFonts w:ascii="Arial" w:cs="Arial" w:eastAsia="Arial" w:hAnsi="Arial"/>
          <w:sz w:val="17"/>
          <w:szCs w:val="17"/>
          <w:color w:val="auto"/>
        </w:rPr>
      </w:pPr>
    </w:p>
    <w:p>
      <w:pPr>
        <w:jc w:val="both"/>
        <w:ind w:left="580" w:hanging="315"/>
        <w:spacing w:after="0" w:line="281" w:lineRule="auto"/>
        <w:tabs>
          <w:tab w:leader="none" w:pos="580" w:val="left"/>
        </w:tabs>
        <w:numPr>
          <w:ilvl w:val="0"/>
          <w:numId w:val="13"/>
        </w:numPr>
        <w:rPr>
          <w:rFonts w:ascii="Arial" w:cs="Arial" w:eastAsia="Arial" w:hAnsi="Arial"/>
          <w:sz w:val="16"/>
          <w:szCs w:val="16"/>
          <w:color w:val="auto"/>
        </w:rPr>
      </w:pPr>
      <w:r>
        <w:rPr>
          <w:rFonts w:ascii="Arial" w:cs="Arial" w:eastAsia="Arial" w:hAnsi="Arial"/>
          <w:sz w:val="16"/>
          <w:szCs w:val="16"/>
          <w:color w:val="auto"/>
        </w:rPr>
        <w:t>Represents the impact of rent-related purchase accounting adjustments. In accordance with guidance in ASC 805 – Business Combinations, in connection with the 2012 Acquisition, the Company’s deferred rent liability was required to be written off as of the acquisition date and rent was recorded on a straight-line basis from the acquisition date through the end of the lease term. This resulted in higher overall recorded rent expense each period than would have otherwise been recorded had the deferred rent liability not been written off as a result of the acquisition push down accounting applied in accordance with ASC 805. Adjustments of $77, $104, $167 and $207 in the three and six months ended June 30, 2018 and 2017, respectively, reflect the difference between the higher rent expense recorded in accordance with U.S. GAAP since the acquisition and the rent expense that would have been recorded had the 2012 Acquisition not occurred. Adjustments of $92, $88, $183 and $181 in the three and six months ended June 30, 2018 and 2017, respectively, are due to the amortization of favorable and unfavorable lease intangible assets. All of the rent related purchase accounting adjustments are adjustments to rent expense which is included in store operations on our consolidated statements of operations.</w:t>
      </w:r>
    </w:p>
    <w:p>
      <w:pPr>
        <w:spacing w:after="0" w:line="6" w:lineRule="exact"/>
        <w:rPr>
          <w:rFonts w:ascii="Arial" w:cs="Arial" w:eastAsia="Arial" w:hAnsi="Arial"/>
          <w:sz w:val="16"/>
          <w:szCs w:val="16"/>
          <w:color w:val="auto"/>
        </w:rPr>
      </w:pPr>
    </w:p>
    <w:p>
      <w:pPr>
        <w:jc w:val="both"/>
        <w:ind w:left="580" w:hanging="315"/>
        <w:spacing w:after="0" w:line="250" w:lineRule="auto"/>
        <w:tabs>
          <w:tab w:leader="none" w:pos="5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Represents the impact of a one-time, non-cash loss recorded in accordance with ASC 805 - Business Combinations related to our acquisition of six franchisee-owned stores on January 1, 2018. The loss recorded under GAAP represents the difference between the fair value of the reacquired franchise rights and the contractual terms of the reacquired franchise rights and is included in other (gain) loss on our consolidated statements of operations.</w:t>
      </w:r>
    </w:p>
    <w:p>
      <w:pPr>
        <w:spacing w:after="0" w:line="1" w:lineRule="exact"/>
        <w:rPr>
          <w:rFonts w:ascii="Arial" w:cs="Arial" w:eastAsia="Arial" w:hAnsi="Arial"/>
          <w:sz w:val="18"/>
          <w:szCs w:val="18"/>
          <w:color w:val="auto"/>
        </w:rPr>
      </w:pPr>
    </w:p>
    <w:p>
      <w:pPr>
        <w:ind w:left="580" w:hanging="315"/>
        <w:spacing w:after="0"/>
        <w:tabs>
          <w:tab w:leader="none" w:pos="5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Represents transaction fees and expenses related to the amendment of our credit facilities.</w:t>
      </w:r>
    </w:p>
    <w:p>
      <w:pPr>
        <w:spacing w:after="0" w:line="9" w:lineRule="exact"/>
        <w:rPr>
          <w:rFonts w:ascii="Arial" w:cs="Arial" w:eastAsia="Arial" w:hAnsi="Arial"/>
          <w:sz w:val="18"/>
          <w:szCs w:val="18"/>
          <w:color w:val="auto"/>
        </w:rPr>
      </w:pPr>
    </w:p>
    <w:p>
      <w:pPr>
        <w:ind w:left="580" w:hanging="315"/>
        <w:spacing w:after="0"/>
        <w:tabs>
          <w:tab w:leader="none" w:pos="5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Represents legal, accounting and other costs incurred in connection with offerings of the Company’s Class A common stock.</w:t>
      </w:r>
    </w:p>
    <w:p>
      <w:pPr>
        <w:spacing w:after="0" w:line="9" w:lineRule="exact"/>
        <w:rPr>
          <w:rFonts w:ascii="Arial" w:cs="Arial" w:eastAsia="Arial" w:hAnsi="Arial"/>
          <w:sz w:val="18"/>
          <w:szCs w:val="18"/>
          <w:color w:val="auto"/>
        </w:rPr>
      </w:pPr>
    </w:p>
    <w:p>
      <w:pPr>
        <w:ind w:left="580" w:hanging="315"/>
        <w:spacing w:after="0"/>
        <w:tabs>
          <w:tab w:leader="none" w:pos="5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Represents severance expense recorded in connection with an equity award modification.</w:t>
      </w:r>
    </w:p>
    <w:p>
      <w:pPr>
        <w:spacing w:after="0" w:line="9" w:lineRule="exact"/>
        <w:rPr>
          <w:rFonts w:ascii="Arial" w:cs="Arial" w:eastAsia="Arial" w:hAnsi="Arial"/>
          <w:sz w:val="18"/>
          <w:szCs w:val="18"/>
          <w:color w:val="auto"/>
        </w:rPr>
      </w:pPr>
    </w:p>
    <w:p>
      <w:pPr>
        <w:ind w:left="580" w:right="20" w:hanging="315"/>
        <w:spacing w:after="0" w:line="250" w:lineRule="auto"/>
        <w:tabs>
          <w:tab w:leader="none" w:pos="5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Represents costs associated with new corporate-owned stores incurred prior to the store opening, including payroll-related costs, rent and occupancy expenses, marketing and other store operating supply expenses.</w:t>
      </w:r>
    </w:p>
    <w:p>
      <w:pPr>
        <w:ind w:left="580" w:hanging="315"/>
        <w:spacing w:after="0"/>
        <w:tabs>
          <w:tab w:leader="none" w:pos="5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Represents charges and expenses incurred in connection with the early termination of the lease for our previous headquarters.</w:t>
      </w:r>
    </w:p>
    <w:p>
      <w:pPr>
        <w:spacing w:after="0" w:line="2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420"/>
          </w:cols>
          <w:pgMar w:left="240" w:top="233" w:right="239" w:bottom="1440" w:gutter="0" w:footer="0" w:header="0"/>
        </w:sectPr>
      </w:pPr>
    </w:p>
    <w:bookmarkStart w:id="35" w:name="page36"/>
    <w:bookmarkEnd w:id="3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jc w:val="both"/>
        <w:ind w:left="580" w:hanging="315"/>
        <w:spacing w:after="0" w:line="257" w:lineRule="auto"/>
        <w:tabs>
          <w:tab w:leader="none" w:pos="5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Represents certain other charges and gains that we do not believe reflect our underlying business performance. In the three and six months ended June 30, 2018, this amount includes $342 related to the reversal of a tax indemnification receivable. In the six months ended June 30, 2018 and 2017, this amount includes a gain of $354 and $541, respectively, related to the adjustment of our tax benefit arrangements primarily due to changes in our effective tax rate. Additionally, in the six months ended June 30, 2018, this amount includes expense of $590 related to the write off of certain assets that were being tested for potential use across the system.</w:t>
      </w:r>
    </w:p>
    <w:p>
      <w:pPr>
        <w:spacing w:after="0" w:line="188" w:lineRule="exact"/>
        <w:rPr>
          <w:sz w:val="20"/>
          <w:szCs w:val="20"/>
          <w:color w:val="auto"/>
        </w:rPr>
      </w:pPr>
    </w:p>
    <w:p>
      <w:pPr>
        <w:jc w:val="both"/>
        <w:spacing w:after="0" w:line="286" w:lineRule="auto"/>
        <w:rPr>
          <w:sz w:val="20"/>
          <w:szCs w:val="20"/>
          <w:color w:val="auto"/>
        </w:rPr>
      </w:pPr>
      <w:r>
        <w:rPr>
          <w:rFonts w:ascii="Arial" w:cs="Arial" w:eastAsia="Arial" w:hAnsi="Arial"/>
          <w:sz w:val="16"/>
          <w:szCs w:val="16"/>
          <w:color w:val="auto"/>
        </w:rPr>
        <w:t>As a result of the recapitalization transactions that occurred prior to our IPO, the limited liability company agreement of Pla-Fit Holdings was amended and restated (the “LLC Agreement”) to, among other things, designate Planet Fitness, Inc. as the sole managing member of Pla-Fit Holdings. As sole managing member, Planet Fitness, Inc. exclusively operates and controls the business and affairs of Pla-Fit Holdings. As a result of the recapitalization transactions and the LLC Agreement, Planet Fitness, Inc. now consolidates Pla-Fit Holdings, and Pla-Fit Holdings is considered the predecessor to Planet Fitness, Inc. for accounting purposes. Our presentation of Adjusted net income and Adjusted net income per share, diluted, gives effect to the consolidation of Pla-Fit Holdings with Planet Fitness, Inc. resulting from the recapitalization transactions and the LLC Agreement as if they had occurred on January 1, 2017. In addition, Adjusted net income assumes that all net income is attributable to Planet Fitness, Inc., which assumes the full exchange of all outstanding Holdings Units for shares of Class A common stock of Planet Fitness, Inc., adjusted for certain non-recurring items that we do not believe directly reflect our core operations. Adjusted net income per share, diluted, is calculated by dividing Adjusted net income by the total shares of Class A common stock outstanding plus any dilutive options and restricted stock units as calculated in accordance with U.S. GAAP and assuming the full exchange of all outstanding Holdings Units and corresponding Class B common stock as of the beginning of each period presented. Adjusted net income and Adjusted net income per share, diluted, are supplemental measures of operating performance that do not represent, and should not be considered, alternatives to net income and earnings per share, as calculated in accordance with U.S. GAAP. We believe Adjusted net income and Adjusted net income per share, diluted, supplement U.S. GAAP measures and enable us to more effectively evaluate our performance period-over-period. A reconciliation of Adjusted net income to net income, the most directly comparable U.S. GAAP measure, and the computation of Adjusted net income per share, diluted, are set forth below.</w:t>
      </w:r>
    </w:p>
    <w:p>
      <w:pPr>
        <w:spacing w:after="0" w:line="17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6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640" w:type="dxa"/>
            <w:vAlign w:val="bottom"/>
            <w:gridSpan w:val="5"/>
          </w:tcPr>
          <w:p>
            <w:pPr>
              <w:ind w:left="220"/>
              <w:spacing w:after="0"/>
              <w:rPr>
                <w:sz w:val="20"/>
                <w:szCs w:val="20"/>
                <w:color w:val="auto"/>
              </w:rPr>
            </w:pPr>
            <w:r>
              <w:rPr>
                <w:rFonts w:ascii="Arial" w:cs="Arial" w:eastAsia="Arial" w:hAnsi="Arial"/>
                <w:sz w:val="14"/>
                <w:szCs w:val="14"/>
                <w:b w:val="1"/>
                <w:bCs w:val="1"/>
                <w:color w:val="auto"/>
              </w:rPr>
              <w:t>Three months ended June 30,</w:t>
            </w:r>
          </w:p>
        </w:tc>
        <w:tc>
          <w:tcPr>
            <w:tcW w:w="340" w:type="dxa"/>
            <w:vAlign w:val="bottom"/>
          </w:tcPr>
          <w:p>
            <w:pPr>
              <w:spacing w:after="0"/>
              <w:rPr>
                <w:sz w:val="16"/>
                <w:szCs w:val="16"/>
                <w:color w:val="auto"/>
              </w:rPr>
            </w:pPr>
          </w:p>
        </w:tc>
        <w:tc>
          <w:tcPr>
            <w:tcW w:w="2500" w:type="dxa"/>
            <w:vAlign w:val="bottom"/>
            <w:gridSpan w:val="4"/>
          </w:tcPr>
          <w:p>
            <w:pPr>
              <w:jc w:val="right"/>
              <w:ind w:right="491"/>
              <w:spacing w:after="0"/>
              <w:rPr>
                <w:sz w:val="20"/>
                <w:szCs w:val="20"/>
                <w:color w:val="auto"/>
              </w:rPr>
            </w:pPr>
            <w:r>
              <w:rPr>
                <w:rFonts w:ascii="Arial" w:cs="Arial" w:eastAsia="Arial" w:hAnsi="Arial"/>
                <w:sz w:val="14"/>
                <w:szCs w:val="14"/>
                <w:b w:val="1"/>
                <w:bCs w:val="1"/>
                <w:color w:val="auto"/>
              </w:rPr>
              <w:t>Six months ended June 30,</w:t>
            </w:r>
          </w:p>
        </w:tc>
      </w:tr>
      <w:tr>
        <w:trPr>
          <w:trHeight w:val="264"/>
        </w:trPr>
        <w:tc>
          <w:tcPr>
            <w:tcW w:w="5620" w:type="dxa"/>
            <w:vAlign w:val="bottom"/>
            <w:tcBorders>
              <w:bottom w:val="single" w:sz="8" w:color="CFF0FC"/>
            </w:tcBorders>
          </w:tcPr>
          <w:p>
            <w:pPr>
              <w:ind w:left="40"/>
              <w:spacing w:after="0"/>
              <w:rPr>
                <w:sz w:val="20"/>
                <w:szCs w:val="20"/>
                <w:color w:val="auto"/>
              </w:rPr>
            </w:pPr>
            <w:r>
              <w:rPr>
                <w:rFonts w:ascii="Arial" w:cs="Arial" w:eastAsia="Arial" w:hAnsi="Arial"/>
                <w:sz w:val="14"/>
                <w:szCs w:val="14"/>
                <w:b w:val="1"/>
                <w:bCs w:val="1"/>
                <w:color w:val="auto"/>
              </w:rPr>
              <w:t>(in thousands, except per share amounts)</w:t>
            </w:r>
          </w:p>
        </w:tc>
        <w:tc>
          <w:tcPr>
            <w:tcW w:w="320" w:type="dxa"/>
            <w:vAlign w:val="bottom"/>
            <w:tcBorders>
              <w:top w:val="single" w:sz="8" w:color="auto"/>
              <w:bottom w:val="single" w:sz="8" w:color="auto"/>
            </w:tcBorders>
          </w:tcPr>
          <w:p>
            <w:pPr>
              <w:spacing w:after="0"/>
              <w:rPr>
                <w:sz w:val="22"/>
                <w:szCs w:val="22"/>
                <w:color w:val="auto"/>
              </w:rPr>
            </w:pPr>
          </w:p>
        </w:tc>
        <w:tc>
          <w:tcPr>
            <w:tcW w:w="1060" w:type="dxa"/>
            <w:vAlign w:val="bottom"/>
            <w:tcBorders>
              <w:top w:val="single" w:sz="8" w:color="auto"/>
              <w:bottom w:val="single" w:sz="8" w:color="auto"/>
            </w:tcBorders>
          </w:tcPr>
          <w:p>
            <w:pPr>
              <w:jc w:val="right"/>
              <w:ind w:right="452"/>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top w:val="single" w:sz="8" w:color="auto"/>
              <w:bottom w:val="single" w:sz="8" w:color="CFF0FC"/>
            </w:tcBorders>
          </w:tcPr>
          <w:p>
            <w:pPr>
              <w:spacing w:after="0"/>
              <w:rPr>
                <w:sz w:val="22"/>
                <w:szCs w:val="22"/>
                <w:color w:val="auto"/>
              </w:rPr>
            </w:pPr>
          </w:p>
        </w:tc>
        <w:tc>
          <w:tcPr>
            <w:tcW w:w="320" w:type="dxa"/>
            <w:vAlign w:val="bottom"/>
            <w:tcBorders>
              <w:top w:val="single" w:sz="8" w:color="auto"/>
              <w:bottom w:val="single" w:sz="8" w:color="auto"/>
            </w:tcBorders>
          </w:tcPr>
          <w:p>
            <w:pPr>
              <w:spacing w:after="0"/>
              <w:rPr>
                <w:sz w:val="22"/>
                <w:szCs w:val="22"/>
                <w:color w:val="auto"/>
              </w:rPr>
            </w:pPr>
          </w:p>
        </w:tc>
        <w:tc>
          <w:tcPr>
            <w:tcW w:w="1040" w:type="dxa"/>
            <w:vAlign w:val="bottom"/>
            <w:tcBorders>
              <w:top w:val="single" w:sz="8" w:color="auto"/>
              <w:bottom w:val="single" w:sz="8" w:color="auto"/>
            </w:tcBorders>
          </w:tcPr>
          <w:p>
            <w:pPr>
              <w:jc w:val="right"/>
              <w:ind w:right="451"/>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FF0FC"/>
            </w:tcBorders>
          </w:tcPr>
          <w:p>
            <w:pPr>
              <w:spacing w:after="0"/>
              <w:rPr>
                <w:sz w:val="22"/>
                <w:szCs w:val="22"/>
                <w:color w:val="auto"/>
              </w:rPr>
            </w:pPr>
          </w:p>
        </w:tc>
        <w:tc>
          <w:tcPr>
            <w:tcW w:w="340" w:type="dxa"/>
            <w:vAlign w:val="bottom"/>
            <w:tcBorders>
              <w:top w:val="single" w:sz="8" w:color="auto"/>
              <w:bottom w:val="single" w:sz="8" w:color="auto"/>
            </w:tcBorders>
          </w:tcPr>
          <w:p>
            <w:pPr>
              <w:spacing w:after="0"/>
              <w:rPr>
                <w:sz w:val="22"/>
                <w:szCs w:val="22"/>
                <w:color w:val="auto"/>
              </w:rPr>
            </w:pPr>
          </w:p>
        </w:tc>
        <w:tc>
          <w:tcPr>
            <w:tcW w:w="1020" w:type="dxa"/>
            <w:vAlign w:val="bottom"/>
            <w:tcBorders>
              <w:top w:val="single" w:sz="8" w:color="auto"/>
              <w:bottom w:val="single" w:sz="8" w:color="auto"/>
            </w:tcBorders>
          </w:tcPr>
          <w:p>
            <w:pPr>
              <w:jc w:val="right"/>
              <w:ind w:right="452"/>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top w:val="single" w:sz="8" w:color="auto"/>
              <w:bottom w:val="single" w:sz="8" w:color="CFF0FC"/>
            </w:tcBorders>
          </w:tcPr>
          <w:p>
            <w:pPr>
              <w:spacing w:after="0"/>
              <w:rPr>
                <w:sz w:val="22"/>
                <w:szCs w:val="22"/>
                <w:color w:val="auto"/>
              </w:rPr>
            </w:pPr>
          </w:p>
        </w:tc>
        <w:tc>
          <w:tcPr>
            <w:tcW w:w="320" w:type="dxa"/>
            <w:vAlign w:val="bottom"/>
            <w:tcBorders>
              <w:top w:val="single" w:sz="8" w:color="auto"/>
              <w:bottom w:val="single" w:sz="8" w:color="auto"/>
            </w:tcBorders>
          </w:tcPr>
          <w:p>
            <w:pPr>
              <w:spacing w:after="0"/>
              <w:rPr>
                <w:sz w:val="22"/>
                <w:szCs w:val="22"/>
                <w:color w:val="auto"/>
              </w:rPr>
            </w:pPr>
          </w:p>
        </w:tc>
        <w:tc>
          <w:tcPr>
            <w:tcW w:w="1040" w:type="dxa"/>
            <w:vAlign w:val="bottom"/>
            <w:tcBorders>
              <w:top w:val="single" w:sz="8" w:color="auto"/>
              <w:bottom w:val="single" w:sz="8" w:color="auto"/>
            </w:tcBorders>
          </w:tcPr>
          <w:p>
            <w:pPr>
              <w:jc w:val="right"/>
              <w:ind w:right="451"/>
              <w:spacing w:after="0"/>
              <w:rPr>
                <w:sz w:val="20"/>
                <w:szCs w:val="20"/>
                <w:color w:val="auto"/>
              </w:rPr>
            </w:pPr>
            <w:r>
              <w:rPr>
                <w:rFonts w:ascii="Arial" w:cs="Arial" w:eastAsia="Arial" w:hAnsi="Arial"/>
                <w:sz w:val="14"/>
                <w:szCs w:val="14"/>
                <w:b w:val="1"/>
                <w:bCs w:val="1"/>
                <w:color w:val="auto"/>
              </w:rPr>
              <w:t>2017</w:t>
            </w:r>
          </w:p>
        </w:tc>
      </w:tr>
      <w:tr>
        <w:trPr>
          <w:trHeight w:val="250"/>
        </w:trPr>
        <w:tc>
          <w:tcPr>
            <w:tcW w:w="562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Net income</w:t>
            </w:r>
          </w:p>
        </w:tc>
        <w:tc>
          <w:tcPr>
            <w:tcW w:w="320" w:type="dxa"/>
            <w:vAlign w:val="bottom"/>
            <w:tcBorders>
              <w:bottom w:val="single" w:sz="8" w:color="CFF0FC"/>
            </w:tcBorders>
            <w:shd w:val="clear" w:color="auto" w:fill="CFF0FC"/>
          </w:tcPr>
          <w:p>
            <w:pPr>
              <w:jc w:val="right"/>
              <w:ind w:right="130"/>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CFF0FC"/>
            </w:tcBorders>
            <w:shd w:val="clear" w:color="auto" w:fill="CFF0FC"/>
          </w:tcPr>
          <w:p>
            <w:pPr>
              <w:jc w:val="right"/>
              <w:ind w:right="12"/>
              <w:spacing w:after="0"/>
              <w:rPr>
                <w:sz w:val="20"/>
                <w:szCs w:val="20"/>
                <w:color w:val="auto"/>
              </w:rPr>
            </w:pPr>
            <w:r>
              <w:rPr>
                <w:rFonts w:ascii="Arial" w:cs="Arial" w:eastAsia="Arial" w:hAnsi="Arial"/>
                <w:sz w:val="18"/>
                <w:szCs w:val="18"/>
                <w:color w:val="auto"/>
              </w:rPr>
              <w:t>30,418</w:t>
            </w:r>
          </w:p>
        </w:tc>
        <w:tc>
          <w:tcPr>
            <w:tcW w:w="120" w:type="dxa"/>
            <w:vAlign w:val="bottom"/>
            <w:tcBorders>
              <w:bottom w:val="single" w:sz="8" w:color="CFF0FC"/>
            </w:tcBorders>
            <w:shd w:val="clear" w:color="auto" w:fill="CFF0FC"/>
          </w:tcPr>
          <w:p>
            <w:pPr>
              <w:spacing w:after="0"/>
              <w:rPr>
                <w:sz w:val="21"/>
                <w:szCs w:val="21"/>
                <w:color w:val="auto"/>
              </w:rPr>
            </w:pPr>
          </w:p>
        </w:tc>
        <w:tc>
          <w:tcPr>
            <w:tcW w:w="320" w:type="dxa"/>
            <w:vAlign w:val="bottom"/>
            <w:tcBorders>
              <w:bottom w:val="single" w:sz="8" w:color="CFF0FC"/>
            </w:tcBorders>
            <w:shd w:val="clear" w:color="auto" w:fill="CFF0FC"/>
          </w:tcPr>
          <w:p>
            <w:pPr>
              <w:jc w:val="right"/>
              <w:ind w:right="13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CFF0FC"/>
            </w:tcBorders>
            <w:shd w:val="clear" w:color="auto" w:fill="CFF0FC"/>
          </w:tcPr>
          <w:p>
            <w:pPr>
              <w:jc w:val="right"/>
              <w:ind w:right="31"/>
              <w:spacing w:after="0"/>
              <w:rPr>
                <w:sz w:val="20"/>
                <w:szCs w:val="20"/>
                <w:color w:val="auto"/>
              </w:rPr>
            </w:pPr>
            <w:r>
              <w:rPr>
                <w:rFonts w:ascii="Arial" w:cs="Arial" w:eastAsia="Arial" w:hAnsi="Arial"/>
                <w:sz w:val="18"/>
                <w:szCs w:val="18"/>
                <w:color w:val="auto"/>
              </w:rPr>
              <w:t>18,004</w:t>
            </w:r>
          </w:p>
        </w:tc>
        <w:tc>
          <w:tcPr>
            <w:tcW w:w="100" w:type="dxa"/>
            <w:vAlign w:val="bottom"/>
            <w:tcBorders>
              <w:bottom w:val="single" w:sz="8" w:color="CFF0FC"/>
            </w:tcBorders>
            <w:shd w:val="clear" w:color="auto" w:fill="CFF0FC"/>
          </w:tcPr>
          <w:p>
            <w:pPr>
              <w:spacing w:after="0"/>
              <w:rPr>
                <w:sz w:val="21"/>
                <w:szCs w:val="21"/>
                <w:color w:val="auto"/>
              </w:rPr>
            </w:pPr>
          </w:p>
        </w:tc>
        <w:tc>
          <w:tcPr>
            <w:tcW w:w="340" w:type="dxa"/>
            <w:vAlign w:val="bottom"/>
            <w:tcBorders>
              <w:bottom w:val="single" w:sz="8" w:color="CFF0FC"/>
            </w:tcBorders>
            <w:shd w:val="clear" w:color="auto" w:fill="CFF0FC"/>
          </w:tcPr>
          <w:p>
            <w:pPr>
              <w:jc w:val="right"/>
              <w:ind w:right="1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FF0FC"/>
            </w:tcBorders>
            <w:shd w:val="clear" w:color="auto" w:fill="CFF0FC"/>
          </w:tcPr>
          <w:p>
            <w:pPr>
              <w:jc w:val="right"/>
              <w:ind w:right="12"/>
              <w:spacing w:after="0"/>
              <w:rPr>
                <w:sz w:val="20"/>
                <w:szCs w:val="20"/>
                <w:color w:val="auto"/>
              </w:rPr>
            </w:pPr>
            <w:r>
              <w:rPr>
                <w:rFonts w:ascii="Arial" w:cs="Arial" w:eastAsia="Arial" w:hAnsi="Arial"/>
                <w:sz w:val="18"/>
                <w:szCs w:val="18"/>
                <w:color w:val="auto"/>
              </w:rPr>
              <w:t>53,912</w:t>
            </w:r>
          </w:p>
        </w:tc>
        <w:tc>
          <w:tcPr>
            <w:tcW w:w="120" w:type="dxa"/>
            <w:vAlign w:val="bottom"/>
            <w:tcBorders>
              <w:bottom w:val="single" w:sz="8" w:color="CFF0FC"/>
            </w:tcBorders>
            <w:shd w:val="clear" w:color="auto" w:fill="CFF0FC"/>
          </w:tcPr>
          <w:p>
            <w:pPr>
              <w:spacing w:after="0"/>
              <w:rPr>
                <w:sz w:val="21"/>
                <w:szCs w:val="21"/>
                <w:color w:val="auto"/>
              </w:rPr>
            </w:pPr>
          </w:p>
        </w:tc>
        <w:tc>
          <w:tcPr>
            <w:tcW w:w="320" w:type="dxa"/>
            <w:vAlign w:val="bottom"/>
            <w:tcBorders>
              <w:bottom w:val="single" w:sz="8" w:color="CFF0FC"/>
            </w:tcBorders>
            <w:shd w:val="clear" w:color="auto" w:fill="CFF0FC"/>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35,870</w:t>
            </w:r>
          </w:p>
        </w:tc>
      </w:tr>
      <w:tr>
        <w:trPr>
          <w:trHeight w:val="243"/>
        </w:trPr>
        <w:tc>
          <w:tcPr>
            <w:tcW w:w="5620" w:type="dxa"/>
            <w:vAlign w:val="bottom"/>
          </w:tcPr>
          <w:p>
            <w:pPr>
              <w:ind w:left="280"/>
              <w:spacing w:after="0"/>
              <w:rPr>
                <w:sz w:val="20"/>
                <w:szCs w:val="20"/>
                <w:color w:val="auto"/>
              </w:rPr>
            </w:pPr>
            <w:r>
              <w:rPr>
                <w:rFonts w:ascii="Arial" w:cs="Arial" w:eastAsia="Arial" w:hAnsi="Arial"/>
                <w:sz w:val="18"/>
                <w:szCs w:val="18"/>
                <w:color w:val="auto"/>
              </w:rPr>
              <w:t>Provision for income taxes, as reported</w:t>
            </w:r>
          </w:p>
        </w:tc>
        <w:tc>
          <w:tcPr>
            <w:tcW w:w="32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9,263</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ind w:right="31"/>
              <w:spacing w:after="0"/>
              <w:rPr>
                <w:sz w:val="20"/>
                <w:szCs w:val="20"/>
                <w:color w:val="auto"/>
              </w:rPr>
            </w:pPr>
            <w:r>
              <w:rPr>
                <w:rFonts w:ascii="Arial" w:cs="Arial" w:eastAsia="Arial" w:hAnsi="Arial"/>
                <w:sz w:val="18"/>
                <w:szCs w:val="18"/>
                <w:color w:val="auto"/>
              </w:rPr>
              <w:t>10,285</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20" w:type="dxa"/>
            <w:vAlign w:val="bottom"/>
          </w:tcPr>
          <w:p>
            <w:pPr>
              <w:jc w:val="right"/>
              <w:ind w:right="12"/>
              <w:spacing w:after="0"/>
              <w:rPr>
                <w:sz w:val="20"/>
                <w:szCs w:val="20"/>
                <w:color w:val="auto"/>
              </w:rPr>
            </w:pPr>
            <w:r>
              <w:rPr>
                <w:rFonts w:ascii="Arial" w:cs="Arial" w:eastAsia="Arial" w:hAnsi="Arial"/>
                <w:sz w:val="18"/>
                <w:szCs w:val="18"/>
                <w:color w:val="auto"/>
              </w:rPr>
              <w:t>16,146</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ind w:right="11"/>
              <w:spacing w:after="0"/>
              <w:rPr>
                <w:sz w:val="20"/>
                <w:szCs w:val="20"/>
                <w:color w:val="auto"/>
              </w:rPr>
            </w:pPr>
            <w:r>
              <w:rPr>
                <w:rFonts w:ascii="Arial" w:cs="Arial" w:eastAsia="Arial" w:hAnsi="Arial"/>
                <w:sz w:val="18"/>
                <w:szCs w:val="18"/>
                <w:color w:val="auto"/>
              </w:rPr>
              <w:t>17,393</w:t>
            </w:r>
          </w:p>
        </w:tc>
      </w:tr>
      <w:tr>
        <w:trPr>
          <w:trHeight w:val="27"/>
        </w:trPr>
        <w:tc>
          <w:tcPr>
            <w:tcW w:w="56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70"/>
        </w:trPr>
        <w:tc>
          <w:tcPr>
            <w:tcW w:w="5620" w:type="dxa"/>
            <w:vAlign w:val="bottom"/>
            <w:shd w:val="clear" w:color="auto" w:fill="CFF0FC"/>
          </w:tcPr>
          <w:p>
            <w:pPr>
              <w:ind w:left="280"/>
              <w:spacing w:after="0"/>
              <w:rPr>
                <w:sz w:val="20"/>
                <w:szCs w:val="20"/>
                <w:color w:val="auto"/>
              </w:rPr>
            </w:pPr>
            <w:r>
              <w:rPr>
                <w:rFonts w:ascii="Arial" w:cs="Arial" w:eastAsia="Arial" w:hAnsi="Arial"/>
                <w:sz w:val="18"/>
                <w:szCs w:val="18"/>
                <w:color w:val="auto"/>
              </w:rPr>
              <w:t>Purchase accounting adjustments-revenue</w:t>
            </w:r>
            <w:r>
              <w:rPr>
                <w:rFonts w:ascii="Arial" w:cs="Arial" w:eastAsia="Arial" w:hAnsi="Arial"/>
                <w:sz w:val="21"/>
                <w:szCs w:val="21"/>
                <w:color w:val="auto"/>
                <w:vertAlign w:val="superscript"/>
              </w:rPr>
              <w:t>(1)</w:t>
            </w:r>
          </w:p>
        </w:tc>
        <w:tc>
          <w:tcPr>
            <w:tcW w:w="320" w:type="dxa"/>
            <w:vAlign w:val="bottom"/>
            <w:shd w:val="clear" w:color="auto" w:fill="CFF0FC"/>
          </w:tcPr>
          <w:p>
            <w:pPr>
              <w:spacing w:after="0"/>
              <w:rPr>
                <w:sz w:val="23"/>
                <w:szCs w:val="23"/>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(30)</w:t>
            </w:r>
          </w:p>
        </w:tc>
        <w:tc>
          <w:tcPr>
            <w:tcW w:w="120" w:type="dxa"/>
            <w:vAlign w:val="bottom"/>
            <w:shd w:val="clear" w:color="auto" w:fill="CFF0FC"/>
          </w:tcPr>
          <w:p>
            <w:pPr>
              <w:spacing w:after="0"/>
              <w:rPr>
                <w:sz w:val="23"/>
                <w:szCs w:val="23"/>
                <w:color w:val="auto"/>
              </w:rPr>
            </w:pPr>
          </w:p>
        </w:tc>
        <w:tc>
          <w:tcPr>
            <w:tcW w:w="320" w:type="dxa"/>
            <w:vAlign w:val="bottom"/>
            <w:shd w:val="clear" w:color="auto" w:fill="CFF0FC"/>
          </w:tcPr>
          <w:p>
            <w:pPr>
              <w:spacing w:after="0"/>
              <w:rPr>
                <w:sz w:val="23"/>
                <w:szCs w:val="23"/>
                <w:color w:val="auto"/>
              </w:rPr>
            </w:pPr>
          </w:p>
        </w:tc>
        <w:tc>
          <w:tcPr>
            <w:tcW w:w="1040" w:type="dxa"/>
            <w:vAlign w:val="bottom"/>
            <w:shd w:val="clear" w:color="auto" w:fill="CFF0FC"/>
          </w:tcPr>
          <w:p>
            <w:pPr>
              <w:jc w:val="right"/>
              <w:ind w:right="31"/>
              <w:spacing w:after="0"/>
              <w:rPr>
                <w:sz w:val="20"/>
                <w:szCs w:val="20"/>
                <w:color w:val="auto"/>
              </w:rPr>
            </w:pPr>
            <w:r>
              <w:rPr>
                <w:rFonts w:ascii="Arial" w:cs="Arial" w:eastAsia="Arial" w:hAnsi="Arial"/>
                <w:sz w:val="18"/>
                <w:szCs w:val="18"/>
                <w:color w:val="auto"/>
              </w:rPr>
              <w:t>444</w:t>
            </w:r>
          </w:p>
        </w:tc>
        <w:tc>
          <w:tcPr>
            <w:tcW w:w="100" w:type="dxa"/>
            <w:vAlign w:val="bottom"/>
            <w:shd w:val="clear" w:color="auto" w:fill="CFF0FC"/>
          </w:tcPr>
          <w:p>
            <w:pPr>
              <w:spacing w:after="0"/>
              <w:rPr>
                <w:sz w:val="23"/>
                <w:szCs w:val="23"/>
                <w:color w:val="auto"/>
              </w:rPr>
            </w:pPr>
          </w:p>
        </w:tc>
        <w:tc>
          <w:tcPr>
            <w:tcW w:w="340" w:type="dxa"/>
            <w:vAlign w:val="bottom"/>
            <w:shd w:val="clear" w:color="auto" w:fill="CFF0FC"/>
          </w:tcPr>
          <w:p>
            <w:pPr>
              <w:spacing w:after="0"/>
              <w:rPr>
                <w:sz w:val="23"/>
                <w:szCs w:val="23"/>
                <w:color w:val="auto"/>
              </w:rPr>
            </w:pPr>
          </w:p>
        </w:tc>
        <w:tc>
          <w:tcPr>
            <w:tcW w:w="1020" w:type="dxa"/>
            <w:vAlign w:val="bottom"/>
            <w:shd w:val="clear" w:color="auto" w:fill="CFF0FC"/>
          </w:tcPr>
          <w:p>
            <w:pPr>
              <w:jc w:val="right"/>
              <w:ind w:right="12"/>
              <w:spacing w:after="0"/>
              <w:rPr>
                <w:sz w:val="20"/>
                <w:szCs w:val="20"/>
                <w:color w:val="auto"/>
              </w:rPr>
            </w:pPr>
            <w:r>
              <w:rPr>
                <w:rFonts w:ascii="Arial" w:cs="Arial" w:eastAsia="Arial" w:hAnsi="Arial"/>
                <w:sz w:val="18"/>
                <w:szCs w:val="18"/>
                <w:color w:val="auto"/>
              </w:rPr>
              <w:t>414</w:t>
            </w:r>
          </w:p>
        </w:tc>
        <w:tc>
          <w:tcPr>
            <w:tcW w:w="120" w:type="dxa"/>
            <w:vAlign w:val="bottom"/>
            <w:shd w:val="clear" w:color="auto" w:fill="CFF0FC"/>
          </w:tcPr>
          <w:p>
            <w:pPr>
              <w:spacing w:after="0"/>
              <w:rPr>
                <w:sz w:val="23"/>
                <w:szCs w:val="23"/>
                <w:color w:val="auto"/>
              </w:rPr>
            </w:pPr>
          </w:p>
        </w:tc>
        <w:tc>
          <w:tcPr>
            <w:tcW w:w="320" w:type="dxa"/>
            <w:vAlign w:val="bottom"/>
            <w:shd w:val="clear" w:color="auto" w:fill="CFF0FC"/>
          </w:tcPr>
          <w:p>
            <w:pPr>
              <w:spacing w:after="0"/>
              <w:rPr>
                <w:sz w:val="23"/>
                <w:szCs w:val="23"/>
                <w:color w:val="auto"/>
              </w:rPr>
            </w:pPr>
          </w:p>
        </w:tc>
        <w:tc>
          <w:tcPr>
            <w:tcW w:w="104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rPr>
              <w:t>780</w:t>
            </w:r>
          </w:p>
        </w:tc>
      </w:tr>
      <w:tr>
        <w:trPr>
          <w:trHeight w:val="270"/>
        </w:trPr>
        <w:tc>
          <w:tcPr>
            <w:tcW w:w="5620" w:type="dxa"/>
            <w:vAlign w:val="bottom"/>
          </w:tcPr>
          <w:p>
            <w:pPr>
              <w:ind w:left="280"/>
              <w:spacing w:after="0"/>
              <w:rPr>
                <w:sz w:val="20"/>
                <w:szCs w:val="20"/>
                <w:color w:val="auto"/>
              </w:rPr>
            </w:pPr>
            <w:r>
              <w:rPr>
                <w:rFonts w:ascii="Arial" w:cs="Arial" w:eastAsia="Arial" w:hAnsi="Arial"/>
                <w:sz w:val="18"/>
                <w:szCs w:val="18"/>
                <w:color w:val="auto"/>
              </w:rPr>
              <w:t>Purchase accounting adjustments-rent</w:t>
            </w:r>
            <w:r>
              <w:rPr>
                <w:rFonts w:ascii="Arial" w:cs="Arial" w:eastAsia="Arial" w:hAnsi="Arial"/>
                <w:sz w:val="21"/>
                <w:szCs w:val="21"/>
                <w:color w:val="auto"/>
                <w:vertAlign w:val="superscript"/>
              </w:rPr>
              <w:t>(2)</w:t>
            </w:r>
          </w:p>
        </w:tc>
        <w:tc>
          <w:tcPr>
            <w:tcW w:w="320" w:type="dxa"/>
            <w:vAlign w:val="bottom"/>
          </w:tcPr>
          <w:p>
            <w:pPr>
              <w:spacing w:after="0"/>
              <w:rPr>
                <w:sz w:val="23"/>
                <w:szCs w:val="23"/>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168</w:t>
            </w:r>
          </w:p>
        </w:tc>
        <w:tc>
          <w:tcPr>
            <w:tcW w:w="1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040" w:type="dxa"/>
            <w:vAlign w:val="bottom"/>
          </w:tcPr>
          <w:p>
            <w:pPr>
              <w:jc w:val="right"/>
              <w:ind w:right="31"/>
              <w:spacing w:after="0"/>
              <w:rPr>
                <w:sz w:val="20"/>
                <w:szCs w:val="20"/>
                <w:color w:val="auto"/>
              </w:rPr>
            </w:pPr>
            <w:r>
              <w:rPr>
                <w:rFonts w:ascii="Arial" w:cs="Arial" w:eastAsia="Arial" w:hAnsi="Arial"/>
                <w:sz w:val="18"/>
                <w:szCs w:val="18"/>
                <w:color w:val="auto"/>
              </w:rPr>
              <w:t>191</w:t>
            </w:r>
          </w:p>
        </w:tc>
        <w:tc>
          <w:tcPr>
            <w:tcW w:w="1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020" w:type="dxa"/>
            <w:vAlign w:val="bottom"/>
          </w:tcPr>
          <w:p>
            <w:pPr>
              <w:jc w:val="right"/>
              <w:ind w:right="12"/>
              <w:spacing w:after="0"/>
              <w:rPr>
                <w:sz w:val="20"/>
                <w:szCs w:val="20"/>
                <w:color w:val="auto"/>
              </w:rPr>
            </w:pPr>
            <w:r>
              <w:rPr>
                <w:rFonts w:ascii="Arial" w:cs="Arial" w:eastAsia="Arial" w:hAnsi="Arial"/>
                <w:sz w:val="18"/>
                <w:szCs w:val="18"/>
                <w:color w:val="auto"/>
              </w:rPr>
              <w:t>350</w:t>
            </w:r>
          </w:p>
        </w:tc>
        <w:tc>
          <w:tcPr>
            <w:tcW w:w="1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040" w:type="dxa"/>
            <w:vAlign w:val="bottom"/>
          </w:tcPr>
          <w:p>
            <w:pPr>
              <w:jc w:val="right"/>
              <w:ind w:right="11"/>
              <w:spacing w:after="0"/>
              <w:rPr>
                <w:sz w:val="20"/>
                <w:szCs w:val="20"/>
                <w:color w:val="auto"/>
              </w:rPr>
            </w:pPr>
            <w:r>
              <w:rPr>
                <w:rFonts w:ascii="Arial" w:cs="Arial" w:eastAsia="Arial" w:hAnsi="Arial"/>
                <w:sz w:val="18"/>
                <w:szCs w:val="18"/>
                <w:color w:val="auto"/>
              </w:rPr>
              <w:t>387</w:t>
            </w:r>
          </w:p>
        </w:tc>
      </w:tr>
      <w:tr>
        <w:trPr>
          <w:trHeight w:val="270"/>
        </w:trPr>
        <w:tc>
          <w:tcPr>
            <w:tcW w:w="5620" w:type="dxa"/>
            <w:vAlign w:val="bottom"/>
            <w:shd w:val="clear" w:color="auto" w:fill="CFF0FC"/>
          </w:tcPr>
          <w:p>
            <w:pPr>
              <w:ind w:left="280"/>
              <w:spacing w:after="0"/>
              <w:rPr>
                <w:sz w:val="20"/>
                <w:szCs w:val="20"/>
                <w:color w:val="auto"/>
              </w:rPr>
            </w:pPr>
            <w:r>
              <w:rPr>
                <w:rFonts w:ascii="Arial" w:cs="Arial" w:eastAsia="Arial" w:hAnsi="Arial"/>
                <w:sz w:val="18"/>
                <w:szCs w:val="18"/>
                <w:color w:val="auto"/>
              </w:rPr>
              <w:t>Loss on reacquired franchise rights</w:t>
            </w:r>
            <w:r>
              <w:rPr>
                <w:rFonts w:ascii="Arial" w:cs="Arial" w:eastAsia="Arial" w:hAnsi="Arial"/>
                <w:sz w:val="21"/>
                <w:szCs w:val="21"/>
                <w:color w:val="auto"/>
                <w:vertAlign w:val="superscript"/>
              </w:rPr>
              <w:t>(3)</w:t>
            </w:r>
          </w:p>
        </w:tc>
        <w:tc>
          <w:tcPr>
            <w:tcW w:w="320" w:type="dxa"/>
            <w:vAlign w:val="bottom"/>
            <w:shd w:val="clear" w:color="auto" w:fill="CFF0FC"/>
          </w:tcPr>
          <w:p>
            <w:pPr>
              <w:spacing w:after="0"/>
              <w:rPr>
                <w:sz w:val="23"/>
                <w:szCs w:val="23"/>
                <w:color w:val="auto"/>
              </w:rPr>
            </w:pPr>
          </w:p>
        </w:tc>
        <w:tc>
          <w:tcPr>
            <w:tcW w:w="118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320" w:type="dxa"/>
            <w:vAlign w:val="bottom"/>
            <w:shd w:val="clear" w:color="auto" w:fill="CFF0FC"/>
          </w:tcPr>
          <w:p>
            <w:pPr>
              <w:spacing w:after="0"/>
              <w:rPr>
                <w:sz w:val="23"/>
                <w:szCs w:val="23"/>
                <w:color w:val="auto"/>
              </w:rPr>
            </w:pPr>
          </w:p>
        </w:tc>
        <w:tc>
          <w:tcPr>
            <w:tcW w:w="114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340" w:type="dxa"/>
            <w:vAlign w:val="bottom"/>
            <w:shd w:val="clear" w:color="auto" w:fill="CFF0FC"/>
          </w:tcPr>
          <w:p>
            <w:pPr>
              <w:spacing w:after="0"/>
              <w:rPr>
                <w:sz w:val="23"/>
                <w:szCs w:val="23"/>
                <w:color w:val="auto"/>
              </w:rPr>
            </w:pPr>
          </w:p>
        </w:tc>
        <w:tc>
          <w:tcPr>
            <w:tcW w:w="1020" w:type="dxa"/>
            <w:vAlign w:val="bottom"/>
            <w:shd w:val="clear" w:color="auto" w:fill="CFF0FC"/>
          </w:tcPr>
          <w:p>
            <w:pPr>
              <w:jc w:val="right"/>
              <w:ind w:right="12"/>
              <w:spacing w:after="0"/>
              <w:rPr>
                <w:sz w:val="20"/>
                <w:szCs w:val="20"/>
                <w:color w:val="auto"/>
              </w:rPr>
            </w:pPr>
            <w:r>
              <w:rPr>
                <w:rFonts w:ascii="Arial" w:cs="Arial" w:eastAsia="Arial" w:hAnsi="Arial"/>
                <w:sz w:val="18"/>
                <w:szCs w:val="18"/>
                <w:color w:val="auto"/>
              </w:rPr>
              <w:t>350</w:t>
            </w:r>
          </w:p>
        </w:tc>
        <w:tc>
          <w:tcPr>
            <w:tcW w:w="120" w:type="dxa"/>
            <w:vAlign w:val="bottom"/>
            <w:shd w:val="clear" w:color="auto" w:fill="CFF0FC"/>
          </w:tcPr>
          <w:p>
            <w:pPr>
              <w:spacing w:after="0"/>
              <w:rPr>
                <w:sz w:val="23"/>
                <w:szCs w:val="23"/>
                <w:color w:val="auto"/>
              </w:rPr>
            </w:pPr>
          </w:p>
        </w:tc>
        <w:tc>
          <w:tcPr>
            <w:tcW w:w="320" w:type="dxa"/>
            <w:vAlign w:val="bottom"/>
            <w:shd w:val="clear" w:color="auto" w:fill="CFF0FC"/>
          </w:tcPr>
          <w:p>
            <w:pPr>
              <w:spacing w:after="0"/>
              <w:rPr>
                <w:sz w:val="23"/>
                <w:szCs w:val="23"/>
                <w:color w:val="auto"/>
              </w:rPr>
            </w:pPr>
          </w:p>
        </w:tc>
        <w:tc>
          <w:tcPr>
            <w:tcW w:w="104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rPr>
              <w:t>—</w:t>
            </w:r>
          </w:p>
        </w:tc>
      </w:tr>
      <w:tr>
        <w:trPr>
          <w:trHeight w:val="270"/>
        </w:trPr>
        <w:tc>
          <w:tcPr>
            <w:tcW w:w="5620" w:type="dxa"/>
            <w:vAlign w:val="bottom"/>
          </w:tcPr>
          <w:p>
            <w:pPr>
              <w:ind w:left="280"/>
              <w:spacing w:after="0" w:line="270" w:lineRule="exact"/>
              <w:rPr>
                <w:sz w:val="20"/>
                <w:szCs w:val="20"/>
                <w:color w:val="auto"/>
              </w:rPr>
            </w:pPr>
            <w:r>
              <w:rPr>
                <w:rFonts w:ascii="Arial" w:cs="Arial" w:eastAsia="Arial" w:hAnsi="Arial"/>
                <w:sz w:val="18"/>
                <w:szCs w:val="18"/>
                <w:color w:val="auto"/>
              </w:rPr>
              <w:t>Transaction fees</w:t>
            </w:r>
            <w:r>
              <w:rPr>
                <w:rFonts w:ascii="Arial" w:cs="Arial" w:eastAsia="Arial" w:hAnsi="Arial"/>
                <w:sz w:val="25"/>
                <w:szCs w:val="25"/>
                <w:color w:val="auto"/>
                <w:vertAlign w:val="superscript"/>
              </w:rPr>
              <w:t>(4)</w:t>
            </w:r>
          </w:p>
        </w:tc>
        <w:tc>
          <w:tcPr>
            <w:tcW w:w="320" w:type="dxa"/>
            <w:vAlign w:val="bottom"/>
          </w:tcPr>
          <w:p>
            <w:pPr>
              <w:spacing w:after="0"/>
              <w:rPr>
                <w:sz w:val="23"/>
                <w:szCs w:val="23"/>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3"/>
                <w:szCs w:val="23"/>
                <w:color w:val="auto"/>
              </w:rPr>
            </w:pPr>
          </w:p>
        </w:tc>
        <w:tc>
          <w:tcPr>
            <w:tcW w:w="1040" w:type="dxa"/>
            <w:vAlign w:val="bottom"/>
          </w:tcPr>
          <w:p>
            <w:pPr>
              <w:jc w:val="right"/>
              <w:ind w:right="31"/>
              <w:spacing w:after="0"/>
              <w:rPr>
                <w:sz w:val="20"/>
                <w:szCs w:val="20"/>
                <w:color w:val="auto"/>
              </w:rPr>
            </w:pPr>
            <w:r>
              <w:rPr>
                <w:rFonts w:ascii="Arial" w:cs="Arial" w:eastAsia="Arial" w:hAnsi="Arial"/>
                <w:sz w:val="18"/>
                <w:szCs w:val="18"/>
                <w:color w:val="auto"/>
              </w:rPr>
              <w:t>1,021</w:t>
            </w:r>
          </w:p>
        </w:tc>
        <w:tc>
          <w:tcPr>
            <w:tcW w:w="1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3"/>
                <w:szCs w:val="23"/>
                <w:color w:val="auto"/>
              </w:rPr>
            </w:pPr>
          </w:p>
        </w:tc>
        <w:tc>
          <w:tcPr>
            <w:tcW w:w="1040" w:type="dxa"/>
            <w:vAlign w:val="bottom"/>
          </w:tcPr>
          <w:p>
            <w:pPr>
              <w:jc w:val="right"/>
              <w:ind w:right="11"/>
              <w:spacing w:after="0"/>
              <w:rPr>
                <w:sz w:val="20"/>
                <w:szCs w:val="20"/>
                <w:color w:val="auto"/>
              </w:rPr>
            </w:pPr>
            <w:r>
              <w:rPr>
                <w:rFonts w:ascii="Arial" w:cs="Arial" w:eastAsia="Arial" w:hAnsi="Arial"/>
                <w:sz w:val="18"/>
                <w:szCs w:val="18"/>
                <w:color w:val="auto"/>
              </w:rPr>
              <w:t>1,021</w:t>
            </w:r>
          </w:p>
        </w:tc>
      </w:tr>
      <w:tr>
        <w:trPr>
          <w:trHeight w:val="270"/>
        </w:trPr>
        <w:tc>
          <w:tcPr>
            <w:tcW w:w="5620" w:type="dxa"/>
            <w:vAlign w:val="bottom"/>
            <w:shd w:val="clear" w:color="auto" w:fill="CFF0FC"/>
          </w:tcPr>
          <w:p>
            <w:pPr>
              <w:ind w:left="280"/>
              <w:spacing w:after="0"/>
              <w:rPr>
                <w:sz w:val="20"/>
                <w:szCs w:val="20"/>
                <w:color w:val="auto"/>
              </w:rPr>
            </w:pPr>
            <w:r>
              <w:rPr>
                <w:rFonts w:ascii="Arial" w:cs="Arial" w:eastAsia="Arial" w:hAnsi="Arial"/>
                <w:sz w:val="18"/>
                <w:szCs w:val="18"/>
                <w:color w:val="auto"/>
              </w:rPr>
              <w:t>Stock offering-related costs</w:t>
            </w:r>
            <w:r>
              <w:rPr>
                <w:rFonts w:ascii="Arial" w:cs="Arial" w:eastAsia="Arial" w:hAnsi="Arial"/>
                <w:sz w:val="21"/>
                <w:szCs w:val="21"/>
                <w:color w:val="auto"/>
                <w:vertAlign w:val="superscript"/>
              </w:rPr>
              <w:t>(5)</w:t>
            </w:r>
          </w:p>
        </w:tc>
        <w:tc>
          <w:tcPr>
            <w:tcW w:w="320" w:type="dxa"/>
            <w:vAlign w:val="bottom"/>
            <w:shd w:val="clear" w:color="auto" w:fill="CFF0FC"/>
          </w:tcPr>
          <w:p>
            <w:pPr>
              <w:spacing w:after="0"/>
              <w:rPr>
                <w:sz w:val="23"/>
                <w:szCs w:val="23"/>
                <w:color w:val="auto"/>
              </w:rPr>
            </w:pPr>
          </w:p>
        </w:tc>
        <w:tc>
          <w:tcPr>
            <w:tcW w:w="118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320" w:type="dxa"/>
            <w:vAlign w:val="bottom"/>
            <w:shd w:val="clear" w:color="auto" w:fill="CFF0FC"/>
          </w:tcPr>
          <w:p>
            <w:pPr>
              <w:spacing w:after="0"/>
              <w:rPr>
                <w:sz w:val="23"/>
                <w:szCs w:val="23"/>
                <w:color w:val="auto"/>
              </w:rPr>
            </w:pPr>
          </w:p>
        </w:tc>
        <w:tc>
          <w:tcPr>
            <w:tcW w:w="1040" w:type="dxa"/>
            <w:vAlign w:val="bottom"/>
            <w:shd w:val="clear" w:color="auto" w:fill="CFF0FC"/>
          </w:tcPr>
          <w:p>
            <w:pPr>
              <w:jc w:val="right"/>
              <w:ind w:right="31"/>
              <w:spacing w:after="0"/>
              <w:rPr>
                <w:sz w:val="20"/>
                <w:szCs w:val="20"/>
                <w:color w:val="auto"/>
              </w:rPr>
            </w:pPr>
            <w:r>
              <w:rPr>
                <w:rFonts w:ascii="Arial" w:cs="Arial" w:eastAsia="Arial" w:hAnsi="Arial"/>
                <w:sz w:val="18"/>
                <w:szCs w:val="18"/>
                <w:color w:val="auto"/>
              </w:rPr>
              <w:t>329</w:t>
            </w:r>
          </w:p>
        </w:tc>
        <w:tc>
          <w:tcPr>
            <w:tcW w:w="100" w:type="dxa"/>
            <w:vAlign w:val="bottom"/>
            <w:shd w:val="clear" w:color="auto" w:fill="CFF0FC"/>
          </w:tcPr>
          <w:p>
            <w:pPr>
              <w:spacing w:after="0"/>
              <w:rPr>
                <w:sz w:val="23"/>
                <w:szCs w:val="23"/>
                <w:color w:val="auto"/>
              </w:rPr>
            </w:pPr>
          </w:p>
        </w:tc>
        <w:tc>
          <w:tcPr>
            <w:tcW w:w="340" w:type="dxa"/>
            <w:vAlign w:val="bottom"/>
            <w:shd w:val="clear" w:color="auto" w:fill="CFF0FC"/>
          </w:tcPr>
          <w:p>
            <w:pPr>
              <w:spacing w:after="0"/>
              <w:rPr>
                <w:sz w:val="23"/>
                <w:szCs w:val="23"/>
                <w:color w:val="auto"/>
              </w:rPr>
            </w:pPr>
          </w:p>
        </w:tc>
        <w:tc>
          <w:tcPr>
            <w:tcW w:w="114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320" w:type="dxa"/>
            <w:vAlign w:val="bottom"/>
            <w:shd w:val="clear" w:color="auto" w:fill="CFF0FC"/>
          </w:tcPr>
          <w:p>
            <w:pPr>
              <w:spacing w:after="0"/>
              <w:rPr>
                <w:sz w:val="23"/>
                <w:szCs w:val="23"/>
                <w:color w:val="auto"/>
              </w:rPr>
            </w:pPr>
          </w:p>
        </w:tc>
        <w:tc>
          <w:tcPr>
            <w:tcW w:w="104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rPr>
              <w:t>937</w:t>
            </w:r>
          </w:p>
        </w:tc>
      </w:tr>
      <w:tr>
        <w:trPr>
          <w:trHeight w:val="270"/>
        </w:trPr>
        <w:tc>
          <w:tcPr>
            <w:tcW w:w="5620" w:type="dxa"/>
            <w:vAlign w:val="bottom"/>
          </w:tcPr>
          <w:p>
            <w:pPr>
              <w:ind w:left="280"/>
              <w:spacing w:after="0"/>
              <w:rPr>
                <w:sz w:val="20"/>
                <w:szCs w:val="20"/>
                <w:color w:val="auto"/>
              </w:rPr>
            </w:pPr>
            <w:r>
              <w:rPr>
                <w:rFonts w:ascii="Arial" w:cs="Arial" w:eastAsia="Arial" w:hAnsi="Arial"/>
                <w:sz w:val="18"/>
                <w:szCs w:val="18"/>
                <w:color w:val="auto"/>
              </w:rPr>
              <w:t>Severance costs</w:t>
            </w:r>
            <w:r>
              <w:rPr>
                <w:rFonts w:ascii="Arial" w:cs="Arial" w:eastAsia="Arial" w:hAnsi="Arial"/>
                <w:sz w:val="21"/>
                <w:szCs w:val="21"/>
                <w:color w:val="auto"/>
                <w:vertAlign w:val="superscript"/>
              </w:rPr>
              <w:t>(6)</w:t>
            </w:r>
          </w:p>
        </w:tc>
        <w:tc>
          <w:tcPr>
            <w:tcW w:w="320" w:type="dxa"/>
            <w:vAlign w:val="bottom"/>
          </w:tcPr>
          <w:p>
            <w:pPr>
              <w:spacing w:after="0"/>
              <w:rPr>
                <w:sz w:val="23"/>
                <w:szCs w:val="23"/>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352</w:t>
            </w:r>
          </w:p>
        </w:tc>
        <w:tc>
          <w:tcPr>
            <w:tcW w:w="1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3"/>
                <w:szCs w:val="23"/>
                <w:color w:val="auto"/>
              </w:rPr>
            </w:pPr>
          </w:p>
        </w:tc>
        <w:tc>
          <w:tcPr>
            <w:tcW w:w="1020" w:type="dxa"/>
            <w:vAlign w:val="bottom"/>
          </w:tcPr>
          <w:p>
            <w:pPr>
              <w:jc w:val="right"/>
              <w:ind w:right="12"/>
              <w:spacing w:after="0"/>
              <w:rPr>
                <w:sz w:val="20"/>
                <w:szCs w:val="20"/>
                <w:color w:val="auto"/>
              </w:rPr>
            </w:pPr>
            <w:r>
              <w:rPr>
                <w:rFonts w:ascii="Arial" w:cs="Arial" w:eastAsia="Arial" w:hAnsi="Arial"/>
                <w:sz w:val="18"/>
                <w:szCs w:val="18"/>
                <w:color w:val="auto"/>
              </w:rPr>
              <w:t>352</w:t>
            </w:r>
          </w:p>
        </w:tc>
        <w:tc>
          <w:tcPr>
            <w:tcW w:w="1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04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0"/>
        </w:trPr>
        <w:tc>
          <w:tcPr>
            <w:tcW w:w="5620" w:type="dxa"/>
            <w:vAlign w:val="bottom"/>
            <w:shd w:val="clear" w:color="auto" w:fill="CFF0FC"/>
          </w:tcPr>
          <w:p>
            <w:pPr>
              <w:ind w:left="280"/>
              <w:spacing w:after="0"/>
              <w:rPr>
                <w:sz w:val="20"/>
                <w:szCs w:val="20"/>
                <w:color w:val="auto"/>
              </w:rPr>
            </w:pPr>
            <w:r>
              <w:rPr>
                <w:rFonts w:ascii="Arial" w:cs="Arial" w:eastAsia="Arial" w:hAnsi="Arial"/>
                <w:sz w:val="18"/>
                <w:szCs w:val="18"/>
                <w:color w:val="auto"/>
              </w:rPr>
              <w:t>Pre-opening costs</w:t>
            </w:r>
            <w:r>
              <w:rPr>
                <w:rFonts w:ascii="Arial" w:cs="Arial" w:eastAsia="Arial" w:hAnsi="Arial"/>
                <w:sz w:val="21"/>
                <w:szCs w:val="21"/>
                <w:color w:val="auto"/>
                <w:vertAlign w:val="superscript"/>
              </w:rPr>
              <w:t>(7)</w:t>
            </w:r>
          </w:p>
        </w:tc>
        <w:tc>
          <w:tcPr>
            <w:tcW w:w="320" w:type="dxa"/>
            <w:vAlign w:val="bottom"/>
            <w:shd w:val="clear" w:color="auto" w:fill="CFF0FC"/>
          </w:tcPr>
          <w:p>
            <w:pPr>
              <w:spacing w:after="0"/>
              <w:rPr>
                <w:sz w:val="23"/>
                <w:szCs w:val="23"/>
                <w:color w:val="auto"/>
              </w:rPr>
            </w:pPr>
          </w:p>
        </w:tc>
        <w:tc>
          <w:tcPr>
            <w:tcW w:w="1060" w:type="dxa"/>
            <w:vAlign w:val="bottom"/>
            <w:shd w:val="clear" w:color="auto" w:fill="CFF0FC"/>
          </w:tcPr>
          <w:p>
            <w:pPr>
              <w:jc w:val="right"/>
              <w:ind w:right="12"/>
              <w:spacing w:after="0"/>
              <w:rPr>
                <w:sz w:val="20"/>
                <w:szCs w:val="20"/>
                <w:color w:val="auto"/>
              </w:rPr>
            </w:pPr>
            <w:r>
              <w:rPr>
                <w:rFonts w:ascii="Arial" w:cs="Arial" w:eastAsia="Arial" w:hAnsi="Arial"/>
                <w:sz w:val="18"/>
                <w:szCs w:val="18"/>
                <w:color w:val="auto"/>
              </w:rPr>
              <w:t>461</w:t>
            </w:r>
          </w:p>
        </w:tc>
        <w:tc>
          <w:tcPr>
            <w:tcW w:w="120" w:type="dxa"/>
            <w:vAlign w:val="bottom"/>
            <w:shd w:val="clear" w:color="auto" w:fill="CFF0FC"/>
          </w:tcPr>
          <w:p>
            <w:pPr>
              <w:spacing w:after="0"/>
              <w:rPr>
                <w:sz w:val="23"/>
                <w:szCs w:val="23"/>
                <w:color w:val="auto"/>
              </w:rPr>
            </w:pPr>
          </w:p>
        </w:tc>
        <w:tc>
          <w:tcPr>
            <w:tcW w:w="320" w:type="dxa"/>
            <w:vAlign w:val="bottom"/>
            <w:shd w:val="clear" w:color="auto" w:fill="CFF0FC"/>
          </w:tcPr>
          <w:p>
            <w:pPr>
              <w:spacing w:after="0"/>
              <w:rPr>
                <w:sz w:val="23"/>
                <w:szCs w:val="23"/>
                <w:color w:val="auto"/>
              </w:rPr>
            </w:pPr>
          </w:p>
        </w:tc>
        <w:tc>
          <w:tcPr>
            <w:tcW w:w="114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340" w:type="dxa"/>
            <w:vAlign w:val="bottom"/>
            <w:shd w:val="clear" w:color="auto" w:fill="CFF0FC"/>
          </w:tcPr>
          <w:p>
            <w:pPr>
              <w:spacing w:after="0"/>
              <w:rPr>
                <w:sz w:val="23"/>
                <w:szCs w:val="23"/>
                <w:color w:val="auto"/>
              </w:rPr>
            </w:pPr>
          </w:p>
        </w:tc>
        <w:tc>
          <w:tcPr>
            <w:tcW w:w="1020" w:type="dxa"/>
            <w:vAlign w:val="bottom"/>
            <w:shd w:val="clear" w:color="auto" w:fill="CFF0FC"/>
          </w:tcPr>
          <w:p>
            <w:pPr>
              <w:jc w:val="right"/>
              <w:ind w:right="12"/>
              <w:spacing w:after="0"/>
              <w:rPr>
                <w:sz w:val="20"/>
                <w:szCs w:val="20"/>
                <w:color w:val="auto"/>
              </w:rPr>
            </w:pPr>
            <w:r>
              <w:rPr>
                <w:rFonts w:ascii="Arial" w:cs="Arial" w:eastAsia="Arial" w:hAnsi="Arial"/>
                <w:sz w:val="18"/>
                <w:szCs w:val="18"/>
                <w:color w:val="auto"/>
              </w:rPr>
              <w:t>483</w:t>
            </w:r>
          </w:p>
        </w:tc>
        <w:tc>
          <w:tcPr>
            <w:tcW w:w="120" w:type="dxa"/>
            <w:vAlign w:val="bottom"/>
            <w:shd w:val="clear" w:color="auto" w:fill="CFF0FC"/>
          </w:tcPr>
          <w:p>
            <w:pPr>
              <w:spacing w:after="0"/>
              <w:rPr>
                <w:sz w:val="23"/>
                <w:szCs w:val="23"/>
                <w:color w:val="auto"/>
              </w:rPr>
            </w:pPr>
          </w:p>
        </w:tc>
        <w:tc>
          <w:tcPr>
            <w:tcW w:w="320" w:type="dxa"/>
            <w:vAlign w:val="bottom"/>
            <w:shd w:val="clear" w:color="auto" w:fill="CFF0FC"/>
          </w:tcPr>
          <w:p>
            <w:pPr>
              <w:spacing w:after="0"/>
              <w:rPr>
                <w:sz w:val="23"/>
                <w:szCs w:val="23"/>
                <w:color w:val="auto"/>
              </w:rPr>
            </w:pPr>
          </w:p>
        </w:tc>
        <w:tc>
          <w:tcPr>
            <w:tcW w:w="104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rPr>
              <w:t>—</w:t>
            </w:r>
          </w:p>
        </w:tc>
      </w:tr>
      <w:tr>
        <w:trPr>
          <w:trHeight w:val="270"/>
        </w:trPr>
        <w:tc>
          <w:tcPr>
            <w:tcW w:w="5620" w:type="dxa"/>
            <w:vAlign w:val="bottom"/>
          </w:tcPr>
          <w:p>
            <w:pPr>
              <w:ind w:left="280"/>
              <w:spacing w:after="0"/>
              <w:rPr>
                <w:sz w:val="20"/>
                <w:szCs w:val="20"/>
                <w:color w:val="auto"/>
              </w:rPr>
            </w:pPr>
            <w:r>
              <w:rPr>
                <w:rFonts w:ascii="Arial" w:cs="Arial" w:eastAsia="Arial" w:hAnsi="Arial"/>
                <w:sz w:val="18"/>
                <w:szCs w:val="18"/>
                <w:color w:val="auto"/>
              </w:rPr>
              <w:t>Early lease termination costs</w:t>
            </w:r>
            <w:r>
              <w:rPr>
                <w:rFonts w:ascii="Arial" w:cs="Arial" w:eastAsia="Arial" w:hAnsi="Arial"/>
                <w:sz w:val="21"/>
                <w:szCs w:val="21"/>
                <w:color w:val="auto"/>
                <w:vertAlign w:val="superscript"/>
              </w:rPr>
              <w:t>(8)</w:t>
            </w:r>
          </w:p>
        </w:tc>
        <w:tc>
          <w:tcPr>
            <w:tcW w:w="320" w:type="dxa"/>
            <w:vAlign w:val="bottom"/>
          </w:tcPr>
          <w:p>
            <w:pPr>
              <w:spacing w:after="0"/>
              <w:rPr>
                <w:sz w:val="23"/>
                <w:szCs w:val="23"/>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3"/>
                <w:szCs w:val="23"/>
                <w:color w:val="auto"/>
              </w:rPr>
            </w:pPr>
          </w:p>
        </w:tc>
        <w:tc>
          <w:tcPr>
            <w:tcW w:w="1040" w:type="dxa"/>
            <w:vAlign w:val="bottom"/>
          </w:tcPr>
          <w:p>
            <w:pPr>
              <w:jc w:val="right"/>
              <w:ind w:right="31"/>
              <w:spacing w:after="0"/>
              <w:rPr>
                <w:sz w:val="20"/>
                <w:szCs w:val="20"/>
                <w:color w:val="auto"/>
              </w:rPr>
            </w:pPr>
            <w:r>
              <w:rPr>
                <w:rFonts w:ascii="Arial" w:cs="Arial" w:eastAsia="Arial" w:hAnsi="Arial"/>
                <w:sz w:val="18"/>
                <w:szCs w:val="18"/>
                <w:color w:val="auto"/>
              </w:rPr>
              <w:t>912</w:t>
            </w:r>
          </w:p>
        </w:tc>
        <w:tc>
          <w:tcPr>
            <w:tcW w:w="1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3"/>
                <w:szCs w:val="23"/>
                <w:color w:val="auto"/>
              </w:rPr>
            </w:pPr>
          </w:p>
        </w:tc>
        <w:tc>
          <w:tcPr>
            <w:tcW w:w="1040" w:type="dxa"/>
            <w:vAlign w:val="bottom"/>
          </w:tcPr>
          <w:p>
            <w:pPr>
              <w:jc w:val="right"/>
              <w:ind w:right="11"/>
              <w:spacing w:after="0"/>
              <w:rPr>
                <w:sz w:val="20"/>
                <w:szCs w:val="20"/>
                <w:color w:val="auto"/>
              </w:rPr>
            </w:pPr>
            <w:r>
              <w:rPr>
                <w:rFonts w:ascii="Arial" w:cs="Arial" w:eastAsia="Arial" w:hAnsi="Arial"/>
                <w:sz w:val="18"/>
                <w:szCs w:val="18"/>
                <w:color w:val="auto"/>
              </w:rPr>
              <w:t>1,143</w:t>
            </w:r>
          </w:p>
        </w:tc>
      </w:tr>
      <w:tr>
        <w:trPr>
          <w:trHeight w:val="270"/>
        </w:trPr>
        <w:tc>
          <w:tcPr>
            <w:tcW w:w="5620" w:type="dxa"/>
            <w:vAlign w:val="bottom"/>
            <w:shd w:val="clear" w:color="auto" w:fill="CFF0FC"/>
          </w:tcPr>
          <w:p>
            <w:pPr>
              <w:ind w:left="280"/>
              <w:spacing w:after="0"/>
              <w:rPr>
                <w:sz w:val="20"/>
                <w:szCs w:val="20"/>
                <w:color w:val="auto"/>
              </w:rPr>
            </w:pPr>
            <w:r>
              <w:rPr>
                <w:rFonts w:ascii="Arial" w:cs="Arial" w:eastAsia="Arial" w:hAnsi="Arial"/>
                <w:sz w:val="18"/>
                <w:szCs w:val="18"/>
                <w:color w:val="auto"/>
              </w:rPr>
              <w:t>Other</w:t>
            </w:r>
            <w:r>
              <w:rPr>
                <w:rFonts w:ascii="Arial" w:cs="Arial" w:eastAsia="Arial" w:hAnsi="Arial"/>
                <w:sz w:val="21"/>
                <w:szCs w:val="21"/>
                <w:color w:val="auto"/>
                <w:vertAlign w:val="superscript"/>
              </w:rPr>
              <w:t>(9)</w:t>
            </w:r>
          </w:p>
        </w:tc>
        <w:tc>
          <w:tcPr>
            <w:tcW w:w="320" w:type="dxa"/>
            <w:vAlign w:val="bottom"/>
            <w:shd w:val="clear" w:color="auto" w:fill="CFF0FC"/>
          </w:tcPr>
          <w:p>
            <w:pPr>
              <w:spacing w:after="0"/>
              <w:rPr>
                <w:sz w:val="23"/>
                <w:szCs w:val="23"/>
                <w:color w:val="auto"/>
              </w:rPr>
            </w:pPr>
          </w:p>
        </w:tc>
        <w:tc>
          <w:tcPr>
            <w:tcW w:w="1060" w:type="dxa"/>
            <w:vAlign w:val="bottom"/>
            <w:shd w:val="clear" w:color="auto" w:fill="CFF0FC"/>
          </w:tcPr>
          <w:p>
            <w:pPr>
              <w:jc w:val="right"/>
              <w:ind w:right="12"/>
              <w:spacing w:after="0"/>
              <w:rPr>
                <w:sz w:val="20"/>
                <w:szCs w:val="20"/>
                <w:color w:val="auto"/>
              </w:rPr>
            </w:pPr>
            <w:r>
              <w:rPr>
                <w:rFonts w:ascii="Arial" w:cs="Arial" w:eastAsia="Arial" w:hAnsi="Arial"/>
                <w:sz w:val="18"/>
                <w:szCs w:val="18"/>
                <w:color w:val="auto"/>
              </w:rPr>
              <w:t>502</w:t>
            </w:r>
          </w:p>
        </w:tc>
        <w:tc>
          <w:tcPr>
            <w:tcW w:w="120" w:type="dxa"/>
            <w:vAlign w:val="bottom"/>
            <w:shd w:val="clear" w:color="auto" w:fill="CFF0FC"/>
          </w:tcPr>
          <w:p>
            <w:pPr>
              <w:spacing w:after="0"/>
              <w:rPr>
                <w:sz w:val="23"/>
                <w:szCs w:val="23"/>
                <w:color w:val="auto"/>
              </w:rPr>
            </w:pPr>
          </w:p>
        </w:tc>
        <w:tc>
          <w:tcPr>
            <w:tcW w:w="320" w:type="dxa"/>
            <w:vAlign w:val="bottom"/>
            <w:shd w:val="clear" w:color="auto" w:fill="CFF0FC"/>
          </w:tcPr>
          <w:p>
            <w:pPr>
              <w:spacing w:after="0"/>
              <w:rPr>
                <w:sz w:val="23"/>
                <w:szCs w:val="23"/>
                <w:color w:val="auto"/>
              </w:rPr>
            </w:pPr>
          </w:p>
        </w:tc>
        <w:tc>
          <w:tcPr>
            <w:tcW w:w="114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340" w:type="dxa"/>
            <w:vAlign w:val="bottom"/>
            <w:shd w:val="clear" w:color="auto" w:fill="CFF0FC"/>
          </w:tcPr>
          <w:p>
            <w:pPr>
              <w:spacing w:after="0"/>
              <w:rPr>
                <w:sz w:val="23"/>
                <w:szCs w:val="23"/>
                <w:color w:val="auto"/>
              </w:rPr>
            </w:pPr>
          </w:p>
        </w:tc>
        <w:tc>
          <w:tcPr>
            <w:tcW w:w="1020" w:type="dxa"/>
            <w:vAlign w:val="bottom"/>
            <w:shd w:val="clear" w:color="auto" w:fill="CFF0FC"/>
          </w:tcPr>
          <w:p>
            <w:pPr>
              <w:jc w:val="right"/>
              <w:ind w:right="12"/>
              <w:spacing w:after="0"/>
              <w:rPr>
                <w:sz w:val="20"/>
                <w:szCs w:val="20"/>
                <w:color w:val="auto"/>
              </w:rPr>
            </w:pPr>
            <w:r>
              <w:rPr>
                <w:rFonts w:ascii="Arial" w:cs="Arial" w:eastAsia="Arial" w:hAnsi="Arial"/>
                <w:sz w:val="18"/>
                <w:szCs w:val="18"/>
                <w:color w:val="auto"/>
              </w:rPr>
              <w:t>702</w:t>
            </w:r>
          </w:p>
        </w:tc>
        <w:tc>
          <w:tcPr>
            <w:tcW w:w="120" w:type="dxa"/>
            <w:vAlign w:val="bottom"/>
            <w:shd w:val="clear" w:color="auto" w:fill="CFF0FC"/>
          </w:tcPr>
          <w:p>
            <w:pPr>
              <w:spacing w:after="0"/>
              <w:rPr>
                <w:sz w:val="23"/>
                <w:szCs w:val="23"/>
                <w:color w:val="auto"/>
              </w:rPr>
            </w:pPr>
          </w:p>
        </w:tc>
        <w:tc>
          <w:tcPr>
            <w:tcW w:w="320" w:type="dxa"/>
            <w:vAlign w:val="bottom"/>
            <w:shd w:val="clear" w:color="auto" w:fill="CFF0FC"/>
          </w:tcPr>
          <w:p>
            <w:pPr>
              <w:spacing w:after="0"/>
              <w:rPr>
                <w:sz w:val="23"/>
                <w:szCs w:val="23"/>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(573)</w:t>
            </w:r>
          </w:p>
        </w:tc>
      </w:tr>
      <w:tr>
        <w:trPr>
          <w:trHeight w:val="270"/>
        </w:trPr>
        <w:tc>
          <w:tcPr>
            <w:tcW w:w="5620" w:type="dxa"/>
            <w:vAlign w:val="bottom"/>
            <w:tcBorders>
              <w:bottom w:val="single" w:sz="8" w:color="CFF0FC"/>
            </w:tcBorders>
          </w:tcPr>
          <w:p>
            <w:pPr>
              <w:ind w:left="280"/>
              <w:spacing w:after="0"/>
              <w:rPr>
                <w:sz w:val="20"/>
                <w:szCs w:val="20"/>
                <w:color w:val="auto"/>
              </w:rPr>
            </w:pPr>
            <w:r>
              <w:rPr>
                <w:rFonts w:ascii="Arial" w:cs="Arial" w:eastAsia="Arial" w:hAnsi="Arial"/>
                <w:sz w:val="18"/>
                <w:szCs w:val="18"/>
                <w:color w:val="auto"/>
              </w:rPr>
              <w:t>Purchase accounting amortization</w:t>
            </w:r>
            <w:r>
              <w:rPr>
                <w:rFonts w:ascii="Arial" w:cs="Arial" w:eastAsia="Arial" w:hAnsi="Arial"/>
                <w:sz w:val="21"/>
                <w:szCs w:val="21"/>
                <w:color w:val="auto"/>
                <w:vertAlign w:val="superscript"/>
              </w:rPr>
              <w:t>(10)</w:t>
            </w:r>
          </w:p>
        </w:tc>
        <w:tc>
          <w:tcPr>
            <w:tcW w:w="320" w:type="dxa"/>
            <w:vAlign w:val="bottom"/>
            <w:tcBorders>
              <w:bottom w:val="single" w:sz="8" w:color="auto"/>
            </w:tcBorders>
          </w:tcPr>
          <w:p>
            <w:pPr>
              <w:spacing w:after="0"/>
              <w:rPr>
                <w:sz w:val="23"/>
                <w:szCs w:val="23"/>
                <w:color w:val="auto"/>
              </w:rPr>
            </w:pPr>
          </w:p>
        </w:tc>
        <w:tc>
          <w:tcPr>
            <w:tcW w:w="106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rPr>
              <w:t>3,920</w:t>
            </w:r>
          </w:p>
        </w:tc>
        <w:tc>
          <w:tcPr>
            <w:tcW w:w="120" w:type="dxa"/>
            <w:vAlign w:val="bottom"/>
            <w:tcBorders>
              <w:bottom w:val="single" w:sz="8" w:color="CFF0FC"/>
            </w:tcBorders>
          </w:tcPr>
          <w:p>
            <w:pPr>
              <w:spacing w:after="0"/>
              <w:rPr>
                <w:sz w:val="23"/>
                <w:szCs w:val="23"/>
                <w:color w:val="auto"/>
              </w:rPr>
            </w:pPr>
          </w:p>
        </w:tc>
        <w:tc>
          <w:tcPr>
            <w:tcW w:w="320" w:type="dxa"/>
            <w:vAlign w:val="bottom"/>
            <w:tcBorders>
              <w:bottom w:val="single" w:sz="8" w:color="auto"/>
            </w:tcBorders>
          </w:tcPr>
          <w:p>
            <w:pPr>
              <w:spacing w:after="0"/>
              <w:rPr>
                <w:sz w:val="23"/>
                <w:szCs w:val="23"/>
                <w:color w:val="auto"/>
              </w:rPr>
            </w:pPr>
          </w:p>
        </w:tc>
        <w:tc>
          <w:tcPr>
            <w:tcW w:w="1040" w:type="dxa"/>
            <w:vAlign w:val="bottom"/>
            <w:tcBorders>
              <w:bottom w:val="single" w:sz="8" w:color="auto"/>
            </w:tcBorders>
          </w:tcPr>
          <w:p>
            <w:pPr>
              <w:jc w:val="right"/>
              <w:ind w:right="31"/>
              <w:spacing w:after="0"/>
              <w:rPr>
                <w:sz w:val="20"/>
                <w:szCs w:val="20"/>
                <w:color w:val="auto"/>
              </w:rPr>
            </w:pPr>
            <w:r>
              <w:rPr>
                <w:rFonts w:ascii="Arial" w:cs="Arial" w:eastAsia="Arial" w:hAnsi="Arial"/>
                <w:sz w:val="18"/>
                <w:szCs w:val="18"/>
                <w:color w:val="auto"/>
              </w:rPr>
              <w:t>4,622</w:t>
            </w:r>
          </w:p>
        </w:tc>
        <w:tc>
          <w:tcPr>
            <w:tcW w:w="100" w:type="dxa"/>
            <w:vAlign w:val="bottom"/>
            <w:tcBorders>
              <w:bottom w:val="single" w:sz="8" w:color="CFF0FC"/>
            </w:tcBorders>
          </w:tcPr>
          <w:p>
            <w:pPr>
              <w:spacing w:after="0"/>
              <w:rPr>
                <w:sz w:val="23"/>
                <w:szCs w:val="23"/>
                <w:color w:val="auto"/>
              </w:rPr>
            </w:pPr>
          </w:p>
        </w:tc>
        <w:tc>
          <w:tcPr>
            <w:tcW w:w="340" w:type="dxa"/>
            <w:vAlign w:val="bottom"/>
            <w:tcBorders>
              <w:bottom w:val="single" w:sz="8" w:color="auto"/>
            </w:tcBorders>
          </w:tcPr>
          <w:p>
            <w:pPr>
              <w:spacing w:after="0"/>
              <w:rPr>
                <w:sz w:val="23"/>
                <w:szCs w:val="23"/>
                <w:color w:val="auto"/>
              </w:rPr>
            </w:pPr>
          </w:p>
        </w:tc>
        <w:tc>
          <w:tcPr>
            <w:tcW w:w="102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rPr>
              <w:t>7,841</w:t>
            </w:r>
          </w:p>
        </w:tc>
        <w:tc>
          <w:tcPr>
            <w:tcW w:w="120" w:type="dxa"/>
            <w:vAlign w:val="bottom"/>
            <w:tcBorders>
              <w:bottom w:val="single" w:sz="8" w:color="CFF0FC"/>
            </w:tcBorders>
          </w:tcPr>
          <w:p>
            <w:pPr>
              <w:spacing w:after="0"/>
              <w:rPr>
                <w:sz w:val="23"/>
                <w:szCs w:val="23"/>
                <w:color w:val="auto"/>
              </w:rPr>
            </w:pPr>
          </w:p>
        </w:tc>
        <w:tc>
          <w:tcPr>
            <w:tcW w:w="320" w:type="dxa"/>
            <w:vAlign w:val="bottom"/>
            <w:tcBorders>
              <w:bottom w:val="single" w:sz="8" w:color="auto"/>
            </w:tcBorders>
          </w:tcPr>
          <w:p>
            <w:pPr>
              <w:spacing w:after="0"/>
              <w:rPr>
                <w:sz w:val="23"/>
                <w:szCs w:val="23"/>
                <w:color w:val="auto"/>
              </w:rPr>
            </w:pPr>
          </w:p>
        </w:tc>
        <w:tc>
          <w:tcPr>
            <w:tcW w:w="104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rPr>
              <w:t>9,244</w:t>
            </w:r>
          </w:p>
        </w:tc>
      </w:tr>
      <w:tr>
        <w:trPr>
          <w:trHeight w:val="244"/>
        </w:trPr>
        <w:tc>
          <w:tcPr>
            <w:tcW w:w="562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Adjusted income before income taxes</w:t>
            </w:r>
          </w:p>
        </w:tc>
        <w:tc>
          <w:tcPr>
            <w:tcW w:w="320" w:type="dxa"/>
            <w:vAlign w:val="bottom"/>
            <w:tcBorders>
              <w:bottom w:val="single" w:sz="8" w:color="CFF0FC"/>
            </w:tcBorders>
            <w:shd w:val="clear" w:color="auto" w:fill="CFF0FC"/>
          </w:tcPr>
          <w:p>
            <w:pPr>
              <w:jc w:val="right"/>
              <w:ind w:right="130"/>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CFF0FC"/>
            </w:tcBorders>
            <w:shd w:val="clear" w:color="auto" w:fill="CFF0FC"/>
          </w:tcPr>
          <w:p>
            <w:pPr>
              <w:jc w:val="right"/>
              <w:ind w:right="12"/>
              <w:spacing w:after="0"/>
              <w:rPr>
                <w:sz w:val="20"/>
                <w:szCs w:val="20"/>
                <w:color w:val="auto"/>
              </w:rPr>
            </w:pPr>
            <w:r>
              <w:rPr>
                <w:rFonts w:ascii="Arial" w:cs="Arial" w:eastAsia="Arial" w:hAnsi="Arial"/>
                <w:sz w:val="18"/>
                <w:szCs w:val="18"/>
                <w:color w:val="auto"/>
              </w:rPr>
              <w:t>45,054</w:t>
            </w:r>
          </w:p>
        </w:tc>
        <w:tc>
          <w:tcPr>
            <w:tcW w:w="120" w:type="dxa"/>
            <w:vAlign w:val="bottom"/>
            <w:tcBorders>
              <w:bottom w:val="single" w:sz="8" w:color="CFF0FC"/>
            </w:tcBorders>
            <w:shd w:val="clear" w:color="auto" w:fill="CFF0FC"/>
          </w:tcPr>
          <w:p>
            <w:pPr>
              <w:spacing w:after="0"/>
              <w:rPr>
                <w:sz w:val="21"/>
                <w:szCs w:val="21"/>
                <w:color w:val="auto"/>
              </w:rPr>
            </w:pPr>
          </w:p>
        </w:tc>
        <w:tc>
          <w:tcPr>
            <w:tcW w:w="320" w:type="dxa"/>
            <w:vAlign w:val="bottom"/>
            <w:tcBorders>
              <w:bottom w:val="single" w:sz="8" w:color="CFF0FC"/>
            </w:tcBorders>
            <w:shd w:val="clear" w:color="auto" w:fill="CFF0FC"/>
          </w:tcPr>
          <w:p>
            <w:pPr>
              <w:jc w:val="right"/>
              <w:ind w:right="13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CFF0FC"/>
            </w:tcBorders>
            <w:shd w:val="clear" w:color="auto" w:fill="CFF0FC"/>
          </w:tcPr>
          <w:p>
            <w:pPr>
              <w:jc w:val="right"/>
              <w:ind w:right="31"/>
              <w:spacing w:after="0"/>
              <w:rPr>
                <w:sz w:val="20"/>
                <w:szCs w:val="20"/>
                <w:color w:val="auto"/>
              </w:rPr>
            </w:pPr>
            <w:r>
              <w:rPr>
                <w:rFonts w:ascii="Arial" w:cs="Arial" w:eastAsia="Arial" w:hAnsi="Arial"/>
                <w:sz w:val="18"/>
                <w:szCs w:val="18"/>
                <w:color w:val="auto"/>
              </w:rPr>
              <w:t>35,808</w:t>
            </w:r>
          </w:p>
        </w:tc>
        <w:tc>
          <w:tcPr>
            <w:tcW w:w="100" w:type="dxa"/>
            <w:vAlign w:val="bottom"/>
            <w:tcBorders>
              <w:bottom w:val="single" w:sz="8" w:color="CFF0FC"/>
            </w:tcBorders>
            <w:shd w:val="clear" w:color="auto" w:fill="CFF0FC"/>
          </w:tcPr>
          <w:p>
            <w:pPr>
              <w:spacing w:after="0"/>
              <w:rPr>
                <w:sz w:val="21"/>
                <w:szCs w:val="21"/>
                <w:color w:val="auto"/>
              </w:rPr>
            </w:pPr>
          </w:p>
        </w:tc>
        <w:tc>
          <w:tcPr>
            <w:tcW w:w="340" w:type="dxa"/>
            <w:vAlign w:val="bottom"/>
            <w:tcBorders>
              <w:bottom w:val="single" w:sz="8" w:color="CFF0FC"/>
            </w:tcBorders>
            <w:shd w:val="clear" w:color="auto" w:fill="CFF0FC"/>
          </w:tcPr>
          <w:p>
            <w:pPr>
              <w:jc w:val="right"/>
              <w:ind w:right="1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FF0FC"/>
            </w:tcBorders>
            <w:shd w:val="clear" w:color="auto" w:fill="CFF0FC"/>
          </w:tcPr>
          <w:p>
            <w:pPr>
              <w:jc w:val="right"/>
              <w:ind w:right="12"/>
              <w:spacing w:after="0"/>
              <w:rPr>
                <w:sz w:val="20"/>
                <w:szCs w:val="20"/>
                <w:color w:val="auto"/>
              </w:rPr>
            </w:pPr>
            <w:r>
              <w:rPr>
                <w:rFonts w:ascii="Arial" w:cs="Arial" w:eastAsia="Arial" w:hAnsi="Arial"/>
                <w:sz w:val="18"/>
                <w:szCs w:val="18"/>
                <w:color w:val="auto"/>
              </w:rPr>
              <w:t>80,550</w:t>
            </w:r>
          </w:p>
        </w:tc>
        <w:tc>
          <w:tcPr>
            <w:tcW w:w="120" w:type="dxa"/>
            <w:vAlign w:val="bottom"/>
            <w:tcBorders>
              <w:bottom w:val="single" w:sz="8" w:color="CFF0FC"/>
            </w:tcBorders>
            <w:shd w:val="clear" w:color="auto" w:fill="CFF0FC"/>
          </w:tcPr>
          <w:p>
            <w:pPr>
              <w:spacing w:after="0"/>
              <w:rPr>
                <w:sz w:val="21"/>
                <w:szCs w:val="21"/>
                <w:color w:val="auto"/>
              </w:rPr>
            </w:pPr>
          </w:p>
        </w:tc>
        <w:tc>
          <w:tcPr>
            <w:tcW w:w="320" w:type="dxa"/>
            <w:vAlign w:val="bottom"/>
            <w:tcBorders>
              <w:bottom w:val="single" w:sz="8" w:color="CFF0FC"/>
            </w:tcBorders>
            <w:shd w:val="clear" w:color="auto" w:fill="CFF0FC"/>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66,202</w:t>
            </w:r>
          </w:p>
        </w:tc>
      </w:tr>
      <w:tr>
        <w:trPr>
          <w:trHeight w:val="270"/>
        </w:trPr>
        <w:tc>
          <w:tcPr>
            <w:tcW w:w="5620" w:type="dxa"/>
            <w:vAlign w:val="bottom"/>
            <w:tcBorders>
              <w:bottom w:val="single" w:sz="8" w:color="CFF0FC"/>
            </w:tcBorders>
          </w:tcPr>
          <w:p>
            <w:pPr>
              <w:ind w:left="280"/>
              <w:spacing w:after="0"/>
              <w:rPr>
                <w:sz w:val="20"/>
                <w:szCs w:val="20"/>
                <w:color w:val="auto"/>
              </w:rPr>
            </w:pPr>
            <w:r>
              <w:rPr>
                <w:rFonts w:ascii="Arial" w:cs="Arial" w:eastAsia="Arial" w:hAnsi="Arial"/>
                <w:sz w:val="18"/>
                <w:szCs w:val="18"/>
                <w:color w:val="auto"/>
              </w:rPr>
              <w:t>Adjusted income taxes</w:t>
            </w:r>
            <w:r>
              <w:rPr>
                <w:rFonts w:ascii="Arial" w:cs="Arial" w:eastAsia="Arial" w:hAnsi="Arial"/>
                <w:sz w:val="21"/>
                <w:szCs w:val="21"/>
                <w:color w:val="auto"/>
                <w:vertAlign w:val="superscript"/>
              </w:rPr>
              <w:t>(11)</w:t>
            </w:r>
          </w:p>
        </w:tc>
        <w:tc>
          <w:tcPr>
            <w:tcW w:w="320" w:type="dxa"/>
            <w:vAlign w:val="bottom"/>
            <w:tcBorders>
              <w:bottom w:val="single" w:sz="8" w:color="auto"/>
            </w:tcBorders>
          </w:tcPr>
          <w:p>
            <w:pPr>
              <w:spacing w:after="0"/>
              <w:rPr>
                <w:sz w:val="23"/>
                <w:szCs w:val="23"/>
                <w:color w:val="auto"/>
              </w:rPr>
            </w:pPr>
          </w:p>
        </w:tc>
        <w:tc>
          <w:tcPr>
            <w:tcW w:w="106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rPr>
              <w:t>11,849</w:t>
            </w:r>
          </w:p>
        </w:tc>
        <w:tc>
          <w:tcPr>
            <w:tcW w:w="120" w:type="dxa"/>
            <w:vAlign w:val="bottom"/>
            <w:tcBorders>
              <w:bottom w:val="single" w:sz="8" w:color="CFF0FC"/>
            </w:tcBorders>
          </w:tcPr>
          <w:p>
            <w:pPr>
              <w:spacing w:after="0"/>
              <w:rPr>
                <w:sz w:val="23"/>
                <w:szCs w:val="23"/>
                <w:color w:val="auto"/>
              </w:rPr>
            </w:pPr>
          </w:p>
        </w:tc>
        <w:tc>
          <w:tcPr>
            <w:tcW w:w="320" w:type="dxa"/>
            <w:vAlign w:val="bottom"/>
            <w:tcBorders>
              <w:bottom w:val="single" w:sz="8" w:color="auto"/>
            </w:tcBorders>
          </w:tcPr>
          <w:p>
            <w:pPr>
              <w:spacing w:after="0"/>
              <w:rPr>
                <w:sz w:val="23"/>
                <w:szCs w:val="23"/>
                <w:color w:val="auto"/>
              </w:rPr>
            </w:pPr>
          </w:p>
        </w:tc>
        <w:tc>
          <w:tcPr>
            <w:tcW w:w="1040" w:type="dxa"/>
            <w:vAlign w:val="bottom"/>
            <w:tcBorders>
              <w:bottom w:val="single" w:sz="8" w:color="auto"/>
            </w:tcBorders>
          </w:tcPr>
          <w:p>
            <w:pPr>
              <w:jc w:val="right"/>
              <w:ind w:right="31"/>
              <w:spacing w:after="0"/>
              <w:rPr>
                <w:sz w:val="20"/>
                <w:szCs w:val="20"/>
                <w:color w:val="auto"/>
              </w:rPr>
            </w:pPr>
            <w:r>
              <w:rPr>
                <w:rFonts w:ascii="Arial" w:cs="Arial" w:eastAsia="Arial" w:hAnsi="Arial"/>
                <w:sz w:val="18"/>
                <w:szCs w:val="18"/>
                <w:color w:val="auto"/>
              </w:rPr>
              <w:t>14,144</w:t>
            </w:r>
          </w:p>
        </w:tc>
        <w:tc>
          <w:tcPr>
            <w:tcW w:w="100" w:type="dxa"/>
            <w:vAlign w:val="bottom"/>
            <w:tcBorders>
              <w:bottom w:val="single" w:sz="8" w:color="CFF0FC"/>
            </w:tcBorders>
          </w:tcPr>
          <w:p>
            <w:pPr>
              <w:spacing w:after="0"/>
              <w:rPr>
                <w:sz w:val="23"/>
                <w:szCs w:val="23"/>
                <w:color w:val="auto"/>
              </w:rPr>
            </w:pPr>
          </w:p>
        </w:tc>
        <w:tc>
          <w:tcPr>
            <w:tcW w:w="340" w:type="dxa"/>
            <w:vAlign w:val="bottom"/>
            <w:tcBorders>
              <w:bottom w:val="single" w:sz="8" w:color="auto"/>
            </w:tcBorders>
          </w:tcPr>
          <w:p>
            <w:pPr>
              <w:spacing w:after="0"/>
              <w:rPr>
                <w:sz w:val="23"/>
                <w:szCs w:val="23"/>
                <w:color w:val="auto"/>
              </w:rPr>
            </w:pPr>
          </w:p>
        </w:tc>
        <w:tc>
          <w:tcPr>
            <w:tcW w:w="102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rPr>
              <w:t>21,185</w:t>
            </w:r>
          </w:p>
        </w:tc>
        <w:tc>
          <w:tcPr>
            <w:tcW w:w="120" w:type="dxa"/>
            <w:vAlign w:val="bottom"/>
            <w:tcBorders>
              <w:bottom w:val="single" w:sz="8" w:color="CFF0FC"/>
            </w:tcBorders>
          </w:tcPr>
          <w:p>
            <w:pPr>
              <w:spacing w:after="0"/>
              <w:rPr>
                <w:sz w:val="23"/>
                <w:szCs w:val="23"/>
                <w:color w:val="auto"/>
              </w:rPr>
            </w:pPr>
          </w:p>
        </w:tc>
        <w:tc>
          <w:tcPr>
            <w:tcW w:w="320" w:type="dxa"/>
            <w:vAlign w:val="bottom"/>
            <w:tcBorders>
              <w:bottom w:val="single" w:sz="8" w:color="auto"/>
            </w:tcBorders>
          </w:tcPr>
          <w:p>
            <w:pPr>
              <w:spacing w:after="0"/>
              <w:rPr>
                <w:sz w:val="23"/>
                <w:szCs w:val="23"/>
                <w:color w:val="auto"/>
              </w:rPr>
            </w:pPr>
          </w:p>
        </w:tc>
        <w:tc>
          <w:tcPr>
            <w:tcW w:w="104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rPr>
              <w:t>26,150</w:t>
            </w:r>
          </w:p>
        </w:tc>
      </w:tr>
      <w:tr>
        <w:trPr>
          <w:trHeight w:val="269"/>
        </w:trPr>
        <w:tc>
          <w:tcPr>
            <w:tcW w:w="562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Adjusted net income</w:t>
            </w:r>
          </w:p>
        </w:tc>
        <w:tc>
          <w:tcPr>
            <w:tcW w:w="320" w:type="dxa"/>
            <w:vAlign w:val="bottom"/>
            <w:tcBorders>
              <w:bottom w:val="single" w:sz="8" w:color="CFF0FC"/>
            </w:tcBorders>
            <w:shd w:val="clear" w:color="auto" w:fill="CFF0FC"/>
          </w:tcPr>
          <w:p>
            <w:pPr>
              <w:jc w:val="right"/>
              <w:ind w:right="130"/>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CFF0FC"/>
            </w:tcBorders>
            <w:shd w:val="clear" w:color="auto" w:fill="CFF0FC"/>
          </w:tcPr>
          <w:p>
            <w:pPr>
              <w:jc w:val="right"/>
              <w:ind w:right="12"/>
              <w:spacing w:after="0"/>
              <w:rPr>
                <w:sz w:val="20"/>
                <w:szCs w:val="20"/>
                <w:color w:val="auto"/>
              </w:rPr>
            </w:pPr>
            <w:r>
              <w:rPr>
                <w:rFonts w:ascii="Arial" w:cs="Arial" w:eastAsia="Arial" w:hAnsi="Arial"/>
                <w:sz w:val="18"/>
                <w:szCs w:val="18"/>
                <w:color w:val="auto"/>
              </w:rPr>
              <w:t>33,205</w:t>
            </w:r>
          </w:p>
        </w:tc>
        <w:tc>
          <w:tcPr>
            <w:tcW w:w="120" w:type="dxa"/>
            <w:vAlign w:val="bottom"/>
            <w:tcBorders>
              <w:bottom w:val="single" w:sz="8" w:color="CFF0FC"/>
            </w:tcBorders>
            <w:shd w:val="clear" w:color="auto" w:fill="CFF0FC"/>
          </w:tcPr>
          <w:p>
            <w:pPr>
              <w:spacing w:after="0"/>
              <w:rPr>
                <w:sz w:val="22"/>
                <w:szCs w:val="22"/>
                <w:color w:val="auto"/>
              </w:rPr>
            </w:pPr>
          </w:p>
        </w:tc>
        <w:tc>
          <w:tcPr>
            <w:tcW w:w="320" w:type="dxa"/>
            <w:vAlign w:val="bottom"/>
            <w:tcBorders>
              <w:bottom w:val="single" w:sz="8" w:color="CFF0FC"/>
            </w:tcBorders>
            <w:shd w:val="clear" w:color="auto" w:fill="CFF0FC"/>
          </w:tcPr>
          <w:p>
            <w:pPr>
              <w:jc w:val="right"/>
              <w:ind w:right="13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CFF0FC"/>
            </w:tcBorders>
            <w:shd w:val="clear" w:color="auto" w:fill="CFF0FC"/>
          </w:tcPr>
          <w:p>
            <w:pPr>
              <w:jc w:val="right"/>
              <w:ind w:right="31"/>
              <w:spacing w:after="0"/>
              <w:rPr>
                <w:sz w:val="20"/>
                <w:szCs w:val="20"/>
                <w:color w:val="auto"/>
              </w:rPr>
            </w:pPr>
            <w:r>
              <w:rPr>
                <w:rFonts w:ascii="Arial" w:cs="Arial" w:eastAsia="Arial" w:hAnsi="Arial"/>
                <w:sz w:val="18"/>
                <w:szCs w:val="18"/>
                <w:color w:val="auto"/>
              </w:rPr>
              <w:t>21,664</w:t>
            </w:r>
          </w:p>
        </w:tc>
        <w:tc>
          <w:tcPr>
            <w:tcW w:w="100" w:type="dxa"/>
            <w:vAlign w:val="bottom"/>
            <w:tcBorders>
              <w:bottom w:val="single" w:sz="8" w:color="CFF0FC"/>
            </w:tcBorders>
            <w:shd w:val="clear" w:color="auto" w:fill="CFF0FC"/>
          </w:tcPr>
          <w:p>
            <w:pPr>
              <w:spacing w:after="0"/>
              <w:rPr>
                <w:sz w:val="22"/>
                <w:szCs w:val="22"/>
                <w:color w:val="auto"/>
              </w:rPr>
            </w:pPr>
          </w:p>
        </w:tc>
        <w:tc>
          <w:tcPr>
            <w:tcW w:w="340" w:type="dxa"/>
            <w:vAlign w:val="bottom"/>
            <w:tcBorders>
              <w:bottom w:val="single" w:sz="8" w:color="CFF0FC"/>
            </w:tcBorders>
            <w:shd w:val="clear" w:color="auto" w:fill="CFF0FC"/>
          </w:tcPr>
          <w:p>
            <w:pPr>
              <w:jc w:val="right"/>
              <w:ind w:right="1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FF0FC"/>
            </w:tcBorders>
            <w:shd w:val="clear" w:color="auto" w:fill="CFF0FC"/>
          </w:tcPr>
          <w:p>
            <w:pPr>
              <w:jc w:val="right"/>
              <w:ind w:right="12"/>
              <w:spacing w:after="0"/>
              <w:rPr>
                <w:sz w:val="20"/>
                <w:szCs w:val="20"/>
                <w:color w:val="auto"/>
              </w:rPr>
            </w:pPr>
            <w:r>
              <w:rPr>
                <w:rFonts w:ascii="Arial" w:cs="Arial" w:eastAsia="Arial" w:hAnsi="Arial"/>
                <w:sz w:val="18"/>
                <w:szCs w:val="18"/>
                <w:color w:val="auto"/>
              </w:rPr>
              <w:t>59,365</w:t>
            </w:r>
          </w:p>
        </w:tc>
        <w:tc>
          <w:tcPr>
            <w:tcW w:w="120" w:type="dxa"/>
            <w:vAlign w:val="bottom"/>
            <w:tcBorders>
              <w:bottom w:val="single" w:sz="8" w:color="CFF0FC"/>
            </w:tcBorders>
            <w:shd w:val="clear" w:color="auto" w:fill="CFF0FC"/>
          </w:tcPr>
          <w:p>
            <w:pPr>
              <w:spacing w:after="0"/>
              <w:rPr>
                <w:sz w:val="22"/>
                <w:szCs w:val="22"/>
                <w:color w:val="auto"/>
              </w:rPr>
            </w:pPr>
          </w:p>
        </w:tc>
        <w:tc>
          <w:tcPr>
            <w:tcW w:w="320" w:type="dxa"/>
            <w:vAlign w:val="bottom"/>
            <w:tcBorders>
              <w:bottom w:val="single" w:sz="8" w:color="CFF0FC"/>
            </w:tcBorders>
            <w:shd w:val="clear" w:color="auto" w:fill="CFF0FC"/>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40,052</w:t>
            </w:r>
          </w:p>
        </w:tc>
      </w:tr>
      <w:tr>
        <w:trPr>
          <w:trHeight w:val="20"/>
        </w:trPr>
        <w:tc>
          <w:tcPr>
            <w:tcW w:w="5620" w:type="dxa"/>
            <w:vAlign w:val="bottom"/>
            <w:tcBorders>
              <w:top w:val="single" w:sz="8" w:color="CFF0FC"/>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r>
      <w:tr>
        <w:trPr>
          <w:trHeight w:val="278"/>
        </w:trPr>
        <w:tc>
          <w:tcPr>
            <w:tcW w:w="56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40" w:type="dxa"/>
            <w:vAlign w:val="bottom"/>
          </w:tcPr>
          <w:p>
            <w:pPr>
              <w:spacing w:after="0"/>
              <w:rPr>
                <w:sz w:val="24"/>
                <w:szCs w:val="24"/>
                <w:color w:val="auto"/>
              </w:rPr>
            </w:pPr>
          </w:p>
        </w:tc>
      </w:tr>
      <w:tr>
        <w:trPr>
          <w:trHeight w:val="250"/>
        </w:trPr>
        <w:tc>
          <w:tcPr>
            <w:tcW w:w="562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Adjusted net income per share, diluted</w:t>
            </w:r>
          </w:p>
        </w:tc>
        <w:tc>
          <w:tcPr>
            <w:tcW w:w="320" w:type="dxa"/>
            <w:vAlign w:val="bottom"/>
            <w:tcBorders>
              <w:bottom w:val="single" w:sz="8" w:color="CFF0FC"/>
            </w:tcBorders>
            <w:shd w:val="clear" w:color="auto" w:fill="CFF0FC"/>
          </w:tcPr>
          <w:p>
            <w:pPr>
              <w:jc w:val="right"/>
              <w:ind w:right="130"/>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CFF0FC"/>
            </w:tcBorders>
            <w:shd w:val="clear" w:color="auto" w:fill="CFF0FC"/>
          </w:tcPr>
          <w:p>
            <w:pPr>
              <w:jc w:val="right"/>
              <w:ind w:right="12"/>
              <w:spacing w:after="0"/>
              <w:rPr>
                <w:sz w:val="20"/>
                <w:szCs w:val="20"/>
                <w:color w:val="auto"/>
              </w:rPr>
            </w:pPr>
            <w:r>
              <w:rPr>
                <w:rFonts w:ascii="Arial" w:cs="Arial" w:eastAsia="Arial" w:hAnsi="Arial"/>
                <w:sz w:val="18"/>
                <w:szCs w:val="18"/>
                <w:color w:val="auto"/>
              </w:rPr>
              <w:t>0.34</w:t>
            </w:r>
          </w:p>
        </w:tc>
        <w:tc>
          <w:tcPr>
            <w:tcW w:w="120" w:type="dxa"/>
            <w:vAlign w:val="bottom"/>
            <w:tcBorders>
              <w:bottom w:val="single" w:sz="8" w:color="CFF0FC"/>
            </w:tcBorders>
            <w:shd w:val="clear" w:color="auto" w:fill="CFF0FC"/>
          </w:tcPr>
          <w:p>
            <w:pPr>
              <w:spacing w:after="0"/>
              <w:rPr>
                <w:sz w:val="21"/>
                <w:szCs w:val="21"/>
                <w:color w:val="auto"/>
              </w:rPr>
            </w:pPr>
          </w:p>
        </w:tc>
        <w:tc>
          <w:tcPr>
            <w:tcW w:w="320" w:type="dxa"/>
            <w:vAlign w:val="bottom"/>
            <w:tcBorders>
              <w:bottom w:val="single" w:sz="8" w:color="CFF0FC"/>
            </w:tcBorders>
            <w:shd w:val="clear" w:color="auto" w:fill="CFF0FC"/>
          </w:tcPr>
          <w:p>
            <w:pPr>
              <w:jc w:val="right"/>
              <w:ind w:right="13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CFF0FC"/>
            </w:tcBorders>
            <w:shd w:val="clear" w:color="auto" w:fill="CFF0FC"/>
          </w:tcPr>
          <w:p>
            <w:pPr>
              <w:jc w:val="right"/>
              <w:ind w:right="31"/>
              <w:spacing w:after="0"/>
              <w:rPr>
                <w:sz w:val="20"/>
                <w:szCs w:val="20"/>
                <w:color w:val="auto"/>
              </w:rPr>
            </w:pPr>
            <w:r>
              <w:rPr>
                <w:rFonts w:ascii="Arial" w:cs="Arial" w:eastAsia="Arial" w:hAnsi="Arial"/>
                <w:sz w:val="18"/>
                <w:szCs w:val="18"/>
                <w:color w:val="auto"/>
              </w:rPr>
              <w:t>0.22</w:t>
            </w:r>
          </w:p>
        </w:tc>
        <w:tc>
          <w:tcPr>
            <w:tcW w:w="100" w:type="dxa"/>
            <w:vAlign w:val="bottom"/>
            <w:tcBorders>
              <w:bottom w:val="single" w:sz="8" w:color="CFF0FC"/>
            </w:tcBorders>
            <w:shd w:val="clear" w:color="auto" w:fill="CFF0FC"/>
          </w:tcPr>
          <w:p>
            <w:pPr>
              <w:spacing w:after="0"/>
              <w:rPr>
                <w:sz w:val="21"/>
                <w:szCs w:val="21"/>
                <w:color w:val="auto"/>
              </w:rPr>
            </w:pPr>
          </w:p>
        </w:tc>
        <w:tc>
          <w:tcPr>
            <w:tcW w:w="340" w:type="dxa"/>
            <w:vAlign w:val="bottom"/>
            <w:tcBorders>
              <w:bottom w:val="single" w:sz="8" w:color="CFF0FC"/>
            </w:tcBorders>
            <w:shd w:val="clear" w:color="auto" w:fill="CFF0FC"/>
          </w:tcPr>
          <w:p>
            <w:pPr>
              <w:jc w:val="right"/>
              <w:ind w:right="1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FF0FC"/>
            </w:tcBorders>
            <w:shd w:val="clear" w:color="auto" w:fill="CFF0FC"/>
          </w:tcPr>
          <w:p>
            <w:pPr>
              <w:jc w:val="right"/>
              <w:ind w:right="12"/>
              <w:spacing w:after="0"/>
              <w:rPr>
                <w:sz w:val="20"/>
                <w:szCs w:val="20"/>
                <w:color w:val="auto"/>
              </w:rPr>
            </w:pPr>
            <w:r>
              <w:rPr>
                <w:rFonts w:ascii="Arial" w:cs="Arial" w:eastAsia="Arial" w:hAnsi="Arial"/>
                <w:sz w:val="18"/>
                <w:szCs w:val="18"/>
                <w:color w:val="auto"/>
              </w:rPr>
              <w:t>0.60</w:t>
            </w:r>
          </w:p>
        </w:tc>
        <w:tc>
          <w:tcPr>
            <w:tcW w:w="120" w:type="dxa"/>
            <w:vAlign w:val="bottom"/>
            <w:tcBorders>
              <w:bottom w:val="single" w:sz="8" w:color="CFF0FC"/>
            </w:tcBorders>
            <w:shd w:val="clear" w:color="auto" w:fill="CFF0FC"/>
          </w:tcPr>
          <w:p>
            <w:pPr>
              <w:spacing w:after="0"/>
              <w:rPr>
                <w:sz w:val="21"/>
                <w:szCs w:val="21"/>
                <w:color w:val="auto"/>
              </w:rPr>
            </w:pPr>
          </w:p>
        </w:tc>
        <w:tc>
          <w:tcPr>
            <w:tcW w:w="320" w:type="dxa"/>
            <w:vAlign w:val="bottom"/>
            <w:tcBorders>
              <w:bottom w:val="single" w:sz="8" w:color="CFF0FC"/>
            </w:tcBorders>
            <w:shd w:val="clear" w:color="auto" w:fill="CFF0FC"/>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0.41</w:t>
            </w:r>
          </w:p>
        </w:tc>
      </w:tr>
      <w:tr>
        <w:trPr>
          <w:trHeight w:val="297"/>
        </w:trPr>
        <w:tc>
          <w:tcPr>
            <w:tcW w:w="56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40" w:type="dxa"/>
            <w:vAlign w:val="bottom"/>
          </w:tcPr>
          <w:p>
            <w:pPr>
              <w:spacing w:after="0"/>
              <w:rPr>
                <w:sz w:val="24"/>
                <w:szCs w:val="24"/>
                <w:color w:val="auto"/>
              </w:rPr>
            </w:pPr>
          </w:p>
        </w:tc>
      </w:tr>
      <w:tr>
        <w:trPr>
          <w:trHeight w:val="270"/>
        </w:trPr>
        <w:tc>
          <w:tcPr>
            <w:tcW w:w="5620" w:type="dxa"/>
            <w:vAlign w:val="bottom"/>
            <w:shd w:val="clear" w:color="auto" w:fill="CFF0FC"/>
          </w:tcPr>
          <w:p>
            <w:pPr>
              <w:ind w:left="40"/>
              <w:spacing w:after="0"/>
              <w:rPr>
                <w:sz w:val="20"/>
                <w:szCs w:val="20"/>
                <w:color w:val="auto"/>
              </w:rPr>
            </w:pPr>
            <w:r>
              <w:rPr>
                <w:rFonts w:ascii="Arial" w:cs="Arial" w:eastAsia="Arial" w:hAnsi="Arial"/>
                <w:sz w:val="18"/>
                <w:szCs w:val="18"/>
                <w:color w:val="auto"/>
              </w:rPr>
              <w:t>Adjusted weighted-average shares outstanding</w:t>
            </w:r>
            <w:r>
              <w:rPr>
                <w:rFonts w:ascii="Arial" w:cs="Arial" w:eastAsia="Arial" w:hAnsi="Arial"/>
                <w:sz w:val="21"/>
                <w:szCs w:val="21"/>
                <w:color w:val="auto"/>
                <w:vertAlign w:val="superscript"/>
              </w:rPr>
              <w:t>(12)</w:t>
            </w:r>
          </w:p>
        </w:tc>
        <w:tc>
          <w:tcPr>
            <w:tcW w:w="320" w:type="dxa"/>
            <w:vAlign w:val="bottom"/>
            <w:shd w:val="clear" w:color="auto" w:fill="CFF0FC"/>
          </w:tcPr>
          <w:p>
            <w:pPr>
              <w:spacing w:after="0"/>
              <w:rPr>
                <w:sz w:val="23"/>
                <w:szCs w:val="23"/>
                <w:color w:val="auto"/>
              </w:rPr>
            </w:pPr>
          </w:p>
        </w:tc>
        <w:tc>
          <w:tcPr>
            <w:tcW w:w="1060" w:type="dxa"/>
            <w:vAlign w:val="bottom"/>
            <w:shd w:val="clear" w:color="auto" w:fill="CFF0FC"/>
          </w:tcPr>
          <w:p>
            <w:pPr>
              <w:jc w:val="right"/>
              <w:ind w:right="12"/>
              <w:spacing w:after="0"/>
              <w:rPr>
                <w:sz w:val="20"/>
                <w:szCs w:val="20"/>
                <w:color w:val="auto"/>
              </w:rPr>
            </w:pPr>
            <w:r>
              <w:rPr>
                <w:rFonts w:ascii="Arial" w:cs="Arial" w:eastAsia="Arial" w:hAnsi="Arial"/>
                <w:sz w:val="18"/>
                <w:szCs w:val="18"/>
                <w:color w:val="auto"/>
              </w:rPr>
              <w:t>98,810</w:t>
            </w:r>
          </w:p>
        </w:tc>
        <w:tc>
          <w:tcPr>
            <w:tcW w:w="120" w:type="dxa"/>
            <w:vAlign w:val="bottom"/>
            <w:shd w:val="clear" w:color="auto" w:fill="CFF0FC"/>
          </w:tcPr>
          <w:p>
            <w:pPr>
              <w:spacing w:after="0"/>
              <w:rPr>
                <w:sz w:val="23"/>
                <w:szCs w:val="23"/>
                <w:color w:val="auto"/>
              </w:rPr>
            </w:pPr>
          </w:p>
        </w:tc>
        <w:tc>
          <w:tcPr>
            <w:tcW w:w="320" w:type="dxa"/>
            <w:vAlign w:val="bottom"/>
            <w:shd w:val="clear" w:color="auto" w:fill="CFF0FC"/>
          </w:tcPr>
          <w:p>
            <w:pPr>
              <w:spacing w:after="0"/>
              <w:rPr>
                <w:sz w:val="23"/>
                <w:szCs w:val="23"/>
                <w:color w:val="auto"/>
              </w:rPr>
            </w:pPr>
          </w:p>
        </w:tc>
        <w:tc>
          <w:tcPr>
            <w:tcW w:w="1040" w:type="dxa"/>
            <w:vAlign w:val="bottom"/>
            <w:shd w:val="clear" w:color="auto" w:fill="CFF0FC"/>
          </w:tcPr>
          <w:p>
            <w:pPr>
              <w:jc w:val="right"/>
              <w:ind w:right="31"/>
              <w:spacing w:after="0"/>
              <w:rPr>
                <w:sz w:val="20"/>
                <w:szCs w:val="20"/>
                <w:color w:val="auto"/>
              </w:rPr>
            </w:pPr>
            <w:r>
              <w:rPr>
                <w:rFonts w:ascii="Arial" w:cs="Arial" w:eastAsia="Arial" w:hAnsi="Arial"/>
                <w:sz w:val="18"/>
                <w:szCs w:val="18"/>
                <w:color w:val="auto"/>
              </w:rPr>
              <w:t>98,391</w:t>
            </w:r>
          </w:p>
        </w:tc>
        <w:tc>
          <w:tcPr>
            <w:tcW w:w="100" w:type="dxa"/>
            <w:vAlign w:val="bottom"/>
            <w:shd w:val="clear" w:color="auto" w:fill="CFF0FC"/>
          </w:tcPr>
          <w:p>
            <w:pPr>
              <w:spacing w:after="0"/>
              <w:rPr>
                <w:sz w:val="23"/>
                <w:szCs w:val="23"/>
                <w:color w:val="auto"/>
              </w:rPr>
            </w:pPr>
          </w:p>
        </w:tc>
        <w:tc>
          <w:tcPr>
            <w:tcW w:w="340" w:type="dxa"/>
            <w:vAlign w:val="bottom"/>
            <w:shd w:val="clear" w:color="auto" w:fill="CFF0FC"/>
          </w:tcPr>
          <w:p>
            <w:pPr>
              <w:spacing w:after="0"/>
              <w:rPr>
                <w:sz w:val="23"/>
                <w:szCs w:val="23"/>
                <w:color w:val="auto"/>
              </w:rPr>
            </w:pPr>
          </w:p>
        </w:tc>
        <w:tc>
          <w:tcPr>
            <w:tcW w:w="1020" w:type="dxa"/>
            <w:vAlign w:val="bottom"/>
            <w:shd w:val="clear" w:color="auto" w:fill="CFF0FC"/>
          </w:tcPr>
          <w:p>
            <w:pPr>
              <w:jc w:val="right"/>
              <w:ind w:right="12"/>
              <w:spacing w:after="0"/>
              <w:rPr>
                <w:sz w:val="20"/>
                <w:szCs w:val="20"/>
                <w:color w:val="auto"/>
              </w:rPr>
            </w:pPr>
            <w:r>
              <w:rPr>
                <w:rFonts w:ascii="Arial" w:cs="Arial" w:eastAsia="Arial" w:hAnsi="Arial"/>
                <w:sz w:val="18"/>
                <w:szCs w:val="18"/>
                <w:color w:val="auto"/>
              </w:rPr>
              <w:t>98,760</w:t>
            </w:r>
          </w:p>
        </w:tc>
        <w:tc>
          <w:tcPr>
            <w:tcW w:w="120" w:type="dxa"/>
            <w:vAlign w:val="bottom"/>
            <w:shd w:val="clear" w:color="auto" w:fill="CFF0FC"/>
          </w:tcPr>
          <w:p>
            <w:pPr>
              <w:spacing w:after="0"/>
              <w:rPr>
                <w:sz w:val="23"/>
                <w:szCs w:val="23"/>
                <w:color w:val="auto"/>
              </w:rPr>
            </w:pPr>
          </w:p>
        </w:tc>
        <w:tc>
          <w:tcPr>
            <w:tcW w:w="320" w:type="dxa"/>
            <w:vAlign w:val="bottom"/>
            <w:shd w:val="clear" w:color="auto" w:fill="CFF0FC"/>
          </w:tcPr>
          <w:p>
            <w:pPr>
              <w:spacing w:after="0"/>
              <w:rPr>
                <w:sz w:val="23"/>
                <w:szCs w:val="23"/>
                <w:color w:val="auto"/>
              </w:rPr>
            </w:pPr>
          </w:p>
        </w:tc>
        <w:tc>
          <w:tcPr>
            <w:tcW w:w="104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rPr>
              <w:t>98,459</w:t>
            </w:r>
          </w:p>
        </w:tc>
      </w:tr>
    </w:tbl>
    <w:p>
      <w:pPr>
        <w:spacing w:after="0" w:line="202" w:lineRule="exact"/>
        <w:rPr>
          <w:sz w:val="20"/>
          <w:szCs w:val="20"/>
          <w:color w:val="auto"/>
        </w:rPr>
      </w:pPr>
    </w:p>
    <w:p>
      <w:pPr>
        <w:jc w:val="both"/>
        <w:ind w:left="580" w:hanging="315"/>
        <w:spacing w:after="0" w:line="273" w:lineRule="auto"/>
        <w:tabs>
          <w:tab w:leader="none" w:pos="580" w:val="left"/>
        </w:tabs>
        <w:numPr>
          <w:ilvl w:val="0"/>
          <w:numId w:val="15"/>
        </w:numPr>
        <w:rPr>
          <w:rFonts w:ascii="Arial" w:cs="Arial" w:eastAsia="Arial" w:hAnsi="Arial"/>
          <w:sz w:val="17"/>
          <w:szCs w:val="17"/>
          <w:color w:val="auto"/>
        </w:rPr>
      </w:pPr>
      <w:r>
        <w:rPr>
          <w:rFonts w:ascii="Arial" w:cs="Arial" w:eastAsia="Arial" w:hAnsi="Arial"/>
          <w:sz w:val="17"/>
          <w:szCs w:val="17"/>
          <w:color w:val="auto"/>
        </w:rPr>
        <w:t>Represents the impact of revenue-related purchase accounting adjustments associated with the 2012 Acquisition. At the time of the 2012 Acquisition, the Company maintained a deferred revenue account, which consisted of deferred ADA fees, deferred franchise fees, and deferred enrollment fees that the Company billed and collected up front but recognizes for U.S. GAAP purposes at a later date. In connection with the 2012 Acquisition, it was determined that the carrying amount of deferred revenue was greater than the fair value assessed in accordance with ASC 805—Business Combinations, which resulted in a write-down of the carrying value of the deferred revenue balance upon application of acquisition push-down accounting under ASC 805. These amounts represent the additional revenue that would have been recognized in these</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420"/>
          </w:cols>
          <w:pgMar w:left="240" w:top="233" w:right="239" w:bottom="1440" w:gutter="0" w:footer="0" w:header="0"/>
        </w:sectPr>
      </w:pPr>
    </w:p>
    <w:bookmarkStart w:id="36" w:name="page37"/>
    <w:bookmarkEnd w:id="3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79" w:lineRule="exact"/>
        <w:rPr>
          <w:sz w:val="20"/>
          <w:szCs w:val="20"/>
          <w:color w:val="auto"/>
        </w:rPr>
      </w:pPr>
    </w:p>
    <w:p>
      <w:pPr>
        <w:ind w:left="580"/>
        <w:spacing w:after="0"/>
        <w:rPr>
          <w:sz w:val="20"/>
          <w:szCs w:val="20"/>
          <w:color w:val="auto"/>
        </w:rPr>
      </w:pPr>
      <w:r>
        <w:rPr>
          <w:rFonts w:ascii="Arial" w:cs="Arial" w:eastAsia="Arial" w:hAnsi="Arial"/>
          <w:sz w:val="18"/>
          <w:szCs w:val="18"/>
          <w:color w:val="auto"/>
        </w:rPr>
        <w:t>periods if the write-down to deferred revenue had not occurred in connection with the application of acquisition pushdown accounting.</w:t>
      </w:r>
    </w:p>
    <w:p>
      <w:pPr>
        <w:spacing w:after="0" w:line="23" w:lineRule="exact"/>
        <w:rPr>
          <w:sz w:val="20"/>
          <w:szCs w:val="20"/>
          <w:color w:val="auto"/>
        </w:rPr>
      </w:pPr>
    </w:p>
    <w:p>
      <w:pPr>
        <w:jc w:val="both"/>
        <w:ind w:left="580" w:hanging="315"/>
        <w:spacing w:after="0" w:line="283" w:lineRule="auto"/>
        <w:tabs>
          <w:tab w:leader="none" w:pos="580" w:val="left"/>
        </w:tabs>
        <w:numPr>
          <w:ilvl w:val="0"/>
          <w:numId w:val="16"/>
        </w:numPr>
        <w:rPr>
          <w:rFonts w:ascii="Arial" w:cs="Arial" w:eastAsia="Arial" w:hAnsi="Arial"/>
          <w:sz w:val="16"/>
          <w:szCs w:val="16"/>
          <w:color w:val="auto"/>
        </w:rPr>
      </w:pPr>
      <w:r>
        <w:rPr>
          <w:rFonts w:ascii="Arial" w:cs="Arial" w:eastAsia="Arial" w:hAnsi="Arial"/>
          <w:sz w:val="16"/>
          <w:szCs w:val="16"/>
          <w:color w:val="auto"/>
        </w:rPr>
        <w:t>Represents the impact of rent-related purchase accounting adjustments. In accordance with guidance in ASC 805 – Business Combinations, in connection with the 2012 Acquisition, the Company’s deferred rent liability was required to be written off as of the acquisition date and rent was recorded on a straight-line basis from the acquisition date through the end of the lease term. This resulted in higher overall recorded rent expense each period than would have otherwise been recorded had the deferred rent liability not been written off as a result of the acquisition push down accounting applied in accordance with ASC 805. Adjustments of $77, $104, $167 and $207 in the three and six months ended June 30, 2018 and 2017, respectively, reflect the difference between the higher rent expense recorded in accordance with U.S. GAAP since the acquisition and the rent expense that would have been recorded had the 2012 Acquisition not occurred. Adjustments of $92, $88, $183 and $181 for the three and six months ended June 30, 2018 and 2017, respectively, are due to the amortization of favorable and unfavorable lease intangible assets. All of the rent related purchase accounting adjustments are adjustments to rent expense which is included in store operations on our consolidated statements of operations.</w:t>
      </w:r>
    </w:p>
    <w:p>
      <w:pPr>
        <w:spacing w:after="0" w:line="5" w:lineRule="exact"/>
        <w:rPr>
          <w:rFonts w:ascii="Arial" w:cs="Arial" w:eastAsia="Arial" w:hAnsi="Arial"/>
          <w:sz w:val="16"/>
          <w:szCs w:val="16"/>
          <w:color w:val="auto"/>
        </w:rPr>
      </w:pPr>
    </w:p>
    <w:p>
      <w:pPr>
        <w:jc w:val="both"/>
        <w:ind w:left="580" w:hanging="315"/>
        <w:spacing w:after="0" w:line="250" w:lineRule="auto"/>
        <w:tabs>
          <w:tab w:leader="none" w:pos="5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Represents the impact of a one-time, non-cash loss recorded in accordance with ASC 805 - Business Combinations related to our acquisition of six franchisee-owned stores on January 1, 2018. The loss recorded under GAAP represents the difference between the fair value of the reacquired franchise rights and the contractual terms of the reacquired franchise rights and is included in other (gain) loss on our consolidated statements of operations.</w:t>
      </w:r>
    </w:p>
    <w:p>
      <w:pPr>
        <w:spacing w:after="0" w:line="1" w:lineRule="exact"/>
        <w:rPr>
          <w:rFonts w:ascii="Arial" w:cs="Arial" w:eastAsia="Arial" w:hAnsi="Arial"/>
          <w:sz w:val="18"/>
          <w:szCs w:val="18"/>
          <w:color w:val="auto"/>
        </w:rPr>
      </w:pPr>
    </w:p>
    <w:p>
      <w:pPr>
        <w:ind w:left="580" w:hanging="315"/>
        <w:spacing w:after="0"/>
        <w:tabs>
          <w:tab w:leader="none" w:pos="5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Represents transaction fees and expenses related to the amendment of our credit facilities</w:t>
      </w:r>
    </w:p>
    <w:p>
      <w:pPr>
        <w:spacing w:after="0" w:line="9" w:lineRule="exact"/>
        <w:rPr>
          <w:rFonts w:ascii="Arial" w:cs="Arial" w:eastAsia="Arial" w:hAnsi="Arial"/>
          <w:sz w:val="18"/>
          <w:szCs w:val="18"/>
          <w:color w:val="auto"/>
        </w:rPr>
      </w:pPr>
    </w:p>
    <w:p>
      <w:pPr>
        <w:ind w:left="580" w:hanging="315"/>
        <w:spacing w:after="0"/>
        <w:tabs>
          <w:tab w:leader="none" w:pos="5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Represents legal, accounting and other costs incurred in connection with offerings of the Company’s Class A common stock.</w:t>
      </w:r>
    </w:p>
    <w:p>
      <w:pPr>
        <w:spacing w:after="0" w:line="9" w:lineRule="exact"/>
        <w:rPr>
          <w:rFonts w:ascii="Arial" w:cs="Arial" w:eastAsia="Arial" w:hAnsi="Arial"/>
          <w:sz w:val="18"/>
          <w:szCs w:val="18"/>
          <w:color w:val="auto"/>
        </w:rPr>
      </w:pPr>
    </w:p>
    <w:p>
      <w:pPr>
        <w:ind w:left="580" w:hanging="315"/>
        <w:spacing w:after="0"/>
        <w:tabs>
          <w:tab w:leader="none" w:pos="5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Represents severance expense recorded in connection with an equity award modification.</w:t>
      </w:r>
    </w:p>
    <w:p>
      <w:pPr>
        <w:spacing w:after="0" w:line="9" w:lineRule="exact"/>
        <w:rPr>
          <w:rFonts w:ascii="Arial" w:cs="Arial" w:eastAsia="Arial" w:hAnsi="Arial"/>
          <w:sz w:val="18"/>
          <w:szCs w:val="18"/>
          <w:color w:val="auto"/>
        </w:rPr>
      </w:pPr>
    </w:p>
    <w:p>
      <w:pPr>
        <w:ind w:left="580" w:right="20" w:hanging="315"/>
        <w:spacing w:after="0" w:line="250" w:lineRule="auto"/>
        <w:tabs>
          <w:tab w:leader="none" w:pos="5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Represents costs associated with new corporate-owned stores incurred prior to the store opening, including payroll-related costs, rent and occupancy expenses, marketing and other store operating supply expenses.</w:t>
      </w:r>
    </w:p>
    <w:p>
      <w:pPr>
        <w:jc w:val="both"/>
        <w:ind w:left="580" w:hanging="315"/>
        <w:spacing w:after="0" w:line="250" w:lineRule="auto"/>
        <w:tabs>
          <w:tab w:leader="none" w:pos="5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Represents charges and expenses incurred in connection with the early termination of the lease for our previous headquarters. In the three and six months ended June 30, 2017, this amount includes expense of $193 and $424, respectively, related to accelerated depreciation expense taken on our headquarters in preparation for moving to a new building.</w:t>
      </w:r>
    </w:p>
    <w:p>
      <w:pPr>
        <w:spacing w:after="0" w:line="1" w:lineRule="exact"/>
        <w:rPr>
          <w:rFonts w:ascii="Arial" w:cs="Arial" w:eastAsia="Arial" w:hAnsi="Arial"/>
          <w:sz w:val="18"/>
          <w:szCs w:val="18"/>
          <w:color w:val="auto"/>
        </w:rPr>
      </w:pPr>
    </w:p>
    <w:p>
      <w:pPr>
        <w:jc w:val="both"/>
        <w:ind w:left="580" w:hanging="315"/>
        <w:spacing w:after="0" w:line="250" w:lineRule="auto"/>
        <w:tabs>
          <w:tab w:leader="none" w:pos="5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Represents certain other charges and gains that we do not believe reflect our underlying business performance. In the three and six months ended June 30, 2018, this amount includes $342 related to the reversal of a tax indemnification receivable. In the six months ended June 30, 2018 and 2017, this amount includes a gain of $354 and $541, respectively, related to the adjustment of our tax benefit arrangements primarily due to changes in our effective tax rate. Additionally, in the six months ended June 30, 2018, this amount includes expense of $590 related to the write off of certain assets that were being tested for potential use across the system.</w:t>
      </w:r>
    </w:p>
    <w:p>
      <w:pPr>
        <w:spacing w:after="0" w:line="2" w:lineRule="exact"/>
        <w:rPr>
          <w:rFonts w:ascii="Arial" w:cs="Arial" w:eastAsia="Arial" w:hAnsi="Arial"/>
          <w:sz w:val="18"/>
          <w:szCs w:val="18"/>
          <w:color w:val="auto"/>
        </w:rPr>
      </w:pPr>
    </w:p>
    <w:p>
      <w:pPr>
        <w:jc w:val="both"/>
        <w:ind w:left="580" w:hanging="315"/>
        <w:spacing w:after="0" w:line="265" w:lineRule="auto"/>
        <w:tabs>
          <w:tab w:leader="none" w:pos="580" w:val="left"/>
        </w:tabs>
        <w:numPr>
          <w:ilvl w:val="0"/>
          <w:numId w:val="16"/>
        </w:numPr>
        <w:rPr>
          <w:rFonts w:ascii="Arial" w:cs="Arial" w:eastAsia="Arial" w:hAnsi="Arial"/>
          <w:sz w:val="17"/>
          <w:szCs w:val="17"/>
          <w:color w:val="auto"/>
        </w:rPr>
      </w:pPr>
      <w:r>
        <w:rPr>
          <w:rFonts w:ascii="Arial" w:cs="Arial" w:eastAsia="Arial" w:hAnsi="Arial"/>
          <w:sz w:val="17"/>
          <w:szCs w:val="17"/>
          <w:color w:val="auto"/>
        </w:rPr>
        <w:t>Includes $3,096, $4,086, $6,192 and $8,172 of amortization of intangible assets, other than favorable leases, for the three and six months ended June 30, 2018 and 2017, respectively, recorded in connection with the 2012 Acquisition, and $825, $536, $1,650 and $1,072 of amortization of intangible assets for the three months ended June 30, 2018 and 2017, respectively, recorded in connection with historical acquisitions of franchisee-owned stores. The adjustment represents the amount of actual non-cash amortization expense recorded, in accordance with U.S. GAAP, in each period.</w:t>
      </w:r>
    </w:p>
    <w:p>
      <w:pPr>
        <w:spacing w:after="0" w:line="1" w:lineRule="exact"/>
        <w:rPr>
          <w:rFonts w:ascii="Arial" w:cs="Arial" w:eastAsia="Arial" w:hAnsi="Arial"/>
          <w:sz w:val="17"/>
          <w:szCs w:val="17"/>
          <w:color w:val="auto"/>
        </w:rPr>
      </w:pPr>
    </w:p>
    <w:p>
      <w:pPr>
        <w:ind w:left="580" w:hanging="315"/>
        <w:spacing w:after="0" w:line="265" w:lineRule="auto"/>
        <w:tabs>
          <w:tab w:leader="none" w:pos="580" w:val="left"/>
        </w:tabs>
        <w:numPr>
          <w:ilvl w:val="0"/>
          <w:numId w:val="16"/>
        </w:numPr>
        <w:rPr>
          <w:rFonts w:ascii="Arial" w:cs="Arial" w:eastAsia="Arial" w:hAnsi="Arial"/>
          <w:sz w:val="17"/>
          <w:szCs w:val="17"/>
          <w:color w:val="auto"/>
        </w:rPr>
      </w:pPr>
      <w:r>
        <w:rPr>
          <w:rFonts w:ascii="Arial" w:cs="Arial" w:eastAsia="Arial" w:hAnsi="Arial"/>
          <w:sz w:val="17"/>
          <w:szCs w:val="17"/>
          <w:color w:val="auto"/>
        </w:rPr>
        <w:t>Represents corporate income taxes at an assumed effective tax rate of 26.3% and 39.5% for the three and six months ended June 30, 2018 and 2017, respectively, applied to adjusted income before income taxes.</w:t>
      </w:r>
    </w:p>
    <w:p>
      <w:pPr>
        <w:ind w:left="580" w:hanging="315"/>
        <w:spacing w:after="0" w:line="290" w:lineRule="auto"/>
        <w:tabs>
          <w:tab w:leader="none" w:pos="580" w:val="left"/>
        </w:tabs>
        <w:numPr>
          <w:ilvl w:val="0"/>
          <w:numId w:val="16"/>
        </w:numPr>
        <w:rPr>
          <w:rFonts w:ascii="Arial" w:cs="Arial" w:eastAsia="Arial" w:hAnsi="Arial"/>
          <w:sz w:val="17"/>
          <w:szCs w:val="17"/>
          <w:color w:val="auto"/>
        </w:rPr>
      </w:pPr>
      <w:r>
        <w:rPr>
          <w:rFonts w:ascii="Arial" w:cs="Arial" w:eastAsia="Arial" w:hAnsi="Arial"/>
          <w:sz w:val="17"/>
          <w:szCs w:val="17"/>
          <w:color w:val="auto"/>
        </w:rPr>
        <w:t>Assumes the full exchange of all outstanding Holdings Units and corresponding shares of Class B common stock for shares of Class A common stock of Planet Fitness, Inc.</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420"/>
          </w:cols>
          <w:pgMar w:left="240" w:top="233" w:right="239" w:bottom="1440" w:gutter="0" w:footer="0" w:header="0"/>
        </w:sectPr>
      </w:pPr>
    </w:p>
    <w:bookmarkStart w:id="37" w:name="page38"/>
    <w:bookmarkEnd w:id="3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A reconciliation of net income per share, diluted, to Adjusted net income per share, diluted is set forth below for three and six months ended June 30, 2018 and 2017</w:t>
      </w:r>
      <w:r>
        <w:rPr>
          <w:rFonts w:ascii="Arial" w:cs="Arial" w:eastAsia="Arial" w:hAnsi="Arial"/>
          <w:sz w:val="18"/>
          <w:szCs w:val="18"/>
          <w:color w:val="231F20"/>
        </w:rPr>
        <w:t>:</w:t>
      </w:r>
    </w:p>
    <w:p>
      <w:pPr>
        <w:spacing w:after="0" w:line="117"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44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540" w:type="dxa"/>
            <w:vAlign w:val="bottom"/>
            <w:gridSpan w:val="7"/>
          </w:tcPr>
          <w:p>
            <w:pPr>
              <w:jc w:val="center"/>
              <w:ind w:right="200"/>
              <w:spacing w:after="0"/>
              <w:rPr>
                <w:sz w:val="20"/>
                <w:szCs w:val="20"/>
                <w:color w:val="auto"/>
              </w:rPr>
            </w:pPr>
            <w:r>
              <w:rPr>
                <w:rFonts w:ascii="Arial" w:cs="Arial" w:eastAsia="Arial" w:hAnsi="Arial"/>
                <w:sz w:val="16"/>
                <w:szCs w:val="16"/>
                <w:b w:val="1"/>
                <w:bCs w:val="1"/>
                <w:color w:val="auto"/>
                <w:w w:val="89"/>
              </w:rPr>
              <w:t>For the three months ended</w:t>
            </w:r>
          </w:p>
        </w:tc>
        <w:tc>
          <w:tcPr>
            <w:tcW w:w="120" w:type="dxa"/>
            <w:vAlign w:val="bottom"/>
          </w:tcPr>
          <w:p>
            <w:pPr>
              <w:spacing w:after="0"/>
              <w:rPr>
                <w:sz w:val="17"/>
                <w:szCs w:val="17"/>
                <w:color w:val="auto"/>
              </w:rPr>
            </w:pPr>
          </w:p>
        </w:tc>
        <w:tc>
          <w:tcPr>
            <w:tcW w:w="3160" w:type="dxa"/>
            <w:vAlign w:val="bottom"/>
            <w:gridSpan w:val="6"/>
          </w:tcPr>
          <w:p>
            <w:pPr>
              <w:jc w:val="center"/>
              <w:ind w:right="15"/>
              <w:spacing w:after="0"/>
              <w:rPr>
                <w:sz w:val="20"/>
                <w:szCs w:val="20"/>
                <w:color w:val="auto"/>
              </w:rPr>
            </w:pPr>
            <w:r>
              <w:rPr>
                <w:rFonts w:ascii="Arial" w:cs="Arial" w:eastAsia="Arial" w:hAnsi="Arial"/>
                <w:sz w:val="16"/>
                <w:szCs w:val="16"/>
                <w:b w:val="1"/>
                <w:bCs w:val="1"/>
                <w:color w:val="auto"/>
                <w:w w:val="89"/>
              </w:rPr>
              <w:t>For the three months ended</w:t>
            </w:r>
          </w:p>
        </w:tc>
      </w:tr>
      <w:tr>
        <w:trPr>
          <w:trHeight w:val="210"/>
        </w:trPr>
        <w:tc>
          <w:tcPr>
            <w:tcW w:w="4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center"/>
              <w:ind w:left="19"/>
              <w:spacing w:after="0"/>
              <w:rPr>
                <w:sz w:val="20"/>
                <w:szCs w:val="20"/>
                <w:color w:val="auto"/>
              </w:rPr>
            </w:pPr>
            <w:r>
              <w:rPr>
                <w:rFonts w:ascii="Arial" w:cs="Arial" w:eastAsia="Arial" w:hAnsi="Arial"/>
                <w:sz w:val="16"/>
                <w:szCs w:val="16"/>
                <w:b w:val="1"/>
                <w:bCs w:val="1"/>
                <w:color w:val="auto"/>
                <w:w w:val="90"/>
              </w:rPr>
              <w:t>June 30, 2018</w:t>
            </w:r>
          </w:p>
        </w:tc>
        <w:tc>
          <w:tcPr>
            <w:tcW w:w="1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90"/>
              </w:rPr>
              <w:t>June 30, 2017</w:t>
            </w: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r>
      <w:tr>
        <w:trPr>
          <w:trHeight w:val="33"/>
        </w:trPr>
        <w:tc>
          <w:tcPr>
            <w:tcW w:w="448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r>
      <w:tr>
        <w:trPr>
          <w:trHeight w:val="209"/>
        </w:trPr>
        <w:tc>
          <w:tcPr>
            <w:tcW w:w="4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88"/>
              </w:rPr>
              <w:t>Weighted</w:t>
            </w:r>
          </w:p>
        </w:tc>
        <w:tc>
          <w:tcPr>
            <w:tcW w:w="1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88"/>
              </w:rPr>
              <w:t>Weighted</w:t>
            </w:r>
          </w:p>
        </w:tc>
        <w:tc>
          <w:tcPr>
            <w:tcW w:w="120" w:type="dxa"/>
            <w:vAlign w:val="bottom"/>
          </w:tcPr>
          <w:p>
            <w:pPr>
              <w:spacing w:after="0"/>
              <w:rPr>
                <w:sz w:val="18"/>
                <w:szCs w:val="18"/>
                <w:color w:val="auto"/>
              </w:rPr>
            </w:pPr>
          </w:p>
        </w:tc>
        <w:tc>
          <w:tcPr>
            <w:tcW w:w="900" w:type="dxa"/>
            <w:vAlign w:val="bottom"/>
          </w:tcPr>
          <w:p>
            <w:pPr>
              <w:jc w:val="center"/>
              <w:ind w:right="35"/>
              <w:spacing w:after="0"/>
              <w:rPr>
                <w:sz w:val="20"/>
                <w:szCs w:val="20"/>
                <w:color w:val="auto"/>
              </w:rPr>
            </w:pPr>
            <w:r>
              <w:rPr>
                <w:rFonts w:ascii="Arial" w:cs="Arial" w:eastAsia="Arial" w:hAnsi="Arial"/>
                <w:sz w:val="16"/>
                <w:szCs w:val="16"/>
                <w:b w:val="1"/>
                <w:bCs w:val="1"/>
                <w:color w:val="auto"/>
                <w:w w:val="90"/>
              </w:rPr>
              <w:t>Net income</w:t>
            </w:r>
          </w:p>
        </w:tc>
      </w:tr>
      <w:tr>
        <w:trPr>
          <w:trHeight w:val="203"/>
        </w:trPr>
        <w:tc>
          <w:tcPr>
            <w:tcW w:w="44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88"/>
              </w:rPr>
              <w:t>Average</w:t>
            </w:r>
          </w:p>
        </w:tc>
        <w:tc>
          <w:tcPr>
            <w:tcW w:w="1360" w:type="dxa"/>
            <w:vAlign w:val="bottom"/>
            <w:gridSpan w:val="3"/>
          </w:tcPr>
          <w:p>
            <w:pPr>
              <w:jc w:val="right"/>
              <w:ind w:right="220"/>
              <w:spacing w:after="0"/>
              <w:rPr>
                <w:sz w:val="20"/>
                <w:szCs w:val="20"/>
                <w:color w:val="auto"/>
              </w:rPr>
            </w:pPr>
            <w:r>
              <w:rPr>
                <w:rFonts w:ascii="Arial" w:cs="Arial" w:eastAsia="Arial" w:hAnsi="Arial"/>
                <w:sz w:val="16"/>
                <w:szCs w:val="16"/>
                <w:b w:val="1"/>
                <w:bCs w:val="1"/>
                <w:color w:val="auto"/>
                <w:w w:val="96"/>
              </w:rPr>
              <w:t>Net income per</w:t>
            </w:r>
          </w:p>
        </w:tc>
        <w:tc>
          <w:tcPr>
            <w:tcW w:w="12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88"/>
              </w:rPr>
              <w:t>Average</w:t>
            </w:r>
          </w:p>
        </w:tc>
        <w:tc>
          <w:tcPr>
            <w:tcW w:w="120" w:type="dxa"/>
            <w:vAlign w:val="bottom"/>
          </w:tcPr>
          <w:p>
            <w:pPr>
              <w:spacing w:after="0"/>
              <w:rPr>
                <w:sz w:val="17"/>
                <w:szCs w:val="17"/>
                <w:color w:val="auto"/>
              </w:rPr>
            </w:pPr>
          </w:p>
        </w:tc>
        <w:tc>
          <w:tcPr>
            <w:tcW w:w="900" w:type="dxa"/>
            <w:vAlign w:val="bottom"/>
          </w:tcPr>
          <w:p>
            <w:pPr>
              <w:jc w:val="center"/>
              <w:ind w:right="35"/>
              <w:spacing w:after="0"/>
              <w:rPr>
                <w:sz w:val="20"/>
                <w:szCs w:val="20"/>
                <w:color w:val="auto"/>
              </w:rPr>
            </w:pPr>
            <w:r>
              <w:rPr>
                <w:rFonts w:ascii="Arial" w:cs="Arial" w:eastAsia="Arial" w:hAnsi="Arial"/>
                <w:sz w:val="16"/>
                <w:szCs w:val="16"/>
                <w:b w:val="1"/>
                <w:bCs w:val="1"/>
                <w:color w:val="auto"/>
                <w:w w:val="91"/>
              </w:rPr>
              <w:t>per share,</w:t>
            </w:r>
          </w:p>
        </w:tc>
      </w:tr>
      <w:tr>
        <w:trPr>
          <w:trHeight w:val="210"/>
        </w:trPr>
        <w:tc>
          <w:tcPr>
            <w:tcW w:w="4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jc w:val="right"/>
              <w:ind w:right="52"/>
              <w:spacing w:after="0"/>
              <w:rPr>
                <w:sz w:val="20"/>
                <w:szCs w:val="20"/>
                <w:color w:val="auto"/>
              </w:rPr>
            </w:pPr>
            <w:r>
              <w:rPr>
                <w:rFonts w:ascii="Arial" w:cs="Arial" w:eastAsia="Arial" w:hAnsi="Arial"/>
                <w:sz w:val="16"/>
                <w:szCs w:val="16"/>
                <w:b w:val="1"/>
                <w:bCs w:val="1"/>
                <w:color w:val="auto"/>
                <w:w w:val="90"/>
              </w:rPr>
              <w:t>Net income</w:t>
            </w:r>
          </w:p>
        </w:tc>
        <w:tc>
          <w:tcPr>
            <w:tcW w:w="120" w:type="dxa"/>
            <w:vAlign w:val="bottom"/>
          </w:tcPr>
          <w:p>
            <w:pPr>
              <w:spacing w:after="0"/>
              <w:rPr>
                <w:sz w:val="18"/>
                <w:szCs w:val="18"/>
                <w:color w:val="auto"/>
              </w:rPr>
            </w:pPr>
          </w:p>
        </w:tc>
        <w:tc>
          <w:tcPr>
            <w:tcW w:w="112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89"/>
              </w:rPr>
              <w:t>Shares</w:t>
            </w:r>
          </w:p>
        </w:tc>
        <w:tc>
          <w:tcPr>
            <w:tcW w:w="140" w:type="dxa"/>
            <w:vAlign w:val="bottom"/>
          </w:tcPr>
          <w:p>
            <w:pPr>
              <w:spacing w:after="0"/>
              <w:rPr>
                <w:sz w:val="18"/>
                <w:szCs w:val="18"/>
                <w:color w:val="auto"/>
              </w:rPr>
            </w:pPr>
          </w:p>
        </w:tc>
        <w:tc>
          <w:tcPr>
            <w:tcW w:w="1220" w:type="dxa"/>
            <w:vAlign w:val="bottom"/>
            <w:gridSpan w:val="2"/>
          </w:tcPr>
          <w:p>
            <w:pPr>
              <w:ind w:left="20"/>
              <w:spacing w:after="0"/>
              <w:rPr>
                <w:sz w:val="20"/>
                <w:szCs w:val="20"/>
                <w:color w:val="auto"/>
              </w:rPr>
            </w:pPr>
            <w:r>
              <w:rPr>
                <w:rFonts w:ascii="Arial" w:cs="Arial" w:eastAsia="Arial" w:hAnsi="Arial"/>
                <w:sz w:val="16"/>
                <w:szCs w:val="16"/>
                <w:b w:val="1"/>
                <w:bCs w:val="1"/>
                <w:color w:val="auto"/>
              </w:rPr>
              <w:t>share, diluted</w:t>
            </w:r>
          </w:p>
        </w:tc>
        <w:tc>
          <w:tcPr>
            <w:tcW w:w="120" w:type="dxa"/>
            <w:vAlign w:val="bottom"/>
          </w:tcPr>
          <w:p>
            <w:pPr>
              <w:spacing w:after="0"/>
              <w:rPr>
                <w:sz w:val="18"/>
                <w:szCs w:val="18"/>
                <w:color w:val="auto"/>
              </w:rPr>
            </w:pPr>
          </w:p>
        </w:tc>
        <w:tc>
          <w:tcPr>
            <w:tcW w:w="900" w:type="dxa"/>
            <w:vAlign w:val="bottom"/>
          </w:tcPr>
          <w:p>
            <w:pPr>
              <w:jc w:val="right"/>
              <w:ind w:right="32"/>
              <w:spacing w:after="0"/>
              <w:rPr>
                <w:sz w:val="20"/>
                <w:szCs w:val="20"/>
                <w:color w:val="auto"/>
              </w:rPr>
            </w:pPr>
            <w:r>
              <w:rPr>
                <w:rFonts w:ascii="Arial" w:cs="Arial" w:eastAsia="Arial" w:hAnsi="Arial"/>
                <w:sz w:val="16"/>
                <w:szCs w:val="16"/>
                <w:b w:val="1"/>
                <w:bCs w:val="1"/>
                <w:color w:val="auto"/>
                <w:w w:val="88"/>
              </w:rPr>
              <w:t>Net income</w:t>
            </w:r>
          </w:p>
        </w:tc>
        <w:tc>
          <w:tcPr>
            <w:tcW w:w="120" w:type="dxa"/>
            <w:vAlign w:val="bottom"/>
          </w:tcPr>
          <w:p>
            <w:pPr>
              <w:spacing w:after="0"/>
              <w:rPr>
                <w:sz w:val="18"/>
                <w:szCs w:val="18"/>
                <w:color w:val="auto"/>
              </w:rPr>
            </w:pPr>
          </w:p>
        </w:tc>
        <w:tc>
          <w:tcPr>
            <w:tcW w:w="112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89"/>
              </w:rPr>
              <w:t>Shares</w:t>
            </w:r>
          </w:p>
        </w:tc>
        <w:tc>
          <w:tcPr>
            <w:tcW w:w="120" w:type="dxa"/>
            <w:vAlign w:val="bottom"/>
          </w:tcPr>
          <w:p>
            <w:pPr>
              <w:spacing w:after="0"/>
              <w:rPr>
                <w:sz w:val="18"/>
                <w:szCs w:val="18"/>
                <w:color w:val="auto"/>
              </w:rPr>
            </w:pPr>
          </w:p>
        </w:tc>
        <w:tc>
          <w:tcPr>
            <w:tcW w:w="900" w:type="dxa"/>
            <w:vAlign w:val="bottom"/>
          </w:tcPr>
          <w:p>
            <w:pPr>
              <w:jc w:val="center"/>
              <w:ind w:right="35"/>
              <w:spacing w:after="0"/>
              <w:rPr>
                <w:sz w:val="20"/>
                <w:szCs w:val="20"/>
                <w:color w:val="auto"/>
              </w:rPr>
            </w:pPr>
            <w:r>
              <w:rPr>
                <w:rFonts w:ascii="Arial" w:cs="Arial" w:eastAsia="Arial" w:hAnsi="Arial"/>
                <w:sz w:val="16"/>
                <w:szCs w:val="16"/>
                <w:b w:val="1"/>
                <w:bCs w:val="1"/>
                <w:color w:val="auto"/>
                <w:w w:val="95"/>
              </w:rPr>
              <w:t>diluted</w:t>
            </w:r>
          </w:p>
        </w:tc>
      </w:tr>
      <w:tr>
        <w:trPr>
          <w:trHeight w:val="33"/>
        </w:trPr>
        <w:tc>
          <w:tcPr>
            <w:tcW w:w="448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r>
      <w:tr>
        <w:trPr>
          <w:trHeight w:val="264"/>
        </w:trPr>
        <w:tc>
          <w:tcPr>
            <w:tcW w:w="4480" w:type="dxa"/>
            <w:vAlign w:val="bottom"/>
          </w:tcPr>
          <w:p>
            <w:pPr>
              <w:ind w:left="40"/>
              <w:spacing w:after="0"/>
              <w:rPr>
                <w:sz w:val="20"/>
                <w:szCs w:val="20"/>
                <w:color w:val="auto"/>
              </w:rPr>
            </w:pPr>
            <w:r>
              <w:rPr>
                <w:rFonts w:ascii="Arial" w:cs="Arial" w:eastAsia="Arial" w:hAnsi="Arial"/>
                <w:sz w:val="18"/>
                <w:szCs w:val="18"/>
                <w:color w:val="auto"/>
              </w:rPr>
              <w:t>Net income attributable to Planet Fitness, Inc.</w:t>
            </w:r>
            <w:r>
              <w:rPr>
                <w:rFonts w:ascii="Arial" w:cs="Arial" w:eastAsia="Arial" w:hAnsi="Arial"/>
                <w:sz w:val="21"/>
                <w:szCs w:val="21"/>
                <w:color w:val="auto"/>
                <w:vertAlign w:val="superscript"/>
              </w:rPr>
              <w:t>(1)</w:t>
            </w: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Pr>
          <w:p>
            <w:pPr>
              <w:jc w:val="right"/>
              <w:ind w:right="32"/>
              <w:spacing w:after="0"/>
              <w:rPr>
                <w:sz w:val="20"/>
                <w:szCs w:val="20"/>
                <w:color w:val="auto"/>
              </w:rPr>
            </w:pPr>
            <w:r>
              <w:rPr>
                <w:rFonts w:ascii="Arial" w:cs="Arial" w:eastAsia="Arial" w:hAnsi="Arial"/>
                <w:sz w:val="18"/>
                <w:szCs w:val="18"/>
                <w:color w:val="auto"/>
              </w:rPr>
              <w:t>25,874</w:t>
            </w:r>
          </w:p>
        </w:tc>
        <w:tc>
          <w:tcPr>
            <w:tcW w:w="1120" w:type="dxa"/>
            <w:vAlign w:val="bottom"/>
            <w:gridSpan w:val="2"/>
          </w:tcPr>
          <w:p>
            <w:pPr>
              <w:jc w:val="right"/>
              <w:ind w:right="19"/>
              <w:spacing w:after="0"/>
              <w:rPr>
                <w:sz w:val="20"/>
                <w:szCs w:val="20"/>
                <w:color w:val="auto"/>
              </w:rPr>
            </w:pPr>
            <w:r>
              <w:rPr>
                <w:rFonts w:ascii="Arial" w:cs="Arial" w:eastAsia="Arial" w:hAnsi="Arial"/>
                <w:sz w:val="18"/>
                <w:szCs w:val="18"/>
                <w:color w:val="auto"/>
              </w:rPr>
              <w:t>88,105</w:t>
            </w:r>
          </w:p>
        </w:tc>
        <w:tc>
          <w:tcPr>
            <w:tcW w:w="12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33"/>
              <w:spacing w:after="0"/>
              <w:rPr>
                <w:sz w:val="20"/>
                <w:szCs w:val="20"/>
                <w:color w:val="auto"/>
              </w:rPr>
            </w:pPr>
            <w:r>
              <w:rPr>
                <w:rFonts w:ascii="Arial" w:cs="Arial" w:eastAsia="Arial" w:hAnsi="Arial"/>
                <w:sz w:val="18"/>
                <w:szCs w:val="18"/>
                <w:color w:val="auto"/>
              </w:rPr>
              <w:t>0.29</w:t>
            </w:r>
          </w:p>
        </w:tc>
        <w:tc>
          <w:tcPr>
            <w:tcW w:w="10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900" w:type="dxa"/>
            <w:vAlign w:val="bottom"/>
          </w:tcPr>
          <w:p>
            <w:pPr>
              <w:jc w:val="right"/>
              <w:ind w:right="12"/>
              <w:spacing w:after="0"/>
              <w:rPr>
                <w:sz w:val="20"/>
                <w:szCs w:val="20"/>
                <w:color w:val="auto"/>
              </w:rPr>
            </w:pPr>
            <w:r>
              <w:rPr>
                <w:rFonts w:ascii="Arial" w:cs="Arial" w:eastAsia="Arial" w:hAnsi="Arial"/>
                <w:sz w:val="18"/>
                <w:szCs w:val="18"/>
                <w:color w:val="auto"/>
              </w:rPr>
              <w:t>12,412</w:t>
            </w:r>
          </w:p>
        </w:tc>
        <w:tc>
          <w:tcPr>
            <w:tcW w:w="1120" w:type="dxa"/>
            <w:vAlign w:val="bottom"/>
            <w:gridSpan w:val="2"/>
          </w:tcPr>
          <w:p>
            <w:pPr>
              <w:jc w:val="right"/>
              <w:ind w:right="19"/>
              <w:spacing w:after="0"/>
              <w:rPr>
                <w:sz w:val="20"/>
                <w:szCs w:val="20"/>
                <w:color w:val="auto"/>
              </w:rPr>
            </w:pPr>
            <w:r>
              <w:rPr>
                <w:rFonts w:ascii="Arial" w:cs="Arial" w:eastAsia="Arial" w:hAnsi="Arial"/>
                <w:sz w:val="18"/>
                <w:szCs w:val="18"/>
                <w:color w:val="auto"/>
              </w:rPr>
              <w:t>79,193</w:t>
            </w:r>
          </w:p>
        </w:tc>
        <w:tc>
          <w:tcPr>
            <w:tcW w:w="12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900" w:type="dxa"/>
            <w:vAlign w:val="bottom"/>
          </w:tcPr>
          <w:p>
            <w:pPr>
              <w:jc w:val="right"/>
              <w:ind w:right="15"/>
              <w:spacing w:after="0"/>
              <w:rPr>
                <w:sz w:val="20"/>
                <w:szCs w:val="20"/>
                <w:color w:val="auto"/>
              </w:rPr>
            </w:pPr>
            <w:r>
              <w:rPr>
                <w:rFonts w:ascii="Arial" w:cs="Arial" w:eastAsia="Arial" w:hAnsi="Arial"/>
                <w:sz w:val="18"/>
                <w:szCs w:val="18"/>
                <w:color w:val="auto"/>
              </w:rPr>
              <w:t>0.16</w:t>
            </w:r>
          </w:p>
        </w:tc>
      </w:tr>
      <w:tr>
        <w:trPr>
          <w:trHeight w:val="270"/>
        </w:trPr>
        <w:tc>
          <w:tcPr>
            <w:tcW w:w="4480" w:type="dxa"/>
            <w:vAlign w:val="bottom"/>
            <w:shd w:val="clear" w:color="auto" w:fill="CFF0FC"/>
          </w:tcPr>
          <w:p>
            <w:pPr>
              <w:ind w:left="280"/>
              <w:spacing w:after="0"/>
              <w:rPr>
                <w:sz w:val="20"/>
                <w:szCs w:val="20"/>
                <w:color w:val="auto"/>
              </w:rPr>
            </w:pPr>
            <w:r>
              <w:rPr>
                <w:rFonts w:ascii="Arial" w:cs="Arial" w:eastAsia="Arial" w:hAnsi="Arial"/>
                <w:sz w:val="18"/>
                <w:szCs w:val="18"/>
                <w:color w:val="auto"/>
              </w:rPr>
              <w:t>Assumed exchange of shares</w:t>
            </w:r>
            <w:r>
              <w:rPr>
                <w:rFonts w:ascii="Arial" w:cs="Arial" w:eastAsia="Arial" w:hAnsi="Arial"/>
                <w:sz w:val="21"/>
                <w:szCs w:val="21"/>
                <w:color w:val="auto"/>
                <w:vertAlign w:val="superscript"/>
              </w:rPr>
              <w:t>(2)</w:t>
            </w:r>
          </w:p>
        </w:tc>
        <w:tc>
          <w:tcPr>
            <w:tcW w:w="120" w:type="dxa"/>
            <w:vAlign w:val="bottom"/>
            <w:shd w:val="clear" w:color="auto" w:fill="CFF0FC"/>
          </w:tcPr>
          <w:p>
            <w:pPr>
              <w:spacing w:after="0"/>
              <w:rPr>
                <w:sz w:val="23"/>
                <w:szCs w:val="23"/>
                <w:color w:val="auto"/>
              </w:rPr>
            </w:pPr>
          </w:p>
        </w:tc>
        <w:tc>
          <w:tcPr>
            <w:tcW w:w="940" w:type="dxa"/>
            <w:vAlign w:val="bottom"/>
            <w:shd w:val="clear" w:color="auto" w:fill="CFF0FC"/>
          </w:tcPr>
          <w:p>
            <w:pPr>
              <w:jc w:val="right"/>
              <w:ind w:right="32"/>
              <w:spacing w:after="0"/>
              <w:rPr>
                <w:sz w:val="20"/>
                <w:szCs w:val="20"/>
                <w:color w:val="auto"/>
              </w:rPr>
            </w:pPr>
            <w:r>
              <w:rPr>
                <w:rFonts w:ascii="Arial" w:cs="Arial" w:eastAsia="Arial" w:hAnsi="Arial"/>
                <w:sz w:val="18"/>
                <w:szCs w:val="18"/>
                <w:color w:val="auto"/>
              </w:rPr>
              <w:t>4,544</w:t>
            </w:r>
          </w:p>
        </w:tc>
        <w:tc>
          <w:tcPr>
            <w:tcW w:w="1120" w:type="dxa"/>
            <w:vAlign w:val="bottom"/>
            <w:gridSpan w:val="2"/>
            <w:shd w:val="clear" w:color="auto" w:fill="CFF0FC"/>
          </w:tcPr>
          <w:p>
            <w:pPr>
              <w:jc w:val="right"/>
              <w:ind w:right="19"/>
              <w:spacing w:after="0"/>
              <w:rPr>
                <w:sz w:val="20"/>
                <w:szCs w:val="20"/>
                <w:color w:val="auto"/>
              </w:rPr>
            </w:pPr>
            <w:r>
              <w:rPr>
                <w:rFonts w:ascii="Arial" w:cs="Arial" w:eastAsia="Arial" w:hAnsi="Arial"/>
                <w:sz w:val="18"/>
                <w:szCs w:val="18"/>
                <w:color w:val="auto"/>
              </w:rPr>
              <w:t>10,705</w:t>
            </w:r>
          </w:p>
        </w:tc>
        <w:tc>
          <w:tcPr>
            <w:tcW w:w="120" w:type="dxa"/>
            <w:vAlign w:val="bottom"/>
            <w:shd w:val="clear" w:color="auto" w:fill="CFF0FC"/>
          </w:tcPr>
          <w:p>
            <w:pPr>
              <w:spacing w:after="0"/>
              <w:rPr>
                <w:sz w:val="23"/>
                <w:szCs w:val="23"/>
                <w:color w:val="auto"/>
              </w:rPr>
            </w:pPr>
          </w:p>
        </w:tc>
        <w:tc>
          <w:tcPr>
            <w:tcW w:w="140" w:type="dxa"/>
            <w:vAlign w:val="bottom"/>
            <w:shd w:val="clear" w:color="auto" w:fill="CFF0FC"/>
          </w:tcPr>
          <w:p>
            <w:pPr>
              <w:spacing w:after="0"/>
              <w:rPr>
                <w:sz w:val="23"/>
                <w:szCs w:val="23"/>
                <w:color w:val="auto"/>
              </w:rPr>
            </w:pPr>
          </w:p>
        </w:tc>
        <w:tc>
          <w:tcPr>
            <w:tcW w:w="1120" w:type="dxa"/>
            <w:vAlign w:val="bottom"/>
            <w:shd w:val="clear" w:color="auto" w:fill="CFF0FC"/>
          </w:tcPr>
          <w:p>
            <w:pPr>
              <w:spacing w:after="0"/>
              <w:rPr>
                <w:sz w:val="23"/>
                <w:szCs w:val="23"/>
                <w:color w:val="auto"/>
              </w:rPr>
            </w:pPr>
          </w:p>
        </w:tc>
        <w:tc>
          <w:tcPr>
            <w:tcW w:w="100" w:type="dxa"/>
            <w:vAlign w:val="bottom"/>
            <w:shd w:val="clear" w:color="auto" w:fill="CFF0FC"/>
          </w:tcPr>
          <w:p>
            <w:pPr>
              <w:spacing w:after="0"/>
              <w:rPr>
                <w:sz w:val="23"/>
                <w:szCs w:val="23"/>
                <w:color w:val="auto"/>
              </w:rPr>
            </w:pPr>
          </w:p>
        </w:tc>
        <w:tc>
          <w:tcPr>
            <w:tcW w:w="120" w:type="dxa"/>
            <w:vAlign w:val="bottom"/>
            <w:shd w:val="clear" w:color="auto" w:fill="CFF0FC"/>
          </w:tcPr>
          <w:p>
            <w:pPr>
              <w:spacing w:after="0"/>
              <w:rPr>
                <w:sz w:val="23"/>
                <w:szCs w:val="23"/>
                <w:color w:val="auto"/>
              </w:rPr>
            </w:pPr>
          </w:p>
        </w:tc>
        <w:tc>
          <w:tcPr>
            <w:tcW w:w="900" w:type="dxa"/>
            <w:vAlign w:val="bottom"/>
            <w:shd w:val="clear" w:color="auto" w:fill="CFF0FC"/>
          </w:tcPr>
          <w:p>
            <w:pPr>
              <w:jc w:val="right"/>
              <w:ind w:right="12"/>
              <w:spacing w:after="0"/>
              <w:rPr>
                <w:sz w:val="20"/>
                <w:szCs w:val="20"/>
                <w:color w:val="auto"/>
              </w:rPr>
            </w:pPr>
            <w:r>
              <w:rPr>
                <w:rFonts w:ascii="Arial" w:cs="Arial" w:eastAsia="Arial" w:hAnsi="Arial"/>
                <w:sz w:val="18"/>
                <w:szCs w:val="18"/>
                <w:color w:val="auto"/>
              </w:rPr>
              <w:t>5,592</w:t>
            </w:r>
          </w:p>
        </w:tc>
        <w:tc>
          <w:tcPr>
            <w:tcW w:w="1120" w:type="dxa"/>
            <w:vAlign w:val="bottom"/>
            <w:gridSpan w:val="2"/>
            <w:shd w:val="clear" w:color="auto" w:fill="CFF0FC"/>
          </w:tcPr>
          <w:p>
            <w:pPr>
              <w:jc w:val="right"/>
              <w:ind w:right="19"/>
              <w:spacing w:after="0"/>
              <w:rPr>
                <w:sz w:val="20"/>
                <w:szCs w:val="20"/>
                <w:color w:val="auto"/>
              </w:rPr>
            </w:pPr>
            <w:r>
              <w:rPr>
                <w:rFonts w:ascii="Arial" w:cs="Arial" w:eastAsia="Arial" w:hAnsi="Arial"/>
                <w:sz w:val="18"/>
                <w:szCs w:val="18"/>
                <w:color w:val="auto"/>
              </w:rPr>
              <w:t>19,198</w:t>
            </w:r>
          </w:p>
        </w:tc>
        <w:tc>
          <w:tcPr>
            <w:tcW w:w="120" w:type="dxa"/>
            <w:vAlign w:val="bottom"/>
            <w:shd w:val="clear" w:color="auto" w:fill="CFF0FC"/>
          </w:tcPr>
          <w:p>
            <w:pPr>
              <w:spacing w:after="0"/>
              <w:rPr>
                <w:sz w:val="23"/>
                <w:szCs w:val="23"/>
                <w:color w:val="auto"/>
              </w:rPr>
            </w:pPr>
          </w:p>
        </w:tc>
        <w:tc>
          <w:tcPr>
            <w:tcW w:w="120" w:type="dxa"/>
            <w:vAlign w:val="bottom"/>
            <w:shd w:val="clear" w:color="auto" w:fill="CFF0FC"/>
          </w:tcPr>
          <w:p>
            <w:pPr>
              <w:spacing w:after="0"/>
              <w:rPr>
                <w:sz w:val="23"/>
                <w:szCs w:val="23"/>
                <w:color w:val="auto"/>
              </w:rPr>
            </w:pPr>
          </w:p>
        </w:tc>
        <w:tc>
          <w:tcPr>
            <w:tcW w:w="900" w:type="dxa"/>
            <w:vAlign w:val="bottom"/>
            <w:shd w:val="clear" w:color="auto" w:fill="CFF0FC"/>
          </w:tcPr>
          <w:p>
            <w:pPr>
              <w:spacing w:after="0"/>
              <w:rPr>
                <w:sz w:val="23"/>
                <w:szCs w:val="23"/>
                <w:color w:val="auto"/>
              </w:rPr>
            </w:pPr>
          </w:p>
        </w:tc>
      </w:tr>
      <w:tr>
        <w:trPr>
          <w:trHeight w:val="237"/>
        </w:trPr>
        <w:tc>
          <w:tcPr>
            <w:tcW w:w="4480" w:type="dxa"/>
            <w:vAlign w:val="bottom"/>
          </w:tcPr>
          <w:p>
            <w:pPr>
              <w:ind w:left="280"/>
              <w:spacing w:after="0"/>
              <w:rPr>
                <w:sz w:val="20"/>
                <w:szCs w:val="20"/>
                <w:color w:val="auto"/>
              </w:rPr>
            </w:pPr>
            <w:r>
              <w:rPr>
                <w:rFonts w:ascii="Arial" w:cs="Arial" w:eastAsia="Arial" w:hAnsi="Arial"/>
                <w:sz w:val="18"/>
                <w:szCs w:val="18"/>
                <w:color w:val="auto"/>
              </w:rPr>
              <w:t>Net Income</w:t>
            </w:r>
          </w:p>
        </w:tc>
        <w:tc>
          <w:tcPr>
            <w:tcW w:w="12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30,418</w:t>
            </w:r>
          </w:p>
        </w:tc>
        <w:tc>
          <w:tcPr>
            <w:tcW w:w="120" w:type="dxa"/>
            <w:vAlign w:val="bottom"/>
          </w:tcPr>
          <w:p>
            <w:pPr>
              <w:spacing w:after="0"/>
              <w:rPr>
                <w:sz w:val="20"/>
                <w:szCs w:val="20"/>
                <w:color w:val="auto"/>
              </w:rPr>
            </w:pPr>
          </w:p>
        </w:tc>
        <w:tc>
          <w:tcPr>
            <w:tcW w:w="100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18,004</w:t>
            </w:r>
          </w:p>
        </w:tc>
        <w:tc>
          <w:tcPr>
            <w:tcW w:w="120" w:type="dxa"/>
            <w:vAlign w:val="bottom"/>
          </w:tcPr>
          <w:p>
            <w:pPr>
              <w:spacing w:after="0"/>
              <w:rPr>
                <w:sz w:val="20"/>
                <w:szCs w:val="20"/>
                <w:color w:val="auto"/>
              </w:rPr>
            </w:pPr>
          </w:p>
        </w:tc>
        <w:tc>
          <w:tcPr>
            <w:tcW w:w="100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spacing w:after="0"/>
              <w:rPr>
                <w:sz w:val="20"/>
                <w:szCs w:val="20"/>
                <w:color w:val="auto"/>
              </w:rPr>
            </w:pPr>
          </w:p>
        </w:tc>
      </w:tr>
      <w:tr>
        <w:trPr>
          <w:trHeight w:val="27"/>
        </w:trPr>
        <w:tc>
          <w:tcPr>
            <w:tcW w:w="4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r>
      <w:tr>
        <w:trPr>
          <w:trHeight w:val="229"/>
        </w:trPr>
        <w:tc>
          <w:tcPr>
            <w:tcW w:w="4480" w:type="dxa"/>
            <w:vAlign w:val="bottom"/>
            <w:shd w:val="clear" w:color="auto" w:fill="CFF0FC"/>
          </w:tcPr>
          <w:p>
            <w:pPr>
              <w:ind w:left="280"/>
              <w:spacing w:after="0"/>
              <w:rPr>
                <w:sz w:val="20"/>
                <w:szCs w:val="20"/>
                <w:color w:val="auto"/>
              </w:rPr>
            </w:pPr>
            <w:r>
              <w:rPr>
                <w:rFonts w:ascii="Arial" w:cs="Arial" w:eastAsia="Arial" w:hAnsi="Arial"/>
                <w:sz w:val="18"/>
                <w:szCs w:val="18"/>
                <w:color w:val="auto"/>
              </w:rPr>
              <w:t>Adjustments to arrive at adjusted income</w:t>
            </w:r>
          </w:p>
        </w:tc>
        <w:tc>
          <w:tcPr>
            <w:tcW w:w="12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00" w:type="dxa"/>
            <w:vAlign w:val="bottom"/>
            <w:shd w:val="clear" w:color="auto" w:fill="CFF0FC"/>
          </w:tcPr>
          <w:p>
            <w:pPr>
              <w:spacing w:after="0"/>
              <w:rPr>
                <w:sz w:val="19"/>
                <w:szCs w:val="19"/>
                <w:color w:val="auto"/>
              </w:rPr>
            </w:pPr>
          </w:p>
        </w:tc>
      </w:tr>
      <w:tr>
        <w:trPr>
          <w:trHeight w:val="257"/>
        </w:trPr>
        <w:tc>
          <w:tcPr>
            <w:tcW w:w="4480" w:type="dxa"/>
            <w:vAlign w:val="bottom"/>
            <w:shd w:val="clear" w:color="auto" w:fill="CFF0FC"/>
          </w:tcPr>
          <w:p>
            <w:pPr>
              <w:ind w:left="420"/>
              <w:spacing w:after="0"/>
              <w:rPr>
                <w:sz w:val="20"/>
                <w:szCs w:val="20"/>
                <w:color w:val="auto"/>
              </w:rPr>
            </w:pPr>
            <w:r>
              <w:rPr>
                <w:rFonts w:ascii="Arial" w:cs="Arial" w:eastAsia="Arial" w:hAnsi="Arial"/>
                <w:sz w:val="18"/>
                <w:szCs w:val="18"/>
                <w:color w:val="auto"/>
              </w:rPr>
              <w:t>before income taxes</w:t>
            </w:r>
            <w:r>
              <w:rPr>
                <w:rFonts w:ascii="Arial" w:cs="Arial" w:eastAsia="Arial" w:hAnsi="Arial"/>
                <w:sz w:val="21"/>
                <w:szCs w:val="21"/>
                <w:color w:val="auto"/>
                <w:vertAlign w:val="superscript"/>
              </w:rPr>
              <w:t>(3)</w:t>
            </w:r>
          </w:p>
        </w:tc>
        <w:tc>
          <w:tcPr>
            <w:tcW w:w="120" w:type="dxa"/>
            <w:vAlign w:val="bottom"/>
            <w:tcBorders>
              <w:bottom w:val="single" w:sz="8" w:color="auto"/>
            </w:tcBorders>
            <w:shd w:val="clear" w:color="auto" w:fill="CFF0FC"/>
          </w:tcPr>
          <w:p>
            <w:pPr>
              <w:spacing w:after="0"/>
              <w:rPr>
                <w:sz w:val="22"/>
                <w:szCs w:val="22"/>
                <w:color w:val="auto"/>
              </w:rPr>
            </w:pPr>
          </w:p>
        </w:tc>
        <w:tc>
          <w:tcPr>
            <w:tcW w:w="940" w:type="dxa"/>
            <w:vAlign w:val="bottom"/>
            <w:tcBorders>
              <w:bottom w:val="single" w:sz="8" w:color="auto"/>
            </w:tcBorders>
            <w:shd w:val="clear" w:color="auto" w:fill="CFF0FC"/>
          </w:tcPr>
          <w:p>
            <w:pPr>
              <w:jc w:val="right"/>
              <w:ind w:right="32"/>
              <w:spacing w:after="0"/>
              <w:rPr>
                <w:sz w:val="20"/>
                <w:szCs w:val="20"/>
                <w:color w:val="auto"/>
              </w:rPr>
            </w:pPr>
            <w:r>
              <w:rPr>
                <w:rFonts w:ascii="Arial" w:cs="Arial" w:eastAsia="Arial" w:hAnsi="Arial"/>
                <w:sz w:val="18"/>
                <w:szCs w:val="18"/>
                <w:color w:val="auto"/>
              </w:rPr>
              <w:t>14,636</w:t>
            </w:r>
          </w:p>
        </w:tc>
        <w:tc>
          <w:tcPr>
            <w:tcW w:w="120" w:type="dxa"/>
            <w:vAlign w:val="bottom"/>
            <w:shd w:val="clear" w:color="auto" w:fill="CFF0FC"/>
          </w:tcPr>
          <w:p>
            <w:pPr>
              <w:spacing w:after="0"/>
              <w:rPr>
                <w:sz w:val="22"/>
                <w:szCs w:val="22"/>
                <w:color w:val="auto"/>
              </w:rPr>
            </w:pPr>
          </w:p>
        </w:tc>
        <w:tc>
          <w:tcPr>
            <w:tcW w:w="1000" w:type="dxa"/>
            <w:vAlign w:val="bottom"/>
            <w:shd w:val="clear" w:color="auto" w:fill="CFF0FC"/>
          </w:tcPr>
          <w:p>
            <w:pPr>
              <w:spacing w:after="0"/>
              <w:rPr>
                <w:sz w:val="22"/>
                <w:szCs w:val="22"/>
                <w:color w:val="auto"/>
              </w:rPr>
            </w:pPr>
          </w:p>
        </w:tc>
        <w:tc>
          <w:tcPr>
            <w:tcW w:w="120" w:type="dxa"/>
            <w:vAlign w:val="bottom"/>
            <w:shd w:val="clear" w:color="auto" w:fill="CFF0FC"/>
          </w:tcPr>
          <w:p>
            <w:pPr>
              <w:spacing w:after="0"/>
              <w:rPr>
                <w:sz w:val="22"/>
                <w:szCs w:val="22"/>
                <w:color w:val="auto"/>
              </w:rPr>
            </w:pPr>
          </w:p>
        </w:tc>
        <w:tc>
          <w:tcPr>
            <w:tcW w:w="140" w:type="dxa"/>
            <w:vAlign w:val="bottom"/>
            <w:shd w:val="clear" w:color="auto" w:fill="CFF0FC"/>
          </w:tcPr>
          <w:p>
            <w:pPr>
              <w:spacing w:after="0"/>
              <w:rPr>
                <w:sz w:val="22"/>
                <w:szCs w:val="22"/>
                <w:color w:val="auto"/>
              </w:rPr>
            </w:pPr>
          </w:p>
        </w:tc>
        <w:tc>
          <w:tcPr>
            <w:tcW w:w="1120" w:type="dxa"/>
            <w:vAlign w:val="bottom"/>
            <w:shd w:val="clear" w:color="auto" w:fill="CFF0FC"/>
          </w:tcPr>
          <w:p>
            <w:pPr>
              <w:spacing w:after="0"/>
              <w:rPr>
                <w:sz w:val="22"/>
                <w:szCs w:val="22"/>
                <w:color w:val="auto"/>
              </w:rPr>
            </w:pPr>
          </w:p>
        </w:tc>
        <w:tc>
          <w:tcPr>
            <w:tcW w:w="100" w:type="dxa"/>
            <w:vAlign w:val="bottom"/>
            <w:shd w:val="clear" w:color="auto" w:fill="CFF0FC"/>
          </w:tcPr>
          <w:p>
            <w:pPr>
              <w:spacing w:after="0"/>
              <w:rPr>
                <w:sz w:val="22"/>
                <w:szCs w:val="22"/>
                <w:color w:val="auto"/>
              </w:rPr>
            </w:pPr>
          </w:p>
        </w:tc>
        <w:tc>
          <w:tcPr>
            <w:tcW w:w="120" w:type="dxa"/>
            <w:vAlign w:val="bottom"/>
            <w:tcBorders>
              <w:bottom w:val="single" w:sz="8" w:color="auto"/>
            </w:tcBorders>
            <w:shd w:val="clear" w:color="auto" w:fill="CFF0FC"/>
          </w:tcPr>
          <w:p>
            <w:pPr>
              <w:spacing w:after="0"/>
              <w:rPr>
                <w:sz w:val="22"/>
                <w:szCs w:val="22"/>
                <w:color w:val="auto"/>
              </w:rPr>
            </w:pPr>
          </w:p>
        </w:tc>
        <w:tc>
          <w:tcPr>
            <w:tcW w:w="900" w:type="dxa"/>
            <w:vAlign w:val="bottom"/>
            <w:tcBorders>
              <w:bottom w:val="single" w:sz="8" w:color="auto"/>
            </w:tcBorders>
            <w:shd w:val="clear" w:color="auto" w:fill="CFF0FC"/>
          </w:tcPr>
          <w:p>
            <w:pPr>
              <w:jc w:val="right"/>
              <w:ind w:right="12"/>
              <w:spacing w:after="0"/>
              <w:rPr>
                <w:sz w:val="20"/>
                <w:szCs w:val="20"/>
                <w:color w:val="auto"/>
              </w:rPr>
            </w:pPr>
            <w:r>
              <w:rPr>
                <w:rFonts w:ascii="Arial" w:cs="Arial" w:eastAsia="Arial" w:hAnsi="Arial"/>
                <w:sz w:val="18"/>
                <w:szCs w:val="18"/>
                <w:color w:val="auto"/>
              </w:rPr>
              <w:t>17,804</w:t>
            </w:r>
          </w:p>
        </w:tc>
        <w:tc>
          <w:tcPr>
            <w:tcW w:w="120" w:type="dxa"/>
            <w:vAlign w:val="bottom"/>
            <w:shd w:val="clear" w:color="auto" w:fill="CFF0FC"/>
          </w:tcPr>
          <w:p>
            <w:pPr>
              <w:spacing w:after="0"/>
              <w:rPr>
                <w:sz w:val="22"/>
                <w:szCs w:val="22"/>
                <w:color w:val="auto"/>
              </w:rPr>
            </w:pPr>
          </w:p>
        </w:tc>
        <w:tc>
          <w:tcPr>
            <w:tcW w:w="1000" w:type="dxa"/>
            <w:vAlign w:val="bottom"/>
            <w:shd w:val="clear" w:color="auto" w:fill="CFF0FC"/>
          </w:tcPr>
          <w:p>
            <w:pPr>
              <w:spacing w:after="0"/>
              <w:rPr>
                <w:sz w:val="22"/>
                <w:szCs w:val="22"/>
                <w:color w:val="auto"/>
              </w:rPr>
            </w:pPr>
          </w:p>
        </w:tc>
        <w:tc>
          <w:tcPr>
            <w:tcW w:w="120" w:type="dxa"/>
            <w:vAlign w:val="bottom"/>
            <w:shd w:val="clear" w:color="auto" w:fill="CFF0FC"/>
          </w:tcPr>
          <w:p>
            <w:pPr>
              <w:spacing w:after="0"/>
              <w:rPr>
                <w:sz w:val="22"/>
                <w:szCs w:val="22"/>
                <w:color w:val="auto"/>
              </w:rPr>
            </w:pPr>
          </w:p>
        </w:tc>
        <w:tc>
          <w:tcPr>
            <w:tcW w:w="120" w:type="dxa"/>
            <w:vAlign w:val="bottom"/>
            <w:shd w:val="clear" w:color="auto" w:fill="CFF0FC"/>
          </w:tcPr>
          <w:p>
            <w:pPr>
              <w:spacing w:after="0"/>
              <w:rPr>
                <w:sz w:val="22"/>
                <w:szCs w:val="22"/>
                <w:color w:val="auto"/>
              </w:rPr>
            </w:pPr>
          </w:p>
        </w:tc>
        <w:tc>
          <w:tcPr>
            <w:tcW w:w="900" w:type="dxa"/>
            <w:vAlign w:val="bottom"/>
            <w:shd w:val="clear" w:color="auto" w:fill="CFF0FC"/>
          </w:tcPr>
          <w:p>
            <w:pPr>
              <w:spacing w:after="0"/>
              <w:rPr>
                <w:sz w:val="22"/>
                <w:szCs w:val="22"/>
                <w:color w:val="auto"/>
              </w:rPr>
            </w:pPr>
          </w:p>
        </w:tc>
      </w:tr>
      <w:tr>
        <w:trPr>
          <w:trHeight w:val="237"/>
        </w:trPr>
        <w:tc>
          <w:tcPr>
            <w:tcW w:w="4480" w:type="dxa"/>
            <w:vAlign w:val="bottom"/>
          </w:tcPr>
          <w:p>
            <w:pPr>
              <w:ind w:left="280"/>
              <w:spacing w:after="0"/>
              <w:rPr>
                <w:sz w:val="20"/>
                <w:szCs w:val="20"/>
                <w:color w:val="auto"/>
              </w:rPr>
            </w:pPr>
            <w:r>
              <w:rPr>
                <w:rFonts w:ascii="Arial" w:cs="Arial" w:eastAsia="Arial" w:hAnsi="Arial"/>
                <w:sz w:val="18"/>
                <w:szCs w:val="18"/>
                <w:color w:val="auto"/>
              </w:rPr>
              <w:t>Adjusted income before income taxes</w:t>
            </w:r>
          </w:p>
        </w:tc>
        <w:tc>
          <w:tcPr>
            <w:tcW w:w="120" w:type="dxa"/>
            <w:vAlign w:val="bottom"/>
          </w:tcPr>
          <w:p>
            <w:pPr>
              <w:spacing w:after="0"/>
              <w:rPr>
                <w:sz w:val="20"/>
                <w:szCs w:val="20"/>
                <w:color w:val="auto"/>
              </w:rPr>
            </w:pPr>
          </w:p>
        </w:tc>
        <w:tc>
          <w:tcPr>
            <w:tcW w:w="940" w:type="dxa"/>
            <w:vAlign w:val="bottom"/>
          </w:tcPr>
          <w:p>
            <w:pPr>
              <w:jc w:val="right"/>
              <w:ind w:right="32"/>
              <w:spacing w:after="0"/>
              <w:rPr>
                <w:sz w:val="20"/>
                <w:szCs w:val="20"/>
                <w:color w:val="auto"/>
              </w:rPr>
            </w:pPr>
            <w:r>
              <w:rPr>
                <w:rFonts w:ascii="Arial" w:cs="Arial" w:eastAsia="Arial" w:hAnsi="Arial"/>
                <w:sz w:val="18"/>
                <w:szCs w:val="18"/>
                <w:color w:val="auto"/>
              </w:rPr>
              <w:t>45,054</w:t>
            </w:r>
          </w:p>
        </w:tc>
        <w:tc>
          <w:tcPr>
            <w:tcW w:w="12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00" w:type="dxa"/>
            <w:vAlign w:val="bottom"/>
          </w:tcPr>
          <w:p>
            <w:pPr>
              <w:jc w:val="right"/>
              <w:ind w:right="12"/>
              <w:spacing w:after="0"/>
              <w:rPr>
                <w:sz w:val="20"/>
                <w:szCs w:val="20"/>
                <w:color w:val="auto"/>
              </w:rPr>
            </w:pPr>
            <w:r>
              <w:rPr>
                <w:rFonts w:ascii="Arial" w:cs="Arial" w:eastAsia="Arial" w:hAnsi="Arial"/>
                <w:sz w:val="18"/>
                <w:szCs w:val="18"/>
                <w:color w:val="auto"/>
              </w:rPr>
              <w:t>35,808</w:t>
            </w:r>
          </w:p>
        </w:tc>
        <w:tc>
          <w:tcPr>
            <w:tcW w:w="12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00" w:type="dxa"/>
            <w:vAlign w:val="bottom"/>
          </w:tcPr>
          <w:p>
            <w:pPr>
              <w:spacing w:after="0"/>
              <w:rPr>
                <w:sz w:val="20"/>
                <w:szCs w:val="20"/>
                <w:color w:val="auto"/>
              </w:rPr>
            </w:pPr>
          </w:p>
        </w:tc>
      </w:tr>
      <w:tr>
        <w:trPr>
          <w:trHeight w:val="27"/>
        </w:trPr>
        <w:tc>
          <w:tcPr>
            <w:tcW w:w="4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r>
      <w:tr>
        <w:trPr>
          <w:trHeight w:val="270"/>
        </w:trPr>
        <w:tc>
          <w:tcPr>
            <w:tcW w:w="4480" w:type="dxa"/>
            <w:vAlign w:val="bottom"/>
            <w:shd w:val="clear" w:color="auto" w:fill="CFF0FC"/>
          </w:tcPr>
          <w:p>
            <w:pPr>
              <w:ind w:left="280"/>
              <w:spacing w:after="0"/>
              <w:rPr>
                <w:sz w:val="20"/>
                <w:szCs w:val="20"/>
                <w:color w:val="auto"/>
              </w:rPr>
            </w:pPr>
            <w:r>
              <w:rPr>
                <w:rFonts w:ascii="Arial" w:cs="Arial" w:eastAsia="Arial" w:hAnsi="Arial"/>
                <w:sz w:val="18"/>
                <w:szCs w:val="18"/>
                <w:color w:val="auto"/>
              </w:rPr>
              <w:t>Adjusted income taxes</w:t>
            </w:r>
            <w:r>
              <w:rPr>
                <w:rFonts w:ascii="Arial" w:cs="Arial" w:eastAsia="Arial" w:hAnsi="Arial"/>
                <w:sz w:val="21"/>
                <w:szCs w:val="21"/>
                <w:color w:val="auto"/>
                <w:vertAlign w:val="superscript"/>
              </w:rPr>
              <w:t>(4)</w:t>
            </w:r>
          </w:p>
        </w:tc>
        <w:tc>
          <w:tcPr>
            <w:tcW w:w="120" w:type="dxa"/>
            <w:vAlign w:val="bottom"/>
            <w:tcBorders>
              <w:bottom w:val="single" w:sz="8" w:color="auto"/>
            </w:tcBorders>
            <w:shd w:val="clear" w:color="auto" w:fill="CFF0FC"/>
          </w:tcPr>
          <w:p>
            <w:pPr>
              <w:spacing w:after="0"/>
              <w:rPr>
                <w:sz w:val="23"/>
                <w:szCs w:val="23"/>
                <w:color w:val="auto"/>
              </w:rPr>
            </w:pPr>
          </w:p>
        </w:tc>
        <w:tc>
          <w:tcPr>
            <w:tcW w:w="940" w:type="dxa"/>
            <w:vAlign w:val="bottom"/>
            <w:tcBorders>
              <w:bottom w:val="single" w:sz="8" w:color="auto"/>
            </w:tcBorders>
            <w:shd w:val="clear" w:color="auto" w:fill="CFF0FC"/>
          </w:tcPr>
          <w:p>
            <w:pPr>
              <w:jc w:val="right"/>
              <w:ind w:right="32"/>
              <w:spacing w:after="0"/>
              <w:rPr>
                <w:sz w:val="20"/>
                <w:szCs w:val="20"/>
                <w:color w:val="auto"/>
              </w:rPr>
            </w:pPr>
            <w:r>
              <w:rPr>
                <w:rFonts w:ascii="Arial" w:cs="Arial" w:eastAsia="Arial" w:hAnsi="Arial"/>
                <w:sz w:val="18"/>
                <w:szCs w:val="18"/>
                <w:color w:val="auto"/>
              </w:rPr>
              <w:t>11,849</w:t>
            </w:r>
          </w:p>
        </w:tc>
        <w:tc>
          <w:tcPr>
            <w:tcW w:w="120" w:type="dxa"/>
            <w:vAlign w:val="bottom"/>
            <w:shd w:val="clear" w:color="auto" w:fill="CFF0FC"/>
          </w:tcPr>
          <w:p>
            <w:pPr>
              <w:spacing w:after="0"/>
              <w:rPr>
                <w:sz w:val="23"/>
                <w:szCs w:val="23"/>
                <w:color w:val="auto"/>
              </w:rPr>
            </w:pPr>
          </w:p>
        </w:tc>
        <w:tc>
          <w:tcPr>
            <w:tcW w:w="1000" w:type="dxa"/>
            <w:vAlign w:val="bottom"/>
            <w:shd w:val="clear" w:color="auto" w:fill="CFF0FC"/>
          </w:tcPr>
          <w:p>
            <w:pPr>
              <w:spacing w:after="0"/>
              <w:rPr>
                <w:sz w:val="23"/>
                <w:szCs w:val="23"/>
                <w:color w:val="auto"/>
              </w:rPr>
            </w:pPr>
          </w:p>
        </w:tc>
        <w:tc>
          <w:tcPr>
            <w:tcW w:w="120" w:type="dxa"/>
            <w:vAlign w:val="bottom"/>
            <w:shd w:val="clear" w:color="auto" w:fill="CFF0FC"/>
          </w:tcPr>
          <w:p>
            <w:pPr>
              <w:spacing w:after="0"/>
              <w:rPr>
                <w:sz w:val="23"/>
                <w:szCs w:val="23"/>
                <w:color w:val="auto"/>
              </w:rPr>
            </w:pPr>
          </w:p>
        </w:tc>
        <w:tc>
          <w:tcPr>
            <w:tcW w:w="140" w:type="dxa"/>
            <w:vAlign w:val="bottom"/>
            <w:shd w:val="clear" w:color="auto" w:fill="CFF0FC"/>
          </w:tcPr>
          <w:p>
            <w:pPr>
              <w:spacing w:after="0"/>
              <w:rPr>
                <w:sz w:val="23"/>
                <w:szCs w:val="23"/>
                <w:color w:val="auto"/>
              </w:rPr>
            </w:pPr>
          </w:p>
        </w:tc>
        <w:tc>
          <w:tcPr>
            <w:tcW w:w="1120" w:type="dxa"/>
            <w:vAlign w:val="bottom"/>
            <w:shd w:val="clear" w:color="auto" w:fill="CFF0FC"/>
          </w:tcPr>
          <w:p>
            <w:pPr>
              <w:spacing w:after="0"/>
              <w:rPr>
                <w:sz w:val="23"/>
                <w:szCs w:val="23"/>
                <w:color w:val="auto"/>
              </w:rPr>
            </w:pPr>
          </w:p>
        </w:tc>
        <w:tc>
          <w:tcPr>
            <w:tcW w:w="100" w:type="dxa"/>
            <w:vAlign w:val="bottom"/>
            <w:shd w:val="clear" w:color="auto" w:fill="CFF0FC"/>
          </w:tcPr>
          <w:p>
            <w:pPr>
              <w:spacing w:after="0"/>
              <w:rPr>
                <w:sz w:val="23"/>
                <w:szCs w:val="23"/>
                <w:color w:val="auto"/>
              </w:rPr>
            </w:pPr>
          </w:p>
        </w:tc>
        <w:tc>
          <w:tcPr>
            <w:tcW w:w="120" w:type="dxa"/>
            <w:vAlign w:val="bottom"/>
            <w:tcBorders>
              <w:bottom w:val="single" w:sz="8" w:color="auto"/>
            </w:tcBorders>
            <w:shd w:val="clear" w:color="auto" w:fill="CFF0FC"/>
          </w:tcPr>
          <w:p>
            <w:pPr>
              <w:spacing w:after="0"/>
              <w:rPr>
                <w:sz w:val="23"/>
                <w:szCs w:val="23"/>
                <w:color w:val="auto"/>
              </w:rPr>
            </w:pPr>
          </w:p>
        </w:tc>
        <w:tc>
          <w:tcPr>
            <w:tcW w:w="900" w:type="dxa"/>
            <w:vAlign w:val="bottom"/>
            <w:tcBorders>
              <w:bottom w:val="single" w:sz="8" w:color="auto"/>
            </w:tcBorders>
            <w:shd w:val="clear" w:color="auto" w:fill="CFF0FC"/>
          </w:tcPr>
          <w:p>
            <w:pPr>
              <w:jc w:val="right"/>
              <w:ind w:right="12"/>
              <w:spacing w:after="0"/>
              <w:rPr>
                <w:sz w:val="20"/>
                <w:szCs w:val="20"/>
                <w:color w:val="auto"/>
              </w:rPr>
            </w:pPr>
            <w:r>
              <w:rPr>
                <w:rFonts w:ascii="Arial" w:cs="Arial" w:eastAsia="Arial" w:hAnsi="Arial"/>
                <w:sz w:val="18"/>
                <w:szCs w:val="18"/>
                <w:color w:val="auto"/>
              </w:rPr>
              <w:t>14,144</w:t>
            </w:r>
          </w:p>
        </w:tc>
        <w:tc>
          <w:tcPr>
            <w:tcW w:w="120" w:type="dxa"/>
            <w:vAlign w:val="bottom"/>
            <w:shd w:val="clear" w:color="auto" w:fill="CFF0FC"/>
          </w:tcPr>
          <w:p>
            <w:pPr>
              <w:spacing w:after="0"/>
              <w:rPr>
                <w:sz w:val="23"/>
                <w:szCs w:val="23"/>
                <w:color w:val="auto"/>
              </w:rPr>
            </w:pPr>
          </w:p>
        </w:tc>
        <w:tc>
          <w:tcPr>
            <w:tcW w:w="1000" w:type="dxa"/>
            <w:vAlign w:val="bottom"/>
            <w:shd w:val="clear" w:color="auto" w:fill="CFF0FC"/>
          </w:tcPr>
          <w:p>
            <w:pPr>
              <w:spacing w:after="0"/>
              <w:rPr>
                <w:sz w:val="23"/>
                <w:szCs w:val="23"/>
                <w:color w:val="auto"/>
              </w:rPr>
            </w:pPr>
          </w:p>
        </w:tc>
        <w:tc>
          <w:tcPr>
            <w:tcW w:w="120" w:type="dxa"/>
            <w:vAlign w:val="bottom"/>
            <w:shd w:val="clear" w:color="auto" w:fill="CFF0FC"/>
          </w:tcPr>
          <w:p>
            <w:pPr>
              <w:spacing w:after="0"/>
              <w:rPr>
                <w:sz w:val="23"/>
                <w:szCs w:val="23"/>
                <w:color w:val="auto"/>
              </w:rPr>
            </w:pPr>
          </w:p>
        </w:tc>
        <w:tc>
          <w:tcPr>
            <w:tcW w:w="120" w:type="dxa"/>
            <w:vAlign w:val="bottom"/>
            <w:shd w:val="clear" w:color="auto" w:fill="CFF0FC"/>
          </w:tcPr>
          <w:p>
            <w:pPr>
              <w:spacing w:after="0"/>
              <w:rPr>
                <w:sz w:val="23"/>
                <w:szCs w:val="23"/>
                <w:color w:val="auto"/>
              </w:rPr>
            </w:pPr>
          </w:p>
        </w:tc>
        <w:tc>
          <w:tcPr>
            <w:tcW w:w="900" w:type="dxa"/>
            <w:vAlign w:val="bottom"/>
            <w:shd w:val="clear" w:color="auto" w:fill="CFF0FC"/>
          </w:tcPr>
          <w:p>
            <w:pPr>
              <w:spacing w:after="0"/>
              <w:rPr>
                <w:sz w:val="23"/>
                <w:szCs w:val="23"/>
                <w:color w:val="auto"/>
              </w:rPr>
            </w:pPr>
          </w:p>
        </w:tc>
      </w:tr>
      <w:tr>
        <w:trPr>
          <w:trHeight w:val="257"/>
        </w:trPr>
        <w:tc>
          <w:tcPr>
            <w:tcW w:w="4480" w:type="dxa"/>
            <w:vAlign w:val="bottom"/>
          </w:tcPr>
          <w:p>
            <w:pPr>
              <w:ind w:left="280"/>
              <w:spacing w:after="0"/>
              <w:rPr>
                <w:sz w:val="20"/>
                <w:szCs w:val="20"/>
                <w:color w:val="auto"/>
              </w:rPr>
            </w:pPr>
            <w:r>
              <w:rPr>
                <w:rFonts w:ascii="Arial" w:cs="Arial" w:eastAsia="Arial" w:hAnsi="Arial"/>
                <w:sz w:val="18"/>
                <w:szCs w:val="18"/>
                <w:color w:val="auto"/>
              </w:rPr>
              <w:t>Adjusted Net Income</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auto"/>
            </w:tcBorders>
          </w:tcPr>
          <w:p>
            <w:pPr>
              <w:jc w:val="right"/>
              <w:ind w:right="32"/>
              <w:spacing w:after="0"/>
              <w:rPr>
                <w:sz w:val="20"/>
                <w:szCs w:val="20"/>
                <w:color w:val="auto"/>
              </w:rPr>
            </w:pPr>
            <w:r>
              <w:rPr>
                <w:rFonts w:ascii="Arial" w:cs="Arial" w:eastAsia="Arial" w:hAnsi="Arial"/>
                <w:sz w:val="18"/>
                <w:szCs w:val="18"/>
                <w:color w:val="auto"/>
              </w:rPr>
              <w:t>33,205</w:t>
            </w:r>
          </w:p>
        </w:tc>
        <w:tc>
          <w:tcPr>
            <w:tcW w:w="1120" w:type="dxa"/>
            <w:vAlign w:val="bottom"/>
            <w:gridSpan w:val="2"/>
          </w:tcPr>
          <w:p>
            <w:pPr>
              <w:jc w:val="right"/>
              <w:ind w:right="19"/>
              <w:spacing w:after="0"/>
              <w:rPr>
                <w:sz w:val="20"/>
                <w:szCs w:val="20"/>
                <w:color w:val="auto"/>
              </w:rPr>
            </w:pPr>
            <w:r>
              <w:rPr>
                <w:rFonts w:ascii="Arial" w:cs="Arial" w:eastAsia="Arial" w:hAnsi="Arial"/>
                <w:sz w:val="18"/>
                <w:szCs w:val="18"/>
                <w:color w:val="auto"/>
              </w:rPr>
              <w:t>98,810</w:t>
            </w:r>
          </w:p>
        </w:tc>
        <w:tc>
          <w:tcPr>
            <w:tcW w:w="12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33"/>
              <w:spacing w:after="0"/>
              <w:rPr>
                <w:sz w:val="20"/>
                <w:szCs w:val="20"/>
                <w:color w:val="auto"/>
              </w:rPr>
            </w:pPr>
            <w:r>
              <w:rPr>
                <w:rFonts w:ascii="Arial" w:cs="Arial" w:eastAsia="Arial" w:hAnsi="Arial"/>
                <w:sz w:val="18"/>
                <w:szCs w:val="18"/>
                <w:color w:val="auto"/>
              </w:rPr>
              <w:t>0.34</w:t>
            </w:r>
          </w:p>
        </w:tc>
        <w:tc>
          <w:tcPr>
            <w:tcW w:w="100" w:type="dxa"/>
            <w:vAlign w:val="bottom"/>
          </w:tcPr>
          <w:p>
            <w:pPr>
              <w:spacing w:after="0"/>
              <w:rPr>
                <w:sz w:val="22"/>
                <w:szCs w:val="22"/>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rPr>
              <w:t>21,664</w:t>
            </w:r>
          </w:p>
        </w:tc>
        <w:tc>
          <w:tcPr>
            <w:tcW w:w="1120" w:type="dxa"/>
            <w:vAlign w:val="bottom"/>
            <w:gridSpan w:val="2"/>
          </w:tcPr>
          <w:p>
            <w:pPr>
              <w:jc w:val="right"/>
              <w:ind w:right="19"/>
              <w:spacing w:after="0"/>
              <w:rPr>
                <w:sz w:val="20"/>
                <w:szCs w:val="20"/>
                <w:color w:val="auto"/>
              </w:rPr>
            </w:pPr>
            <w:r>
              <w:rPr>
                <w:rFonts w:ascii="Arial" w:cs="Arial" w:eastAsia="Arial" w:hAnsi="Arial"/>
                <w:sz w:val="18"/>
                <w:szCs w:val="18"/>
                <w:color w:val="auto"/>
              </w:rPr>
              <w:t>98,391</w:t>
            </w:r>
          </w:p>
        </w:tc>
        <w:tc>
          <w:tcPr>
            <w:tcW w:w="12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900" w:type="dxa"/>
            <w:vAlign w:val="bottom"/>
          </w:tcPr>
          <w:p>
            <w:pPr>
              <w:jc w:val="right"/>
              <w:ind w:right="15"/>
              <w:spacing w:after="0"/>
              <w:rPr>
                <w:sz w:val="20"/>
                <w:szCs w:val="20"/>
                <w:color w:val="auto"/>
              </w:rPr>
            </w:pPr>
            <w:r>
              <w:rPr>
                <w:rFonts w:ascii="Arial" w:cs="Arial" w:eastAsia="Arial" w:hAnsi="Arial"/>
                <w:sz w:val="18"/>
                <w:szCs w:val="18"/>
                <w:color w:val="auto"/>
              </w:rPr>
              <w:t>0.22</w:t>
            </w:r>
          </w:p>
        </w:tc>
      </w:tr>
      <w:tr>
        <w:trPr>
          <w:trHeight w:val="20"/>
        </w:trPr>
        <w:tc>
          <w:tcPr>
            <w:tcW w:w="44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r>
    </w:tbl>
    <w:p>
      <w:pPr>
        <w:spacing w:after="0" w:line="94" w:lineRule="exact"/>
        <w:rPr>
          <w:sz w:val="20"/>
          <w:szCs w:val="20"/>
          <w:color w:val="auto"/>
        </w:rPr>
      </w:pPr>
    </w:p>
    <w:p>
      <w:pPr>
        <w:ind w:left="580" w:hanging="315"/>
        <w:spacing w:after="0"/>
        <w:tabs>
          <w:tab w:leader="none" w:pos="580" w:val="left"/>
        </w:tabs>
        <w:numPr>
          <w:ilvl w:val="0"/>
          <w:numId w:val="17"/>
        </w:numPr>
        <w:rPr>
          <w:rFonts w:ascii="Arial" w:cs="Arial" w:eastAsia="Arial" w:hAnsi="Arial"/>
          <w:sz w:val="16"/>
          <w:szCs w:val="16"/>
          <w:color w:val="auto"/>
        </w:rPr>
      </w:pPr>
      <w:r>
        <w:rPr>
          <w:rFonts w:ascii="Arial" w:cs="Arial" w:eastAsia="Arial" w:hAnsi="Arial"/>
          <w:sz w:val="16"/>
          <w:szCs w:val="16"/>
          <w:color w:val="auto"/>
        </w:rPr>
        <w:t>Represents net income attributable to Planet Fitness, Inc. and the associated weighted average shares, diluted of Class A common stock outstanding.</w:t>
      </w:r>
    </w:p>
    <w:p>
      <w:pPr>
        <w:spacing w:after="0" w:line="46" w:lineRule="exact"/>
        <w:rPr>
          <w:rFonts w:ascii="Arial" w:cs="Arial" w:eastAsia="Arial" w:hAnsi="Arial"/>
          <w:sz w:val="16"/>
          <w:szCs w:val="16"/>
          <w:color w:val="auto"/>
        </w:rPr>
      </w:pPr>
    </w:p>
    <w:p>
      <w:pPr>
        <w:jc w:val="both"/>
        <w:ind w:left="580" w:hanging="315"/>
        <w:spacing w:after="0" w:line="250" w:lineRule="auto"/>
        <w:tabs>
          <w:tab w:leader="none" w:pos="5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Assumes the full exchange of all outstanding Holdings Units and corresponding shares of Class B common stock for shares of Class A common stock of Planet Fitness, Inc. Also assumes the addition of net income attributable to non-controlling interests corresponding with the assumed exchange of Holdings Units and Class B common shares for shares of Class A common stock.</w:t>
      </w:r>
    </w:p>
    <w:p>
      <w:pPr>
        <w:spacing w:after="0" w:line="1" w:lineRule="exact"/>
        <w:rPr>
          <w:rFonts w:ascii="Arial" w:cs="Arial" w:eastAsia="Arial" w:hAnsi="Arial"/>
          <w:sz w:val="18"/>
          <w:szCs w:val="18"/>
          <w:color w:val="auto"/>
        </w:rPr>
      </w:pPr>
    </w:p>
    <w:p>
      <w:pPr>
        <w:ind w:left="580" w:hanging="315"/>
        <w:spacing w:after="0"/>
        <w:tabs>
          <w:tab w:leader="none" w:pos="580" w:val="left"/>
        </w:tabs>
        <w:numPr>
          <w:ilvl w:val="0"/>
          <w:numId w:val="17"/>
        </w:numPr>
        <w:rPr>
          <w:rFonts w:ascii="Arial" w:cs="Arial" w:eastAsia="Arial" w:hAnsi="Arial"/>
          <w:sz w:val="16"/>
          <w:szCs w:val="16"/>
          <w:color w:val="auto"/>
        </w:rPr>
      </w:pPr>
      <w:r>
        <w:rPr>
          <w:rFonts w:ascii="Arial" w:cs="Arial" w:eastAsia="Arial" w:hAnsi="Arial"/>
          <w:sz w:val="16"/>
          <w:szCs w:val="16"/>
          <w:color w:val="auto"/>
        </w:rPr>
        <w:t>Represents the total impact of all adjustments identified in the adjusted net income table above to arrive at adjusted income before income taxes.</w:t>
      </w:r>
    </w:p>
    <w:p>
      <w:pPr>
        <w:spacing w:after="0" w:line="32" w:lineRule="exact"/>
        <w:rPr>
          <w:rFonts w:ascii="Arial" w:cs="Arial" w:eastAsia="Arial" w:hAnsi="Arial"/>
          <w:sz w:val="16"/>
          <w:szCs w:val="16"/>
          <w:color w:val="auto"/>
        </w:rPr>
      </w:pPr>
    </w:p>
    <w:p>
      <w:pPr>
        <w:ind w:left="580" w:hanging="315"/>
        <w:spacing w:after="0" w:line="261" w:lineRule="auto"/>
        <w:tabs>
          <w:tab w:leader="none" w:pos="5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 xml:space="preserve">Represents corporate income taxes at an assumed effective tax rate of 26.3% and 39.5% for the three and six </w:t>
      </w:r>
      <w:r>
        <w:rPr>
          <w:rFonts w:ascii="Arial" w:cs="Arial" w:eastAsia="Arial" w:hAnsi="Arial"/>
          <w:sz w:val="18"/>
          <w:szCs w:val="18"/>
          <w:color w:val="231F20"/>
        </w:rPr>
        <w:t>months ended</w:t>
      </w:r>
      <w:r>
        <w:rPr>
          <w:rFonts w:ascii="Arial" w:cs="Arial" w:eastAsia="Arial" w:hAnsi="Arial"/>
          <w:sz w:val="18"/>
          <w:szCs w:val="18"/>
          <w:color w:val="auto"/>
        </w:rPr>
        <w:t xml:space="preserve"> June 30, 2018 </w:t>
      </w:r>
      <w:r>
        <w:rPr>
          <w:rFonts w:ascii="Arial" w:cs="Arial" w:eastAsia="Arial" w:hAnsi="Arial"/>
          <w:sz w:val="18"/>
          <w:szCs w:val="18"/>
          <w:color w:val="231F20"/>
        </w:rPr>
        <w:t>and</w:t>
      </w:r>
      <w:r>
        <w:rPr>
          <w:rFonts w:ascii="Arial" w:cs="Arial" w:eastAsia="Arial" w:hAnsi="Arial"/>
          <w:sz w:val="18"/>
          <w:szCs w:val="18"/>
          <w:color w:val="auto"/>
        </w:rPr>
        <w:t xml:space="preserve"> 2017, respectively, applied to adjusted income before income taxes.</w:t>
      </w:r>
    </w:p>
    <w:p>
      <w:pPr>
        <w:spacing w:after="0" w:line="346" w:lineRule="exact"/>
        <w:rPr>
          <w:sz w:val="20"/>
          <w:szCs w:val="20"/>
          <w:color w:val="auto"/>
        </w:rPr>
      </w:pPr>
    </w:p>
    <w:tbl>
      <w:tblPr>
        <w:tblLayout w:type="fixed"/>
        <w:tblInd w:w="40" w:type="dxa"/>
        <w:tblCellMar>
          <w:top w:w="0" w:type="dxa"/>
          <w:left w:w="0" w:type="dxa"/>
          <w:bottom w:w="0" w:type="dxa"/>
          <w:right w:w="0" w:type="dxa"/>
        </w:tblCellMar>
      </w:tblPr>
      <w:tr>
        <w:trPr>
          <w:trHeight w:val="203"/>
        </w:trPr>
        <w:tc>
          <w:tcPr>
            <w:tcW w:w="46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300" w:type="dxa"/>
            <w:vAlign w:val="bottom"/>
            <w:gridSpan w:val="7"/>
          </w:tcPr>
          <w:p>
            <w:pPr>
              <w:jc w:val="center"/>
              <w:ind w:right="220"/>
              <w:spacing w:after="0"/>
              <w:rPr>
                <w:sz w:val="20"/>
                <w:szCs w:val="20"/>
                <w:color w:val="auto"/>
              </w:rPr>
            </w:pPr>
            <w:r>
              <w:rPr>
                <w:rFonts w:ascii="Arial" w:cs="Arial" w:eastAsia="Arial" w:hAnsi="Arial"/>
                <w:sz w:val="16"/>
                <w:szCs w:val="16"/>
                <w:b w:val="1"/>
                <w:bCs w:val="1"/>
                <w:color w:val="auto"/>
                <w:w w:val="90"/>
              </w:rPr>
              <w:t>For the six months ended</w:t>
            </w:r>
          </w:p>
        </w:tc>
        <w:tc>
          <w:tcPr>
            <w:tcW w:w="120" w:type="dxa"/>
            <w:vAlign w:val="bottom"/>
          </w:tcPr>
          <w:p>
            <w:pPr>
              <w:spacing w:after="0"/>
              <w:rPr>
                <w:sz w:val="17"/>
                <w:szCs w:val="17"/>
                <w:color w:val="auto"/>
              </w:rPr>
            </w:pPr>
          </w:p>
        </w:tc>
        <w:tc>
          <w:tcPr>
            <w:tcW w:w="3140" w:type="dxa"/>
            <w:vAlign w:val="bottom"/>
            <w:gridSpan w:val="6"/>
          </w:tcPr>
          <w:p>
            <w:pPr>
              <w:jc w:val="center"/>
              <w:ind w:right="15"/>
              <w:spacing w:after="0"/>
              <w:rPr>
                <w:sz w:val="20"/>
                <w:szCs w:val="20"/>
                <w:color w:val="auto"/>
              </w:rPr>
            </w:pPr>
            <w:r>
              <w:rPr>
                <w:rFonts w:ascii="Arial" w:cs="Arial" w:eastAsia="Arial" w:hAnsi="Arial"/>
                <w:sz w:val="16"/>
                <w:szCs w:val="16"/>
                <w:b w:val="1"/>
                <w:bCs w:val="1"/>
                <w:color w:val="auto"/>
                <w:w w:val="90"/>
              </w:rPr>
              <w:t>For the six months ended</w:t>
            </w:r>
          </w:p>
        </w:tc>
      </w:tr>
      <w:tr>
        <w:trPr>
          <w:trHeight w:val="210"/>
        </w:trPr>
        <w:tc>
          <w:tcPr>
            <w:tcW w:w="4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90"/>
              </w:rPr>
              <w:t>June 30, 2018</w:t>
            </w: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90"/>
              </w:rPr>
              <w:t>June 30, 2017</w:t>
            </w: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r>
      <w:tr>
        <w:trPr>
          <w:trHeight w:val="33"/>
        </w:trPr>
        <w:tc>
          <w:tcPr>
            <w:tcW w:w="46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r>
      <w:tr>
        <w:trPr>
          <w:trHeight w:val="209"/>
        </w:trPr>
        <w:tc>
          <w:tcPr>
            <w:tcW w:w="4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91"/>
              </w:rPr>
              <w:t>Weighted</w:t>
            </w:r>
          </w:p>
        </w:tc>
        <w:tc>
          <w:tcPr>
            <w:tcW w:w="120" w:type="dxa"/>
            <w:vAlign w:val="bottom"/>
          </w:tcPr>
          <w:p>
            <w:pPr>
              <w:spacing w:after="0"/>
              <w:rPr>
                <w:sz w:val="18"/>
                <w:szCs w:val="18"/>
                <w:color w:val="auto"/>
              </w:rPr>
            </w:pPr>
          </w:p>
        </w:tc>
        <w:tc>
          <w:tcPr>
            <w:tcW w:w="1000" w:type="dxa"/>
            <w:vAlign w:val="bottom"/>
            <w:gridSpan w:val="2"/>
          </w:tcPr>
          <w:p>
            <w:pPr>
              <w:jc w:val="center"/>
              <w:ind w:right="220"/>
              <w:spacing w:after="0"/>
              <w:rPr>
                <w:sz w:val="20"/>
                <w:szCs w:val="20"/>
                <w:color w:val="auto"/>
              </w:rPr>
            </w:pPr>
            <w:r>
              <w:rPr>
                <w:rFonts w:ascii="Arial" w:cs="Arial" w:eastAsia="Arial" w:hAnsi="Arial"/>
                <w:sz w:val="16"/>
                <w:szCs w:val="16"/>
                <w:b w:val="1"/>
                <w:bCs w:val="1"/>
                <w:color w:val="auto"/>
                <w:w w:val="90"/>
              </w:rPr>
              <w:t>Net income</w:t>
            </w: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91"/>
              </w:rPr>
              <w:t>Weighted</w:t>
            </w:r>
          </w:p>
        </w:tc>
        <w:tc>
          <w:tcPr>
            <w:tcW w:w="120" w:type="dxa"/>
            <w:vAlign w:val="bottom"/>
          </w:tcPr>
          <w:p>
            <w:pPr>
              <w:spacing w:after="0"/>
              <w:rPr>
                <w:sz w:val="18"/>
                <w:szCs w:val="18"/>
                <w:color w:val="auto"/>
              </w:rPr>
            </w:pPr>
          </w:p>
        </w:tc>
        <w:tc>
          <w:tcPr>
            <w:tcW w:w="900" w:type="dxa"/>
            <w:vAlign w:val="bottom"/>
          </w:tcPr>
          <w:p>
            <w:pPr>
              <w:jc w:val="center"/>
              <w:ind w:right="35"/>
              <w:spacing w:after="0"/>
              <w:rPr>
                <w:sz w:val="20"/>
                <w:szCs w:val="20"/>
                <w:color w:val="auto"/>
              </w:rPr>
            </w:pPr>
            <w:r>
              <w:rPr>
                <w:rFonts w:ascii="Arial" w:cs="Arial" w:eastAsia="Arial" w:hAnsi="Arial"/>
                <w:sz w:val="16"/>
                <w:szCs w:val="16"/>
                <w:b w:val="1"/>
                <w:bCs w:val="1"/>
                <w:color w:val="auto"/>
                <w:w w:val="90"/>
              </w:rPr>
              <w:t>Net income</w:t>
            </w:r>
          </w:p>
        </w:tc>
      </w:tr>
      <w:tr>
        <w:trPr>
          <w:trHeight w:val="203"/>
        </w:trPr>
        <w:tc>
          <w:tcPr>
            <w:tcW w:w="46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4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88"/>
              </w:rPr>
              <w:t>Average</w:t>
            </w:r>
          </w:p>
        </w:tc>
        <w:tc>
          <w:tcPr>
            <w:tcW w:w="120" w:type="dxa"/>
            <w:vAlign w:val="bottom"/>
          </w:tcPr>
          <w:p>
            <w:pPr>
              <w:spacing w:after="0"/>
              <w:rPr>
                <w:sz w:val="17"/>
                <w:szCs w:val="17"/>
                <w:color w:val="auto"/>
              </w:rPr>
            </w:pPr>
          </w:p>
        </w:tc>
        <w:tc>
          <w:tcPr>
            <w:tcW w:w="1000" w:type="dxa"/>
            <w:vAlign w:val="bottom"/>
            <w:gridSpan w:val="2"/>
          </w:tcPr>
          <w:p>
            <w:pPr>
              <w:jc w:val="center"/>
              <w:ind w:right="240"/>
              <w:spacing w:after="0"/>
              <w:rPr>
                <w:sz w:val="20"/>
                <w:szCs w:val="20"/>
                <w:color w:val="auto"/>
              </w:rPr>
            </w:pPr>
            <w:r>
              <w:rPr>
                <w:rFonts w:ascii="Arial" w:cs="Arial" w:eastAsia="Arial" w:hAnsi="Arial"/>
                <w:sz w:val="16"/>
                <w:szCs w:val="16"/>
                <w:b w:val="1"/>
                <w:bCs w:val="1"/>
                <w:color w:val="auto"/>
                <w:w w:val="88"/>
              </w:rPr>
              <w:t>per share,</w:t>
            </w:r>
          </w:p>
        </w:tc>
        <w:tc>
          <w:tcPr>
            <w:tcW w:w="12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2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88"/>
              </w:rPr>
              <w:t>Average</w:t>
            </w:r>
          </w:p>
        </w:tc>
        <w:tc>
          <w:tcPr>
            <w:tcW w:w="120" w:type="dxa"/>
            <w:vAlign w:val="bottom"/>
          </w:tcPr>
          <w:p>
            <w:pPr>
              <w:spacing w:after="0"/>
              <w:rPr>
                <w:sz w:val="17"/>
                <w:szCs w:val="17"/>
                <w:color w:val="auto"/>
              </w:rPr>
            </w:pPr>
          </w:p>
        </w:tc>
        <w:tc>
          <w:tcPr>
            <w:tcW w:w="900" w:type="dxa"/>
            <w:vAlign w:val="bottom"/>
          </w:tcPr>
          <w:p>
            <w:pPr>
              <w:jc w:val="center"/>
              <w:ind w:right="35"/>
              <w:spacing w:after="0"/>
              <w:rPr>
                <w:sz w:val="20"/>
                <w:szCs w:val="20"/>
                <w:color w:val="auto"/>
              </w:rPr>
            </w:pPr>
            <w:r>
              <w:rPr>
                <w:rFonts w:ascii="Arial" w:cs="Arial" w:eastAsia="Arial" w:hAnsi="Arial"/>
                <w:sz w:val="16"/>
                <w:szCs w:val="16"/>
                <w:b w:val="1"/>
                <w:bCs w:val="1"/>
                <w:color w:val="auto"/>
                <w:w w:val="91"/>
              </w:rPr>
              <w:t>per share,</w:t>
            </w:r>
          </w:p>
        </w:tc>
      </w:tr>
      <w:tr>
        <w:trPr>
          <w:trHeight w:val="210"/>
        </w:trPr>
        <w:tc>
          <w:tcPr>
            <w:tcW w:w="4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jc w:val="right"/>
              <w:ind w:right="52"/>
              <w:spacing w:after="0"/>
              <w:rPr>
                <w:sz w:val="20"/>
                <w:szCs w:val="20"/>
                <w:color w:val="auto"/>
              </w:rPr>
            </w:pPr>
            <w:r>
              <w:rPr>
                <w:rFonts w:ascii="Arial" w:cs="Arial" w:eastAsia="Arial" w:hAnsi="Arial"/>
                <w:sz w:val="16"/>
                <w:szCs w:val="16"/>
                <w:b w:val="1"/>
                <w:bCs w:val="1"/>
                <w:color w:val="auto"/>
                <w:w w:val="88"/>
              </w:rPr>
              <w:t>Net income</w:t>
            </w:r>
          </w:p>
        </w:tc>
        <w:tc>
          <w:tcPr>
            <w:tcW w:w="120" w:type="dxa"/>
            <w:vAlign w:val="bottom"/>
          </w:tcPr>
          <w:p>
            <w:pPr>
              <w:spacing w:after="0"/>
              <w:rPr>
                <w:sz w:val="18"/>
                <w:szCs w:val="18"/>
                <w:color w:val="auto"/>
              </w:rPr>
            </w:pPr>
          </w:p>
        </w:tc>
        <w:tc>
          <w:tcPr>
            <w:tcW w:w="114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86"/>
              </w:rPr>
              <w:t>Shares</w:t>
            </w:r>
          </w:p>
        </w:tc>
        <w:tc>
          <w:tcPr>
            <w:tcW w:w="120" w:type="dxa"/>
            <w:vAlign w:val="bottom"/>
          </w:tcPr>
          <w:p>
            <w:pPr>
              <w:spacing w:after="0"/>
              <w:rPr>
                <w:sz w:val="18"/>
                <w:szCs w:val="18"/>
                <w:color w:val="auto"/>
              </w:rPr>
            </w:pPr>
          </w:p>
        </w:tc>
        <w:tc>
          <w:tcPr>
            <w:tcW w:w="1000" w:type="dxa"/>
            <w:vAlign w:val="bottom"/>
            <w:gridSpan w:val="2"/>
          </w:tcPr>
          <w:p>
            <w:pPr>
              <w:jc w:val="center"/>
              <w:ind w:right="240"/>
              <w:spacing w:after="0"/>
              <w:rPr>
                <w:sz w:val="20"/>
                <w:szCs w:val="20"/>
                <w:color w:val="auto"/>
              </w:rPr>
            </w:pPr>
            <w:r>
              <w:rPr>
                <w:rFonts w:ascii="Arial" w:cs="Arial" w:eastAsia="Arial" w:hAnsi="Arial"/>
                <w:sz w:val="16"/>
                <w:szCs w:val="16"/>
                <w:b w:val="1"/>
                <w:bCs w:val="1"/>
                <w:color w:val="auto"/>
                <w:w w:val="91"/>
              </w:rPr>
              <w:t>diluted</w:t>
            </w:r>
          </w:p>
        </w:tc>
        <w:tc>
          <w:tcPr>
            <w:tcW w:w="120" w:type="dxa"/>
            <w:vAlign w:val="bottom"/>
          </w:tcPr>
          <w:p>
            <w:pPr>
              <w:spacing w:after="0"/>
              <w:rPr>
                <w:sz w:val="18"/>
                <w:szCs w:val="18"/>
                <w:color w:val="auto"/>
              </w:rPr>
            </w:pPr>
          </w:p>
        </w:tc>
        <w:tc>
          <w:tcPr>
            <w:tcW w:w="900" w:type="dxa"/>
            <w:vAlign w:val="bottom"/>
          </w:tcPr>
          <w:p>
            <w:pPr>
              <w:jc w:val="right"/>
              <w:ind w:right="32"/>
              <w:spacing w:after="0"/>
              <w:rPr>
                <w:sz w:val="20"/>
                <w:szCs w:val="20"/>
                <w:color w:val="auto"/>
              </w:rPr>
            </w:pPr>
            <w:r>
              <w:rPr>
                <w:rFonts w:ascii="Arial" w:cs="Arial" w:eastAsia="Arial" w:hAnsi="Arial"/>
                <w:sz w:val="16"/>
                <w:szCs w:val="16"/>
                <w:b w:val="1"/>
                <w:bCs w:val="1"/>
                <w:color w:val="auto"/>
                <w:w w:val="88"/>
              </w:rPr>
              <w:t>Net income</w:t>
            </w:r>
          </w:p>
        </w:tc>
        <w:tc>
          <w:tcPr>
            <w:tcW w:w="100" w:type="dxa"/>
            <w:vAlign w:val="bottom"/>
          </w:tcPr>
          <w:p>
            <w:pPr>
              <w:spacing w:after="0"/>
              <w:rPr>
                <w:sz w:val="18"/>
                <w:szCs w:val="18"/>
                <w:color w:val="auto"/>
              </w:rPr>
            </w:pPr>
          </w:p>
        </w:tc>
        <w:tc>
          <w:tcPr>
            <w:tcW w:w="112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86"/>
              </w:rPr>
              <w:t>Shares</w:t>
            </w:r>
          </w:p>
        </w:tc>
        <w:tc>
          <w:tcPr>
            <w:tcW w:w="120" w:type="dxa"/>
            <w:vAlign w:val="bottom"/>
          </w:tcPr>
          <w:p>
            <w:pPr>
              <w:spacing w:after="0"/>
              <w:rPr>
                <w:sz w:val="18"/>
                <w:szCs w:val="18"/>
                <w:color w:val="auto"/>
              </w:rPr>
            </w:pPr>
          </w:p>
        </w:tc>
        <w:tc>
          <w:tcPr>
            <w:tcW w:w="900" w:type="dxa"/>
            <w:vAlign w:val="bottom"/>
          </w:tcPr>
          <w:p>
            <w:pPr>
              <w:jc w:val="center"/>
              <w:ind w:right="55"/>
              <w:spacing w:after="0"/>
              <w:rPr>
                <w:sz w:val="20"/>
                <w:szCs w:val="20"/>
                <w:color w:val="auto"/>
              </w:rPr>
            </w:pPr>
            <w:r>
              <w:rPr>
                <w:rFonts w:ascii="Arial" w:cs="Arial" w:eastAsia="Arial" w:hAnsi="Arial"/>
                <w:sz w:val="16"/>
                <w:szCs w:val="16"/>
                <w:b w:val="1"/>
                <w:bCs w:val="1"/>
                <w:color w:val="auto"/>
                <w:w w:val="91"/>
              </w:rPr>
              <w:t>diluted</w:t>
            </w:r>
          </w:p>
        </w:tc>
      </w:tr>
      <w:tr>
        <w:trPr>
          <w:trHeight w:val="33"/>
        </w:trPr>
        <w:tc>
          <w:tcPr>
            <w:tcW w:w="46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r>
      <w:tr>
        <w:trPr>
          <w:trHeight w:val="264"/>
        </w:trPr>
        <w:tc>
          <w:tcPr>
            <w:tcW w:w="4660" w:type="dxa"/>
            <w:vAlign w:val="bottom"/>
          </w:tcPr>
          <w:p>
            <w:pPr>
              <w:ind w:left="20"/>
              <w:spacing w:after="0" w:line="264" w:lineRule="exact"/>
              <w:rPr>
                <w:sz w:val="20"/>
                <w:szCs w:val="20"/>
                <w:color w:val="auto"/>
              </w:rPr>
            </w:pPr>
            <w:r>
              <w:rPr>
                <w:rFonts w:ascii="Arial" w:cs="Arial" w:eastAsia="Arial" w:hAnsi="Arial"/>
                <w:sz w:val="18"/>
                <w:szCs w:val="18"/>
                <w:color w:val="auto"/>
              </w:rPr>
              <w:t>Net income attributable to Planet Fitness, Inc.</w:t>
            </w:r>
            <w:r>
              <w:rPr>
                <w:rFonts w:ascii="Arial" w:cs="Arial" w:eastAsia="Arial" w:hAnsi="Arial"/>
                <w:sz w:val="25"/>
                <w:szCs w:val="25"/>
                <w:color w:val="auto"/>
                <w:vertAlign w:val="superscript"/>
              </w:rPr>
              <w:t>(1)</w:t>
            </w: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920" w:type="dxa"/>
            <w:vAlign w:val="bottom"/>
          </w:tcPr>
          <w:p>
            <w:pPr>
              <w:jc w:val="right"/>
              <w:ind w:right="32"/>
              <w:spacing w:after="0"/>
              <w:rPr>
                <w:sz w:val="20"/>
                <w:szCs w:val="20"/>
                <w:color w:val="auto"/>
              </w:rPr>
            </w:pPr>
            <w:r>
              <w:rPr>
                <w:rFonts w:ascii="Arial" w:cs="Arial" w:eastAsia="Arial" w:hAnsi="Arial"/>
                <w:sz w:val="18"/>
                <w:szCs w:val="18"/>
                <w:color w:val="auto"/>
              </w:rPr>
              <w:t>45,755</w:t>
            </w:r>
          </w:p>
        </w:tc>
        <w:tc>
          <w:tcPr>
            <w:tcW w:w="1140" w:type="dxa"/>
            <w:vAlign w:val="bottom"/>
            <w:gridSpan w:val="2"/>
          </w:tcPr>
          <w:p>
            <w:pPr>
              <w:jc w:val="right"/>
              <w:ind w:right="19"/>
              <w:spacing w:after="0"/>
              <w:rPr>
                <w:sz w:val="20"/>
                <w:szCs w:val="20"/>
                <w:color w:val="auto"/>
              </w:rPr>
            </w:pPr>
            <w:r>
              <w:rPr>
                <w:rFonts w:ascii="Arial" w:cs="Arial" w:eastAsia="Arial" w:hAnsi="Arial"/>
                <w:sz w:val="18"/>
                <w:szCs w:val="18"/>
                <w:color w:val="auto"/>
              </w:rPr>
              <w:t>87,931</w:t>
            </w:r>
          </w:p>
        </w:tc>
        <w:tc>
          <w:tcPr>
            <w:tcW w:w="12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900" w:type="dxa"/>
            <w:vAlign w:val="bottom"/>
          </w:tcPr>
          <w:p>
            <w:pPr>
              <w:jc w:val="right"/>
              <w:ind w:right="35"/>
              <w:spacing w:after="0"/>
              <w:rPr>
                <w:sz w:val="20"/>
                <w:szCs w:val="20"/>
                <w:color w:val="auto"/>
              </w:rPr>
            </w:pPr>
            <w:r>
              <w:rPr>
                <w:rFonts w:ascii="Arial" w:cs="Arial" w:eastAsia="Arial" w:hAnsi="Arial"/>
                <w:sz w:val="18"/>
                <w:szCs w:val="18"/>
                <w:color w:val="auto"/>
              </w:rPr>
              <w:t>0.52</w:t>
            </w:r>
          </w:p>
        </w:tc>
        <w:tc>
          <w:tcPr>
            <w:tcW w:w="10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900" w:type="dxa"/>
            <w:vAlign w:val="bottom"/>
          </w:tcPr>
          <w:p>
            <w:pPr>
              <w:jc w:val="right"/>
              <w:ind w:right="32"/>
              <w:spacing w:after="0"/>
              <w:rPr>
                <w:sz w:val="20"/>
                <w:szCs w:val="20"/>
                <w:color w:val="auto"/>
              </w:rPr>
            </w:pPr>
            <w:r>
              <w:rPr>
                <w:rFonts w:ascii="Arial" w:cs="Arial" w:eastAsia="Arial" w:hAnsi="Arial"/>
                <w:sz w:val="18"/>
                <w:szCs w:val="18"/>
                <w:color w:val="auto"/>
              </w:rPr>
              <w:t>21,254</w:t>
            </w:r>
          </w:p>
        </w:tc>
        <w:tc>
          <w:tcPr>
            <w:tcW w:w="1120" w:type="dxa"/>
            <w:vAlign w:val="bottom"/>
            <w:gridSpan w:val="2"/>
          </w:tcPr>
          <w:p>
            <w:pPr>
              <w:jc w:val="right"/>
              <w:ind w:right="39"/>
              <w:spacing w:after="0"/>
              <w:rPr>
                <w:sz w:val="20"/>
                <w:szCs w:val="20"/>
                <w:color w:val="auto"/>
              </w:rPr>
            </w:pPr>
            <w:r>
              <w:rPr>
                <w:rFonts w:ascii="Arial" w:cs="Arial" w:eastAsia="Arial" w:hAnsi="Arial"/>
                <w:sz w:val="18"/>
                <w:szCs w:val="18"/>
                <w:color w:val="auto"/>
              </w:rPr>
              <w:t>71,713</w:t>
            </w:r>
          </w:p>
        </w:tc>
        <w:tc>
          <w:tcPr>
            <w:tcW w:w="10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900" w:type="dxa"/>
            <w:vAlign w:val="bottom"/>
          </w:tcPr>
          <w:p>
            <w:pPr>
              <w:jc w:val="right"/>
              <w:ind w:right="35"/>
              <w:spacing w:after="0"/>
              <w:rPr>
                <w:sz w:val="20"/>
                <w:szCs w:val="20"/>
                <w:color w:val="auto"/>
              </w:rPr>
            </w:pPr>
            <w:r>
              <w:rPr>
                <w:rFonts w:ascii="Arial" w:cs="Arial" w:eastAsia="Arial" w:hAnsi="Arial"/>
                <w:sz w:val="18"/>
                <w:szCs w:val="18"/>
                <w:color w:val="auto"/>
              </w:rPr>
              <w:t>0.30</w:t>
            </w:r>
          </w:p>
        </w:tc>
      </w:tr>
      <w:tr>
        <w:trPr>
          <w:trHeight w:val="270"/>
        </w:trPr>
        <w:tc>
          <w:tcPr>
            <w:tcW w:w="4660" w:type="dxa"/>
            <w:vAlign w:val="bottom"/>
            <w:shd w:val="clear" w:color="auto" w:fill="CFF0FC"/>
          </w:tcPr>
          <w:p>
            <w:pPr>
              <w:ind w:left="20"/>
              <w:spacing w:after="0" w:line="270" w:lineRule="exact"/>
              <w:rPr>
                <w:sz w:val="20"/>
                <w:szCs w:val="20"/>
                <w:color w:val="auto"/>
              </w:rPr>
            </w:pPr>
            <w:r>
              <w:rPr>
                <w:rFonts w:ascii="Arial" w:cs="Arial" w:eastAsia="Arial" w:hAnsi="Arial"/>
                <w:sz w:val="18"/>
                <w:szCs w:val="18"/>
                <w:color w:val="auto"/>
              </w:rPr>
              <w:t>Assumed exchange of shares</w:t>
            </w:r>
            <w:r>
              <w:rPr>
                <w:rFonts w:ascii="Arial" w:cs="Arial" w:eastAsia="Arial" w:hAnsi="Arial"/>
                <w:sz w:val="25"/>
                <w:szCs w:val="25"/>
                <w:color w:val="auto"/>
                <w:vertAlign w:val="superscript"/>
              </w:rPr>
              <w:t>(2)</w:t>
            </w:r>
          </w:p>
        </w:tc>
        <w:tc>
          <w:tcPr>
            <w:tcW w:w="140" w:type="dxa"/>
            <w:vAlign w:val="bottom"/>
            <w:shd w:val="clear" w:color="auto" w:fill="CFF0FC"/>
          </w:tcPr>
          <w:p>
            <w:pPr>
              <w:spacing w:after="0"/>
              <w:rPr>
                <w:sz w:val="23"/>
                <w:szCs w:val="23"/>
                <w:color w:val="auto"/>
              </w:rPr>
            </w:pPr>
          </w:p>
        </w:tc>
        <w:tc>
          <w:tcPr>
            <w:tcW w:w="920" w:type="dxa"/>
            <w:vAlign w:val="bottom"/>
            <w:shd w:val="clear" w:color="auto" w:fill="CFF0FC"/>
          </w:tcPr>
          <w:p>
            <w:pPr>
              <w:jc w:val="right"/>
              <w:ind w:right="32"/>
              <w:spacing w:after="0"/>
              <w:rPr>
                <w:sz w:val="20"/>
                <w:szCs w:val="20"/>
                <w:color w:val="auto"/>
              </w:rPr>
            </w:pPr>
            <w:r>
              <w:rPr>
                <w:rFonts w:ascii="Arial" w:cs="Arial" w:eastAsia="Arial" w:hAnsi="Arial"/>
                <w:sz w:val="18"/>
                <w:szCs w:val="18"/>
                <w:color w:val="auto"/>
              </w:rPr>
              <w:t>8,157</w:t>
            </w:r>
          </w:p>
        </w:tc>
        <w:tc>
          <w:tcPr>
            <w:tcW w:w="1140" w:type="dxa"/>
            <w:vAlign w:val="bottom"/>
            <w:gridSpan w:val="2"/>
            <w:shd w:val="clear" w:color="auto" w:fill="CFF0FC"/>
          </w:tcPr>
          <w:p>
            <w:pPr>
              <w:jc w:val="right"/>
              <w:ind w:right="19"/>
              <w:spacing w:after="0"/>
              <w:rPr>
                <w:sz w:val="20"/>
                <w:szCs w:val="20"/>
                <w:color w:val="auto"/>
              </w:rPr>
            </w:pPr>
            <w:r>
              <w:rPr>
                <w:rFonts w:ascii="Arial" w:cs="Arial" w:eastAsia="Arial" w:hAnsi="Arial"/>
                <w:sz w:val="18"/>
                <w:szCs w:val="18"/>
                <w:color w:val="auto"/>
              </w:rPr>
              <w:t>10,829</w:t>
            </w:r>
          </w:p>
        </w:tc>
        <w:tc>
          <w:tcPr>
            <w:tcW w:w="120" w:type="dxa"/>
            <w:vAlign w:val="bottom"/>
            <w:shd w:val="clear" w:color="auto" w:fill="CFF0FC"/>
          </w:tcPr>
          <w:p>
            <w:pPr>
              <w:spacing w:after="0"/>
              <w:rPr>
                <w:sz w:val="23"/>
                <w:szCs w:val="23"/>
                <w:color w:val="auto"/>
              </w:rPr>
            </w:pPr>
          </w:p>
        </w:tc>
        <w:tc>
          <w:tcPr>
            <w:tcW w:w="120" w:type="dxa"/>
            <w:vAlign w:val="bottom"/>
            <w:shd w:val="clear" w:color="auto" w:fill="CFF0FC"/>
          </w:tcPr>
          <w:p>
            <w:pPr>
              <w:spacing w:after="0"/>
              <w:rPr>
                <w:sz w:val="23"/>
                <w:szCs w:val="23"/>
                <w:color w:val="auto"/>
              </w:rPr>
            </w:pPr>
          </w:p>
        </w:tc>
        <w:tc>
          <w:tcPr>
            <w:tcW w:w="900" w:type="dxa"/>
            <w:vAlign w:val="bottom"/>
            <w:shd w:val="clear" w:color="auto" w:fill="CFF0FC"/>
          </w:tcPr>
          <w:p>
            <w:pPr>
              <w:spacing w:after="0"/>
              <w:rPr>
                <w:sz w:val="23"/>
                <w:szCs w:val="23"/>
                <w:color w:val="auto"/>
              </w:rPr>
            </w:pPr>
          </w:p>
        </w:tc>
        <w:tc>
          <w:tcPr>
            <w:tcW w:w="100" w:type="dxa"/>
            <w:vAlign w:val="bottom"/>
            <w:shd w:val="clear" w:color="auto" w:fill="CFF0FC"/>
          </w:tcPr>
          <w:p>
            <w:pPr>
              <w:spacing w:after="0"/>
              <w:rPr>
                <w:sz w:val="23"/>
                <w:szCs w:val="23"/>
                <w:color w:val="auto"/>
              </w:rPr>
            </w:pPr>
          </w:p>
        </w:tc>
        <w:tc>
          <w:tcPr>
            <w:tcW w:w="120" w:type="dxa"/>
            <w:vAlign w:val="bottom"/>
            <w:shd w:val="clear" w:color="auto" w:fill="CFF0FC"/>
          </w:tcPr>
          <w:p>
            <w:pPr>
              <w:spacing w:after="0"/>
              <w:rPr>
                <w:sz w:val="23"/>
                <w:szCs w:val="23"/>
                <w:color w:val="auto"/>
              </w:rPr>
            </w:pPr>
          </w:p>
        </w:tc>
        <w:tc>
          <w:tcPr>
            <w:tcW w:w="900" w:type="dxa"/>
            <w:vAlign w:val="bottom"/>
            <w:shd w:val="clear" w:color="auto" w:fill="CFF0FC"/>
          </w:tcPr>
          <w:p>
            <w:pPr>
              <w:jc w:val="right"/>
              <w:ind w:right="32"/>
              <w:spacing w:after="0"/>
              <w:rPr>
                <w:sz w:val="20"/>
                <w:szCs w:val="20"/>
                <w:color w:val="auto"/>
              </w:rPr>
            </w:pPr>
            <w:r>
              <w:rPr>
                <w:rFonts w:ascii="Arial" w:cs="Arial" w:eastAsia="Arial" w:hAnsi="Arial"/>
                <w:sz w:val="18"/>
                <w:szCs w:val="18"/>
                <w:color w:val="auto"/>
              </w:rPr>
              <w:t>14,616</w:t>
            </w:r>
          </w:p>
        </w:tc>
        <w:tc>
          <w:tcPr>
            <w:tcW w:w="1120" w:type="dxa"/>
            <w:vAlign w:val="bottom"/>
            <w:gridSpan w:val="2"/>
            <w:shd w:val="clear" w:color="auto" w:fill="CFF0FC"/>
          </w:tcPr>
          <w:p>
            <w:pPr>
              <w:jc w:val="right"/>
              <w:ind w:right="39"/>
              <w:spacing w:after="0"/>
              <w:rPr>
                <w:sz w:val="20"/>
                <w:szCs w:val="20"/>
                <w:color w:val="auto"/>
              </w:rPr>
            </w:pPr>
            <w:r>
              <w:rPr>
                <w:rFonts w:ascii="Arial" w:cs="Arial" w:eastAsia="Arial" w:hAnsi="Arial"/>
                <w:sz w:val="18"/>
                <w:szCs w:val="18"/>
                <w:color w:val="auto"/>
              </w:rPr>
              <w:t>26,746</w:t>
            </w:r>
          </w:p>
        </w:tc>
        <w:tc>
          <w:tcPr>
            <w:tcW w:w="100" w:type="dxa"/>
            <w:vAlign w:val="bottom"/>
            <w:shd w:val="clear" w:color="auto" w:fill="CFF0FC"/>
          </w:tcPr>
          <w:p>
            <w:pPr>
              <w:spacing w:after="0"/>
              <w:rPr>
                <w:sz w:val="23"/>
                <w:szCs w:val="23"/>
                <w:color w:val="auto"/>
              </w:rPr>
            </w:pPr>
          </w:p>
        </w:tc>
        <w:tc>
          <w:tcPr>
            <w:tcW w:w="120" w:type="dxa"/>
            <w:vAlign w:val="bottom"/>
            <w:shd w:val="clear" w:color="auto" w:fill="CFF0FC"/>
          </w:tcPr>
          <w:p>
            <w:pPr>
              <w:spacing w:after="0"/>
              <w:rPr>
                <w:sz w:val="23"/>
                <w:szCs w:val="23"/>
                <w:color w:val="auto"/>
              </w:rPr>
            </w:pPr>
          </w:p>
        </w:tc>
        <w:tc>
          <w:tcPr>
            <w:tcW w:w="900" w:type="dxa"/>
            <w:vAlign w:val="bottom"/>
            <w:shd w:val="clear" w:color="auto" w:fill="CFF0FC"/>
          </w:tcPr>
          <w:p>
            <w:pPr>
              <w:spacing w:after="0"/>
              <w:rPr>
                <w:sz w:val="23"/>
                <w:szCs w:val="23"/>
                <w:color w:val="auto"/>
              </w:rPr>
            </w:pPr>
          </w:p>
        </w:tc>
      </w:tr>
      <w:tr>
        <w:trPr>
          <w:trHeight w:val="237"/>
        </w:trPr>
        <w:tc>
          <w:tcPr>
            <w:tcW w:w="4660" w:type="dxa"/>
            <w:vAlign w:val="bottom"/>
          </w:tcPr>
          <w:p>
            <w:pPr>
              <w:ind w:left="20"/>
              <w:spacing w:after="0"/>
              <w:rPr>
                <w:sz w:val="20"/>
                <w:szCs w:val="20"/>
                <w:color w:val="auto"/>
              </w:rPr>
            </w:pPr>
            <w:r>
              <w:rPr>
                <w:rFonts w:ascii="Arial" w:cs="Arial" w:eastAsia="Arial" w:hAnsi="Arial"/>
                <w:sz w:val="18"/>
                <w:szCs w:val="18"/>
                <w:color w:val="auto"/>
              </w:rPr>
              <w:t>Net Income</w:t>
            </w:r>
          </w:p>
        </w:tc>
        <w:tc>
          <w:tcPr>
            <w:tcW w:w="140" w:type="dxa"/>
            <w:vAlign w:val="bottom"/>
            <w:tcBorders>
              <w:top w:val="single" w:sz="8" w:color="auto"/>
            </w:tcBorders>
          </w:tcPr>
          <w:p>
            <w:pPr>
              <w:spacing w:after="0"/>
              <w:rPr>
                <w:sz w:val="20"/>
                <w:szCs w:val="20"/>
                <w:color w:val="auto"/>
              </w:rPr>
            </w:pPr>
          </w:p>
        </w:tc>
        <w:tc>
          <w:tcPr>
            <w:tcW w:w="92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53,912</w:t>
            </w:r>
          </w:p>
        </w:tc>
        <w:tc>
          <w:tcPr>
            <w:tcW w:w="120" w:type="dxa"/>
            <w:vAlign w:val="bottom"/>
          </w:tcPr>
          <w:p>
            <w:pPr>
              <w:spacing w:after="0"/>
              <w:rPr>
                <w:sz w:val="20"/>
                <w:szCs w:val="20"/>
                <w:color w:val="auto"/>
              </w:rPr>
            </w:pPr>
          </w:p>
        </w:tc>
        <w:tc>
          <w:tcPr>
            <w:tcW w:w="102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35,870</w:t>
            </w:r>
          </w:p>
        </w:tc>
        <w:tc>
          <w:tcPr>
            <w:tcW w:w="100" w:type="dxa"/>
            <w:vAlign w:val="bottom"/>
          </w:tcPr>
          <w:p>
            <w:pPr>
              <w:spacing w:after="0"/>
              <w:rPr>
                <w:sz w:val="20"/>
                <w:szCs w:val="20"/>
                <w:color w:val="auto"/>
              </w:rPr>
            </w:pPr>
          </w:p>
        </w:tc>
        <w:tc>
          <w:tcPr>
            <w:tcW w:w="102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spacing w:after="0"/>
              <w:rPr>
                <w:sz w:val="20"/>
                <w:szCs w:val="20"/>
                <w:color w:val="auto"/>
              </w:rPr>
            </w:pPr>
          </w:p>
        </w:tc>
      </w:tr>
      <w:tr>
        <w:trPr>
          <w:trHeight w:val="27"/>
        </w:trPr>
        <w:tc>
          <w:tcPr>
            <w:tcW w:w="4660" w:type="dxa"/>
            <w:vAlign w:val="bottom"/>
          </w:tcPr>
          <w:p>
            <w:pPr>
              <w:spacing w:after="0"/>
              <w:rPr>
                <w:sz w:val="2"/>
                <w:szCs w:val="2"/>
                <w:color w:val="auto"/>
              </w:rPr>
            </w:pPr>
          </w:p>
        </w:tc>
        <w:tc>
          <w:tcPr>
            <w:tcW w:w="1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r>
      <w:tr>
        <w:trPr>
          <w:trHeight w:val="229"/>
        </w:trPr>
        <w:tc>
          <w:tcPr>
            <w:tcW w:w="4660" w:type="dxa"/>
            <w:vAlign w:val="bottom"/>
            <w:shd w:val="clear" w:color="auto" w:fill="CFF0FC"/>
          </w:tcPr>
          <w:p>
            <w:pPr>
              <w:ind w:left="20"/>
              <w:spacing w:after="0"/>
              <w:rPr>
                <w:sz w:val="20"/>
                <w:szCs w:val="20"/>
                <w:color w:val="auto"/>
              </w:rPr>
            </w:pPr>
            <w:r>
              <w:rPr>
                <w:rFonts w:ascii="Arial" w:cs="Arial" w:eastAsia="Arial" w:hAnsi="Arial"/>
                <w:sz w:val="18"/>
                <w:szCs w:val="18"/>
                <w:color w:val="auto"/>
              </w:rPr>
              <w:t>Adjustments to arrive at adjusted income</w:t>
            </w:r>
          </w:p>
        </w:tc>
        <w:tc>
          <w:tcPr>
            <w:tcW w:w="14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00" w:type="dxa"/>
            <w:vAlign w:val="bottom"/>
            <w:shd w:val="clear" w:color="auto" w:fill="CFF0FC"/>
          </w:tcPr>
          <w:p>
            <w:pPr>
              <w:spacing w:after="0"/>
              <w:rPr>
                <w:sz w:val="19"/>
                <w:szCs w:val="19"/>
                <w:color w:val="auto"/>
              </w:rPr>
            </w:pPr>
          </w:p>
        </w:tc>
      </w:tr>
      <w:tr>
        <w:trPr>
          <w:trHeight w:val="257"/>
        </w:trPr>
        <w:tc>
          <w:tcPr>
            <w:tcW w:w="4660" w:type="dxa"/>
            <w:vAlign w:val="bottom"/>
            <w:shd w:val="clear" w:color="auto" w:fill="CFF0FC"/>
          </w:tcPr>
          <w:p>
            <w:pPr>
              <w:ind w:left="160"/>
              <w:spacing w:after="0" w:line="257" w:lineRule="exact"/>
              <w:rPr>
                <w:sz w:val="20"/>
                <w:szCs w:val="20"/>
                <w:color w:val="auto"/>
              </w:rPr>
            </w:pPr>
            <w:r>
              <w:rPr>
                <w:rFonts w:ascii="Arial" w:cs="Arial" w:eastAsia="Arial" w:hAnsi="Arial"/>
                <w:sz w:val="18"/>
                <w:szCs w:val="18"/>
                <w:color w:val="auto"/>
              </w:rPr>
              <w:t>before income taxes</w:t>
            </w:r>
            <w:r>
              <w:rPr>
                <w:rFonts w:ascii="Arial" w:cs="Arial" w:eastAsia="Arial" w:hAnsi="Arial"/>
                <w:sz w:val="25"/>
                <w:szCs w:val="25"/>
                <w:color w:val="auto"/>
                <w:vertAlign w:val="superscript"/>
              </w:rPr>
              <w:t>(3)</w:t>
            </w:r>
          </w:p>
        </w:tc>
        <w:tc>
          <w:tcPr>
            <w:tcW w:w="140" w:type="dxa"/>
            <w:vAlign w:val="bottom"/>
            <w:tcBorders>
              <w:bottom w:val="single" w:sz="8" w:color="auto"/>
            </w:tcBorders>
            <w:shd w:val="clear" w:color="auto" w:fill="CFF0FC"/>
          </w:tcPr>
          <w:p>
            <w:pPr>
              <w:spacing w:after="0"/>
              <w:rPr>
                <w:sz w:val="22"/>
                <w:szCs w:val="22"/>
                <w:color w:val="auto"/>
              </w:rPr>
            </w:pPr>
          </w:p>
        </w:tc>
        <w:tc>
          <w:tcPr>
            <w:tcW w:w="920" w:type="dxa"/>
            <w:vAlign w:val="bottom"/>
            <w:tcBorders>
              <w:bottom w:val="single" w:sz="8" w:color="auto"/>
            </w:tcBorders>
            <w:shd w:val="clear" w:color="auto" w:fill="CFF0FC"/>
          </w:tcPr>
          <w:p>
            <w:pPr>
              <w:jc w:val="right"/>
              <w:ind w:right="32"/>
              <w:spacing w:after="0"/>
              <w:rPr>
                <w:sz w:val="20"/>
                <w:szCs w:val="20"/>
                <w:color w:val="auto"/>
              </w:rPr>
            </w:pPr>
            <w:r>
              <w:rPr>
                <w:rFonts w:ascii="Arial" w:cs="Arial" w:eastAsia="Arial" w:hAnsi="Arial"/>
                <w:sz w:val="18"/>
                <w:szCs w:val="18"/>
                <w:color w:val="auto"/>
              </w:rPr>
              <w:t>26,638</w:t>
            </w:r>
          </w:p>
        </w:tc>
        <w:tc>
          <w:tcPr>
            <w:tcW w:w="120" w:type="dxa"/>
            <w:vAlign w:val="bottom"/>
            <w:shd w:val="clear" w:color="auto" w:fill="CFF0FC"/>
          </w:tcPr>
          <w:p>
            <w:pPr>
              <w:spacing w:after="0"/>
              <w:rPr>
                <w:sz w:val="22"/>
                <w:szCs w:val="22"/>
                <w:color w:val="auto"/>
              </w:rPr>
            </w:pPr>
          </w:p>
        </w:tc>
        <w:tc>
          <w:tcPr>
            <w:tcW w:w="1020" w:type="dxa"/>
            <w:vAlign w:val="bottom"/>
            <w:shd w:val="clear" w:color="auto" w:fill="CFF0FC"/>
          </w:tcPr>
          <w:p>
            <w:pPr>
              <w:spacing w:after="0"/>
              <w:rPr>
                <w:sz w:val="22"/>
                <w:szCs w:val="22"/>
                <w:color w:val="auto"/>
              </w:rPr>
            </w:pPr>
          </w:p>
        </w:tc>
        <w:tc>
          <w:tcPr>
            <w:tcW w:w="120" w:type="dxa"/>
            <w:vAlign w:val="bottom"/>
            <w:shd w:val="clear" w:color="auto" w:fill="CFF0FC"/>
          </w:tcPr>
          <w:p>
            <w:pPr>
              <w:spacing w:after="0"/>
              <w:rPr>
                <w:sz w:val="22"/>
                <w:szCs w:val="22"/>
                <w:color w:val="auto"/>
              </w:rPr>
            </w:pPr>
          </w:p>
        </w:tc>
        <w:tc>
          <w:tcPr>
            <w:tcW w:w="120" w:type="dxa"/>
            <w:vAlign w:val="bottom"/>
            <w:shd w:val="clear" w:color="auto" w:fill="CFF0FC"/>
          </w:tcPr>
          <w:p>
            <w:pPr>
              <w:spacing w:after="0"/>
              <w:rPr>
                <w:sz w:val="22"/>
                <w:szCs w:val="22"/>
                <w:color w:val="auto"/>
              </w:rPr>
            </w:pPr>
          </w:p>
        </w:tc>
        <w:tc>
          <w:tcPr>
            <w:tcW w:w="900" w:type="dxa"/>
            <w:vAlign w:val="bottom"/>
            <w:shd w:val="clear" w:color="auto" w:fill="CFF0FC"/>
          </w:tcPr>
          <w:p>
            <w:pPr>
              <w:spacing w:after="0"/>
              <w:rPr>
                <w:sz w:val="22"/>
                <w:szCs w:val="22"/>
                <w:color w:val="auto"/>
              </w:rPr>
            </w:pPr>
          </w:p>
        </w:tc>
        <w:tc>
          <w:tcPr>
            <w:tcW w:w="100" w:type="dxa"/>
            <w:vAlign w:val="bottom"/>
            <w:shd w:val="clear" w:color="auto" w:fill="CFF0FC"/>
          </w:tcPr>
          <w:p>
            <w:pPr>
              <w:spacing w:after="0"/>
              <w:rPr>
                <w:sz w:val="22"/>
                <w:szCs w:val="22"/>
                <w:color w:val="auto"/>
              </w:rPr>
            </w:pPr>
          </w:p>
        </w:tc>
        <w:tc>
          <w:tcPr>
            <w:tcW w:w="120" w:type="dxa"/>
            <w:vAlign w:val="bottom"/>
            <w:tcBorders>
              <w:bottom w:val="single" w:sz="8" w:color="auto"/>
            </w:tcBorders>
            <w:shd w:val="clear" w:color="auto" w:fill="CFF0FC"/>
          </w:tcPr>
          <w:p>
            <w:pPr>
              <w:spacing w:after="0"/>
              <w:rPr>
                <w:sz w:val="22"/>
                <w:szCs w:val="22"/>
                <w:color w:val="auto"/>
              </w:rPr>
            </w:pPr>
          </w:p>
        </w:tc>
        <w:tc>
          <w:tcPr>
            <w:tcW w:w="900" w:type="dxa"/>
            <w:vAlign w:val="bottom"/>
            <w:tcBorders>
              <w:bottom w:val="single" w:sz="8" w:color="auto"/>
            </w:tcBorders>
            <w:shd w:val="clear" w:color="auto" w:fill="CFF0FC"/>
          </w:tcPr>
          <w:p>
            <w:pPr>
              <w:jc w:val="right"/>
              <w:ind w:right="32"/>
              <w:spacing w:after="0"/>
              <w:rPr>
                <w:sz w:val="20"/>
                <w:szCs w:val="20"/>
                <w:color w:val="auto"/>
              </w:rPr>
            </w:pPr>
            <w:r>
              <w:rPr>
                <w:rFonts w:ascii="Arial" w:cs="Arial" w:eastAsia="Arial" w:hAnsi="Arial"/>
                <w:sz w:val="18"/>
                <w:szCs w:val="18"/>
                <w:color w:val="auto"/>
              </w:rPr>
              <w:t>30,332</w:t>
            </w:r>
          </w:p>
        </w:tc>
        <w:tc>
          <w:tcPr>
            <w:tcW w:w="100" w:type="dxa"/>
            <w:vAlign w:val="bottom"/>
            <w:shd w:val="clear" w:color="auto" w:fill="CFF0FC"/>
          </w:tcPr>
          <w:p>
            <w:pPr>
              <w:spacing w:after="0"/>
              <w:rPr>
                <w:sz w:val="22"/>
                <w:szCs w:val="22"/>
                <w:color w:val="auto"/>
              </w:rPr>
            </w:pPr>
          </w:p>
        </w:tc>
        <w:tc>
          <w:tcPr>
            <w:tcW w:w="1020" w:type="dxa"/>
            <w:vAlign w:val="bottom"/>
            <w:shd w:val="clear" w:color="auto" w:fill="CFF0FC"/>
          </w:tcPr>
          <w:p>
            <w:pPr>
              <w:spacing w:after="0"/>
              <w:rPr>
                <w:sz w:val="22"/>
                <w:szCs w:val="22"/>
                <w:color w:val="auto"/>
              </w:rPr>
            </w:pPr>
          </w:p>
        </w:tc>
        <w:tc>
          <w:tcPr>
            <w:tcW w:w="100" w:type="dxa"/>
            <w:vAlign w:val="bottom"/>
            <w:shd w:val="clear" w:color="auto" w:fill="CFF0FC"/>
          </w:tcPr>
          <w:p>
            <w:pPr>
              <w:spacing w:after="0"/>
              <w:rPr>
                <w:sz w:val="22"/>
                <w:szCs w:val="22"/>
                <w:color w:val="auto"/>
              </w:rPr>
            </w:pPr>
          </w:p>
        </w:tc>
        <w:tc>
          <w:tcPr>
            <w:tcW w:w="120" w:type="dxa"/>
            <w:vAlign w:val="bottom"/>
            <w:shd w:val="clear" w:color="auto" w:fill="CFF0FC"/>
          </w:tcPr>
          <w:p>
            <w:pPr>
              <w:spacing w:after="0"/>
              <w:rPr>
                <w:sz w:val="22"/>
                <w:szCs w:val="22"/>
                <w:color w:val="auto"/>
              </w:rPr>
            </w:pPr>
          </w:p>
        </w:tc>
        <w:tc>
          <w:tcPr>
            <w:tcW w:w="900" w:type="dxa"/>
            <w:vAlign w:val="bottom"/>
            <w:shd w:val="clear" w:color="auto" w:fill="CFF0FC"/>
          </w:tcPr>
          <w:p>
            <w:pPr>
              <w:spacing w:after="0"/>
              <w:rPr>
                <w:sz w:val="22"/>
                <w:szCs w:val="22"/>
                <w:color w:val="auto"/>
              </w:rPr>
            </w:pPr>
          </w:p>
        </w:tc>
      </w:tr>
      <w:tr>
        <w:trPr>
          <w:trHeight w:val="237"/>
        </w:trPr>
        <w:tc>
          <w:tcPr>
            <w:tcW w:w="4660" w:type="dxa"/>
            <w:vAlign w:val="bottom"/>
          </w:tcPr>
          <w:p>
            <w:pPr>
              <w:ind w:left="20"/>
              <w:spacing w:after="0"/>
              <w:rPr>
                <w:sz w:val="20"/>
                <w:szCs w:val="20"/>
                <w:color w:val="auto"/>
              </w:rPr>
            </w:pPr>
            <w:r>
              <w:rPr>
                <w:rFonts w:ascii="Arial" w:cs="Arial" w:eastAsia="Arial" w:hAnsi="Arial"/>
                <w:sz w:val="18"/>
                <w:szCs w:val="18"/>
                <w:color w:val="auto"/>
              </w:rPr>
              <w:t>Adjusted income before income taxes</w:t>
            </w:r>
          </w:p>
        </w:tc>
        <w:tc>
          <w:tcPr>
            <w:tcW w:w="140" w:type="dxa"/>
            <w:vAlign w:val="bottom"/>
          </w:tcPr>
          <w:p>
            <w:pPr>
              <w:spacing w:after="0"/>
              <w:rPr>
                <w:sz w:val="20"/>
                <w:szCs w:val="20"/>
                <w:color w:val="auto"/>
              </w:rPr>
            </w:pPr>
          </w:p>
        </w:tc>
        <w:tc>
          <w:tcPr>
            <w:tcW w:w="920" w:type="dxa"/>
            <w:vAlign w:val="bottom"/>
          </w:tcPr>
          <w:p>
            <w:pPr>
              <w:jc w:val="right"/>
              <w:ind w:right="32"/>
              <w:spacing w:after="0"/>
              <w:rPr>
                <w:sz w:val="20"/>
                <w:szCs w:val="20"/>
                <w:color w:val="auto"/>
              </w:rPr>
            </w:pPr>
            <w:r>
              <w:rPr>
                <w:rFonts w:ascii="Arial" w:cs="Arial" w:eastAsia="Arial" w:hAnsi="Arial"/>
                <w:sz w:val="18"/>
                <w:szCs w:val="18"/>
                <w:color w:val="auto"/>
              </w:rPr>
              <w:t>80,550</w:t>
            </w:r>
          </w:p>
        </w:tc>
        <w:tc>
          <w:tcPr>
            <w:tcW w:w="1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00" w:type="dxa"/>
            <w:vAlign w:val="bottom"/>
          </w:tcPr>
          <w:p>
            <w:pPr>
              <w:jc w:val="right"/>
              <w:ind w:right="32"/>
              <w:spacing w:after="0"/>
              <w:rPr>
                <w:sz w:val="20"/>
                <w:szCs w:val="20"/>
                <w:color w:val="auto"/>
              </w:rPr>
            </w:pPr>
            <w:r>
              <w:rPr>
                <w:rFonts w:ascii="Arial" w:cs="Arial" w:eastAsia="Arial" w:hAnsi="Arial"/>
                <w:sz w:val="18"/>
                <w:szCs w:val="18"/>
                <w:color w:val="auto"/>
              </w:rPr>
              <w:t>66,202</w:t>
            </w:r>
          </w:p>
        </w:tc>
        <w:tc>
          <w:tcPr>
            <w:tcW w:w="10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00" w:type="dxa"/>
            <w:vAlign w:val="bottom"/>
          </w:tcPr>
          <w:p>
            <w:pPr>
              <w:spacing w:after="0"/>
              <w:rPr>
                <w:sz w:val="20"/>
                <w:szCs w:val="20"/>
                <w:color w:val="auto"/>
              </w:rPr>
            </w:pPr>
          </w:p>
        </w:tc>
      </w:tr>
      <w:tr>
        <w:trPr>
          <w:trHeight w:val="27"/>
        </w:trPr>
        <w:tc>
          <w:tcPr>
            <w:tcW w:w="4660" w:type="dxa"/>
            <w:vAlign w:val="bottom"/>
          </w:tcPr>
          <w:p>
            <w:pPr>
              <w:spacing w:after="0"/>
              <w:rPr>
                <w:sz w:val="2"/>
                <w:szCs w:val="2"/>
                <w:color w:val="auto"/>
              </w:rPr>
            </w:pPr>
          </w:p>
        </w:tc>
        <w:tc>
          <w:tcPr>
            <w:tcW w:w="1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r>
      <w:tr>
        <w:trPr>
          <w:trHeight w:val="270"/>
        </w:trPr>
        <w:tc>
          <w:tcPr>
            <w:tcW w:w="4660" w:type="dxa"/>
            <w:vAlign w:val="bottom"/>
            <w:shd w:val="clear" w:color="auto" w:fill="CFF0FC"/>
          </w:tcPr>
          <w:p>
            <w:pPr>
              <w:ind w:left="20"/>
              <w:spacing w:after="0" w:line="270" w:lineRule="exact"/>
              <w:rPr>
                <w:sz w:val="20"/>
                <w:szCs w:val="20"/>
                <w:color w:val="auto"/>
              </w:rPr>
            </w:pPr>
            <w:r>
              <w:rPr>
                <w:rFonts w:ascii="Arial" w:cs="Arial" w:eastAsia="Arial" w:hAnsi="Arial"/>
                <w:sz w:val="18"/>
                <w:szCs w:val="18"/>
                <w:color w:val="auto"/>
              </w:rPr>
              <w:t>Adjusted income taxes</w:t>
            </w:r>
            <w:r>
              <w:rPr>
                <w:rFonts w:ascii="Arial" w:cs="Arial" w:eastAsia="Arial" w:hAnsi="Arial"/>
                <w:sz w:val="25"/>
                <w:szCs w:val="25"/>
                <w:color w:val="auto"/>
                <w:vertAlign w:val="superscript"/>
              </w:rPr>
              <w:t>(4)</w:t>
            </w:r>
          </w:p>
        </w:tc>
        <w:tc>
          <w:tcPr>
            <w:tcW w:w="140" w:type="dxa"/>
            <w:vAlign w:val="bottom"/>
            <w:tcBorders>
              <w:bottom w:val="single" w:sz="8" w:color="auto"/>
            </w:tcBorders>
            <w:shd w:val="clear" w:color="auto" w:fill="CFF0FC"/>
          </w:tcPr>
          <w:p>
            <w:pPr>
              <w:spacing w:after="0"/>
              <w:rPr>
                <w:sz w:val="23"/>
                <w:szCs w:val="23"/>
                <w:color w:val="auto"/>
              </w:rPr>
            </w:pPr>
          </w:p>
        </w:tc>
        <w:tc>
          <w:tcPr>
            <w:tcW w:w="920" w:type="dxa"/>
            <w:vAlign w:val="bottom"/>
            <w:tcBorders>
              <w:bottom w:val="single" w:sz="8" w:color="auto"/>
            </w:tcBorders>
            <w:shd w:val="clear" w:color="auto" w:fill="CFF0FC"/>
          </w:tcPr>
          <w:p>
            <w:pPr>
              <w:jc w:val="right"/>
              <w:ind w:right="32"/>
              <w:spacing w:after="0"/>
              <w:rPr>
                <w:sz w:val="20"/>
                <w:szCs w:val="20"/>
                <w:color w:val="auto"/>
              </w:rPr>
            </w:pPr>
            <w:r>
              <w:rPr>
                <w:rFonts w:ascii="Arial" w:cs="Arial" w:eastAsia="Arial" w:hAnsi="Arial"/>
                <w:sz w:val="18"/>
                <w:szCs w:val="18"/>
                <w:color w:val="auto"/>
              </w:rPr>
              <w:t>21,185</w:t>
            </w:r>
          </w:p>
        </w:tc>
        <w:tc>
          <w:tcPr>
            <w:tcW w:w="120" w:type="dxa"/>
            <w:vAlign w:val="bottom"/>
            <w:shd w:val="clear" w:color="auto" w:fill="CFF0FC"/>
          </w:tcPr>
          <w:p>
            <w:pPr>
              <w:spacing w:after="0"/>
              <w:rPr>
                <w:sz w:val="23"/>
                <w:szCs w:val="23"/>
                <w:color w:val="auto"/>
              </w:rPr>
            </w:pPr>
          </w:p>
        </w:tc>
        <w:tc>
          <w:tcPr>
            <w:tcW w:w="1020" w:type="dxa"/>
            <w:vAlign w:val="bottom"/>
            <w:shd w:val="clear" w:color="auto" w:fill="CFF0FC"/>
          </w:tcPr>
          <w:p>
            <w:pPr>
              <w:spacing w:after="0"/>
              <w:rPr>
                <w:sz w:val="23"/>
                <w:szCs w:val="23"/>
                <w:color w:val="auto"/>
              </w:rPr>
            </w:pPr>
          </w:p>
        </w:tc>
        <w:tc>
          <w:tcPr>
            <w:tcW w:w="120" w:type="dxa"/>
            <w:vAlign w:val="bottom"/>
            <w:shd w:val="clear" w:color="auto" w:fill="CFF0FC"/>
          </w:tcPr>
          <w:p>
            <w:pPr>
              <w:spacing w:after="0"/>
              <w:rPr>
                <w:sz w:val="23"/>
                <w:szCs w:val="23"/>
                <w:color w:val="auto"/>
              </w:rPr>
            </w:pPr>
          </w:p>
        </w:tc>
        <w:tc>
          <w:tcPr>
            <w:tcW w:w="120" w:type="dxa"/>
            <w:vAlign w:val="bottom"/>
            <w:shd w:val="clear" w:color="auto" w:fill="CFF0FC"/>
          </w:tcPr>
          <w:p>
            <w:pPr>
              <w:spacing w:after="0"/>
              <w:rPr>
                <w:sz w:val="23"/>
                <w:szCs w:val="23"/>
                <w:color w:val="auto"/>
              </w:rPr>
            </w:pPr>
          </w:p>
        </w:tc>
        <w:tc>
          <w:tcPr>
            <w:tcW w:w="900" w:type="dxa"/>
            <w:vAlign w:val="bottom"/>
            <w:shd w:val="clear" w:color="auto" w:fill="CFF0FC"/>
          </w:tcPr>
          <w:p>
            <w:pPr>
              <w:spacing w:after="0"/>
              <w:rPr>
                <w:sz w:val="23"/>
                <w:szCs w:val="23"/>
                <w:color w:val="auto"/>
              </w:rPr>
            </w:pPr>
          </w:p>
        </w:tc>
        <w:tc>
          <w:tcPr>
            <w:tcW w:w="100" w:type="dxa"/>
            <w:vAlign w:val="bottom"/>
            <w:shd w:val="clear" w:color="auto" w:fill="CFF0FC"/>
          </w:tcPr>
          <w:p>
            <w:pPr>
              <w:spacing w:after="0"/>
              <w:rPr>
                <w:sz w:val="23"/>
                <w:szCs w:val="23"/>
                <w:color w:val="auto"/>
              </w:rPr>
            </w:pPr>
          </w:p>
        </w:tc>
        <w:tc>
          <w:tcPr>
            <w:tcW w:w="120" w:type="dxa"/>
            <w:vAlign w:val="bottom"/>
            <w:tcBorders>
              <w:bottom w:val="single" w:sz="8" w:color="auto"/>
            </w:tcBorders>
            <w:shd w:val="clear" w:color="auto" w:fill="CFF0FC"/>
          </w:tcPr>
          <w:p>
            <w:pPr>
              <w:spacing w:after="0"/>
              <w:rPr>
                <w:sz w:val="23"/>
                <w:szCs w:val="23"/>
                <w:color w:val="auto"/>
              </w:rPr>
            </w:pPr>
          </w:p>
        </w:tc>
        <w:tc>
          <w:tcPr>
            <w:tcW w:w="900" w:type="dxa"/>
            <w:vAlign w:val="bottom"/>
            <w:tcBorders>
              <w:bottom w:val="single" w:sz="8" w:color="auto"/>
            </w:tcBorders>
            <w:shd w:val="clear" w:color="auto" w:fill="CFF0FC"/>
          </w:tcPr>
          <w:p>
            <w:pPr>
              <w:jc w:val="right"/>
              <w:ind w:right="32"/>
              <w:spacing w:after="0"/>
              <w:rPr>
                <w:sz w:val="20"/>
                <w:szCs w:val="20"/>
                <w:color w:val="auto"/>
              </w:rPr>
            </w:pPr>
            <w:r>
              <w:rPr>
                <w:rFonts w:ascii="Arial" w:cs="Arial" w:eastAsia="Arial" w:hAnsi="Arial"/>
                <w:sz w:val="18"/>
                <w:szCs w:val="18"/>
                <w:color w:val="auto"/>
              </w:rPr>
              <w:t>26,150</w:t>
            </w:r>
          </w:p>
        </w:tc>
        <w:tc>
          <w:tcPr>
            <w:tcW w:w="100" w:type="dxa"/>
            <w:vAlign w:val="bottom"/>
            <w:shd w:val="clear" w:color="auto" w:fill="CFF0FC"/>
          </w:tcPr>
          <w:p>
            <w:pPr>
              <w:spacing w:after="0"/>
              <w:rPr>
                <w:sz w:val="23"/>
                <w:szCs w:val="23"/>
                <w:color w:val="auto"/>
              </w:rPr>
            </w:pPr>
          </w:p>
        </w:tc>
        <w:tc>
          <w:tcPr>
            <w:tcW w:w="1020" w:type="dxa"/>
            <w:vAlign w:val="bottom"/>
            <w:shd w:val="clear" w:color="auto" w:fill="CFF0FC"/>
          </w:tcPr>
          <w:p>
            <w:pPr>
              <w:spacing w:after="0"/>
              <w:rPr>
                <w:sz w:val="23"/>
                <w:szCs w:val="23"/>
                <w:color w:val="auto"/>
              </w:rPr>
            </w:pPr>
          </w:p>
        </w:tc>
        <w:tc>
          <w:tcPr>
            <w:tcW w:w="100" w:type="dxa"/>
            <w:vAlign w:val="bottom"/>
            <w:shd w:val="clear" w:color="auto" w:fill="CFF0FC"/>
          </w:tcPr>
          <w:p>
            <w:pPr>
              <w:spacing w:after="0"/>
              <w:rPr>
                <w:sz w:val="23"/>
                <w:szCs w:val="23"/>
                <w:color w:val="auto"/>
              </w:rPr>
            </w:pPr>
          </w:p>
        </w:tc>
        <w:tc>
          <w:tcPr>
            <w:tcW w:w="120" w:type="dxa"/>
            <w:vAlign w:val="bottom"/>
            <w:shd w:val="clear" w:color="auto" w:fill="CFF0FC"/>
          </w:tcPr>
          <w:p>
            <w:pPr>
              <w:spacing w:after="0"/>
              <w:rPr>
                <w:sz w:val="23"/>
                <w:szCs w:val="23"/>
                <w:color w:val="auto"/>
              </w:rPr>
            </w:pPr>
          </w:p>
        </w:tc>
        <w:tc>
          <w:tcPr>
            <w:tcW w:w="900" w:type="dxa"/>
            <w:vAlign w:val="bottom"/>
            <w:shd w:val="clear" w:color="auto" w:fill="CFF0FC"/>
          </w:tcPr>
          <w:p>
            <w:pPr>
              <w:spacing w:after="0"/>
              <w:rPr>
                <w:sz w:val="23"/>
                <w:szCs w:val="23"/>
                <w:color w:val="auto"/>
              </w:rPr>
            </w:pPr>
          </w:p>
        </w:tc>
      </w:tr>
      <w:tr>
        <w:trPr>
          <w:trHeight w:val="257"/>
        </w:trPr>
        <w:tc>
          <w:tcPr>
            <w:tcW w:w="4660" w:type="dxa"/>
            <w:vAlign w:val="bottom"/>
          </w:tcPr>
          <w:p>
            <w:pPr>
              <w:ind w:left="20"/>
              <w:spacing w:after="0"/>
              <w:rPr>
                <w:sz w:val="20"/>
                <w:szCs w:val="20"/>
                <w:color w:val="auto"/>
              </w:rPr>
            </w:pPr>
            <w:r>
              <w:rPr>
                <w:rFonts w:ascii="Arial" w:cs="Arial" w:eastAsia="Arial" w:hAnsi="Arial"/>
                <w:sz w:val="18"/>
                <w:szCs w:val="18"/>
                <w:color w:val="auto"/>
              </w:rPr>
              <w:t>Adjusted Net Income</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auto"/>
            </w:tcBorders>
          </w:tcPr>
          <w:p>
            <w:pPr>
              <w:jc w:val="right"/>
              <w:ind w:right="32"/>
              <w:spacing w:after="0"/>
              <w:rPr>
                <w:sz w:val="20"/>
                <w:szCs w:val="20"/>
                <w:color w:val="auto"/>
              </w:rPr>
            </w:pPr>
            <w:r>
              <w:rPr>
                <w:rFonts w:ascii="Arial" w:cs="Arial" w:eastAsia="Arial" w:hAnsi="Arial"/>
                <w:sz w:val="18"/>
                <w:szCs w:val="18"/>
                <w:color w:val="auto"/>
              </w:rPr>
              <w:t>59,365</w:t>
            </w:r>
          </w:p>
        </w:tc>
        <w:tc>
          <w:tcPr>
            <w:tcW w:w="1140" w:type="dxa"/>
            <w:vAlign w:val="bottom"/>
            <w:gridSpan w:val="2"/>
          </w:tcPr>
          <w:p>
            <w:pPr>
              <w:jc w:val="right"/>
              <w:ind w:right="19"/>
              <w:spacing w:after="0"/>
              <w:rPr>
                <w:sz w:val="20"/>
                <w:szCs w:val="20"/>
                <w:color w:val="auto"/>
              </w:rPr>
            </w:pPr>
            <w:r>
              <w:rPr>
                <w:rFonts w:ascii="Arial" w:cs="Arial" w:eastAsia="Arial" w:hAnsi="Arial"/>
                <w:sz w:val="18"/>
                <w:szCs w:val="18"/>
                <w:color w:val="auto"/>
              </w:rPr>
              <w:t>98,760</w:t>
            </w:r>
          </w:p>
        </w:tc>
        <w:tc>
          <w:tcPr>
            <w:tcW w:w="12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900" w:type="dxa"/>
            <w:vAlign w:val="bottom"/>
          </w:tcPr>
          <w:p>
            <w:pPr>
              <w:jc w:val="right"/>
              <w:ind w:right="35"/>
              <w:spacing w:after="0"/>
              <w:rPr>
                <w:sz w:val="20"/>
                <w:szCs w:val="20"/>
                <w:color w:val="auto"/>
              </w:rPr>
            </w:pPr>
            <w:r>
              <w:rPr>
                <w:rFonts w:ascii="Arial" w:cs="Arial" w:eastAsia="Arial" w:hAnsi="Arial"/>
                <w:sz w:val="18"/>
                <w:szCs w:val="18"/>
                <w:color w:val="auto"/>
              </w:rPr>
              <w:t>0.60</w:t>
            </w:r>
          </w:p>
        </w:tc>
        <w:tc>
          <w:tcPr>
            <w:tcW w:w="100" w:type="dxa"/>
            <w:vAlign w:val="bottom"/>
          </w:tcPr>
          <w:p>
            <w:pPr>
              <w:spacing w:after="0"/>
              <w:rPr>
                <w:sz w:val="22"/>
                <w:szCs w:val="22"/>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auto"/>
            </w:tcBorders>
          </w:tcPr>
          <w:p>
            <w:pPr>
              <w:jc w:val="right"/>
              <w:ind w:right="32"/>
              <w:spacing w:after="0"/>
              <w:rPr>
                <w:sz w:val="20"/>
                <w:szCs w:val="20"/>
                <w:color w:val="auto"/>
              </w:rPr>
            </w:pPr>
            <w:r>
              <w:rPr>
                <w:rFonts w:ascii="Arial" w:cs="Arial" w:eastAsia="Arial" w:hAnsi="Arial"/>
                <w:sz w:val="18"/>
                <w:szCs w:val="18"/>
                <w:color w:val="auto"/>
              </w:rPr>
              <w:t>40,052</w:t>
            </w:r>
          </w:p>
        </w:tc>
        <w:tc>
          <w:tcPr>
            <w:tcW w:w="1120" w:type="dxa"/>
            <w:vAlign w:val="bottom"/>
            <w:gridSpan w:val="2"/>
          </w:tcPr>
          <w:p>
            <w:pPr>
              <w:jc w:val="right"/>
              <w:ind w:right="39"/>
              <w:spacing w:after="0"/>
              <w:rPr>
                <w:sz w:val="20"/>
                <w:szCs w:val="20"/>
                <w:color w:val="auto"/>
              </w:rPr>
            </w:pPr>
            <w:r>
              <w:rPr>
                <w:rFonts w:ascii="Arial" w:cs="Arial" w:eastAsia="Arial" w:hAnsi="Arial"/>
                <w:sz w:val="18"/>
                <w:szCs w:val="18"/>
                <w:color w:val="auto"/>
              </w:rPr>
              <w:t>98,459</w:t>
            </w:r>
          </w:p>
        </w:tc>
        <w:tc>
          <w:tcPr>
            <w:tcW w:w="10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900" w:type="dxa"/>
            <w:vAlign w:val="bottom"/>
          </w:tcPr>
          <w:p>
            <w:pPr>
              <w:jc w:val="right"/>
              <w:ind w:right="35"/>
              <w:spacing w:after="0"/>
              <w:rPr>
                <w:sz w:val="20"/>
                <w:szCs w:val="20"/>
                <w:color w:val="auto"/>
              </w:rPr>
            </w:pPr>
            <w:r>
              <w:rPr>
                <w:rFonts w:ascii="Arial" w:cs="Arial" w:eastAsia="Arial" w:hAnsi="Arial"/>
                <w:sz w:val="18"/>
                <w:szCs w:val="18"/>
                <w:color w:val="auto"/>
              </w:rPr>
              <w:t>0.41</w:t>
            </w:r>
          </w:p>
        </w:tc>
      </w:tr>
      <w:tr>
        <w:trPr>
          <w:trHeight w:val="20"/>
        </w:trPr>
        <w:tc>
          <w:tcPr>
            <w:tcW w:w="46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r>
    </w:tbl>
    <w:p>
      <w:pPr>
        <w:spacing w:after="0" w:line="310" w:lineRule="exact"/>
        <w:rPr>
          <w:sz w:val="20"/>
          <w:szCs w:val="20"/>
          <w:color w:val="auto"/>
        </w:rPr>
      </w:pPr>
    </w:p>
    <w:p>
      <w:pPr>
        <w:ind w:left="580" w:hanging="315"/>
        <w:spacing w:after="0"/>
        <w:tabs>
          <w:tab w:leader="none" w:pos="580" w:val="left"/>
        </w:tabs>
        <w:numPr>
          <w:ilvl w:val="0"/>
          <w:numId w:val="18"/>
        </w:numPr>
        <w:rPr>
          <w:rFonts w:ascii="Arial" w:cs="Arial" w:eastAsia="Arial" w:hAnsi="Arial"/>
          <w:sz w:val="16"/>
          <w:szCs w:val="16"/>
          <w:color w:val="auto"/>
        </w:rPr>
      </w:pPr>
      <w:r>
        <w:rPr>
          <w:rFonts w:ascii="Arial" w:cs="Arial" w:eastAsia="Arial" w:hAnsi="Arial"/>
          <w:sz w:val="16"/>
          <w:szCs w:val="16"/>
          <w:color w:val="auto"/>
        </w:rPr>
        <w:t>Represents net income attributable to Planet Fitness, Inc. and the associated weighted average shares, diluted of Class A common stock outstanding.</w:t>
      </w:r>
    </w:p>
    <w:p>
      <w:pPr>
        <w:spacing w:after="0" w:line="46" w:lineRule="exact"/>
        <w:rPr>
          <w:rFonts w:ascii="Arial" w:cs="Arial" w:eastAsia="Arial" w:hAnsi="Arial"/>
          <w:sz w:val="16"/>
          <w:szCs w:val="16"/>
          <w:color w:val="auto"/>
        </w:rPr>
      </w:pPr>
    </w:p>
    <w:p>
      <w:pPr>
        <w:jc w:val="both"/>
        <w:ind w:left="580" w:hanging="315"/>
        <w:spacing w:after="0" w:line="250" w:lineRule="auto"/>
        <w:tabs>
          <w:tab w:leader="none" w:pos="5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Assumes the full exchange of all outstanding Holdings Units and corresponding shares of Class B common stock for shares of Class A common stock of Planet Fitness, Inc. Also assumes the addition of net income attributable to non-controlling interests corresponding with the assumed exchange of Holdings Units and Class B common shares for shares of Class A common stock.</w:t>
      </w:r>
    </w:p>
    <w:p>
      <w:pPr>
        <w:spacing w:after="0" w:line="1" w:lineRule="exact"/>
        <w:rPr>
          <w:rFonts w:ascii="Arial" w:cs="Arial" w:eastAsia="Arial" w:hAnsi="Arial"/>
          <w:sz w:val="18"/>
          <w:szCs w:val="18"/>
          <w:color w:val="auto"/>
        </w:rPr>
      </w:pPr>
    </w:p>
    <w:p>
      <w:pPr>
        <w:ind w:left="580" w:hanging="315"/>
        <w:spacing w:after="0"/>
        <w:tabs>
          <w:tab w:leader="none" w:pos="580" w:val="left"/>
        </w:tabs>
        <w:numPr>
          <w:ilvl w:val="0"/>
          <w:numId w:val="18"/>
        </w:numPr>
        <w:rPr>
          <w:rFonts w:ascii="Arial" w:cs="Arial" w:eastAsia="Arial" w:hAnsi="Arial"/>
          <w:sz w:val="16"/>
          <w:szCs w:val="16"/>
          <w:color w:val="auto"/>
        </w:rPr>
      </w:pPr>
      <w:r>
        <w:rPr>
          <w:rFonts w:ascii="Arial" w:cs="Arial" w:eastAsia="Arial" w:hAnsi="Arial"/>
          <w:sz w:val="16"/>
          <w:szCs w:val="16"/>
          <w:color w:val="auto"/>
        </w:rPr>
        <w:t>Represents the total impact of all adjustments identified in the adjusted net income table above to arrive at adjusted income before income taxes.</w:t>
      </w:r>
    </w:p>
    <w:p>
      <w:pPr>
        <w:spacing w:after="0" w:line="32" w:lineRule="exact"/>
        <w:rPr>
          <w:rFonts w:ascii="Arial" w:cs="Arial" w:eastAsia="Arial" w:hAnsi="Arial"/>
          <w:sz w:val="16"/>
          <w:szCs w:val="16"/>
          <w:color w:val="auto"/>
        </w:rPr>
      </w:pPr>
    </w:p>
    <w:p>
      <w:pPr>
        <w:ind w:left="580" w:hanging="315"/>
        <w:spacing w:after="0" w:line="261" w:lineRule="auto"/>
        <w:tabs>
          <w:tab w:leader="none" w:pos="5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 xml:space="preserve">Represents corporate income taxes at an assumed effective tax rate of 26.3% and 39.5% for the three and six </w:t>
      </w:r>
      <w:r>
        <w:rPr>
          <w:rFonts w:ascii="Arial" w:cs="Arial" w:eastAsia="Arial" w:hAnsi="Arial"/>
          <w:sz w:val="18"/>
          <w:szCs w:val="18"/>
          <w:color w:val="231F20"/>
        </w:rPr>
        <w:t>months ended</w:t>
      </w:r>
      <w:r>
        <w:rPr>
          <w:rFonts w:ascii="Arial" w:cs="Arial" w:eastAsia="Arial" w:hAnsi="Arial"/>
          <w:sz w:val="18"/>
          <w:szCs w:val="18"/>
          <w:color w:val="auto"/>
        </w:rPr>
        <w:t xml:space="preserve"> June 30, 2018 </w:t>
      </w:r>
      <w:r>
        <w:rPr>
          <w:rFonts w:ascii="Arial" w:cs="Arial" w:eastAsia="Arial" w:hAnsi="Arial"/>
          <w:sz w:val="18"/>
          <w:szCs w:val="18"/>
          <w:color w:val="231F20"/>
        </w:rPr>
        <w:t>and</w:t>
      </w:r>
      <w:r>
        <w:rPr>
          <w:rFonts w:ascii="Arial" w:cs="Arial" w:eastAsia="Arial" w:hAnsi="Arial"/>
          <w:sz w:val="18"/>
          <w:szCs w:val="18"/>
          <w:color w:val="auto"/>
        </w:rPr>
        <w:t xml:space="preserve"> 2017, respectively, applied to adjusted income before income taxes.</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420"/>
          </w:cols>
          <w:pgMar w:left="240" w:top="233" w:right="239" w:bottom="1440" w:gutter="0" w:footer="0" w:header="0"/>
        </w:sectPr>
      </w:pPr>
    </w:p>
    <w:bookmarkStart w:id="38" w:name="page39"/>
    <w:bookmarkEnd w:id="3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7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121" w:lineRule="exact"/>
        <w:rPr>
          <w:sz w:val="20"/>
          <w:szCs w:val="20"/>
          <w:color w:val="auto"/>
        </w:rPr>
      </w:pPr>
    </w:p>
    <w:p>
      <w:pPr>
        <w:spacing w:after="0"/>
        <w:rPr>
          <w:sz w:val="20"/>
          <w:szCs w:val="20"/>
          <w:color w:val="auto"/>
        </w:rPr>
      </w:pPr>
      <w:r>
        <w:rPr>
          <w:rFonts w:ascii="Arial" w:cs="Arial" w:eastAsia="Arial" w:hAnsi="Arial"/>
          <w:sz w:val="17"/>
          <w:szCs w:val="17"/>
          <w:color w:val="auto"/>
        </w:rPr>
        <w:t>The following table sets forth our condensed consolidated statements of operations as a percentage of total revenue for the three and six months ended</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June 30, 2018 and 2017:</w:t>
      </w:r>
    </w:p>
    <w:p>
      <w:pPr>
        <w:spacing w:after="0" w:line="200" w:lineRule="exact"/>
        <w:rPr>
          <w:sz w:val="20"/>
          <w:szCs w:val="20"/>
          <w:color w:val="auto"/>
        </w:rPr>
      </w:pP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8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780" w:type="dxa"/>
            <w:vAlign w:val="bottom"/>
            <w:tcBorders>
              <w:bottom w:val="single" w:sz="8" w:color="auto"/>
            </w:tcBorders>
            <w:gridSpan w:val="3"/>
          </w:tcPr>
          <w:p>
            <w:pPr>
              <w:jc w:val="right"/>
              <w:ind w:right="371"/>
              <w:spacing w:after="0"/>
              <w:rPr>
                <w:sz w:val="20"/>
                <w:szCs w:val="20"/>
                <w:color w:val="auto"/>
              </w:rPr>
            </w:pPr>
            <w:r>
              <w:rPr>
                <w:rFonts w:ascii="Arial" w:cs="Arial" w:eastAsia="Arial" w:hAnsi="Arial"/>
                <w:sz w:val="14"/>
                <w:szCs w:val="14"/>
                <w:b w:val="1"/>
                <w:bCs w:val="1"/>
                <w:color w:val="auto"/>
              </w:rPr>
              <w:t>Three months ended June 30,</w:t>
            </w:r>
          </w:p>
        </w:tc>
        <w:tc>
          <w:tcPr>
            <w:tcW w:w="120" w:type="dxa"/>
            <w:vAlign w:val="bottom"/>
          </w:tcPr>
          <w:p>
            <w:pPr>
              <w:spacing w:after="0"/>
              <w:rPr>
                <w:sz w:val="16"/>
                <w:szCs w:val="16"/>
                <w:color w:val="auto"/>
              </w:rPr>
            </w:pPr>
          </w:p>
        </w:tc>
        <w:tc>
          <w:tcPr>
            <w:tcW w:w="2780" w:type="dxa"/>
            <w:vAlign w:val="bottom"/>
            <w:tcBorders>
              <w:bottom w:val="single" w:sz="8" w:color="auto"/>
            </w:tcBorders>
            <w:gridSpan w:val="3"/>
          </w:tcPr>
          <w:p>
            <w:pPr>
              <w:jc w:val="right"/>
              <w:ind w:right="471"/>
              <w:spacing w:after="0"/>
              <w:rPr>
                <w:sz w:val="20"/>
                <w:szCs w:val="20"/>
                <w:color w:val="auto"/>
              </w:rPr>
            </w:pPr>
            <w:r>
              <w:rPr>
                <w:rFonts w:ascii="Arial" w:cs="Arial" w:eastAsia="Arial" w:hAnsi="Arial"/>
                <w:sz w:val="14"/>
                <w:szCs w:val="14"/>
                <w:b w:val="1"/>
                <w:bCs w:val="1"/>
                <w:color w:val="auto"/>
              </w:rPr>
              <w:t>Six months ended June 30,</w:t>
            </w:r>
          </w:p>
        </w:tc>
      </w:tr>
      <w:tr>
        <w:trPr>
          <w:trHeight w:val="264"/>
        </w:trPr>
        <w:tc>
          <w:tcPr>
            <w:tcW w:w="4840" w:type="dxa"/>
            <w:vAlign w:val="bottom"/>
          </w:tcPr>
          <w:p>
            <w:pPr>
              <w:spacing w:after="0"/>
              <w:rPr>
                <w:sz w:val="22"/>
                <w:szCs w:val="22"/>
                <w:color w:val="auto"/>
              </w:rPr>
            </w:pPr>
          </w:p>
        </w:tc>
        <w:tc>
          <w:tcPr>
            <w:tcW w:w="2240" w:type="dxa"/>
            <w:vAlign w:val="bottom"/>
            <w:gridSpan w:val="2"/>
          </w:tcPr>
          <w:p>
            <w:pPr>
              <w:jc w:val="right"/>
              <w:ind w:right="432"/>
              <w:spacing w:after="0"/>
              <w:rPr>
                <w:sz w:val="20"/>
                <w:szCs w:val="20"/>
                <w:color w:val="auto"/>
              </w:rPr>
            </w:pPr>
            <w:r>
              <w:rPr>
                <w:rFonts w:ascii="Arial" w:cs="Arial" w:eastAsia="Arial" w:hAnsi="Arial"/>
                <w:sz w:val="14"/>
                <w:szCs w:val="14"/>
                <w:b w:val="1"/>
                <w:bCs w:val="1"/>
                <w:color w:val="auto"/>
              </w:rPr>
              <w:t>2018</w:t>
            </w:r>
          </w:p>
        </w:tc>
        <w:tc>
          <w:tcPr>
            <w:tcW w:w="120" w:type="dxa"/>
            <w:vAlign w:val="bottom"/>
          </w:tcPr>
          <w:p>
            <w:pPr>
              <w:spacing w:after="0"/>
              <w:rPr>
                <w:sz w:val="22"/>
                <w:szCs w:val="22"/>
                <w:color w:val="auto"/>
              </w:rPr>
            </w:pPr>
          </w:p>
        </w:tc>
        <w:tc>
          <w:tcPr>
            <w:tcW w:w="1320" w:type="dxa"/>
            <w:vAlign w:val="bottom"/>
          </w:tcPr>
          <w:p>
            <w:pPr>
              <w:jc w:val="right"/>
              <w:ind w:right="431"/>
              <w:spacing w:after="0"/>
              <w:rPr>
                <w:sz w:val="20"/>
                <w:szCs w:val="20"/>
                <w:color w:val="auto"/>
              </w:rPr>
            </w:pPr>
            <w:r>
              <w:rPr>
                <w:rFonts w:ascii="Arial" w:cs="Arial" w:eastAsia="Arial" w:hAnsi="Arial"/>
                <w:sz w:val="14"/>
                <w:szCs w:val="14"/>
                <w:b w:val="1"/>
                <w:bCs w:val="1"/>
                <w:color w:val="auto"/>
              </w:rPr>
              <w:t>2017</w:t>
            </w:r>
          </w:p>
        </w:tc>
        <w:tc>
          <w:tcPr>
            <w:tcW w:w="120" w:type="dxa"/>
            <w:vAlign w:val="bottom"/>
          </w:tcPr>
          <w:p>
            <w:pPr>
              <w:spacing w:after="0"/>
              <w:rPr>
                <w:sz w:val="22"/>
                <w:szCs w:val="22"/>
                <w:color w:val="auto"/>
              </w:rPr>
            </w:pPr>
          </w:p>
        </w:tc>
        <w:tc>
          <w:tcPr>
            <w:tcW w:w="1340" w:type="dxa"/>
            <w:vAlign w:val="bottom"/>
          </w:tcPr>
          <w:p>
            <w:pPr>
              <w:jc w:val="right"/>
              <w:ind w:right="431"/>
              <w:spacing w:after="0"/>
              <w:rPr>
                <w:sz w:val="20"/>
                <w:szCs w:val="20"/>
                <w:color w:val="auto"/>
              </w:rPr>
            </w:pPr>
            <w:r>
              <w:rPr>
                <w:rFonts w:ascii="Arial" w:cs="Arial" w:eastAsia="Arial" w:hAnsi="Arial"/>
                <w:sz w:val="14"/>
                <w:szCs w:val="14"/>
                <w:b w:val="1"/>
                <w:bCs w:val="1"/>
                <w:color w:val="auto"/>
              </w:rPr>
              <w:t>2018</w:t>
            </w:r>
          </w:p>
        </w:tc>
        <w:tc>
          <w:tcPr>
            <w:tcW w:w="100" w:type="dxa"/>
            <w:vAlign w:val="bottom"/>
          </w:tcPr>
          <w:p>
            <w:pPr>
              <w:spacing w:after="0"/>
              <w:rPr>
                <w:sz w:val="22"/>
                <w:szCs w:val="22"/>
                <w:color w:val="auto"/>
              </w:rPr>
            </w:pPr>
          </w:p>
        </w:tc>
        <w:tc>
          <w:tcPr>
            <w:tcW w:w="1340" w:type="dxa"/>
            <w:vAlign w:val="bottom"/>
          </w:tcPr>
          <w:p>
            <w:pPr>
              <w:jc w:val="right"/>
              <w:ind w:right="431"/>
              <w:spacing w:after="0"/>
              <w:rPr>
                <w:sz w:val="20"/>
                <w:szCs w:val="20"/>
                <w:color w:val="auto"/>
              </w:rPr>
            </w:pPr>
            <w:r>
              <w:rPr>
                <w:rFonts w:ascii="Arial" w:cs="Arial" w:eastAsia="Arial" w:hAnsi="Arial"/>
                <w:sz w:val="14"/>
                <w:szCs w:val="14"/>
                <w:b w:val="1"/>
                <w:bCs w:val="1"/>
                <w:color w:val="auto"/>
              </w:rPr>
              <w:t>2017</w:t>
            </w:r>
          </w:p>
        </w:tc>
      </w:tr>
      <w:tr>
        <w:trPr>
          <w:trHeight w:val="250"/>
        </w:trPr>
        <w:tc>
          <w:tcPr>
            <w:tcW w:w="4840" w:type="dxa"/>
            <w:vAlign w:val="bottom"/>
            <w:tcBorders>
              <w:top w:val="single" w:sz="8" w:color="CFF0FC"/>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Revenue:</w:t>
            </w:r>
          </w:p>
        </w:tc>
        <w:tc>
          <w:tcPr>
            <w:tcW w:w="900" w:type="dxa"/>
            <w:vAlign w:val="bottom"/>
            <w:tcBorders>
              <w:top w:val="single" w:sz="8" w:color="CFF0FC"/>
              <w:bottom w:val="single" w:sz="8" w:color="CFF0FC"/>
            </w:tcBorders>
            <w:shd w:val="clear" w:color="auto" w:fill="CFF0FC"/>
          </w:tcPr>
          <w:p>
            <w:pPr>
              <w:spacing w:after="0"/>
              <w:rPr>
                <w:sz w:val="21"/>
                <w:szCs w:val="21"/>
                <w:color w:val="auto"/>
              </w:rPr>
            </w:pPr>
          </w:p>
        </w:tc>
        <w:tc>
          <w:tcPr>
            <w:tcW w:w="1340" w:type="dxa"/>
            <w:vAlign w:val="bottom"/>
            <w:tcBorders>
              <w:top w:val="single" w:sz="8" w:color="auto"/>
              <w:bottom w:val="single" w:sz="8" w:color="CFF0FC"/>
            </w:tcBorders>
            <w:shd w:val="clear" w:color="auto" w:fill="CFF0FC"/>
          </w:tcPr>
          <w:p>
            <w:pPr>
              <w:spacing w:after="0"/>
              <w:rPr>
                <w:sz w:val="21"/>
                <w:szCs w:val="21"/>
                <w:color w:val="auto"/>
              </w:rPr>
            </w:pPr>
          </w:p>
        </w:tc>
        <w:tc>
          <w:tcPr>
            <w:tcW w:w="120" w:type="dxa"/>
            <w:vAlign w:val="bottom"/>
            <w:tcBorders>
              <w:top w:val="single" w:sz="8" w:color="CFF0FC"/>
              <w:bottom w:val="single" w:sz="8" w:color="CFF0FC"/>
            </w:tcBorders>
            <w:shd w:val="clear" w:color="auto" w:fill="CFF0FC"/>
          </w:tcPr>
          <w:p>
            <w:pPr>
              <w:spacing w:after="0"/>
              <w:rPr>
                <w:sz w:val="21"/>
                <w:szCs w:val="21"/>
                <w:color w:val="auto"/>
              </w:rPr>
            </w:pPr>
          </w:p>
        </w:tc>
        <w:tc>
          <w:tcPr>
            <w:tcW w:w="1320" w:type="dxa"/>
            <w:vAlign w:val="bottom"/>
            <w:tcBorders>
              <w:top w:val="single" w:sz="8" w:color="auto"/>
              <w:bottom w:val="single" w:sz="8" w:color="CFF0FC"/>
            </w:tcBorders>
            <w:shd w:val="clear" w:color="auto" w:fill="CFF0FC"/>
          </w:tcPr>
          <w:p>
            <w:pPr>
              <w:spacing w:after="0"/>
              <w:rPr>
                <w:sz w:val="21"/>
                <w:szCs w:val="21"/>
                <w:color w:val="auto"/>
              </w:rPr>
            </w:pPr>
          </w:p>
        </w:tc>
        <w:tc>
          <w:tcPr>
            <w:tcW w:w="120" w:type="dxa"/>
            <w:vAlign w:val="bottom"/>
            <w:tcBorders>
              <w:top w:val="single" w:sz="8" w:color="CFF0FC"/>
              <w:bottom w:val="single" w:sz="8" w:color="CFF0FC"/>
            </w:tcBorders>
            <w:shd w:val="clear" w:color="auto" w:fill="CFF0FC"/>
          </w:tcPr>
          <w:p>
            <w:pPr>
              <w:spacing w:after="0"/>
              <w:rPr>
                <w:sz w:val="21"/>
                <w:szCs w:val="21"/>
                <w:color w:val="auto"/>
              </w:rPr>
            </w:pPr>
          </w:p>
        </w:tc>
        <w:tc>
          <w:tcPr>
            <w:tcW w:w="1340" w:type="dxa"/>
            <w:vAlign w:val="bottom"/>
            <w:tcBorders>
              <w:top w:val="single" w:sz="8" w:color="auto"/>
              <w:bottom w:val="single" w:sz="8" w:color="CFF0FC"/>
            </w:tcBorders>
            <w:shd w:val="clear" w:color="auto" w:fill="CFF0FC"/>
          </w:tcPr>
          <w:p>
            <w:pPr>
              <w:spacing w:after="0"/>
              <w:rPr>
                <w:sz w:val="21"/>
                <w:szCs w:val="21"/>
                <w:color w:val="auto"/>
              </w:rPr>
            </w:pPr>
          </w:p>
        </w:tc>
        <w:tc>
          <w:tcPr>
            <w:tcW w:w="100" w:type="dxa"/>
            <w:vAlign w:val="bottom"/>
            <w:tcBorders>
              <w:top w:val="single" w:sz="8" w:color="CFF0FC"/>
              <w:bottom w:val="single" w:sz="8" w:color="CFF0FC"/>
            </w:tcBorders>
            <w:shd w:val="clear" w:color="auto" w:fill="CFF0FC"/>
          </w:tcPr>
          <w:p>
            <w:pPr>
              <w:spacing w:after="0"/>
              <w:rPr>
                <w:sz w:val="21"/>
                <w:szCs w:val="21"/>
                <w:color w:val="auto"/>
              </w:rPr>
            </w:pPr>
          </w:p>
        </w:tc>
        <w:tc>
          <w:tcPr>
            <w:tcW w:w="1340" w:type="dxa"/>
            <w:vAlign w:val="bottom"/>
            <w:tcBorders>
              <w:top w:val="single" w:sz="8" w:color="auto"/>
              <w:bottom w:val="single" w:sz="8" w:color="CFF0FC"/>
            </w:tcBorders>
            <w:shd w:val="clear" w:color="auto" w:fill="CFF0FC"/>
          </w:tcPr>
          <w:p>
            <w:pPr>
              <w:spacing w:after="0"/>
              <w:rPr>
                <w:sz w:val="21"/>
                <w:szCs w:val="21"/>
                <w:color w:val="auto"/>
              </w:rPr>
            </w:pPr>
          </w:p>
        </w:tc>
      </w:tr>
      <w:tr>
        <w:trPr>
          <w:trHeight w:val="243"/>
        </w:trPr>
        <w:tc>
          <w:tcPr>
            <w:tcW w:w="4840" w:type="dxa"/>
            <w:vAlign w:val="bottom"/>
          </w:tcPr>
          <w:p>
            <w:pPr>
              <w:ind w:left="280"/>
              <w:spacing w:after="0"/>
              <w:rPr>
                <w:sz w:val="20"/>
                <w:szCs w:val="20"/>
                <w:color w:val="auto"/>
              </w:rPr>
            </w:pPr>
            <w:r>
              <w:rPr>
                <w:rFonts w:ascii="Arial" w:cs="Arial" w:eastAsia="Arial" w:hAnsi="Arial"/>
                <w:sz w:val="18"/>
                <w:szCs w:val="18"/>
                <w:color w:val="auto"/>
              </w:rPr>
              <w:t>Franchise revenue</w:t>
            </w:r>
          </w:p>
        </w:tc>
        <w:tc>
          <w:tcPr>
            <w:tcW w:w="2240" w:type="dxa"/>
            <w:vAlign w:val="bottom"/>
            <w:gridSpan w:val="2"/>
          </w:tcPr>
          <w:p>
            <w:pPr>
              <w:jc w:val="right"/>
              <w:spacing w:after="0"/>
              <w:rPr>
                <w:sz w:val="20"/>
                <w:szCs w:val="20"/>
                <w:color w:val="auto"/>
              </w:rPr>
            </w:pPr>
            <w:r>
              <w:rPr>
                <w:rFonts w:ascii="Arial" w:cs="Arial" w:eastAsia="Arial" w:hAnsi="Arial"/>
                <w:sz w:val="18"/>
                <w:szCs w:val="18"/>
                <w:color w:val="auto"/>
              </w:rPr>
              <w:t>32.3 %</w:t>
            </w:r>
          </w:p>
        </w:tc>
        <w:tc>
          <w:tcPr>
            <w:tcW w:w="12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30.6 %</w:t>
            </w:r>
          </w:p>
        </w:tc>
        <w:tc>
          <w:tcPr>
            <w:tcW w:w="12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33.4 %</w:t>
            </w:r>
          </w:p>
        </w:tc>
        <w:tc>
          <w:tcPr>
            <w:tcW w:w="10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31.8 %</w:t>
            </w:r>
          </w:p>
        </w:tc>
      </w:tr>
      <w:tr>
        <w:trPr>
          <w:trHeight w:val="27"/>
        </w:trPr>
        <w:tc>
          <w:tcPr>
            <w:tcW w:w="48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484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Commission income</w:t>
            </w:r>
          </w:p>
        </w:tc>
        <w:tc>
          <w:tcPr>
            <w:tcW w:w="2240" w:type="dxa"/>
            <w:vAlign w:val="bottom"/>
            <w:tcBorders>
              <w:bottom w:val="single" w:sz="8" w:color="CFF0FC"/>
            </w:tcBorders>
            <w:gridSpan w:val="2"/>
            <w:shd w:val="clear" w:color="auto" w:fill="CFF0FC"/>
          </w:tcPr>
          <w:p>
            <w:pPr>
              <w:jc w:val="right"/>
              <w:spacing w:after="0"/>
              <w:rPr>
                <w:sz w:val="20"/>
                <w:szCs w:val="20"/>
                <w:color w:val="auto"/>
              </w:rPr>
            </w:pPr>
            <w:r>
              <w:rPr>
                <w:rFonts w:ascii="Arial" w:cs="Arial" w:eastAsia="Arial" w:hAnsi="Arial"/>
                <w:sz w:val="18"/>
                <w:szCs w:val="18"/>
                <w:color w:val="auto"/>
              </w:rPr>
              <w:t>1.1 %</w:t>
            </w:r>
          </w:p>
        </w:tc>
        <w:tc>
          <w:tcPr>
            <w:tcW w:w="120" w:type="dxa"/>
            <w:vAlign w:val="bottom"/>
            <w:tcBorders>
              <w:bottom w:val="single" w:sz="8" w:color="CFF0FC"/>
            </w:tcBorders>
            <w:shd w:val="clear" w:color="auto" w:fill="CFF0FC"/>
          </w:tcPr>
          <w:p>
            <w:pPr>
              <w:spacing w:after="0"/>
              <w:rPr>
                <w:sz w:val="21"/>
                <w:szCs w:val="21"/>
                <w:color w:val="auto"/>
              </w:rPr>
            </w:pPr>
          </w:p>
        </w:tc>
        <w:tc>
          <w:tcPr>
            <w:tcW w:w="132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4.6 %</w:t>
            </w:r>
          </w:p>
        </w:tc>
        <w:tc>
          <w:tcPr>
            <w:tcW w:w="120" w:type="dxa"/>
            <w:vAlign w:val="bottom"/>
            <w:tcBorders>
              <w:bottom w:val="single" w:sz="8" w:color="CFF0FC"/>
            </w:tcBorders>
            <w:shd w:val="clear" w:color="auto" w:fill="CFF0FC"/>
          </w:tcPr>
          <w:p>
            <w:pPr>
              <w:spacing w:after="0"/>
              <w:rPr>
                <w:sz w:val="21"/>
                <w:szCs w:val="21"/>
                <w:color w:val="auto"/>
              </w:rPr>
            </w:pPr>
          </w:p>
        </w:tc>
        <w:tc>
          <w:tcPr>
            <w:tcW w:w="13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1.3 %</w:t>
            </w:r>
          </w:p>
        </w:tc>
        <w:tc>
          <w:tcPr>
            <w:tcW w:w="100" w:type="dxa"/>
            <w:vAlign w:val="bottom"/>
            <w:tcBorders>
              <w:bottom w:val="single" w:sz="8" w:color="CFF0FC"/>
            </w:tcBorders>
            <w:shd w:val="clear" w:color="auto" w:fill="CFF0FC"/>
          </w:tcPr>
          <w:p>
            <w:pPr>
              <w:spacing w:after="0"/>
              <w:rPr>
                <w:sz w:val="21"/>
                <w:szCs w:val="21"/>
                <w:color w:val="auto"/>
              </w:rPr>
            </w:pPr>
          </w:p>
        </w:tc>
        <w:tc>
          <w:tcPr>
            <w:tcW w:w="13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5.8 %</w:t>
            </w:r>
          </w:p>
        </w:tc>
      </w:tr>
      <w:tr>
        <w:trPr>
          <w:trHeight w:val="243"/>
        </w:trPr>
        <w:tc>
          <w:tcPr>
            <w:tcW w:w="4840" w:type="dxa"/>
            <w:vAlign w:val="bottom"/>
          </w:tcPr>
          <w:p>
            <w:pPr>
              <w:ind w:left="280"/>
              <w:spacing w:after="0"/>
              <w:rPr>
                <w:sz w:val="20"/>
                <w:szCs w:val="20"/>
                <w:color w:val="auto"/>
              </w:rPr>
            </w:pPr>
            <w:r>
              <w:rPr>
                <w:rFonts w:ascii="Arial" w:cs="Arial" w:eastAsia="Arial" w:hAnsi="Arial"/>
                <w:sz w:val="18"/>
                <w:szCs w:val="18"/>
                <w:color w:val="auto"/>
              </w:rPr>
              <w:t>National advertising fund revenue</w:t>
            </w:r>
          </w:p>
        </w:tc>
        <w:tc>
          <w:tcPr>
            <w:tcW w:w="2240" w:type="dxa"/>
            <w:vAlign w:val="bottom"/>
            <w:gridSpan w:val="2"/>
          </w:tcPr>
          <w:p>
            <w:pPr>
              <w:jc w:val="right"/>
              <w:spacing w:after="0"/>
              <w:rPr>
                <w:sz w:val="20"/>
                <w:szCs w:val="20"/>
                <w:color w:val="auto"/>
              </w:rPr>
            </w:pPr>
            <w:r>
              <w:rPr>
                <w:rFonts w:ascii="Arial" w:cs="Arial" w:eastAsia="Arial" w:hAnsi="Arial"/>
                <w:sz w:val="18"/>
                <w:szCs w:val="18"/>
                <w:color w:val="auto"/>
              </w:rPr>
              <w:t>7.9 %</w:t>
            </w:r>
          </w:p>
        </w:tc>
        <w:tc>
          <w:tcPr>
            <w:tcW w:w="120" w:type="dxa"/>
            <w:vAlign w:val="bottom"/>
          </w:tcPr>
          <w:p>
            <w:pPr>
              <w:spacing w:after="0"/>
              <w:rPr>
                <w:sz w:val="21"/>
                <w:szCs w:val="21"/>
                <w:color w:val="auto"/>
              </w:rPr>
            </w:pPr>
          </w:p>
        </w:tc>
        <w:tc>
          <w:tcPr>
            <w:tcW w:w="1440" w:type="dxa"/>
            <w:vAlign w:val="bottom"/>
            <w:gridSpan w:val="2"/>
          </w:tcPr>
          <w:p>
            <w:pPr>
              <w:ind w:left="900"/>
              <w:spacing w:after="0"/>
              <w:rPr>
                <w:sz w:val="20"/>
                <w:szCs w:val="20"/>
                <w:color w:val="auto"/>
              </w:rPr>
            </w:pPr>
            <w:r>
              <w:rPr>
                <w:rFonts w:ascii="Arial" w:cs="Arial" w:eastAsia="Arial" w:hAnsi="Arial"/>
                <w:sz w:val="18"/>
                <w:szCs w:val="18"/>
                <w:color w:val="auto"/>
              </w:rPr>
              <w:t>— %</w:t>
            </w:r>
          </w:p>
        </w:tc>
        <w:tc>
          <w:tcPr>
            <w:tcW w:w="1340" w:type="dxa"/>
            <w:vAlign w:val="bottom"/>
          </w:tcPr>
          <w:p>
            <w:pPr>
              <w:jc w:val="right"/>
              <w:spacing w:after="0"/>
              <w:rPr>
                <w:sz w:val="20"/>
                <w:szCs w:val="20"/>
                <w:color w:val="auto"/>
              </w:rPr>
            </w:pPr>
            <w:r>
              <w:rPr>
                <w:rFonts w:ascii="Arial" w:cs="Arial" w:eastAsia="Arial" w:hAnsi="Arial"/>
                <w:sz w:val="18"/>
                <w:szCs w:val="18"/>
                <w:color w:val="auto"/>
              </w:rPr>
              <w:t>8.3 %</w:t>
            </w:r>
          </w:p>
        </w:tc>
        <w:tc>
          <w:tcPr>
            <w:tcW w:w="10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 %</w:t>
            </w:r>
          </w:p>
        </w:tc>
      </w:tr>
      <w:tr>
        <w:trPr>
          <w:trHeight w:val="27"/>
        </w:trPr>
        <w:tc>
          <w:tcPr>
            <w:tcW w:w="4840" w:type="dxa"/>
            <w:vAlign w:val="bottom"/>
            <w:tcBorders>
              <w:bottom w:val="single" w:sz="8" w:color="CFF0FC"/>
            </w:tcBorders>
          </w:tcPr>
          <w:p>
            <w:pPr>
              <w:spacing w:after="0"/>
              <w:rPr>
                <w:sz w:val="2"/>
                <w:szCs w:val="2"/>
                <w:color w:val="auto"/>
              </w:rPr>
            </w:pPr>
          </w:p>
        </w:tc>
        <w:tc>
          <w:tcPr>
            <w:tcW w:w="900" w:type="dxa"/>
            <w:vAlign w:val="bottom"/>
            <w:tcBorders>
              <w:bottom w:val="single" w:sz="8" w:color="CFF0FC"/>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44"/>
        </w:trPr>
        <w:tc>
          <w:tcPr>
            <w:tcW w:w="4840" w:type="dxa"/>
            <w:vAlign w:val="bottom"/>
            <w:tcBorders>
              <w:bottom w:val="single" w:sz="8" w:color="CFF0FC"/>
            </w:tcBorders>
            <w:shd w:val="clear" w:color="auto" w:fill="CFF0FC"/>
          </w:tcPr>
          <w:p>
            <w:pPr>
              <w:ind w:left="500"/>
              <w:spacing w:after="0"/>
              <w:rPr>
                <w:sz w:val="20"/>
                <w:szCs w:val="20"/>
                <w:color w:val="auto"/>
              </w:rPr>
            </w:pPr>
            <w:r>
              <w:rPr>
                <w:rFonts w:ascii="Arial" w:cs="Arial" w:eastAsia="Arial" w:hAnsi="Arial"/>
                <w:sz w:val="18"/>
                <w:szCs w:val="18"/>
                <w:color w:val="auto"/>
              </w:rPr>
              <w:t>Franchise segment</w:t>
            </w:r>
          </w:p>
        </w:tc>
        <w:tc>
          <w:tcPr>
            <w:tcW w:w="2240" w:type="dxa"/>
            <w:vAlign w:val="bottom"/>
            <w:tcBorders>
              <w:bottom w:val="single" w:sz="8" w:color="CFF0FC"/>
            </w:tcBorders>
            <w:gridSpan w:val="2"/>
            <w:shd w:val="clear" w:color="auto" w:fill="CFF0FC"/>
          </w:tcPr>
          <w:p>
            <w:pPr>
              <w:jc w:val="right"/>
              <w:spacing w:after="0"/>
              <w:rPr>
                <w:sz w:val="20"/>
                <w:szCs w:val="20"/>
                <w:color w:val="auto"/>
              </w:rPr>
            </w:pPr>
            <w:r>
              <w:rPr>
                <w:rFonts w:ascii="Arial" w:cs="Arial" w:eastAsia="Arial" w:hAnsi="Arial"/>
                <w:sz w:val="18"/>
                <w:szCs w:val="18"/>
                <w:color w:val="auto"/>
              </w:rPr>
              <w:t>41.3 %</w:t>
            </w:r>
          </w:p>
        </w:tc>
        <w:tc>
          <w:tcPr>
            <w:tcW w:w="120" w:type="dxa"/>
            <w:vAlign w:val="bottom"/>
            <w:tcBorders>
              <w:bottom w:val="single" w:sz="8" w:color="CFF0FC"/>
            </w:tcBorders>
            <w:shd w:val="clear" w:color="auto" w:fill="CFF0FC"/>
          </w:tcPr>
          <w:p>
            <w:pPr>
              <w:spacing w:after="0"/>
              <w:rPr>
                <w:sz w:val="21"/>
                <w:szCs w:val="21"/>
                <w:color w:val="auto"/>
              </w:rPr>
            </w:pPr>
          </w:p>
        </w:tc>
        <w:tc>
          <w:tcPr>
            <w:tcW w:w="132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35.2 %</w:t>
            </w:r>
          </w:p>
        </w:tc>
        <w:tc>
          <w:tcPr>
            <w:tcW w:w="120" w:type="dxa"/>
            <w:vAlign w:val="bottom"/>
            <w:tcBorders>
              <w:bottom w:val="single" w:sz="8" w:color="CFF0FC"/>
            </w:tcBorders>
            <w:shd w:val="clear" w:color="auto" w:fill="CFF0FC"/>
          </w:tcPr>
          <w:p>
            <w:pPr>
              <w:spacing w:after="0"/>
              <w:rPr>
                <w:sz w:val="21"/>
                <w:szCs w:val="21"/>
                <w:color w:val="auto"/>
              </w:rPr>
            </w:pPr>
          </w:p>
        </w:tc>
        <w:tc>
          <w:tcPr>
            <w:tcW w:w="13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43.0 %</w:t>
            </w:r>
          </w:p>
        </w:tc>
        <w:tc>
          <w:tcPr>
            <w:tcW w:w="100" w:type="dxa"/>
            <w:vAlign w:val="bottom"/>
            <w:tcBorders>
              <w:bottom w:val="single" w:sz="8" w:color="CFF0FC"/>
            </w:tcBorders>
            <w:shd w:val="clear" w:color="auto" w:fill="CFF0FC"/>
          </w:tcPr>
          <w:p>
            <w:pPr>
              <w:spacing w:after="0"/>
              <w:rPr>
                <w:sz w:val="21"/>
                <w:szCs w:val="21"/>
                <w:color w:val="auto"/>
              </w:rPr>
            </w:pPr>
          </w:p>
        </w:tc>
        <w:tc>
          <w:tcPr>
            <w:tcW w:w="13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37.6 %</w:t>
            </w:r>
          </w:p>
        </w:tc>
      </w:tr>
      <w:tr>
        <w:trPr>
          <w:trHeight w:val="243"/>
        </w:trPr>
        <w:tc>
          <w:tcPr>
            <w:tcW w:w="4840" w:type="dxa"/>
            <w:vAlign w:val="bottom"/>
          </w:tcPr>
          <w:p>
            <w:pPr>
              <w:ind w:left="500"/>
              <w:spacing w:after="0"/>
              <w:rPr>
                <w:sz w:val="20"/>
                <w:szCs w:val="20"/>
                <w:color w:val="auto"/>
              </w:rPr>
            </w:pPr>
            <w:r>
              <w:rPr>
                <w:rFonts w:ascii="Arial" w:cs="Arial" w:eastAsia="Arial" w:hAnsi="Arial"/>
                <w:sz w:val="18"/>
                <w:szCs w:val="18"/>
                <w:color w:val="auto"/>
              </w:rPr>
              <w:t>Corporate-owned stores</w:t>
            </w:r>
          </w:p>
        </w:tc>
        <w:tc>
          <w:tcPr>
            <w:tcW w:w="2240" w:type="dxa"/>
            <w:vAlign w:val="bottom"/>
            <w:gridSpan w:val="2"/>
          </w:tcPr>
          <w:p>
            <w:pPr>
              <w:jc w:val="right"/>
              <w:spacing w:after="0"/>
              <w:rPr>
                <w:sz w:val="20"/>
                <w:szCs w:val="20"/>
                <w:color w:val="auto"/>
              </w:rPr>
            </w:pPr>
            <w:r>
              <w:rPr>
                <w:rFonts w:ascii="Arial" w:cs="Arial" w:eastAsia="Arial" w:hAnsi="Arial"/>
                <w:sz w:val="18"/>
                <w:szCs w:val="18"/>
                <w:color w:val="auto"/>
              </w:rPr>
              <w:t>24.4 %</w:t>
            </w:r>
          </w:p>
        </w:tc>
        <w:tc>
          <w:tcPr>
            <w:tcW w:w="12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26.4 %</w:t>
            </w:r>
          </w:p>
        </w:tc>
        <w:tc>
          <w:tcPr>
            <w:tcW w:w="12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25.6 %</w:t>
            </w:r>
          </w:p>
        </w:tc>
        <w:tc>
          <w:tcPr>
            <w:tcW w:w="10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27.9 %</w:t>
            </w:r>
          </w:p>
        </w:tc>
      </w:tr>
      <w:tr>
        <w:trPr>
          <w:trHeight w:val="27"/>
        </w:trPr>
        <w:tc>
          <w:tcPr>
            <w:tcW w:w="48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70"/>
        </w:trPr>
        <w:tc>
          <w:tcPr>
            <w:tcW w:w="4840" w:type="dxa"/>
            <w:vAlign w:val="bottom"/>
            <w:tcBorders>
              <w:bottom w:val="single" w:sz="8" w:color="CFF0FC"/>
            </w:tcBorders>
            <w:shd w:val="clear" w:color="auto" w:fill="CFF0FC"/>
          </w:tcPr>
          <w:p>
            <w:pPr>
              <w:ind w:left="500"/>
              <w:spacing w:after="0"/>
              <w:rPr>
                <w:sz w:val="20"/>
                <w:szCs w:val="20"/>
                <w:color w:val="auto"/>
              </w:rPr>
            </w:pPr>
            <w:r>
              <w:rPr>
                <w:rFonts w:ascii="Arial" w:cs="Arial" w:eastAsia="Arial" w:hAnsi="Arial"/>
                <w:sz w:val="18"/>
                <w:szCs w:val="18"/>
                <w:color w:val="auto"/>
              </w:rPr>
              <w:t>Equipment</w:t>
            </w:r>
          </w:p>
        </w:tc>
        <w:tc>
          <w:tcPr>
            <w:tcW w:w="900" w:type="dxa"/>
            <w:vAlign w:val="bottom"/>
            <w:tcBorders>
              <w:bottom w:val="single" w:sz="8" w:color="CFF0FC"/>
            </w:tcBorders>
            <w:shd w:val="clear" w:color="auto" w:fill="CFF0FC"/>
          </w:tcPr>
          <w:p>
            <w:pPr>
              <w:spacing w:after="0"/>
              <w:rPr>
                <w:sz w:val="23"/>
                <w:szCs w:val="23"/>
                <w:color w:val="auto"/>
              </w:rPr>
            </w:pPr>
          </w:p>
        </w:tc>
        <w:tc>
          <w:tcPr>
            <w:tcW w:w="13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34.3 %</w:t>
            </w:r>
          </w:p>
        </w:tc>
        <w:tc>
          <w:tcPr>
            <w:tcW w:w="120" w:type="dxa"/>
            <w:vAlign w:val="bottom"/>
            <w:tcBorders>
              <w:bottom w:val="single" w:sz="8" w:color="CFF0FC"/>
            </w:tcBorders>
            <w:shd w:val="clear" w:color="auto" w:fill="CFF0FC"/>
          </w:tcPr>
          <w:p>
            <w:pPr>
              <w:spacing w:after="0"/>
              <w:rPr>
                <w:sz w:val="23"/>
                <w:szCs w:val="23"/>
                <w:color w:val="auto"/>
              </w:rPr>
            </w:pPr>
          </w:p>
        </w:tc>
        <w:tc>
          <w:tcPr>
            <w:tcW w:w="132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38.4 %</w:t>
            </w:r>
          </w:p>
        </w:tc>
        <w:tc>
          <w:tcPr>
            <w:tcW w:w="120" w:type="dxa"/>
            <w:vAlign w:val="bottom"/>
            <w:tcBorders>
              <w:bottom w:val="single" w:sz="8" w:color="CFF0FC"/>
            </w:tcBorders>
            <w:shd w:val="clear" w:color="auto" w:fill="CFF0FC"/>
          </w:tcPr>
          <w:p>
            <w:pPr>
              <w:spacing w:after="0"/>
              <w:rPr>
                <w:sz w:val="23"/>
                <w:szCs w:val="23"/>
                <w:color w:val="auto"/>
              </w:rPr>
            </w:pPr>
          </w:p>
        </w:tc>
        <w:tc>
          <w:tcPr>
            <w:tcW w:w="13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31.4 %</w:t>
            </w:r>
          </w:p>
        </w:tc>
        <w:tc>
          <w:tcPr>
            <w:tcW w:w="100" w:type="dxa"/>
            <w:vAlign w:val="bottom"/>
            <w:tcBorders>
              <w:bottom w:val="single" w:sz="8" w:color="CFF0FC"/>
            </w:tcBorders>
            <w:shd w:val="clear" w:color="auto" w:fill="CFF0FC"/>
          </w:tcPr>
          <w:p>
            <w:pPr>
              <w:spacing w:after="0"/>
              <w:rPr>
                <w:sz w:val="23"/>
                <w:szCs w:val="23"/>
                <w:color w:val="auto"/>
              </w:rPr>
            </w:pPr>
          </w:p>
        </w:tc>
        <w:tc>
          <w:tcPr>
            <w:tcW w:w="13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34.5 %</w:t>
            </w:r>
          </w:p>
        </w:tc>
      </w:tr>
      <w:tr>
        <w:trPr>
          <w:trHeight w:val="237"/>
        </w:trPr>
        <w:tc>
          <w:tcPr>
            <w:tcW w:w="4840" w:type="dxa"/>
            <w:vAlign w:val="bottom"/>
          </w:tcPr>
          <w:p>
            <w:pPr>
              <w:ind w:left="720"/>
              <w:spacing w:after="0"/>
              <w:rPr>
                <w:sz w:val="20"/>
                <w:szCs w:val="20"/>
                <w:color w:val="auto"/>
              </w:rPr>
            </w:pPr>
            <w:r>
              <w:rPr>
                <w:rFonts w:ascii="Arial" w:cs="Arial" w:eastAsia="Arial" w:hAnsi="Arial"/>
                <w:sz w:val="18"/>
                <w:szCs w:val="18"/>
                <w:color w:val="auto"/>
              </w:rPr>
              <w:t>Total revenue</w:t>
            </w:r>
          </w:p>
        </w:tc>
        <w:tc>
          <w:tcPr>
            <w:tcW w:w="900" w:type="dxa"/>
            <w:vAlign w:val="bottom"/>
          </w:tcPr>
          <w:p>
            <w:pPr>
              <w:spacing w:after="0"/>
              <w:rPr>
                <w:sz w:val="20"/>
                <w:szCs w:val="20"/>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100.0 %</w:t>
            </w:r>
          </w:p>
        </w:tc>
        <w:tc>
          <w:tcPr>
            <w:tcW w:w="120" w:type="dxa"/>
            <w:vAlign w:val="bottom"/>
          </w:tcPr>
          <w:p>
            <w:pPr>
              <w:spacing w:after="0"/>
              <w:rPr>
                <w:sz w:val="20"/>
                <w:szCs w:val="20"/>
                <w:color w:val="auto"/>
              </w:rPr>
            </w:pPr>
          </w:p>
        </w:tc>
        <w:tc>
          <w:tcPr>
            <w:tcW w:w="13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100.0 %</w:t>
            </w:r>
          </w:p>
        </w:tc>
        <w:tc>
          <w:tcPr>
            <w:tcW w:w="120" w:type="dxa"/>
            <w:vAlign w:val="bottom"/>
          </w:tcPr>
          <w:p>
            <w:pPr>
              <w:spacing w:after="0"/>
              <w:rPr>
                <w:sz w:val="20"/>
                <w:szCs w:val="20"/>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100.0 %</w:t>
            </w:r>
          </w:p>
        </w:tc>
        <w:tc>
          <w:tcPr>
            <w:tcW w:w="100" w:type="dxa"/>
            <w:vAlign w:val="bottom"/>
          </w:tcPr>
          <w:p>
            <w:pPr>
              <w:spacing w:after="0"/>
              <w:rPr>
                <w:sz w:val="20"/>
                <w:szCs w:val="20"/>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100.0 %</w:t>
            </w:r>
          </w:p>
        </w:tc>
      </w:tr>
      <w:tr>
        <w:trPr>
          <w:trHeight w:val="27"/>
        </w:trPr>
        <w:tc>
          <w:tcPr>
            <w:tcW w:w="4840" w:type="dxa"/>
            <w:vAlign w:val="bottom"/>
            <w:tcBorders>
              <w:bottom w:val="single" w:sz="8" w:color="CFF0FC"/>
            </w:tcBorders>
          </w:tcPr>
          <w:p>
            <w:pPr>
              <w:spacing w:after="0"/>
              <w:rPr>
                <w:sz w:val="2"/>
                <w:szCs w:val="2"/>
                <w:color w:val="auto"/>
              </w:rPr>
            </w:pPr>
          </w:p>
        </w:tc>
        <w:tc>
          <w:tcPr>
            <w:tcW w:w="900" w:type="dxa"/>
            <w:vAlign w:val="bottom"/>
            <w:tcBorders>
              <w:bottom w:val="single" w:sz="8" w:color="CFF0FC"/>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44"/>
        </w:trPr>
        <w:tc>
          <w:tcPr>
            <w:tcW w:w="484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Operating costs and expenses:</w:t>
            </w:r>
          </w:p>
        </w:tc>
        <w:tc>
          <w:tcPr>
            <w:tcW w:w="900" w:type="dxa"/>
            <w:vAlign w:val="bottom"/>
            <w:tcBorders>
              <w:bottom w:val="single" w:sz="8" w:color="CFF0FC"/>
            </w:tcBorders>
            <w:shd w:val="clear" w:color="auto" w:fill="CFF0FC"/>
          </w:tcPr>
          <w:p>
            <w:pPr>
              <w:spacing w:after="0"/>
              <w:rPr>
                <w:sz w:val="21"/>
                <w:szCs w:val="21"/>
                <w:color w:val="auto"/>
              </w:rPr>
            </w:pPr>
          </w:p>
        </w:tc>
        <w:tc>
          <w:tcPr>
            <w:tcW w:w="1340" w:type="dxa"/>
            <w:vAlign w:val="bottom"/>
            <w:tcBorders>
              <w:bottom w:val="single" w:sz="8" w:color="CFF0FC"/>
            </w:tcBorders>
            <w:shd w:val="clear" w:color="auto" w:fill="CFF0FC"/>
          </w:tcPr>
          <w:p>
            <w:pPr>
              <w:spacing w:after="0"/>
              <w:rPr>
                <w:sz w:val="21"/>
                <w:szCs w:val="21"/>
                <w:color w:val="auto"/>
              </w:rPr>
            </w:pPr>
          </w:p>
        </w:tc>
        <w:tc>
          <w:tcPr>
            <w:tcW w:w="120" w:type="dxa"/>
            <w:vAlign w:val="bottom"/>
            <w:tcBorders>
              <w:bottom w:val="single" w:sz="8" w:color="CFF0FC"/>
            </w:tcBorders>
            <w:shd w:val="clear" w:color="auto" w:fill="CFF0FC"/>
          </w:tcPr>
          <w:p>
            <w:pPr>
              <w:spacing w:after="0"/>
              <w:rPr>
                <w:sz w:val="21"/>
                <w:szCs w:val="21"/>
                <w:color w:val="auto"/>
              </w:rPr>
            </w:pPr>
          </w:p>
        </w:tc>
        <w:tc>
          <w:tcPr>
            <w:tcW w:w="1320" w:type="dxa"/>
            <w:vAlign w:val="bottom"/>
            <w:tcBorders>
              <w:bottom w:val="single" w:sz="8" w:color="CFF0FC"/>
            </w:tcBorders>
            <w:shd w:val="clear" w:color="auto" w:fill="CFF0FC"/>
          </w:tcPr>
          <w:p>
            <w:pPr>
              <w:spacing w:after="0"/>
              <w:rPr>
                <w:sz w:val="21"/>
                <w:szCs w:val="21"/>
                <w:color w:val="auto"/>
              </w:rPr>
            </w:pPr>
          </w:p>
        </w:tc>
        <w:tc>
          <w:tcPr>
            <w:tcW w:w="120" w:type="dxa"/>
            <w:vAlign w:val="bottom"/>
            <w:tcBorders>
              <w:bottom w:val="single" w:sz="8" w:color="CFF0FC"/>
            </w:tcBorders>
            <w:shd w:val="clear" w:color="auto" w:fill="CFF0FC"/>
          </w:tcPr>
          <w:p>
            <w:pPr>
              <w:spacing w:after="0"/>
              <w:rPr>
                <w:sz w:val="21"/>
                <w:szCs w:val="21"/>
                <w:color w:val="auto"/>
              </w:rPr>
            </w:pPr>
          </w:p>
        </w:tc>
        <w:tc>
          <w:tcPr>
            <w:tcW w:w="1340" w:type="dxa"/>
            <w:vAlign w:val="bottom"/>
            <w:tcBorders>
              <w:bottom w:val="single" w:sz="8" w:color="CFF0FC"/>
            </w:tcBorders>
            <w:shd w:val="clear" w:color="auto" w:fill="CFF0FC"/>
          </w:tcPr>
          <w:p>
            <w:pPr>
              <w:spacing w:after="0"/>
              <w:rPr>
                <w:sz w:val="21"/>
                <w:szCs w:val="21"/>
                <w:color w:val="auto"/>
              </w:rPr>
            </w:pPr>
          </w:p>
        </w:tc>
        <w:tc>
          <w:tcPr>
            <w:tcW w:w="100" w:type="dxa"/>
            <w:vAlign w:val="bottom"/>
            <w:tcBorders>
              <w:bottom w:val="single" w:sz="8" w:color="CFF0FC"/>
            </w:tcBorders>
            <w:shd w:val="clear" w:color="auto" w:fill="CFF0FC"/>
          </w:tcPr>
          <w:p>
            <w:pPr>
              <w:spacing w:after="0"/>
              <w:rPr>
                <w:sz w:val="21"/>
                <w:szCs w:val="21"/>
                <w:color w:val="auto"/>
              </w:rPr>
            </w:pPr>
          </w:p>
        </w:tc>
        <w:tc>
          <w:tcPr>
            <w:tcW w:w="1340" w:type="dxa"/>
            <w:vAlign w:val="bottom"/>
            <w:tcBorders>
              <w:bottom w:val="single" w:sz="8" w:color="CFF0FC"/>
            </w:tcBorders>
            <w:shd w:val="clear" w:color="auto" w:fill="CFF0FC"/>
          </w:tcPr>
          <w:p>
            <w:pPr>
              <w:spacing w:after="0"/>
              <w:rPr>
                <w:sz w:val="21"/>
                <w:szCs w:val="21"/>
                <w:color w:val="auto"/>
              </w:rPr>
            </w:pPr>
          </w:p>
        </w:tc>
      </w:tr>
      <w:tr>
        <w:trPr>
          <w:trHeight w:val="243"/>
        </w:trPr>
        <w:tc>
          <w:tcPr>
            <w:tcW w:w="4840" w:type="dxa"/>
            <w:vAlign w:val="bottom"/>
          </w:tcPr>
          <w:p>
            <w:pPr>
              <w:ind w:left="280"/>
              <w:spacing w:after="0"/>
              <w:rPr>
                <w:sz w:val="20"/>
                <w:szCs w:val="20"/>
                <w:color w:val="auto"/>
              </w:rPr>
            </w:pPr>
            <w:r>
              <w:rPr>
                <w:rFonts w:ascii="Arial" w:cs="Arial" w:eastAsia="Arial" w:hAnsi="Arial"/>
                <w:sz w:val="18"/>
                <w:szCs w:val="18"/>
                <w:color w:val="auto"/>
              </w:rPr>
              <w:t>Cost of revenue</w:t>
            </w:r>
          </w:p>
        </w:tc>
        <w:tc>
          <w:tcPr>
            <w:tcW w:w="2240" w:type="dxa"/>
            <w:vAlign w:val="bottom"/>
            <w:gridSpan w:val="2"/>
          </w:tcPr>
          <w:p>
            <w:pPr>
              <w:jc w:val="right"/>
              <w:spacing w:after="0"/>
              <w:rPr>
                <w:sz w:val="20"/>
                <w:szCs w:val="20"/>
                <w:color w:val="auto"/>
              </w:rPr>
            </w:pPr>
            <w:r>
              <w:rPr>
                <w:rFonts w:ascii="Arial" w:cs="Arial" w:eastAsia="Arial" w:hAnsi="Arial"/>
                <w:sz w:val="18"/>
                <w:szCs w:val="18"/>
                <w:color w:val="auto"/>
              </w:rPr>
              <w:t>26.1 %</w:t>
            </w:r>
          </w:p>
        </w:tc>
        <w:tc>
          <w:tcPr>
            <w:tcW w:w="12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29.3 %</w:t>
            </w:r>
          </w:p>
        </w:tc>
        <w:tc>
          <w:tcPr>
            <w:tcW w:w="12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24.1 %</w:t>
            </w:r>
          </w:p>
        </w:tc>
        <w:tc>
          <w:tcPr>
            <w:tcW w:w="10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26.5 %</w:t>
            </w:r>
          </w:p>
        </w:tc>
      </w:tr>
      <w:tr>
        <w:trPr>
          <w:trHeight w:val="27"/>
        </w:trPr>
        <w:tc>
          <w:tcPr>
            <w:tcW w:w="48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484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Store operations</w:t>
            </w:r>
          </w:p>
        </w:tc>
        <w:tc>
          <w:tcPr>
            <w:tcW w:w="2240" w:type="dxa"/>
            <w:vAlign w:val="bottom"/>
            <w:tcBorders>
              <w:bottom w:val="single" w:sz="8" w:color="CFF0FC"/>
            </w:tcBorders>
            <w:gridSpan w:val="2"/>
            <w:shd w:val="clear" w:color="auto" w:fill="CFF0FC"/>
          </w:tcPr>
          <w:p>
            <w:pPr>
              <w:jc w:val="right"/>
              <w:spacing w:after="0"/>
              <w:rPr>
                <w:sz w:val="20"/>
                <w:szCs w:val="20"/>
                <w:color w:val="auto"/>
              </w:rPr>
            </w:pPr>
            <w:r>
              <w:rPr>
                <w:rFonts w:ascii="Arial" w:cs="Arial" w:eastAsia="Arial" w:hAnsi="Arial"/>
                <w:sz w:val="18"/>
                <w:szCs w:val="18"/>
                <w:color w:val="auto"/>
              </w:rPr>
              <w:t>12.8 %</w:t>
            </w:r>
          </w:p>
        </w:tc>
        <w:tc>
          <w:tcPr>
            <w:tcW w:w="120" w:type="dxa"/>
            <w:vAlign w:val="bottom"/>
            <w:tcBorders>
              <w:bottom w:val="single" w:sz="8" w:color="CFF0FC"/>
            </w:tcBorders>
            <w:shd w:val="clear" w:color="auto" w:fill="CFF0FC"/>
          </w:tcPr>
          <w:p>
            <w:pPr>
              <w:spacing w:after="0"/>
              <w:rPr>
                <w:sz w:val="21"/>
                <w:szCs w:val="21"/>
                <w:color w:val="auto"/>
              </w:rPr>
            </w:pPr>
          </w:p>
        </w:tc>
        <w:tc>
          <w:tcPr>
            <w:tcW w:w="132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13.6 %</w:t>
            </w:r>
          </w:p>
        </w:tc>
        <w:tc>
          <w:tcPr>
            <w:tcW w:w="120" w:type="dxa"/>
            <w:vAlign w:val="bottom"/>
            <w:tcBorders>
              <w:bottom w:val="single" w:sz="8" w:color="CFF0FC"/>
            </w:tcBorders>
            <w:shd w:val="clear" w:color="auto" w:fill="CFF0FC"/>
          </w:tcPr>
          <w:p>
            <w:pPr>
              <w:spacing w:after="0"/>
              <w:rPr>
                <w:sz w:val="21"/>
                <w:szCs w:val="21"/>
                <w:color w:val="auto"/>
              </w:rPr>
            </w:pPr>
          </w:p>
        </w:tc>
        <w:tc>
          <w:tcPr>
            <w:tcW w:w="13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13.9 %</w:t>
            </w:r>
          </w:p>
        </w:tc>
        <w:tc>
          <w:tcPr>
            <w:tcW w:w="100" w:type="dxa"/>
            <w:vAlign w:val="bottom"/>
            <w:tcBorders>
              <w:bottom w:val="single" w:sz="8" w:color="CFF0FC"/>
            </w:tcBorders>
            <w:shd w:val="clear" w:color="auto" w:fill="CFF0FC"/>
          </w:tcPr>
          <w:p>
            <w:pPr>
              <w:spacing w:after="0"/>
              <w:rPr>
                <w:sz w:val="21"/>
                <w:szCs w:val="21"/>
                <w:color w:val="auto"/>
              </w:rPr>
            </w:pPr>
          </w:p>
        </w:tc>
        <w:tc>
          <w:tcPr>
            <w:tcW w:w="13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15.0 %</w:t>
            </w:r>
          </w:p>
        </w:tc>
      </w:tr>
      <w:tr>
        <w:trPr>
          <w:trHeight w:val="243"/>
        </w:trPr>
        <w:tc>
          <w:tcPr>
            <w:tcW w:w="4840" w:type="dxa"/>
            <w:vAlign w:val="bottom"/>
          </w:tcPr>
          <w:p>
            <w:pPr>
              <w:ind w:left="280"/>
              <w:spacing w:after="0"/>
              <w:rPr>
                <w:sz w:val="20"/>
                <w:szCs w:val="20"/>
                <w:color w:val="auto"/>
              </w:rPr>
            </w:pPr>
            <w:r>
              <w:rPr>
                <w:rFonts w:ascii="Arial" w:cs="Arial" w:eastAsia="Arial" w:hAnsi="Arial"/>
                <w:sz w:val="18"/>
                <w:szCs w:val="18"/>
                <w:color w:val="auto"/>
              </w:rPr>
              <w:t>Selling, general and administrative</w:t>
            </w:r>
          </w:p>
        </w:tc>
        <w:tc>
          <w:tcPr>
            <w:tcW w:w="2240" w:type="dxa"/>
            <w:vAlign w:val="bottom"/>
            <w:gridSpan w:val="2"/>
          </w:tcPr>
          <w:p>
            <w:pPr>
              <w:jc w:val="right"/>
              <w:spacing w:after="0"/>
              <w:rPr>
                <w:sz w:val="20"/>
                <w:szCs w:val="20"/>
                <w:color w:val="auto"/>
              </w:rPr>
            </w:pPr>
            <w:r>
              <w:rPr>
                <w:rFonts w:ascii="Arial" w:cs="Arial" w:eastAsia="Arial" w:hAnsi="Arial"/>
                <w:sz w:val="18"/>
                <w:szCs w:val="18"/>
                <w:color w:val="auto"/>
              </w:rPr>
              <w:t>12.2 %</w:t>
            </w:r>
          </w:p>
        </w:tc>
        <w:tc>
          <w:tcPr>
            <w:tcW w:w="12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13.8 %</w:t>
            </w:r>
          </w:p>
        </w:tc>
        <w:tc>
          <w:tcPr>
            <w:tcW w:w="12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13.3 %</w:t>
            </w:r>
          </w:p>
        </w:tc>
        <w:tc>
          <w:tcPr>
            <w:tcW w:w="10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14.4 %</w:t>
            </w:r>
          </w:p>
        </w:tc>
      </w:tr>
      <w:tr>
        <w:trPr>
          <w:trHeight w:val="27"/>
        </w:trPr>
        <w:tc>
          <w:tcPr>
            <w:tcW w:w="48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484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National advertising fund expense</w:t>
            </w:r>
          </w:p>
        </w:tc>
        <w:tc>
          <w:tcPr>
            <w:tcW w:w="2240" w:type="dxa"/>
            <w:vAlign w:val="bottom"/>
            <w:tcBorders>
              <w:bottom w:val="single" w:sz="8" w:color="CFF0FC"/>
            </w:tcBorders>
            <w:gridSpan w:val="2"/>
            <w:shd w:val="clear" w:color="auto" w:fill="CFF0FC"/>
          </w:tcPr>
          <w:p>
            <w:pPr>
              <w:jc w:val="right"/>
              <w:spacing w:after="0"/>
              <w:rPr>
                <w:sz w:val="20"/>
                <w:szCs w:val="20"/>
                <w:color w:val="auto"/>
              </w:rPr>
            </w:pPr>
            <w:r>
              <w:rPr>
                <w:rFonts w:ascii="Arial" w:cs="Arial" w:eastAsia="Arial" w:hAnsi="Arial"/>
                <w:sz w:val="18"/>
                <w:szCs w:val="18"/>
                <w:color w:val="auto"/>
              </w:rPr>
              <w:t>7.9 %</w:t>
            </w:r>
          </w:p>
        </w:tc>
        <w:tc>
          <w:tcPr>
            <w:tcW w:w="120" w:type="dxa"/>
            <w:vAlign w:val="bottom"/>
            <w:tcBorders>
              <w:bottom w:val="single" w:sz="8" w:color="CFF0FC"/>
            </w:tcBorders>
            <w:shd w:val="clear" w:color="auto" w:fill="CFF0FC"/>
          </w:tcPr>
          <w:p>
            <w:pPr>
              <w:spacing w:after="0"/>
              <w:rPr>
                <w:sz w:val="21"/>
                <w:szCs w:val="21"/>
                <w:color w:val="auto"/>
              </w:rPr>
            </w:pPr>
          </w:p>
        </w:tc>
        <w:tc>
          <w:tcPr>
            <w:tcW w:w="1440" w:type="dxa"/>
            <w:vAlign w:val="bottom"/>
            <w:tcBorders>
              <w:bottom w:val="single" w:sz="8" w:color="CFF0FC"/>
            </w:tcBorders>
            <w:gridSpan w:val="2"/>
            <w:shd w:val="clear" w:color="auto" w:fill="CFF0FC"/>
          </w:tcPr>
          <w:p>
            <w:pPr>
              <w:ind w:left="900"/>
              <w:spacing w:after="0"/>
              <w:rPr>
                <w:sz w:val="20"/>
                <w:szCs w:val="20"/>
                <w:color w:val="auto"/>
              </w:rPr>
            </w:pPr>
            <w:r>
              <w:rPr>
                <w:rFonts w:ascii="Arial" w:cs="Arial" w:eastAsia="Arial" w:hAnsi="Arial"/>
                <w:sz w:val="18"/>
                <w:szCs w:val="18"/>
                <w:color w:val="auto"/>
              </w:rPr>
              <w:t>— %</w:t>
            </w:r>
          </w:p>
        </w:tc>
        <w:tc>
          <w:tcPr>
            <w:tcW w:w="13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8.3 %</w:t>
            </w:r>
          </w:p>
        </w:tc>
        <w:tc>
          <w:tcPr>
            <w:tcW w:w="100" w:type="dxa"/>
            <w:vAlign w:val="bottom"/>
            <w:tcBorders>
              <w:bottom w:val="single" w:sz="8" w:color="CFF0FC"/>
            </w:tcBorders>
            <w:shd w:val="clear" w:color="auto" w:fill="CFF0FC"/>
          </w:tcPr>
          <w:p>
            <w:pPr>
              <w:spacing w:after="0"/>
              <w:rPr>
                <w:sz w:val="21"/>
                <w:szCs w:val="21"/>
                <w:color w:val="auto"/>
              </w:rPr>
            </w:pPr>
          </w:p>
        </w:tc>
        <w:tc>
          <w:tcPr>
            <w:tcW w:w="13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 %</w:t>
            </w:r>
          </w:p>
        </w:tc>
      </w:tr>
      <w:tr>
        <w:trPr>
          <w:trHeight w:val="243"/>
        </w:trPr>
        <w:tc>
          <w:tcPr>
            <w:tcW w:w="4840" w:type="dxa"/>
            <w:vAlign w:val="bottom"/>
          </w:tcPr>
          <w:p>
            <w:pPr>
              <w:ind w:left="280"/>
              <w:spacing w:after="0"/>
              <w:rPr>
                <w:sz w:val="20"/>
                <w:szCs w:val="20"/>
                <w:color w:val="auto"/>
              </w:rPr>
            </w:pPr>
            <w:r>
              <w:rPr>
                <w:rFonts w:ascii="Arial" w:cs="Arial" w:eastAsia="Arial" w:hAnsi="Arial"/>
                <w:sz w:val="18"/>
                <w:szCs w:val="18"/>
                <w:color w:val="auto"/>
              </w:rPr>
              <w:t>Depreciation and amortization</w:t>
            </w:r>
          </w:p>
        </w:tc>
        <w:tc>
          <w:tcPr>
            <w:tcW w:w="2240" w:type="dxa"/>
            <w:vAlign w:val="bottom"/>
            <w:gridSpan w:val="2"/>
          </w:tcPr>
          <w:p>
            <w:pPr>
              <w:jc w:val="right"/>
              <w:spacing w:after="0"/>
              <w:rPr>
                <w:sz w:val="20"/>
                <w:szCs w:val="20"/>
                <w:color w:val="auto"/>
              </w:rPr>
            </w:pPr>
            <w:r>
              <w:rPr>
                <w:rFonts w:ascii="Arial" w:cs="Arial" w:eastAsia="Arial" w:hAnsi="Arial"/>
                <w:sz w:val="18"/>
                <w:szCs w:val="18"/>
                <w:color w:val="auto"/>
              </w:rPr>
              <w:t>6.1 %</w:t>
            </w:r>
          </w:p>
        </w:tc>
        <w:tc>
          <w:tcPr>
            <w:tcW w:w="12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7.4 %</w:t>
            </w:r>
          </w:p>
        </w:tc>
        <w:tc>
          <w:tcPr>
            <w:tcW w:w="12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6.5 %</w:t>
            </w:r>
          </w:p>
        </w:tc>
        <w:tc>
          <w:tcPr>
            <w:tcW w:w="10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8.0 %</w:t>
            </w:r>
          </w:p>
        </w:tc>
      </w:tr>
      <w:tr>
        <w:trPr>
          <w:trHeight w:val="27"/>
        </w:trPr>
        <w:tc>
          <w:tcPr>
            <w:tcW w:w="48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70"/>
        </w:trPr>
        <w:tc>
          <w:tcPr>
            <w:tcW w:w="484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Other loss (gain)</w:t>
            </w:r>
          </w:p>
        </w:tc>
        <w:tc>
          <w:tcPr>
            <w:tcW w:w="900" w:type="dxa"/>
            <w:vAlign w:val="bottom"/>
            <w:tcBorders>
              <w:bottom w:val="single" w:sz="8" w:color="CFF0FC"/>
            </w:tcBorders>
            <w:shd w:val="clear" w:color="auto" w:fill="CFF0FC"/>
          </w:tcPr>
          <w:p>
            <w:pPr>
              <w:spacing w:after="0"/>
              <w:rPr>
                <w:sz w:val="23"/>
                <w:szCs w:val="23"/>
                <w:color w:val="auto"/>
              </w:rPr>
            </w:pPr>
          </w:p>
        </w:tc>
        <w:tc>
          <w:tcPr>
            <w:tcW w:w="1460" w:type="dxa"/>
            <w:vAlign w:val="bottom"/>
            <w:tcBorders>
              <w:bottom w:val="single" w:sz="8" w:color="CFF0FC"/>
            </w:tcBorders>
            <w:gridSpan w:val="2"/>
            <w:shd w:val="clear" w:color="auto" w:fill="CFF0FC"/>
          </w:tcPr>
          <w:p>
            <w:pPr>
              <w:ind w:left="920"/>
              <w:spacing w:after="0"/>
              <w:rPr>
                <w:sz w:val="20"/>
                <w:szCs w:val="20"/>
                <w:color w:val="auto"/>
              </w:rPr>
            </w:pPr>
            <w:r>
              <w:rPr>
                <w:rFonts w:ascii="Arial" w:cs="Arial" w:eastAsia="Arial" w:hAnsi="Arial"/>
                <w:sz w:val="18"/>
                <w:szCs w:val="18"/>
                <w:color w:val="auto"/>
              </w:rPr>
              <w:t>— %</w:t>
            </w:r>
          </w:p>
        </w:tc>
        <w:tc>
          <w:tcPr>
            <w:tcW w:w="132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0.3 %</w:t>
            </w:r>
          </w:p>
        </w:tc>
        <w:tc>
          <w:tcPr>
            <w:tcW w:w="120" w:type="dxa"/>
            <w:vAlign w:val="bottom"/>
            <w:tcBorders>
              <w:bottom w:val="single" w:sz="8" w:color="CFF0FC"/>
            </w:tcBorders>
            <w:shd w:val="clear" w:color="auto" w:fill="CFF0FC"/>
          </w:tcPr>
          <w:p>
            <w:pPr>
              <w:spacing w:after="0"/>
              <w:rPr>
                <w:sz w:val="23"/>
                <w:szCs w:val="23"/>
                <w:color w:val="auto"/>
              </w:rPr>
            </w:pPr>
          </w:p>
        </w:tc>
        <w:tc>
          <w:tcPr>
            <w:tcW w:w="13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0.4 %</w:t>
            </w:r>
          </w:p>
        </w:tc>
        <w:tc>
          <w:tcPr>
            <w:tcW w:w="100" w:type="dxa"/>
            <w:vAlign w:val="bottom"/>
            <w:tcBorders>
              <w:bottom w:val="single" w:sz="8" w:color="CFF0FC"/>
            </w:tcBorders>
            <w:shd w:val="clear" w:color="auto" w:fill="CFF0FC"/>
          </w:tcPr>
          <w:p>
            <w:pPr>
              <w:spacing w:after="0"/>
              <w:rPr>
                <w:sz w:val="23"/>
                <w:szCs w:val="23"/>
                <w:color w:val="auto"/>
              </w:rPr>
            </w:pPr>
          </w:p>
        </w:tc>
        <w:tc>
          <w:tcPr>
            <w:tcW w:w="13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0.2 %</w:t>
            </w:r>
          </w:p>
        </w:tc>
      </w:tr>
      <w:tr>
        <w:trPr>
          <w:trHeight w:val="237"/>
        </w:trPr>
        <w:tc>
          <w:tcPr>
            <w:tcW w:w="4840" w:type="dxa"/>
            <w:vAlign w:val="bottom"/>
          </w:tcPr>
          <w:p>
            <w:pPr>
              <w:ind w:left="720"/>
              <w:spacing w:after="0"/>
              <w:rPr>
                <w:sz w:val="20"/>
                <w:szCs w:val="20"/>
                <w:color w:val="auto"/>
              </w:rPr>
            </w:pPr>
            <w:r>
              <w:rPr>
                <w:rFonts w:ascii="Arial" w:cs="Arial" w:eastAsia="Arial" w:hAnsi="Arial"/>
                <w:sz w:val="18"/>
                <w:szCs w:val="18"/>
                <w:color w:val="auto"/>
              </w:rPr>
              <w:t>Total operating costs and expenses</w:t>
            </w:r>
          </w:p>
        </w:tc>
        <w:tc>
          <w:tcPr>
            <w:tcW w:w="900" w:type="dxa"/>
            <w:vAlign w:val="bottom"/>
          </w:tcPr>
          <w:p>
            <w:pPr>
              <w:spacing w:after="0"/>
              <w:rPr>
                <w:sz w:val="20"/>
                <w:szCs w:val="20"/>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65.1 %</w:t>
            </w:r>
          </w:p>
        </w:tc>
        <w:tc>
          <w:tcPr>
            <w:tcW w:w="120" w:type="dxa"/>
            <w:vAlign w:val="bottom"/>
          </w:tcPr>
          <w:p>
            <w:pPr>
              <w:spacing w:after="0"/>
              <w:rPr>
                <w:sz w:val="20"/>
                <w:szCs w:val="20"/>
                <w:color w:val="auto"/>
              </w:rPr>
            </w:pPr>
          </w:p>
        </w:tc>
        <w:tc>
          <w:tcPr>
            <w:tcW w:w="13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64.4 %</w:t>
            </w:r>
          </w:p>
        </w:tc>
        <w:tc>
          <w:tcPr>
            <w:tcW w:w="120" w:type="dxa"/>
            <w:vAlign w:val="bottom"/>
          </w:tcPr>
          <w:p>
            <w:pPr>
              <w:spacing w:after="0"/>
              <w:rPr>
                <w:sz w:val="20"/>
                <w:szCs w:val="20"/>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66.5 %</w:t>
            </w:r>
          </w:p>
        </w:tc>
        <w:tc>
          <w:tcPr>
            <w:tcW w:w="100" w:type="dxa"/>
            <w:vAlign w:val="bottom"/>
          </w:tcPr>
          <w:p>
            <w:pPr>
              <w:spacing w:after="0"/>
              <w:rPr>
                <w:sz w:val="20"/>
                <w:szCs w:val="20"/>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64.1 %</w:t>
            </w:r>
          </w:p>
        </w:tc>
      </w:tr>
      <w:tr>
        <w:trPr>
          <w:trHeight w:val="27"/>
        </w:trPr>
        <w:tc>
          <w:tcPr>
            <w:tcW w:w="4840" w:type="dxa"/>
            <w:vAlign w:val="bottom"/>
            <w:tcBorders>
              <w:bottom w:val="single" w:sz="8" w:color="CFF0FC"/>
            </w:tcBorders>
          </w:tcPr>
          <w:p>
            <w:pPr>
              <w:spacing w:after="0"/>
              <w:rPr>
                <w:sz w:val="2"/>
                <w:szCs w:val="2"/>
                <w:color w:val="auto"/>
              </w:rPr>
            </w:pPr>
          </w:p>
        </w:tc>
        <w:tc>
          <w:tcPr>
            <w:tcW w:w="900" w:type="dxa"/>
            <w:vAlign w:val="bottom"/>
            <w:tcBorders>
              <w:bottom w:val="single" w:sz="8" w:color="CFF0FC"/>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64"/>
        </w:trPr>
        <w:tc>
          <w:tcPr>
            <w:tcW w:w="4840" w:type="dxa"/>
            <w:vAlign w:val="bottom"/>
            <w:tcBorders>
              <w:bottom w:val="single" w:sz="8" w:color="CFF0FC"/>
            </w:tcBorders>
            <w:shd w:val="clear" w:color="auto" w:fill="CFF0FC"/>
          </w:tcPr>
          <w:p>
            <w:pPr>
              <w:ind w:left="720"/>
              <w:spacing w:after="0"/>
              <w:rPr>
                <w:sz w:val="20"/>
                <w:szCs w:val="20"/>
                <w:color w:val="auto"/>
              </w:rPr>
            </w:pPr>
            <w:r>
              <w:rPr>
                <w:rFonts w:ascii="Arial" w:cs="Arial" w:eastAsia="Arial" w:hAnsi="Arial"/>
                <w:sz w:val="18"/>
                <w:szCs w:val="18"/>
                <w:color w:val="auto"/>
              </w:rPr>
              <w:t>Income from operations</w:t>
            </w:r>
          </w:p>
        </w:tc>
        <w:tc>
          <w:tcPr>
            <w:tcW w:w="2240" w:type="dxa"/>
            <w:vAlign w:val="bottom"/>
            <w:tcBorders>
              <w:bottom w:val="single" w:sz="8" w:color="CFF0FC"/>
            </w:tcBorders>
            <w:gridSpan w:val="2"/>
            <w:shd w:val="clear" w:color="auto" w:fill="CFF0FC"/>
          </w:tcPr>
          <w:p>
            <w:pPr>
              <w:jc w:val="right"/>
              <w:spacing w:after="0"/>
              <w:rPr>
                <w:sz w:val="20"/>
                <w:szCs w:val="20"/>
                <w:color w:val="auto"/>
              </w:rPr>
            </w:pPr>
            <w:r>
              <w:rPr>
                <w:rFonts w:ascii="Arial" w:cs="Arial" w:eastAsia="Arial" w:hAnsi="Arial"/>
                <w:sz w:val="18"/>
                <w:szCs w:val="18"/>
                <w:color w:val="auto"/>
              </w:rPr>
              <w:t>34.9 %</w:t>
            </w:r>
          </w:p>
        </w:tc>
        <w:tc>
          <w:tcPr>
            <w:tcW w:w="120" w:type="dxa"/>
            <w:vAlign w:val="bottom"/>
            <w:tcBorders>
              <w:bottom w:val="single" w:sz="8" w:color="CFF0FC"/>
            </w:tcBorders>
            <w:shd w:val="clear" w:color="auto" w:fill="CFF0FC"/>
          </w:tcPr>
          <w:p>
            <w:pPr>
              <w:spacing w:after="0"/>
              <w:rPr>
                <w:sz w:val="22"/>
                <w:szCs w:val="22"/>
                <w:color w:val="auto"/>
              </w:rPr>
            </w:pPr>
          </w:p>
        </w:tc>
        <w:tc>
          <w:tcPr>
            <w:tcW w:w="132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35.6 %</w:t>
            </w:r>
          </w:p>
        </w:tc>
        <w:tc>
          <w:tcPr>
            <w:tcW w:w="120" w:type="dxa"/>
            <w:vAlign w:val="bottom"/>
            <w:tcBorders>
              <w:bottom w:val="single" w:sz="8" w:color="CFF0FC"/>
            </w:tcBorders>
            <w:shd w:val="clear" w:color="auto" w:fill="CFF0FC"/>
          </w:tcPr>
          <w:p>
            <w:pPr>
              <w:spacing w:after="0"/>
              <w:rPr>
                <w:sz w:val="22"/>
                <w:szCs w:val="22"/>
                <w:color w:val="auto"/>
              </w:rPr>
            </w:pPr>
          </w:p>
        </w:tc>
        <w:tc>
          <w:tcPr>
            <w:tcW w:w="13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33.5 %</w:t>
            </w:r>
          </w:p>
        </w:tc>
        <w:tc>
          <w:tcPr>
            <w:tcW w:w="100" w:type="dxa"/>
            <w:vAlign w:val="bottom"/>
            <w:tcBorders>
              <w:bottom w:val="single" w:sz="8" w:color="CFF0FC"/>
            </w:tcBorders>
            <w:shd w:val="clear" w:color="auto" w:fill="CFF0FC"/>
          </w:tcPr>
          <w:p>
            <w:pPr>
              <w:spacing w:after="0"/>
              <w:rPr>
                <w:sz w:val="22"/>
                <w:szCs w:val="22"/>
                <w:color w:val="auto"/>
              </w:rPr>
            </w:pPr>
          </w:p>
        </w:tc>
        <w:tc>
          <w:tcPr>
            <w:tcW w:w="13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35.9 %</w:t>
            </w:r>
          </w:p>
        </w:tc>
      </w:tr>
      <w:tr>
        <w:trPr>
          <w:trHeight w:val="237"/>
        </w:trPr>
        <w:tc>
          <w:tcPr>
            <w:tcW w:w="4840" w:type="dxa"/>
            <w:vAlign w:val="bottom"/>
          </w:tcPr>
          <w:p>
            <w:pPr>
              <w:ind w:left="40"/>
              <w:spacing w:after="0"/>
              <w:rPr>
                <w:sz w:val="20"/>
                <w:szCs w:val="20"/>
                <w:color w:val="auto"/>
              </w:rPr>
            </w:pPr>
            <w:r>
              <w:rPr>
                <w:rFonts w:ascii="Arial" w:cs="Arial" w:eastAsia="Arial" w:hAnsi="Arial"/>
                <w:sz w:val="18"/>
                <w:szCs w:val="18"/>
                <w:color w:val="auto"/>
              </w:rPr>
              <w:t>Other income (expense), net:</w:t>
            </w:r>
          </w:p>
        </w:tc>
        <w:tc>
          <w:tcPr>
            <w:tcW w:w="900" w:type="dxa"/>
            <w:vAlign w:val="bottom"/>
          </w:tcPr>
          <w:p>
            <w:pPr>
              <w:spacing w:after="0"/>
              <w:rPr>
                <w:sz w:val="20"/>
                <w:szCs w:val="20"/>
                <w:color w:val="auto"/>
              </w:rPr>
            </w:pPr>
          </w:p>
        </w:tc>
        <w:tc>
          <w:tcPr>
            <w:tcW w:w="134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32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3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340" w:type="dxa"/>
            <w:vAlign w:val="bottom"/>
            <w:tcBorders>
              <w:top w:val="single" w:sz="8" w:color="auto"/>
            </w:tcBorders>
          </w:tcPr>
          <w:p>
            <w:pPr>
              <w:spacing w:after="0"/>
              <w:rPr>
                <w:sz w:val="20"/>
                <w:szCs w:val="20"/>
                <w:color w:val="auto"/>
              </w:rPr>
            </w:pPr>
          </w:p>
        </w:tc>
      </w:tr>
      <w:tr>
        <w:trPr>
          <w:trHeight w:val="27"/>
        </w:trPr>
        <w:tc>
          <w:tcPr>
            <w:tcW w:w="48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484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Interest expense, net</w:t>
            </w:r>
          </w:p>
        </w:tc>
        <w:tc>
          <w:tcPr>
            <w:tcW w:w="2240" w:type="dxa"/>
            <w:vAlign w:val="bottom"/>
            <w:tcBorders>
              <w:bottom w:val="single" w:sz="8" w:color="CFF0FC"/>
            </w:tcBorders>
            <w:gridSpan w:val="2"/>
            <w:shd w:val="clear" w:color="auto" w:fill="CFF0FC"/>
          </w:tcPr>
          <w:p>
            <w:pPr>
              <w:jc w:val="right"/>
              <w:spacing w:after="0"/>
              <w:rPr>
                <w:sz w:val="20"/>
                <w:szCs w:val="20"/>
                <w:color w:val="auto"/>
              </w:rPr>
            </w:pPr>
            <w:r>
              <w:rPr>
                <w:rFonts w:ascii="Arial" w:cs="Arial" w:eastAsia="Arial" w:hAnsi="Arial"/>
                <w:sz w:val="18"/>
                <w:szCs w:val="18"/>
                <w:color w:val="auto"/>
              </w:rPr>
              <w:t>(6.1)%</w:t>
            </w:r>
          </w:p>
        </w:tc>
        <w:tc>
          <w:tcPr>
            <w:tcW w:w="120" w:type="dxa"/>
            <w:vAlign w:val="bottom"/>
            <w:tcBorders>
              <w:bottom w:val="single" w:sz="8" w:color="CFF0FC"/>
            </w:tcBorders>
            <w:shd w:val="clear" w:color="auto" w:fill="CFF0FC"/>
          </w:tcPr>
          <w:p>
            <w:pPr>
              <w:spacing w:after="0"/>
              <w:rPr>
                <w:sz w:val="21"/>
                <w:szCs w:val="21"/>
                <w:color w:val="auto"/>
              </w:rPr>
            </w:pPr>
          </w:p>
        </w:tc>
        <w:tc>
          <w:tcPr>
            <w:tcW w:w="132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(8.4)%</w:t>
            </w:r>
          </w:p>
        </w:tc>
        <w:tc>
          <w:tcPr>
            <w:tcW w:w="120" w:type="dxa"/>
            <w:vAlign w:val="bottom"/>
            <w:tcBorders>
              <w:bottom w:val="single" w:sz="8" w:color="CFF0FC"/>
            </w:tcBorders>
            <w:shd w:val="clear" w:color="auto" w:fill="CFF0FC"/>
          </w:tcPr>
          <w:p>
            <w:pPr>
              <w:spacing w:after="0"/>
              <w:rPr>
                <w:sz w:val="21"/>
                <w:szCs w:val="21"/>
                <w:color w:val="auto"/>
              </w:rPr>
            </w:pPr>
          </w:p>
        </w:tc>
        <w:tc>
          <w:tcPr>
            <w:tcW w:w="13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(6.6)%</w:t>
            </w:r>
          </w:p>
        </w:tc>
        <w:tc>
          <w:tcPr>
            <w:tcW w:w="100" w:type="dxa"/>
            <w:vAlign w:val="bottom"/>
            <w:tcBorders>
              <w:bottom w:val="single" w:sz="8" w:color="CFF0FC"/>
            </w:tcBorders>
            <w:shd w:val="clear" w:color="auto" w:fill="CFF0FC"/>
          </w:tcPr>
          <w:p>
            <w:pPr>
              <w:spacing w:after="0"/>
              <w:rPr>
                <w:sz w:val="21"/>
                <w:szCs w:val="21"/>
                <w:color w:val="auto"/>
              </w:rPr>
            </w:pPr>
          </w:p>
        </w:tc>
        <w:tc>
          <w:tcPr>
            <w:tcW w:w="13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(9.0)%</w:t>
            </w:r>
          </w:p>
        </w:tc>
      </w:tr>
      <w:tr>
        <w:trPr>
          <w:trHeight w:val="243"/>
        </w:trPr>
        <w:tc>
          <w:tcPr>
            <w:tcW w:w="4840" w:type="dxa"/>
            <w:vAlign w:val="bottom"/>
          </w:tcPr>
          <w:p>
            <w:pPr>
              <w:ind w:left="280"/>
              <w:spacing w:after="0"/>
              <w:rPr>
                <w:sz w:val="20"/>
                <w:szCs w:val="20"/>
                <w:color w:val="auto"/>
              </w:rPr>
            </w:pPr>
            <w:r>
              <w:rPr>
                <w:rFonts w:ascii="Arial" w:cs="Arial" w:eastAsia="Arial" w:hAnsi="Arial"/>
                <w:sz w:val="18"/>
                <w:szCs w:val="18"/>
                <w:color w:val="auto"/>
              </w:rPr>
              <w:t>Other expense</w:t>
            </w:r>
          </w:p>
        </w:tc>
        <w:tc>
          <w:tcPr>
            <w:tcW w:w="2240" w:type="dxa"/>
            <w:vAlign w:val="bottom"/>
            <w:gridSpan w:val="2"/>
          </w:tcPr>
          <w:p>
            <w:pPr>
              <w:jc w:val="right"/>
              <w:spacing w:after="0"/>
              <w:rPr>
                <w:sz w:val="20"/>
                <w:szCs w:val="20"/>
                <w:color w:val="auto"/>
              </w:rPr>
            </w:pPr>
            <w:r>
              <w:rPr>
                <w:rFonts w:ascii="Arial" w:cs="Arial" w:eastAsia="Arial" w:hAnsi="Arial"/>
                <w:sz w:val="18"/>
                <w:szCs w:val="18"/>
                <w:color w:val="auto"/>
              </w:rPr>
              <w:t>(0.4)%</w:t>
            </w:r>
          </w:p>
        </w:tc>
        <w:tc>
          <w:tcPr>
            <w:tcW w:w="12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(0.9)%</w:t>
            </w:r>
          </w:p>
        </w:tc>
        <w:tc>
          <w:tcPr>
            <w:tcW w:w="12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(0.1)%</w:t>
            </w:r>
          </w:p>
        </w:tc>
        <w:tc>
          <w:tcPr>
            <w:tcW w:w="10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(0.1)%</w:t>
            </w:r>
          </w:p>
        </w:tc>
      </w:tr>
      <w:tr>
        <w:trPr>
          <w:trHeight w:val="27"/>
        </w:trPr>
        <w:tc>
          <w:tcPr>
            <w:tcW w:w="4840" w:type="dxa"/>
            <w:vAlign w:val="bottom"/>
            <w:tcBorders>
              <w:bottom w:val="single" w:sz="8" w:color="CFF0FC"/>
            </w:tcBorders>
          </w:tcPr>
          <w:p>
            <w:pPr>
              <w:spacing w:after="0"/>
              <w:rPr>
                <w:sz w:val="2"/>
                <w:szCs w:val="2"/>
                <w:color w:val="auto"/>
              </w:rPr>
            </w:pPr>
          </w:p>
        </w:tc>
        <w:tc>
          <w:tcPr>
            <w:tcW w:w="900" w:type="dxa"/>
            <w:vAlign w:val="bottom"/>
            <w:tcBorders>
              <w:bottom w:val="single" w:sz="8" w:color="CFF0FC"/>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64"/>
        </w:trPr>
        <w:tc>
          <w:tcPr>
            <w:tcW w:w="4840" w:type="dxa"/>
            <w:vAlign w:val="bottom"/>
            <w:tcBorders>
              <w:bottom w:val="single" w:sz="8" w:color="CFF0FC"/>
            </w:tcBorders>
            <w:shd w:val="clear" w:color="auto" w:fill="CFF0FC"/>
          </w:tcPr>
          <w:p>
            <w:pPr>
              <w:ind w:left="720"/>
              <w:spacing w:after="0"/>
              <w:rPr>
                <w:sz w:val="20"/>
                <w:szCs w:val="20"/>
                <w:color w:val="auto"/>
              </w:rPr>
            </w:pPr>
            <w:r>
              <w:rPr>
                <w:rFonts w:ascii="Arial" w:cs="Arial" w:eastAsia="Arial" w:hAnsi="Arial"/>
                <w:sz w:val="18"/>
                <w:szCs w:val="18"/>
                <w:color w:val="auto"/>
              </w:rPr>
              <w:t>Total other expense, net</w:t>
            </w:r>
          </w:p>
        </w:tc>
        <w:tc>
          <w:tcPr>
            <w:tcW w:w="900" w:type="dxa"/>
            <w:vAlign w:val="bottom"/>
            <w:tcBorders>
              <w:bottom w:val="single" w:sz="8" w:color="CFF0FC"/>
            </w:tcBorders>
            <w:shd w:val="clear" w:color="auto" w:fill="CFF0FC"/>
          </w:tcPr>
          <w:p>
            <w:pPr>
              <w:spacing w:after="0"/>
              <w:rPr>
                <w:sz w:val="22"/>
                <w:szCs w:val="22"/>
                <w:color w:val="auto"/>
              </w:rPr>
            </w:pPr>
          </w:p>
        </w:tc>
        <w:tc>
          <w:tcPr>
            <w:tcW w:w="13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(6.5)%</w:t>
            </w:r>
          </w:p>
        </w:tc>
        <w:tc>
          <w:tcPr>
            <w:tcW w:w="120" w:type="dxa"/>
            <w:vAlign w:val="bottom"/>
            <w:tcBorders>
              <w:bottom w:val="single" w:sz="8" w:color="CFF0FC"/>
            </w:tcBorders>
            <w:shd w:val="clear" w:color="auto" w:fill="CFF0FC"/>
          </w:tcPr>
          <w:p>
            <w:pPr>
              <w:spacing w:after="0"/>
              <w:rPr>
                <w:sz w:val="22"/>
                <w:szCs w:val="22"/>
                <w:color w:val="auto"/>
              </w:rPr>
            </w:pPr>
          </w:p>
        </w:tc>
        <w:tc>
          <w:tcPr>
            <w:tcW w:w="132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(9.3)%</w:t>
            </w:r>
          </w:p>
        </w:tc>
        <w:tc>
          <w:tcPr>
            <w:tcW w:w="120" w:type="dxa"/>
            <w:vAlign w:val="bottom"/>
            <w:tcBorders>
              <w:bottom w:val="single" w:sz="8" w:color="CFF0FC"/>
            </w:tcBorders>
            <w:shd w:val="clear" w:color="auto" w:fill="CFF0FC"/>
          </w:tcPr>
          <w:p>
            <w:pPr>
              <w:spacing w:after="0"/>
              <w:rPr>
                <w:sz w:val="22"/>
                <w:szCs w:val="22"/>
                <w:color w:val="auto"/>
              </w:rPr>
            </w:pPr>
          </w:p>
        </w:tc>
        <w:tc>
          <w:tcPr>
            <w:tcW w:w="13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(6.7)%</w:t>
            </w:r>
          </w:p>
        </w:tc>
        <w:tc>
          <w:tcPr>
            <w:tcW w:w="100" w:type="dxa"/>
            <w:vAlign w:val="bottom"/>
            <w:tcBorders>
              <w:bottom w:val="single" w:sz="8" w:color="CFF0FC"/>
            </w:tcBorders>
            <w:shd w:val="clear" w:color="auto" w:fill="CFF0FC"/>
          </w:tcPr>
          <w:p>
            <w:pPr>
              <w:spacing w:after="0"/>
              <w:rPr>
                <w:sz w:val="22"/>
                <w:szCs w:val="22"/>
                <w:color w:val="auto"/>
              </w:rPr>
            </w:pPr>
          </w:p>
        </w:tc>
        <w:tc>
          <w:tcPr>
            <w:tcW w:w="13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(9.1)%</w:t>
            </w:r>
          </w:p>
        </w:tc>
      </w:tr>
      <w:tr>
        <w:trPr>
          <w:trHeight w:val="237"/>
        </w:trPr>
        <w:tc>
          <w:tcPr>
            <w:tcW w:w="4840" w:type="dxa"/>
            <w:vAlign w:val="bottom"/>
          </w:tcPr>
          <w:p>
            <w:pPr>
              <w:ind w:left="720"/>
              <w:spacing w:after="0"/>
              <w:rPr>
                <w:sz w:val="20"/>
                <w:szCs w:val="20"/>
                <w:color w:val="auto"/>
              </w:rPr>
            </w:pPr>
            <w:r>
              <w:rPr>
                <w:rFonts w:ascii="Arial" w:cs="Arial" w:eastAsia="Arial" w:hAnsi="Arial"/>
                <w:sz w:val="18"/>
                <w:szCs w:val="18"/>
                <w:color w:val="auto"/>
              </w:rPr>
              <w:t>Income before income taxes</w:t>
            </w:r>
          </w:p>
        </w:tc>
        <w:tc>
          <w:tcPr>
            <w:tcW w:w="900" w:type="dxa"/>
            <w:vAlign w:val="bottom"/>
          </w:tcPr>
          <w:p>
            <w:pPr>
              <w:spacing w:after="0"/>
              <w:rPr>
                <w:sz w:val="20"/>
                <w:szCs w:val="20"/>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28.4 %</w:t>
            </w:r>
          </w:p>
        </w:tc>
        <w:tc>
          <w:tcPr>
            <w:tcW w:w="120" w:type="dxa"/>
            <w:vAlign w:val="bottom"/>
          </w:tcPr>
          <w:p>
            <w:pPr>
              <w:spacing w:after="0"/>
              <w:rPr>
                <w:sz w:val="20"/>
                <w:szCs w:val="20"/>
                <w:color w:val="auto"/>
              </w:rPr>
            </w:pPr>
          </w:p>
        </w:tc>
        <w:tc>
          <w:tcPr>
            <w:tcW w:w="13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26.3 %</w:t>
            </w:r>
          </w:p>
        </w:tc>
        <w:tc>
          <w:tcPr>
            <w:tcW w:w="120" w:type="dxa"/>
            <w:vAlign w:val="bottom"/>
          </w:tcPr>
          <w:p>
            <w:pPr>
              <w:spacing w:after="0"/>
              <w:rPr>
                <w:sz w:val="20"/>
                <w:szCs w:val="20"/>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26.8 %</w:t>
            </w:r>
          </w:p>
        </w:tc>
        <w:tc>
          <w:tcPr>
            <w:tcW w:w="100" w:type="dxa"/>
            <w:vAlign w:val="bottom"/>
          </w:tcPr>
          <w:p>
            <w:pPr>
              <w:spacing w:after="0"/>
              <w:rPr>
                <w:sz w:val="20"/>
                <w:szCs w:val="20"/>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26.8 %</w:t>
            </w:r>
          </w:p>
        </w:tc>
      </w:tr>
      <w:tr>
        <w:trPr>
          <w:trHeight w:val="27"/>
        </w:trPr>
        <w:tc>
          <w:tcPr>
            <w:tcW w:w="48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70"/>
        </w:trPr>
        <w:tc>
          <w:tcPr>
            <w:tcW w:w="484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Provision for income taxes</w:t>
            </w:r>
          </w:p>
        </w:tc>
        <w:tc>
          <w:tcPr>
            <w:tcW w:w="900" w:type="dxa"/>
            <w:vAlign w:val="bottom"/>
            <w:tcBorders>
              <w:bottom w:val="single" w:sz="8" w:color="CFF0FC"/>
            </w:tcBorders>
            <w:shd w:val="clear" w:color="auto" w:fill="CFF0FC"/>
          </w:tcPr>
          <w:p>
            <w:pPr>
              <w:spacing w:after="0"/>
              <w:rPr>
                <w:sz w:val="23"/>
                <w:szCs w:val="23"/>
                <w:color w:val="auto"/>
              </w:rPr>
            </w:pPr>
          </w:p>
        </w:tc>
        <w:tc>
          <w:tcPr>
            <w:tcW w:w="13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6.6 %</w:t>
            </w:r>
          </w:p>
        </w:tc>
        <w:tc>
          <w:tcPr>
            <w:tcW w:w="120" w:type="dxa"/>
            <w:vAlign w:val="bottom"/>
            <w:tcBorders>
              <w:bottom w:val="single" w:sz="8" w:color="CFF0FC"/>
            </w:tcBorders>
            <w:shd w:val="clear" w:color="auto" w:fill="CFF0FC"/>
          </w:tcPr>
          <w:p>
            <w:pPr>
              <w:spacing w:after="0"/>
              <w:rPr>
                <w:sz w:val="23"/>
                <w:szCs w:val="23"/>
                <w:color w:val="auto"/>
              </w:rPr>
            </w:pPr>
          </w:p>
        </w:tc>
        <w:tc>
          <w:tcPr>
            <w:tcW w:w="132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9.6 %</w:t>
            </w:r>
          </w:p>
        </w:tc>
        <w:tc>
          <w:tcPr>
            <w:tcW w:w="120" w:type="dxa"/>
            <w:vAlign w:val="bottom"/>
            <w:tcBorders>
              <w:bottom w:val="single" w:sz="8" w:color="CFF0FC"/>
            </w:tcBorders>
            <w:shd w:val="clear" w:color="auto" w:fill="CFF0FC"/>
          </w:tcPr>
          <w:p>
            <w:pPr>
              <w:spacing w:after="0"/>
              <w:rPr>
                <w:sz w:val="23"/>
                <w:szCs w:val="23"/>
                <w:color w:val="auto"/>
              </w:rPr>
            </w:pPr>
          </w:p>
        </w:tc>
        <w:tc>
          <w:tcPr>
            <w:tcW w:w="13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6.2 %</w:t>
            </w:r>
          </w:p>
        </w:tc>
        <w:tc>
          <w:tcPr>
            <w:tcW w:w="100" w:type="dxa"/>
            <w:vAlign w:val="bottom"/>
            <w:tcBorders>
              <w:bottom w:val="single" w:sz="8" w:color="CFF0FC"/>
            </w:tcBorders>
            <w:shd w:val="clear" w:color="auto" w:fill="CFF0FC"/>
          </w:tcPr>
          <w:p>
            <w:pPr>
              <w:spacing w:after="0"/>
              <w:rPr>
                <w:sz w:val="23"/>
                <w:szCs w:val="23"/>
                <w:color w:val="auto"/>
              </w:rPr>
            </w:pPr>
          </w:p>
        </w:tc>
        <w:tc>
          <w:tcPr>
            <w:tcW w:w="13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8.8 %</w:t>
            </w:r>
          </w:p>
        </w:tc>
      </w:tr>
      <w:tr>
        <w:trPr>
          <w:trHeight w:val="237"/>
        </w:trPr>
        <w:tc>
          <w:tcPr>
            <w:tcW w:w="4840" w:type="dxa"/>
            <w:vAlign w:val="bottom"/>
          </w:tcPr>
          <w:p>
            <w:pPr>
              <w:ind w:left="720"/>
              <w:spacing w:after="0"/>
              <w:rPr>
                <w:sz w:val="20"/>
                <w:szCs w:val="20"/>
                <w:color w:val="auto"/>
              </w:rPr>
            </w:pPr>
            <w:r>
              <w:rPr>
                <w:rFonts w:ascii="Arial" w:cs="Arial" w:eastAsia="Arial" w:hAnsi="Arial"/>
                <w:sz w:val="18"/>
                <w:szCs w:val="18"/>
                <w:color w:val="auto"/>
              </w:rPr>
              <w:t>Net income</w:t>
            </w:r>
          </w:p>
        </w:tc>
        <w:tc>
          <w:tcPr>
            <w:tcW w:w="900" w:type="dxa"/>
            <w:vAlign w:val="bottom"/>
          </w:tcPr>
          <w:p>
            <w:pPr>
              <w:spacing w:after="0"/>
              <w:rPr>
                <w:sz w:val="20"/>
                <w:szCs w:val="20"/>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21.8 %</w:t>
            </w:r>
          </w:p>
        </w:tc>
        <w:tc>
          <w:tcPr>
            <w:tcW w:w="120" w:type="dxa"/>
            <w:vAlign w:val="bottom"/>
          </w:tcPr>
          <w:p>
            <w:pPr>
              <w:spacing w:after="0"/>
              <w:rPr>
                <w:sz w:val="20"/>
                <w:szCs w:val="20"/>
                <w:color w:val="auto"/>
              </w:rPr>
            </w:pPr>
          </w:p>
        </w:tc>
        <w:tc>
          <w:tcPr>
            <w:tcW w:w="13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16.7 %</w:t>
            </w:r>
          </w:p>
        </w:tc>
        <w:tc>
          <w:tcPr>
            <w:tcW w:w="120" w:type="dxa"/>
            <w:vAlign w:val="bottom"/>
          </w:tcPr>
          <w:p>
            <w:pPr>
              <w:spacing w:after="0"/>
              <w:rPr>
                <w:sz w:val="20"/>
                <w:szCs w:val="20"/>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20.6 %</w:t>
            </w:r>
          </w:p>
        </w:tc>
        <w:tc>
          <w:tcPr>
            <w:tcW w:w="100" w:type="dxa"/>
            <w:vAlign w:val="bottom"/>
          </w:tcPr>
          <w:p>
            <w:pPr>
              <w:spacing w:after="0"/>
              <w:rPr>
                <w:sz w:val="20"/>
                <w:szCs w:val="20"/>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18.0 %</w:t>
            </w:r>
          </w:p>
        </w:tc>
      </w:tr>
      <w:tr>
        <w:trPr>
          <w:trHeight w:val="27"/>
        </w:trPr>
        <w:tc>
          <w:tcPr>
            <w:tcW w:w="48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70"/>
        </w:trPr>
        <w:tc>
          <w:tcPr>
            <w:tcW w:w="484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Less net income attributable to non-controlling interests</w:t>
            </w:r>
          </w:p>
        </w:tc>
        <w:tc>
          <w:tcPr>
            <w:tcW w:w="900" w:type="dxa"/>
            <w:vAlign w:val="bottom"/>
            <w:tcBorders>
              <w:bottom w:val="single" w:sz="8" w:color="CFF0FC"/>
            </w:tcBorders>
            <w:shd w:val="clear" w:color="auto" w:fill="CFF0FC"/>
          </w:tcPr>
          <w:p>
            <w:pPr>
              <w:spacing w:after="0"/>
              <w:rPr>
                <w:sz w:val="23"/>
                <w:szCs w:val="23"/>
                <w:color w:val="auto"/>
              </w:rPr>
            </w:pPr>
          </w:p>
        </w:tc>
        <w:tc>
          <w:tcPr>
            <w:tcW w:w="13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3.2 %</w:t>
            </w:r>
          </w:p>
        </w:tc>
        <w:tc>
          <w:tcPr>
            <w:tcW w:w="120" w:type="dxa"/>
            <w:vAlign w:val="bottom"/>
            <w:tcBorders>
              <w:bottom w:val="single" w:sz="8" w:color="CFF0FC"/>
            </w:tcBorders>
            <w:shd w:val="clear" w:color="auto" w:fill="CFF0FC"/>
          </w:tcPr>
          <w:p>
            <w:pPr>
              <w:spacing w:after="0"/>
              <w:rPr>
                <w:sz w:val="23"/>
                <w:szCs w:val="23"/>
                <w:color w:val="auto"/>
              </w:rPr>
            </w:pPr>
          </w:p>
        </w:tc>
        <w:tc>
          <w:tcPr>
            <w:tcW w:w="132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5.2 %</w:t>
            </w:r>
          </w:p>
        </w:tc>
        <w:tc>
          <w:tcPr>
            <w:tcW w:w="120" w:type="dxa"/>
            <w:vAlign w:val="bottom"/>
            <w:tcBorders>
              <w:bottom w:val="single" w:sz="8" w:color="CFF0FC"/>
            </w:tcBorders>
            <w:shd w:val="clear" w:color="auto" w:fill="CFF0FC"/>
          </w:tcPr>
          <w:p>
            <w:pPr>
              <w:spacing w:after="0"/>
              <w:rPr>
                <w:sz w:val="23"/>
                <w:szCs w:val="23"/>
                <w:color w:val="auto"/>
              </w:rPr>
            </w:pPr>
          </w:p>
        </w:tc>
        <w:tc>
          <w:tcPr>
            <w:tcW w:w="13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3.1 %</w:t>
            </w:r>
          </w:p>
        </w:tc>
        <w:tc>
          <w:tcPr>
            <w:tcW w:w="100" w:type="dxa"/>
            <w:vAlign w:val="bottom"/>
            <w:tcBorders>
              <w:bottom w:val="single" w:sz="8" w:color="CFF0FC"/>
            </w:tcBorders>
            <w:shd w:val="clear" w:color="auto" w:fill="CFF0FC"/>
          </w:tcPr>
          <w:p>
            <w:pPr>
              <w:spacing w:after="0"/>
              <w:rPr>
                <w:sz w:val="23"/>
                <w:szCs w:val="23"/>
                <w:color w:val="auto"/>
              </w:rPr>
            </w:pPr>
          </w:p>
        </w:tc>
        <w:tc>
          <w:tcPr>
            <w:tcW w:w="13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7.4 %</w:t>
            </w:r>
          </w:p>
        </w:tc>
      </w:tr>
      <w:tr>
        <w:trPr>
          <w:trHeight w:val="257"/>
        </w:trPr>
        <w:tc>
          <w:tcPr>
            <w:tcW w:w="4840" w:type="dxa"/>
            <w:vAlign w:val="bottom"/>
          </w:tcPr>
          <w:p>
            <w:pPr>
              <w:ind w:left="720"/>
              <w:spacing w:after="0"/>
              <w:rPr>
                <w:sz w:val="20"/>
                <w:szCs w:val="20"/>
                <w:color w:val="auto"/>
              </w:rPr>
            </w:pPr>
            <w:r>
              <w:rPr>
                <w:rFonts w:ascii="Arial" w:cs="Arial" w:eastAsia="Arial" w:hAnsi="Arial"/>
                <w:sz w:val="18"/>
                <w:szCs w:val="18"/>
                <w:color w:val="auto"/>
              </w:rPr>
              <w:t>Net income attributable to Planet Fitness, Inc.</w:t>
            </w:r>
          </w:p>
        </w:tc>
        <w:tc>
          <w:tcPr>
            <w:tcW w:w="900" w:type="dxa"/>
            <w:vAlign w:val="bottom"/>
          </w:tcPr>
          <w:p>
            <w:pPr>
              <w:spacing w:after="0"/>
              <w:rPr>
                <w:sz w:val="22"/>
                <w:szCs w:val="22"/>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18.6 %</w:t>
            </w:r>
          </w:p>
        </w:tc>
        <w:tc>
          <w:tcPr>
            <w:tcW w:w="120" w:type="dxa"/>
            <w:vAlign w:val="bottom"/>
          </w:tcPr>
          <w:p>
            <w:pPr>
              <w:spacing w:after="0"/>
              <w:rPr>
                <w:sz w:val="22"/>
                <w:szCs w:val="22"/>
                <w:color w:val="auto"/>
              </w:rPr>
            </w:pPr>
          </w:p>
        </w:tc>
        <w:tc>
          <w:tcPr>
            <w:tcW w:w="13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11.5 %</w:t>
            </w:r>
          </w:p>
        </w:tc>
        <w:tc>
          <w:tcPr>
            <w:tcW w:w="120" w:type="dxa"/>
            <w:vAlign w:val="bottom"/>
          </w:tcPr>
          <w:p>
            <w:pPr>
              <w:spacing w:after="0"/>
              <w:rPr>
                <w:sz w:val="22"/>
                <w:szCs w:val="22"/>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17.5 %</w:t>
            </w:r>
          </w:p>
        </w:tc>
        <w:tc>
          <w:tcPr>
            <w:tcW w:w="100" w:type="dxa"/>
            <w:vAlign w:val="bottom"/>
          </w:tcPr>
          <w:p>
            <w:pPr>
              <w:spacing w:after="0"/>
              <w:rPr>
                <w:sz w:val="22"/>
                <w:szCs w:val="22"/>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10.6 %</w:t>
            </w:r>
          </w:p>
        </w:tc>
      </w:tr>
      <w:tr>
        <w:trPr>
          <w:trHeight w:val="20"/>
        </w:trPr>
        <w:tc>
          <w:tcPr>
            <w:tcW w:w="484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r>
      <w:tr>
        <w:trPr>
          <w:trHeight w:val="689"/>
        </w:trPr>
        <w:tc>
          <w:tcPr>
            <w:tcW w:w="4840" w:type="dxa"/>
            <w:vAlign w:val="bottom"/>
          </w:tcPr>
          <w:p>
            <w:pPr>
              <w:spacing w:after="0"/>
              <w:rPr>
                <w:sz w:val="24"/>
                <w:szCs w:val="24"/>
                <w:color w:val="auto"/>
              </w:rPr>
            </w:pPr>
          </w:p>
        </w:tc>
        <w:tc>
          <w:tcPr>
            <w:tcW w:w="2240" w:type="dxa"/>
            <w:vAlign w:val="bottom"/>
            <w:gridSpan w:val="2"/>
          </w:tcPr>
          <w:p>
            <w:pPr>
              <w:jc w:val="right"/>
              <w:ind w:right="1192"/>
              <w:spacing w:after="0"/>
              <w:rPr>
                <w:sz w:val="20"/>
                <w:szCs w:val="20"/>
                <w:color w:val="auto"/>
              </w:rPr>
            </w:pPr>
            <w:r>
              <w:rPr>
                <w:rFonts w:ascii="Arial" w:cs="Arial" w:eastAsia="Arial" w:hAnsi="Arial"/>
                <w:sz w:val="18"/>
                <w:szCs w:val="18"/>
                <w:color w:val="auto"/>
              </w:rPr>
              <w:t>38</w:t>
            </w:r>
          </w:p>
        </w:tc>
        <w:tc>
          <w:tcPr>
            <w:tcW w:w="12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40" w:type="dxa"/>
            <w:vAlign w:val="bottom"/>
          </w:tcPr>
          <w:p>
            <w:pPr>
              <w:spacing w:after="0"/>
              <w:rPr>
                <w:sz w:val="24"/>
                <w:szCs w:val="24"/>
                <w:color w:val="auto"/>
              </w:rPr>
            </w:pPr>
          </w:p>
        </w:tc>
      </w:tr>
    </w:tbl>
    <w:p>
      <w:pPr>
        <w:sectPr>
          <w:pgSz w:w="11900" w:h="16838" w:orient="portrait"/>
          <w:cols w:equalWidth="0" w:num="1">
            <w:col w:w="11420"/>
          </w:cols>
          <w:pgMar w:left="240" w:top="233" w:right="239" w:bottom="1440" w:gutter="0" w:footer="0" w:header="0"/>
        </w:sectPr>
      </w:pPr>
    </w:p>
    <w:bookmarkStart w:id="39" w:name="page40"/>
    <w:bookmarkEnd w:id="3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79"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following table sets forth a comparison of our condensed consolidated statements of operations for the three and six months ended June 30, 2018 and 2017:</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0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460" w:type="dxa"/>
            <w:vAlign w:val="bottom"/>
            <w:gridSpan w:val="5"/>
          </w:tcPr>
          <w:p>
            <w:pPr>
              <w:ind w:left="160"/>
              <w:spacing w:after="0"/>
              <w:rPr>
                <w:sz w:val="20"/>
                <w:szCs w:val="20"/>
                <w:color w:val="auto"/>
              </w:rPr>
            </w:pPr>
            <w:r>
              <w:rPr>
                <w:rFonts w:ascii="Arial" w:cs="Arial" w:eastAsia="Arial" w:hAnsi="Arial"/>
                <w:sz w:val="14"/>
                <w:szCs w:val="14"/>
                <w:b w:val="1"/>
                <w:bCs w:val="1"/>
                <w:color w:val="auto"/>
              </w:rPr>
              <w:t>Three months ended June 30,</w:t>
            </w:r>
          </w:p>
        </w:tc>
        <w:tc>
          <w:tcPr>
            <w:tcW w:w="300" w:type="dxa"/>
            <w:vAlign w:val="bottom"/>
          </w:tcPr>
          <w:p>
            <w:pPr>
              <w:spacing w:after="0"/>
              <w:rPr>
                <w:sz w:val="16"/>
                <w:szCs w:val="16"/>
                <w:color w:val="auto"/>
              </w:rPr>
            </w:pPr>
          </w:p>
        </w:tc>
        <w:tc>
          <w:tcPr>
            <w:tcW w:w="2320" w:type="dxa"/>
            <w:vAlign w:val="bottom"/>
            <w:gridSpan w:val="4"/>
          </w:tcPr>
          <w:p>
            <w:pPr>
              <w:jc w:val="right"/>
              <w:ind w:right="391"/>
              <w:spacing w:after="0"/>
              <w:rPr>
                <w:sz w:val="20"/>
                <w:szCs w:val="20"/>
                <w:color w:val="auto"/>
              </w:rPr>
            </w:pPr>
            <w:r>
              <w:rPr>
                <w:rFonts w:ascii="Arial" w:cs="Arial" w:eastAsia="Arial" w:hAnsi="Arial"/>
                <w:sz w:val="14"/>
                <w:szCs w:val="14"/>
                <w:b w:val="1"/>
                <w:bCs w:val="1"/>
                <w:color w:val="auto"/>
              </w:rPr>
              <w:t>Six months ended June 30,</w:t>
            </w:r>
          </w:p>
        </w:tc>
      </w:tr>
      <w:tr>
        <w:trPr>
          <w:trHeight w:val="263"/>
        </w:trPr>
        <w:tc>
          <w:tcPr>
            <w:tcW w:w="6080" w:type="dxa"/>
            <w:vAlign w:val="bottom"/>
          </w:tcPr>
          <w:p>
            <w:pPr>
              <w:spacing w:after="0"/>
              <w:rPr>
                <w:sz w:val="22"/>
                <w:szCs w:val="22"/>
                <w:color w:val="auto"/>
              </w:rPr>
            </w:pPr>
          </w:p>
        </w:tc>
        <w:tc>
          <w:tcPr>
            <w:tcW w:w="260" w:type="dxa"/>
            <w:vAlign w:val="bottom"/>
            <w:tcBorders>
              <w:top w:val="single" w:sz="8" w:color="auto"/>
              <w:bottom w:val="single" w:sz="8" w:color="auto"/>
            </w:tcBorders>
          </w:tcPr>
          <w:p>
            <w:pPr>
              <w:spacing w:after="0"/>
              <w:rPr>
                <w:sz w:val="22"/>
                <w:szCs w:val="22"/>
                <w:color w:val="auto"/>
              </w:rPr>
            </w:pPr>
          </w:p>
        </w:tc>
        <w:tc>
          <w:tcPr>
            <w:tcW w:w="980" w:type="dxa"/>
            <w:vAlign w:val="bottom"/>
            <w:tcBorders>
              <w:top w:val="single" w:sz="8" w:color="auto"/>
              <w:bottom w:val="single" w:sz="8" w:color="auto"/>
            </w:tcBorders>
          </w:tcPr>
          <w:p>
            <w:pPr>
              <w:jc w:val="right"/>
              <w:ind w:right="391"/>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top w:val="single" w:sz="8" w:color="auto"/>
            </w:tcBorders>
          </w:tcPr>
          <w:p>
            <w:pPr>
              <w:spacing w:after="0"/>
              <w:rPr>
                <w:sz w:val="22"/>
                <w:szCs w:val="22"/>
                <w:color w:val="auto"/>
              </w:rPr>
            </w:pPr>
          </w:p>
        </w:tc>
        <w:tc>
          <w:tcPr>
            <w:tcW w:w="300" w:type="dxa"/>
            <w:vAlign w:val="bottom"/>
            <w:tcBorders>
              <w:top w:val="single" w:sz="8" w:color="auto"/>
              <w:bottom w:val="single" w:sz="8" w:color="auto"/>
            </w:tcBorders>
          </w:tcPr>
          <w:p>
            <w:pPr>
              <w:spacing w:after="0"/>
              <w:rPr>
                <w:sz w:val="22"/>
                <w:szCs w:val="22"/>
                <w:color w:val="auto"/>
              </w:rPr>
            </w:pPr>
          </w:p>
        </w:tc>
        <w:tc>
          <w:tcPr>
            <w:tcW w:w="960" w:type="dxa"/>
            <w:vAlign w:val="bottom"/>
            <w:tcBorders>
              <w:top w:val="single" w:sz="8" w:color="auto"/>
              <w:bottom w:val="single" w:sz="8" w:color="auto"/>
            </w:tcBorders>
          </w:tcPr>
          <w:p>
            <w:pPr>
              <w:jc w:val="right"/>
              <w:ind w:right="411"/>
              <w:spacing w:after="0"/>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22"/>
                <w:szCs w:val="22"/>
                <w:color w:val="auto"/>
              </w:rPr>
            </w:pPr>
          </w:p>
        </w:tc>
        <w:tc>
          <w:tcPr>
            <w:tcW w:w="300" w:type="dxa"/>
            <w:vAlign w:val="bottom"/>
            <w:tcBorders>
              <w:top w:val="single" w:sz="8" w:color="auto"/>
              <w:bottom w:val="single" w:sz="8" w:color="auto"/>
            </w:tcBorders>
          </w:tcPr>
          <w:p>
            <w:pPr>
              <w:spacing w:after="0"/>
              <w:rPr>
                <w:sz w:val="22"/>
                <w:szCs w:val="22"/>
                <w:color w:val="auto"/>
              </w:rPr>
            </w:pPr>
          </w:p>
        </w:tc>
        <w:tc>
          <w:tcPr>
            <w:tcW w:w="960" w:type="dxa"/>
            <w:vAlign w:val="bottom"/>
            <w:tcBorders>
              <w:top w:val="single" w:sz="8" w:color="auto"/>
              <w:bottom w:val="single" w:sz="8" w:color="auto"/>
            </w:tcBorders>
          </w:tcPr>
          <w:p>
            <w:pPr>
              <w:jc w:val="right"/>
              <w:ind w:right="391"/>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tcBorders>
          </w:tcPr>
          <w:p>
            <w:pPr>
              <w:spacing w:after="0"/>
              <w:rPr>
                <w:sz w:val="22"/>
                <w:szCs w:val="22"/>
                <w:color w:val="auto"/>
              </w:rPr>
            </w:pPr>
          </w:p>
        </w:tc>
        <w:tc>
          <w:tcPr>
            <w:tcW w:w="300" w:type="dxa"/>
            <w:vAlign w:val="bottom"/>
            <w:tcBorders>
              <w:top w:val="single" w:sz="8" w:color="auto"/>
              <w:bottom w:val="single" w:sz="8" w:color="auto"/>
            </w:tcBorders>
          </w:tcPr>
          <w:p>
            <w:pPr>
              <w:spacing w:after="0"/>
              <w:rPr>
                <w:sz w:val="22"/>
                <w:szCs w:val="22"/>
                <w:color w:val="auto"/>
              </w:rPr>
            </w:pPr>
          </w:p>
        </w:tc>
        <w:tc>
          <w:tcPr>
            <w:tcW w:w="960" w:type="dxa"/>
            <w:vAlign w:val="bottom"/>
            <w:tcBorders>
              <w:top w:val="single" w:sz="8" w:color="auto"/>
              <w:bottom w:val="single" w:sz="8" w:color="auto"/>
            </w:tcBorders>
          </w:tcPr>
          <w:p>
            <w:pPr>
              <w:jc w:val="right"/>
              <w:ind w:right="391"/>
              <w:spacing w:after="0"/>
              <w:rPr>
                <w:sz w:val="20"/>
                <w:szCs w:val="20"/>
                <w:color w:val="auto"/>
              </w:rPr>
            </w:pPr>
            <w:r>
              <w:rPr>
                <w:rFonts w:ascii="Arial" w:cs="Arial" w:eastAsia="Arial" w:hAnsi="Arial"/>
                <w:sz w:val="14"/>
                <w:szCs w:val="14"/>
                <w:b w:val="1"/>
                <w:bCs w:val="1"/>
                <w:color w:val="auto"/>
              </w:rPr>
              <w:t>2017</w:t>
            </w:r>
          </w:p>
        </w:tc>
      </w:tr>
      <w:tr>
        <w:trPr>
          <w:trHeight w:val="264"/>
        </w:trPr>
        <w:tc>
          <w:tcPr>
            <w:tcW w:w="6080" w:type="dxa"/>
            <w:vAlign w:val="bottom"/>
          </w:tcPr>
          <w:p>
            <w:pPr>
              <w:ind w:left="40"/>
              <w:spacing w:after="0"/>
              <w:rPr>
                <w:sz w:val="20"/>
                <w:szCs w:val="20"/>
                <w:color w:val="auto"/>
              </w:rPr>
            </w:pPr>
            <w:r>
              <w:rPr>
                <w:rFonts w:ascii="Arial" w:cs="Arial" w:eastAsia="Arial" w:hAnsi="Arial"/>
                <w:sz w:val="14"/>
                <w:szCs w:val="14"/>
                <w:b w:val="1"/>
                <w:bCs w:val="1"/>
                <w:color w:val="auto"/>
              </w:rPr>
              <w:t>(in thousands)</w:t>
            </w:r>
          </w:p>
        </w:tc>
        <w:tc>
          <w:tcPr>
            <w:tcW w:w="26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960" w:type="dxa"/>
            <w:vAlign w:val="bottom"/>
          </w:tcPr>
          <w:p>
            <w:pPr>
              <w:spacing w:after="0"/>
              <w:rPr>
                <w:sz w:val="22"/>
                <w:szCs w:val="22"/>
                <w:color w:val="auto"/>
              </w:rPr>
            </w:pPr>
          </w:p>
        </w:tc>
      </w:tr>
      <w:tr>
        <w:trPr>
          <w:trHeight w:val="256"/>
        </w:trPr>
        <w:tc>
          <w:tcPr>
            <w:tcW w:w="608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Revenue:</w:t>
            </w:r>
          </w:p>
        </w:tc>
        <w:tc>
          <w:tcPr>
            <w:tcW w:w="260" w:type="dxa"/>
            <w:vAlign w:val="bottom"/>
            <w:tcBorders>
              <w:bottom w:val="single" w:sz="8" w:color="CFF0FC"/>
            </w:tcBorders>
            <w:shd w:val="clear" w:color="auto" w:fill="CFF0FC"/>
          </w:tcPr>
          <w:p>
            <w:pPr>
              <w:spacing w:after="0"/>
              <w:rPr>
                <w:sz w:val="22"/>
                <w:szCs w:val="22"/>
                <w:color w:val="auto"/>
              </w:rPr>
            </w:pPr>
          </w:p>
        </w:tc>
        <w:tc>
          <w:tcPr>
            <w:tcW w:w="980" w:type="dxa"/>
            <w:vAlign w:val="bottom"/>
            <w:tcBorders>
              <w:bottom w:val="single" w:sz="8" w:color="CFF0FC"/>
            </w:tcBorders>
            <w:shd w:val="clear" w:color="auto" w:fill="CFF0FC"/>
          </w:tcPr>
          <w:p>
            <w:pPr>
              <w:spacing w:after="0"/>
              <w:rPr>
                <w:sz w:val="22"/>
                <w:szCs w:val="22"/>
                <w:color w:val="auto"/>
              </w:rPr>
            </w:pPr>
          </w:p>
        </w:tc>
        <w:tc>
          <w:tcPr>
            <w:tcW w:w="120" w:type="dxa"/>
            <w:vAlign w:val="bottom"/>
            <w:tcBorders>
              <w:bottom w:val="single" w:sz="8" w:color="CFF0FC"/>
            </w:tcBorders>
            <w:shd w:val="clear" w:color="auto" w:fill="CFF0FC"/>
          </w:tcPr>
          <w:p>
            <w:pPr>
              <w:spacing w:after="0"/>
              <w:rPr>
                <w:sz w:val="22"/>
                <w:szCs w:val="22"/>
                <w:color w:val="auto"/>
              </w:rPr>
            </w:pPr>
          </w:p>
        </w:tc>
        <w:tc>
          <w:tcPr>
            <w:tcW w:w="300" w:type="dxa"/>
            <w:vAlign w:val="bottom"/>
            <w:tcBorders>
              <w:bottom w:val="single" w:sz="8" w:color="CFF0FC"/>
            </w:tcBorders>
            <w:shd w:val="clear" w:color="auto" w:fill="CFF0FC"/>
          </w:tcPr>
          <w:p>
            <w:pPr>
              <w:spacing w:after="0"/>
              <w:rPr>
                <w:sz w:val="22"/>
                <w:szCs w:val="22"/>
                <w:color w:val="auto"/>
              </w:rPr>
            </w:pPr>
          </w:p>
        </w:tc>
        <w:tc>
          <w:tcPr>
            <w:tcW w:w="960" w:type="dxa"/>
            <w:vAlign w:val="bottom"/>
            <w:tcBorders>
              <w:bottom w:val="single" w:sz="8" w:color="CFF0FC"/>
            </w:tcBorders>
            <w:shd w:val="clear" w:color="auto" w:fill="CFF0FC"/>
          </w:tcPr>
          <w:p>
            <w:pPr>
              <w:spacing w:after="0"/>
              <w:rPr>
                <w:sz w:val="22"/>
                <w:szCs w:val="22"/>
                <w:color w:val="auto"/>
              </w:rPr>
            </w:pPr>
          </w:p>
        </w:tc>
        <w:tc>
          <w:tcPr>
            <w:tcW w:w="100" w:type="dxa"/>
            <w:vAlign w:val="bottom"/>
            <w:tcBorders>
              <w:bottom w:val="single" w:sz="8" w:color="CFF0FC"/>
            </w:tcBorders>
            <w:shd w:val="clear" w:color="auto" w:fill="CFF0FC"/>
          </w:tcPr>
          <w:p>
            <w:pPr>
              <w:spacing w:after="0"/>
              <w:rPr>
                <w:sz w:val="22"/>
                <w:szCs w:val="22"/>
                <w:color w:val="auto"/>
              </w:rPr>
            </w:pPr>
          </w:p>
        </w:tc>
        <w:tc>
          <w:tcPr>
            <w:tcW w:w="300" w:type="dxa"/>
            <w:vAlign w:val="bottom"/>
            <w:tcBorders>
              <w:bottom w:val="single" w:sz="8" w:color="CFF0FC"/>
            </w:tcBorders>
            <w:shd w:val="clear" w:color="auto" w:fill="CFF0FC"/>
          </w:tcPr>
          <w:p>
            <w:pPr>
              <w:spacing w:after="0"/>
              <w:rPr>
                <w:sz w:val="22"/>
                <w:szCs w:val="22"/>
                <w:color w:val="auto"/>
              </w:rPr>
            </w:pPr>
          </w:p>
        </w:tc>
        <w:tc>
          <w:tcPr>
            <w:tcW w:w="960" w:type="dxa"/>
            <w:vAlign w:val="bottom"/>
            <w:tcBorders>
              <w:bottom w:val="single" w:sz="8" w:color="CFF0FC"/>
            </w:tcBorders>
            <w:shd w:val="clear" w:color="auto" w:fill="CFF0FC"/>
          </w:tcPr>
          <w:p>
            <w:pPr>
              <w:spacing w:after="0"/>
              <w:rPr>
                <w:sz w:val="22"/>
                <w:szCs w:val="22"/>
                <w:color w:val="auto"/>
              </w:rPr>
            </w:pPr>
          </w:p>
        </w:tc>
        <w:tc>
          <w:tcPr>
            <w:tcW w:w="100" w:type="dxa"/>
            <w:vAlign w:val="bottom"/>
            <w:tcBorders>
              <w:bottom w:val="single" w:sz="8" w:color="CFF0FC"/>
            </w:tcBorders>
            <w:shd w:val="clear" w:color="auto" w:fill="CFF0FC"/>
          </w:tcPr>
          <w:p>
            <w:pPr>
              <w:spacing w:after="0"/>
              <w:rPr>
                <w:sz w:val="22"/>
                <w:szCs w:val="22"/>
                <w:color w:val="auto"/>
              </w:rPr>
            </w:pPr>
          </w:p>
        </w:tc>
        <w:tc>
          <w:tcPr>
            <w:tcW w:w="300" w:type="dxa"/>
            <w:vAlign w:val="bottom"/>
            <w:tcBorders>
              <w:bottom w:val="single" w:sz="8" w:color="CFF0FC"/>
            </w:tcBorders>
            <w:shd w:val="clear" w:color="auto" w:fill="CFF0FC"/>
          </w:tcPr>
          <w:p>
            <w:pPr>
              <w:spacing w:after="0"/>
              <w:rPr>
                <w:sz w:val="22"/>
                <w:szCs w:val="22"/>
                <w:color w:val="auto"/>
              </w:rPr>
            </w:pPr>
          </w:p>
        </w:tc>
        <w:tc>
          <w:tcPr>
            <w:tcW w:w="960" w:type="dxa"/>
            <w:vAlign w:val="bottom"/>
            <w:tcBorders>
              <w:bottom w:val="single" w:sz="8" w:color="CFF0FC"/>
            </w:tcBorders>
            <w:shd w:val="clear" w:color="auto" w:fill="CFF0FC"/>
          </w:tcPr>
          <w:p>
            <w:pPr>
              <w:spacing w:after="0"/>
              <w:rPr>
                <w:sz w:val="22"/>
                <w:szCs w:val="22"/>
                <w:color w:val="auto"/>
              </w:rPr>
            </w:pPr>
          </w:p>
        </w:tc>
      </w:tr>
      <w:tr>
        <w:trPr>
          <w:trHeight w:val="243"/>
        </w:trPr>
        <w:tc>
          <w:tcPr>
            <w:tcW w:w="6080" w:type="dxa"/>
            <w:vAlign w:val="bottom"/>
          </w:tcPr>
          <w:p>
            <w:pPr>
              <w:ind w:left="280"/>
              <w:spacing w:after="0"/>
              <w:rPr>
                <w:sz w:val="20"/>
                <w:szCs w:val="20"/>
                <w:color w:val="auto"/>
              </w:rPr>
            </w:pPr>
            <w:r>
              <w:rPr>
                <w:rFonts w:ascii="Arial" w:cs="Arial" w:eastAsia="Arial" w:hAnsi="Arial"/>
                <w:sz w:val="18"/>
                <w:szCs w:val="18"/>
                <w:color w:val="auto"/>
              </w:rPr>
              <w:t>Franchise revenue</w:t>
            </w: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45,417</w:t>
            </w:r>
          </w:p>
        </w:tc>
        <w:tc>
          <w:tcPr>
            <w:tcW w:w="12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ind w:right="31"/>
              <w:spacing w:after="0"/>
              <w:rPr>
                <w:sz w:val="20"/>
                <w:szCs w:val="20"/>
                <w:color w:val="auto"/>
              </w:rPr>
            </w:pPr>
            <w:r>
              <w:rPr>
                <w:rFonts w:ascii="Arial" w:cs="Arial" w:eastAsia="Arial" w:hAnsi="Arial"/>
                <w:sz w:val="18"/>
                <w:szCs w:val="18"/>
                <w:color w:val="auto"/>
              </w:rPr>
              <w:t>32,791</w:t>
            </w:r>
          </w:p>
        </w:tc>
        <w:tc>
          <w:tcPr>
            <w:tcW w:w="10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ind w:right="31"/>
              <w:spacing w:after="0"/>
              <w:rPr>
                <w:sz w:val="20"/>
                <w:szCs w:val="20"/>
                <w:color w:val="auto"/>
              </w:rPr>
            </w:pPr>
            <w:r>
              <w:rPr>
                <w:rFonts w:ascii="Arial" w:cs="Arial" w:eastAsia="Arial" w:hAnsi="Arial"/>
                <w:sz w:val="18"/>
                <w:szCs w:val="18"/>
                <w:color w:val="auto"/>
              </w:rPr>
              <w:t>87,579</w:t>
            </w:r>
          </w:p>
        </w:tc>
        <w:tc>
          <w:tcPr>
            <w:tcW w:w="10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ind w:right="11"/>
              <w:spacing w:after="0"/>
              <w:rPr>
                <w:sz w:val="20"/>
                <w:szCs w:val="20"/>
                <w:color w:val="auto"/>
              </w:rPr>
            </w:pPr>
            <w:r>
              <w:rPr>
                <w:rFonts w:ascii="Arial" w:cs="Arial" w:eastAsia="Arial" w:hAnsi="Arial"/>
                <w:sz w:val="18"/>
                <w:szCs w:val="18"/>
                <w:color w:val="auto"/>
              </w:rPr>
              <w:t>63,072</w:t>
            </w:r>
          </w:p>
        </w:tc>
      </w:tr>
      <w:tr>
        <w:trPr>
          <w:trHeight w:val="27"/>
        </w:trPr>
        <w:tc>
          <w:tcPr>
            <w:tcW w:w="608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608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Commission income</w:t>
            </w:r>
          </w:p>
        </w:tc>
        <w:tc>
          <w:tcPr>
            <w:tcW w:w="260" w:type="dxa"/>
            <w:vAlign w:val="bottom"/>
            <w:tcBorders>
              <w:bottom w:val="single" w:sz="8" w:color="CFF0FC"/>
            </w:tcBorders>
            <w:shd w:val="clear" w:color="auto" w:fill="CFF0FC"/>
          </w:tcPr>
          <w:p>
            <w:pPr>
              <w:spacing w:after="0"/>
              <w:rPr>
                <w:sz w:val="21"/>
                <w:szCs w:val="21"/>
                <w:color w:val="auto"/>
              </w:rPr>
            </w:pPr>
          </w:p>
        </w:tc>
        <w:tc>
          <w:tcPr>
            <w:tcW w:w="98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1,575</w:t>
            </w:r>
          </w:p>
        </w:tc>
        <w:tc>
          <w:tcPr>
            <w:tcW w:w="12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CFF0FC"/>
            </w:tcBorders>
            <w:shd w:val="clear" w:color="auto" w:fill="CFF0FC"/>
          </w:tcPr>
          <w:p>
            <w:pPr>
              <w:spacing w:after="0"/>
              <w:rPr>
                <w:sz w:val="21"/>
                <w:szCs w:val="21"/>
                <w:color w:val="auto"/>
              </w:rPr>
            </w:pPr>
          </w:p>
        </w:tc>
        <w:tc>
          <w:tcPr>
            <w:tcW w:w="960" w:type="dxa"/>
            <w:vAlign w:val="bottom"/>
            <w:tcBorders>
              <w:bottom w:val="single" w:sz="8" w:color="CFF0FC"/>
            </w:tcBorders>
            <w:shd w:val="clear" w:color="auto" w:fill="CFF0FC"/>
          </w:tcPr>
          <w:p>
            <w:pPr>
              <w:jc w:val="right"/>
              <w:ind w:right="31"/>
              <w:spacing w:after="0"/>
              <w:rPr>
                <w:sz w:val="20"/>
                <w:szCs w:val="20"/>
                <w:color w:val="auto"/>
              </w:rPr>
            </w:pPr>
            <w:r>
              <w:rPr>
                <w:rFonts w:ascii="Arial" w:cs="Arial" w:eastAsia="Arial" w:hAnsi="Arial"/>
                <w:sz w:val="18"/>
                <w:szCs w:val="18"/>
                <w:color w:val="auto"/>
              </w:rPr>
              <w:t>5,003</w:t>
            </w:r>
          </w:p>
        </w:tc>
        <w:tc>
          <w:tcPr>
            <w:tcW w:w="10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CFF0FC"/>
            </w:tcBorders>
            <w:shd w:val="clear" w:color="auto" w:fill="CFF0FC"/>
          </w:tcPr>
          <w:p>
            <w:pPr>
              <w:spacing w:after="0"/>
              <w:rPr>
                <w:sz w:val="21"/>
                <w:szCs w:val="21"/>
                <w:color w:val="auto"/>
              </w:rPr>
            </w:pPr>
          </w:p>
        </w:tc>
        <w:tc>
          <w:tcPr>
            <w:tcW w:w="960" w:type="dxa"/>
            <w:vAlign w:val="bottom"/>
            <w:tcBorders>
              <w:bottom w:val="single" w:sz="8" w:color="CFF0FC"/>
            </w:tcBorders>
            <w:shd w:val="clear" w:color="auto" w:fill="CFF0FC"/>
          </w:tcPr>
          <w:p>
            <w:pPr>
              <w:jc w:val="right"/>
              <w:ind w:right="31"/>
              <w:spacing w:after="0"/>
              <w:rPr>
                <w:sz w:val="20"/>
                <w:szCs w:val="20"/>
                <w:color w:val="auto"/>
              </w:rPr>
            </w:pPr>
            <w:r>
              <w:rPr>
                <w:rFonts w:ascii="Arial" w:cs="Arial" w:eastAsia="Arial" w:hAnsi="Arial"/>
                <w:sz w:val="18"/>
                <w:szCs w:val="18"/>
                <w:color w:val="auto"/>
              </w:rPr>
              <w:t>3,563</w:t>
            </w:r>
          </w:p>
        </w:tc>
        <w:tc>
          <w:tcPr>
            <w:tcW w:w="10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CFF0FC"/>
            </w:tcBorders>
            <w:shd w:val="clear" w:color="auto" w:fill="CFF0FC"/>
          </w:tcPr>
          <w:p>
            <w:pPr>
              <w:spacing w:after="0"/>
              <w:rPr>
                <w:sz w:val="21"/>
                <w:szCs w:val="21"/>
                <w:color w:val="auto"/>
              </w:rPr>
            </w:pPr>
          </w:p>
        </w:tc>
        <w:tc>
          <w:tcPr>
            <w:tcW w:w="96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11,519</w:t>
            </w:r>
          </w:p>
        </w:tc>
      </w:tr>
      <w:tr>
        <w:trPr>
          <w:trHeight w:val="243"/>
        </w:trPr>
        <w:tc>
          <w:tcPr>
            <w:tcW w:w="6080" w:type="dxa"/>
            <w:vAlign w:val="bottom"/>
          </w:tcPr>
          <w:p>
            <w:pPr>
              <w:ind w:left="280"/>
              <w:spacing w:after="0"/>
              <w:rPr>
                <w:sz w:val="20"/>
                <w:szCs w:val="20"/>
                <w:color w:val="auto"/>
              </w:rPr>
            </w:pPr>
            <w:r>
              <w:rPr>
                <w:rFonts w:ascii="Arial" w:cs="Arial" w:eastAsia="Arial" w:hAnsi="Arial"/>
                <w:sz w:val="18"/>
                <w:szCs w:val="18"/>
                <w:color w:val="auto"/>
              </w:rPr>
              <w:t>National advertising fund revenue</w:t>
            </w:r>
          </w:p>
        </w:tc>
        <w:tc>
          <w:tcPr>
            <w:tcW w:w="26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11,158</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960" w:type="dxa"/>
            <w:vAlign w:val="bottom"/>
          </w:tcPr>
          <w:p>
            <w:pPr>
              <w:jc w:val="right"/>
              <w:ind w:right="31"/>
              <w:spacing w:after="0"/>
              <w:rPr>
                <w:sz w:val="20"/>
                <w:szCs w:val="20"/>
                <w:color w:val="auto"/>
              </w:rPr>
            </w:pPr>
            <w:r>
              <w:rPr>
                <w:rFonts w:ascii="Arial" w:cs="Arial" w:eastAsia="Arial" w:hAnsi="Arial"/>
                <w:sz w:val="18"/>
                <w:szCs w:val="18"/>
                <w:color w:val="auto"/>
              </w:rPr>
              <w:t>21,620</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
        </w:trPr>
        <w:tc>
          <w:tcPr>
            <w:tcW w:w="6080" w:type="dxa"/>
            <w:vAlign w:val="bottom"/>
            <w:tcBorders>
              <w:bottom w:val="single" w:sz="8" w:color="CFF0FC"/>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44"/>
        </w:trPr>
        <w:tc>
          <w:tcPr>
            <w:tcW w:w="6080" w:type="dxa"/>
            <w:vAlign w:val="bottom"/>
            <w:tcBorders>
              <w:bottom w:val="single" w:sz="8" w:color="CFF0FC"/>
            </w:tcBorders>
            <w:shd w:val="clear" w:color="auto" w:fill="CFF0FC"/>
          </w:tcPr>
          <w:p>
            <w:pPr>
              <w:ind w:left="500"/>
              <w:spacing w:after="0"/>
              <w:rPr>
                <w:sz w:val="20"/>
                <w:szCs w:val="20"/>
                <w:color w:val="auto"/>
              </w:rPr>
            </w:pPr>
            <w:r>
              <w:rPr>
                <w:rFonts w:ascii="Arial" w:cs="Arial" w:eastAsia="Arial" w:hAnsi="Arial"/>
                <w:sz w:val="18"/>
                <w:szCs w:val="18"/>
                <w:color w:val="auto"/>
              </w:rPr>
              <w:t>Franchise segment</w:t>
            </w:r>
          </w:p>
        </w:tc>
        <w:tc>
          <w:tcPr>
            <w:tcW w:w="260" w:type="dxa"/>
            <w:vAlign w:val="bottom"/>
            <w:tcBorders>
              <w:bottom w:val="single" w:sz="8" w:color="CFF0FC"/>
            </w:tcBorders>
            <w:shd w:val="clear" w:color="auto" w:fill="CFF0FC"/>
          </w:tcPr>
          <w:p>
            <w:pPr>
              <w:spacing w:after="0"/>
              <w:rPr>
                <w:sz w:val="21"/>
                <w:szCs w:val="21"/>
                <w:color w:val="auto"/>
              </w:rPr>
            </w:pPr>
          </w:p>
        </w:tc>
        <w:tc>
          <w:tcPr>
            <w:tcW w:w="98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58,150</w:t>
            </w:r>
          </w:p>
        </w:tc>
        <w:tc>
          <w:tcPr>
            <w:tcW w:w="12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CFF0FC"/>
            </w:tcBorders>
            <w:shd w:val="clear" w:color="auto" w:fill="CFF0FC"/>
          </w:tcPr>
          <w:p>
            <w:pPr>
              <w:spacing w:after="0"/>
              <w:rPr>
                <w:sz w:val="21"/>
                <w:szCs w:val="21"/>
                <w:color w:val="auto"/>
              </w:rPr>
            </w:pPr>
          </w:p>
        </w:tc>
        <w:tc>
          <w:tcPr>
            <w:tcW w:w="960" w:type="dxa"/>
            <w:vAlign w:val="bottom"/>
            <w:tcBorders>
              <w:bottom w:val="single" w:sz="8" w:color="CFF0FC"/>
            </w:tcBorders>
            <w:shd w:val="clear" w:color="auto" w:fill="CFF0FC"/>
          </w:tcPr>
          <w:p>
            <w:pPr>
              <w:jc w:val="right"/>
              <w:ind w:right="31"/>
              <w:spacing w:after="0"/>
              <w:rPr>
                <w:sz w:val="20"/>
                <w:szCs w:val="20"/>
                <w:color w:val="auto"/>
              </w:rPr>
            </w:pPr>
            <w:r>
              <w:rPr>
                <w:rFonts w:ascii="Arial" w:cs="Arial" w:eastAsia="Arial" w:hAnsi="Arial"/>
                <w:sz w:val="18"/>
                <w:szCs w:val="18"/>
                <w:color w:val="auto"/>
              </w:rPr>
              <w:t>37,794</w:t>
            </w:r>
          </w:p>
        </w:tc>
        <w:tc>
          <w:tcPr>
            <w:tcW w:w="10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CFF0FC"/>
            </w:tcBorders>
            <w:shd w:val="clear" w:color="auto" w:fill="CFF0FC"/>
          </w:tcPr>
          <w:p>
            <w:pPr>
              <w:spacing w:after="0"/>
              <w:rPr>
                <w:sz w:val="21"/>
                <w:szCs w:val="21"/>
                <w:color w:val="auto"/>
              </w:rPr>
            </w:pPr>
          </w:p>
        </w:tc>
        <w:tc>
          <w:tcPr>
            <w:tcW w:w="960" w:type="dxa"/>
            <w:vAlign w:val="bottom"/>
            <w:tcBorders>
              <w:bottom w:val="single" w:sz="8" w:color="CFF0FC"/>
            </w:tcBorders>
            <w:shd w:val="clear" w:color="auto" w:fill="CFF0FC"/>
          </w:tcPr>
          <w:p>
            <w:pPr>
              <w:jc w:val="right"/>
              <w:ind w:right="31"/>
              <w:spacing w:after="0"/>
              <w:rPr>
                <w:sz w:val="20"/>
                <w:szCs w:val="20"/>
                <w:color w:val="auto"/>
              </w:rPr>
            </w:pPr>
            <w:r>
              <w:rPr>
                <w:rFonts w:ascii="Arial" w:cs="Arial" w:eastAsia="Arial" w:hAnsi="Arial"/>
                <w:sz w:val="18"/>
                <w:szCs w:val="18"/>
                <w:color w:val="auto"/>
              </w:rPr>
              <w:t>112,762</w:t>
            </w:r>
          </w:p>
        </w:tc>
        <w:tc>
          <w:tcPr>
            <w:tcW w:w="10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CFF0FC"/>
            </w:tcBorders>
            <w:shd w:val="clear" w:color="auto" w:fill="CFF0FC"/>
          </w:tcPr>
          <w:p>
            <w:pPr>
              <w:spacing w:after="0"/>
              <w:rPr>
                <w:sz w:val="21"/>
                <w:szCs w:val="21"/>
                <w:color w:val="auto"/>
              </w:rPr>
            </w:pPr>
          </w:p>
        </w:tc>
        <w:tc>
          <w:tcPr>
            <w:tcW w:w="96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74,591</w:t>
            </w:r>
          </w:p>
        </w:tc>
      </w:tr>
      <w:tr>
        <w:trPr>
          <w:trHeight w:val="243"/>
        </w:trPr>
        <w:tc>
          <w:tcPr>
            <w:tcW w:w="6080" w:type="dxa"/>
            <w:vAlign w:val="bottom"/>
          </w:tcPr>
          <w:p>
            <w:pPr>
              <w:ind w:left="500"/>
              <w:spacing w:after="0"/>
              <w:rPr>
                <w:sz w:val="20"/>
                <w:szCs w:val="20"/>
                <w:color w:val="auto"/>
              </w:rPr>
            </w:pPr>
            <w:r>
              <w:rPr>
                <w:rFonts w:ascii="Arial" w:cs="Arial" w:eastAsia="Arial" w:hAnsi="Arial"/>
                <w:sz w:val="18"/>
                <w:szCs w:val="18"/>
                <w:color w:val="auto"/>
              </w:rPr>
              <w:t>Corporate-owned stores</w:t>
            </w:r>
          </w:p>
        </w:tc>
        <w:tc>
          <w:tcPr>
            <w:tcW w:w="26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34,252</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ind w:right="31"/>
              <w:spacing w:after="0"/>
              <w:rPr>
                <w:sz w:val="20"/>
                <w:szCs w:val="20"/>
                <w:color w:val="auto"/>
              </w:rPr>
            </w:pPr>
            <w:r>
              <w:rPr>
                <w:rFonts w:ascii="Arial" w:cs="Arial" w:eastAsia="Arial" w:hAnsi="Arial"/>
                <w:sz w:val="18"/>
                <w:szCs w:val="18"/>
                <w:color w:val="auto"/>
              </w:rPr>
              <w:t>28,285</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ind w:right="31"/>
              <w:spacing w:after="0"/>
              <w:rPr>
                <w:sz w:val="20"/>
                <w:szCs w:val="20"/>
                <w:color w:val="auto"/>
              </w:rPr>
            </w:pPr>
            <w:r>
              <w:rPr>
                <w:rFonts w:ascii="Arial" w:cs="Arial" w:eastAsia="Arial" w:hAnsi="Arial"/>
                <w:sz w:val="18"/>
                <w:szCs w:val="18"/>
                <w:color w:val="auto"/>
              </w:rPr>
              <w:t>66,959</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ind w:right="11"/>
              <w:spacing w:after="0"/>
              <w:rPr>
                <w:sz w:val="20"/>
                <w:szCs w:val="20"/>
                <w:color w:val="auto"/>
              </w:rPr>
            </w:pPr>
            <w:r>
              <w:rPr>
                <w:rFonts w:ascii="Arial" w:cs="Arial" w:eastAsia="Arial" w:hAnsi="Arial"/>
                <w:sz w:val="18"/>
                <w:szCs w:val="18"/>
                <w:color w:val="auto"/>
              </w:rPr>
              <w:t>55,326</w:t>
            </w:r>
          </w:p>
        </w:tc>
      </w:tr>
      <w:tr>
        <w:trPr>
          <w:trHeight w:val="27"/>
        </w:trPr>
        <w:tc>
          <w:tcPr>
            <w:tcW w:w="608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70"/>
        </w:trPr>
        <w:tc>
          <w:tcPr>
            <w:tcW w:w="6080" w:type="dxa"/>
            <w:vAlign w:val="bottom"/>
            <w:tcBorders>
              <w:bottom w:val="single" w:sz="8" w:color="CFF0FC"/>
            </w:tcBorders>
            <w:shd w:val="clear" w:color="auto" w:fill="CFF0FC"/>
          </w:tcPr>
          <w:p>
            <w:pPr>
              <w:ind w:left="500"/>
              <w:spacing w:after="0"/>
              <w:rPr>
                <w:sz w:val="20"/>
                <w:szCs w:val="20"/>
                <w:color w:val="auto"/>
              </w:rPr>
            </w:pPr>
            <w:r>
              <w:rPr>
                <w:rFonts w:ascii="Arial" w:cs="Arial" w:eastAsia="Arial" w:hAnsi="Arial"/>
                <w:sz w:val="18"/>
                <w:szCs w:val="18"/>
                <w:color w:val="auto"/>
              </w:rPr>
              <w:t>Equipment</w:t>
            </w:r>
          </w:p>
        </w:tc>
        <w:tc>
          <w:tcPr>
            <w:tcW w:w="260" w:type="dxa"/>
            <w:vAlign w:val="bottom"/>
            <w:tcBorders>
              <w:bottom w:val="single" w:sz="8" w:color="CFF0FC"/>
            </w:tcBorders>
            <w:shd w:val="clear" w:color="auto" w:fill="CFF0FC"/>
          </w:tcPr>
          <w:p>
            <w:pPr>
              <w:spacing w:after="0"/>
              <w:rPr>
                <w:sz w:val="23"/>
                <w:szCs w:val="23"/>
                <w:color w:val="auto"/>
              </w:rPr>
            </w:pPr>
          </w:p>
        </w:tc>
        <w:tc>
          <w:tcPr>
            <w:tcW w:w="98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48,148</w:t>
            </w:r>
          </w:p>
        </w:tc>
        <w:tc>
          <w:tcPr>
            <w:tcW w:w="120" w:type="dxa"/>
            <w:vAlign w:val="bottom"/>
            <w:tcBorders>
              <w:bottom w:val="single" w:sz="8" w:color="CFF0FC"/>
            </w:tcBorders>
            <w:shd w:val="clear" w:color="auto" w:fill="CFF0FC"/>
          </w:tcPr>
          <w:p>
            <w:pPr>
              <w:spacing w:after="0"/>
              <w:rPr>
                <w:sz w:val="23"/>
                <w:szCs w:val="23"/>
                <w:color w:val="auto"/>
              </w:rPr>
            </w:pPr>
          </w:p>
        </w:tc>
        <w:tc>
          <w:tcPr>
            <w:tcW w:w="300" w:type="dxa"/>
            <w:vAlign w:val="bottom"/>
            <w:tcBorders>
              <w:bottom w:val="single" w:sz="8" w:color="CFF0FC"/>
            </w:tcBorders>
            <w:shd w:val="clear" w:color="auto" w:fill="CFF0FC"/>
          </w:tcPr>
          <w:p>
            <w:pPr>
              <w:spacing w:after="0"/>
              <w:rPr>
                <w:sz w:val="23"/>
                <w:szCs w:val="23"/>
                <w:color w:val="auto"/>
              </w:rPr>
            </w:pPr>
          </w:p>
        </w:tc>
        <w:tc>
          <w:tcPr>
            <w:tcW w:w="960" w:type="dxa"/>
            <w:vAlign w:val="bottom"/>
            <w:tcBorders>
              <w:bottom w:val="single" w:sz="8" w:color="CFF0FC"/>
            </w:tcBorders>
            <w:shd w:val="clear" w:color="auto" w:fill="CFF0FC"/>
          </w:tcPr>
          <w:p>
            <w:pPr>
              <w:jc w:val="right"/>
              <w:ind w:right="31"/>
              <w:spacing w:after="0"/>
              <w:rPr>
                <w:sz w:val="20"/>
                <w:szCs w:val="20"/>
                <w:color w:val="auto"/>
              </w:rPr>
            </w:pPr>
            <w:r>
              <w:rPr>
                <w:rFonts w:ascii="Arial" w:cs="Arial" w:eastAsia="Arial" w:hAnsi="Arial"/>
                <w:sz w:val="18"/>
                <w:szCs w:val="18"/>
                <w:color w:val="auto"/>
              </w:rPr>
              <w:t>41,237</w:t>
            </w:r>
          </w:p>
        </w:tc>
        <w:tc>
          <w:tcPr>
            <w:tcW w:w="100" w:type="dxa"/>
            <w:vAlign w:val="bottom"/>
            <w:tcBorders>
              <w:bottom w:val="single" w:sz="8" w:color="CFF0FC"/>
            </w:tcBorders>
            <w:shd w:val="clear" w:color="auto" w:fill="CFF0FC"/>
          </w:tcPr>
          <w:p>
            <w:pPr>
              <w:spacing w:after="0"/>
              <w:rPr>
                <w:sz w:val="23"/>
                <w:szCs w:val="23"/>
                <w:color w:val="auto"/>
              </w:rPr>
            </w:pPr>
          </w:p>
        </w:tc>
        <w:tc>
          <w:tcPr>
            <w:tcW w:w="300" w:type="dxa"/>
            <w:vAlign w:val="bottom"/>
            <w:tcBorders>
              <w:bottom w:val="single" w:sz="8" w:color="CFF0FC"/>
            </w:tcBorders>
            <w:shd w:val="clear" w:color="auto" w:fill="CFF0FC"/>
          </w:tcPr>
          <w:p>
            <w:pPr>
              <w:spacing w:after="0"/>
              <w:rPr>
                <w:sz w:val="23"/>
                <w:szCs w:val="23"/>
                <w:color w:val="auto"/>
              </w:rPr>
            </w:pPr>
          </w:p>
        </w:tc>
        <w:tc>
          <w:tcPr>
            <w:tcW w:w="960" w:type="dxa"/>
            <w:vAlign w:val="bottom"/>
            <w:tcBorders>
              <w:bottom w:val="single" w:sz="8" w:color="CFF0FC"/>
            </w:tcBorders>
            <w:shd w:val="clear" w:color="auto" w:fill="CFF0FC"/>
          </w:tcPr>
          <w:p>
            <w:pPr>
              <w:jc w:val="right"/>
              <w:ind w:right="31"/>
              <w:spacing w:after="0"/>
              <w:rPr>
                <w:sz w:val="20"/>
                <w:szCs w:val="20"/>
                <w:color w:val="auto"/>
              </w:rPr>
            </w:pPr>
            <w:r>
              <w:rPr>
                <w:rFonts w:ascii="Arial" w:cs="Arial" w:eastAsia="Arial" w:hAnsi="Arial"/>
                <w:sz w:val="18"/>
                <w:szCs w:val="18"/>
                <w:color w:val="auto"/>
              </w:rPr>
              <w:t>82,161</w:t>
            </w:r>
          </w:p>
        </w:tc>
        <w:tc>
          <w:tcPr>
            <w:tcW w:w="100" w:type="dxa"/>
            <w:vAlign w:val="bottom"/>
            <w:tcBorders>
              <w:bottom w:val="single" w:sz="8" w:color="CFF0FC"/>
            </w:tcBorders>
            <w:shd w:val="clear" w:color="auto" w:fill="CFF0FC"/>
          </w:tcPr>
          <w:p>
            <w:pPr>
              <w:spacing w:after="0"/>
              <w:rPr>
                <w:sz w:val="23"/>
                <w:szCs w:val="23"/>
                <w:color w:val="auto"/>
              </w:rPr>
            </w:pPr>
          </w:p>
        </w:tc>
        <w:tc>
          <w:tcPr>
            <w:tcW w:w="300" w:type="dxa"/>
            <w:vAlign w:val="bottom"/>
            <w:tcBorders>
              <w:bottom w:val="single" w:sz="8" w:color="CFF0FC"/>
            </w:tcBorders>
            <w:shd w:val="clear" w:color="auto" w:fill="CFF0FC"/>
          </w:tcPr>
          <w:p>
            <w:pPr>
              <w:spacing w:after="0"/>
              <w:rPr>
                <w:sz w:val="23"/>
                <w:szCs w:val="23"/>
                <w:color w:val="auto"/>
              </w:rPr>
            </w:pPr>
          </w:p>
        </w:tc>
        <w:tc>
          <w:tcPr>
            <w:tcW w:w="96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68,501</w:t>
            </w:r>
          </w:p>
        </w:tc>
      </w:tr>
      <w:tr>
        <w:trPr>
          <w:trHeight w:val="237"/>
        </w:trPr>
        <w:tc>
          <w:tcPr>
            <w:tcW w:w="6080" w:type="dxa"/>
            <w:vAlign w:val="bottom"/>
          </w:tcPr>
          <w:p>
            <w:pPr>
              <w:ind w:left="720"/>
              <w:spacing w:after="0"/>
              <w:rPr>
                <w:sz w:val="20"/>
                <w:szCs w:val="20"/>
                <w:color w:val="auto"/>
              </w:rPr>
            </w:pPr>
            <w:r>
              <w:rPr>
                <w:rFonts w:ascii="Arial" w:cs="Arial" w:eastAsia="Arial" w:hAnsi="Arial"/>
                <w:sz w:val="18"/>
                <w:szCs w:val="18"/>
                <w:color w:val="auto"/>
              </w:rPr>
              <w:t>Total revenue</w:t>
            </w:r>
          </w:p>
        </w:tc>
        <w:tc>
          <w:tcPr>
            <w:tcW w:w="26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140,550</w:t>
            </w:r>
          </w:p>
        </w:tc>
        <w:tc>
          <w:tcPr>
            <w:tcW w:w="12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107,316</w:t>
            </w: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261,882</w:t>
            </w: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198,418</w:t>
            </w:r>
          </w:p>
        </w:tc>
      </w:tr>
      <w:tr>
        <w:trPr>
          <w:trHeight w:val="27"/>
        </w:trPr>
        <w:tc>
          <w:tcPr>
            <w:tcW w:w="6080" w:type="dxa"/>
            <w:vAlign w:val="bottom"/>
            <w:tcBorders>
              <w:bottom w:val="single" w:sz="8" w:color="CFF0FC"/>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44"/>
        </w:trPr>
        <w:tc>
          <w:tcPr>
            <w:tcW w:w="608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Operating costs and expenses:</w:t>
            </w:r>
          </w:p>
        </w:tc>
        <w:tc>
          <w:tcPr>
            <w:tcW w:w="260" w:type="dxa"/>
            <w:vAlign w:val="bottom"/>
            <w:tcBorders>
              <w:bottom w:val="single" w:sz="8" w:color="CFF0FC"/>
            </w:tcBorders>
            <w:shd w:val="clear" w:color="auto" w:fill="CFF0FC"/>
          </w:tcPr>
          <w:p>
            <w:pPr>
              <w:spacing w:after="0"/>
              <w:rPr>
                <w:sz w:val="21"/>
                <w:szCs w:val="21"/>
                <w:color w:val="auto"/>
              </w:rPr>
            </w:pPr>
          </w:p>
        </w:tc>
        <w:tc>
          <w:tcPr>
            <w:tcW w:w="980" w:type="dxa"/>
            <w:vAlign w:val="bottom"/>
            <w:tcBorders>
              <w:bottom w:val="single" w:sz="8" w:color="CFF0FC"/>
            </w:tcBorders>
            <w:shd w:val="clear" w:color="auto" w:fill="CFF0FC"/>
          </w:tcPr>
          <w:p>
            <w:pPr>
              <w:spacing w:after="0"/>
              <w:rPr>
                <w:sz w:val="21"/>
                <w:szCs w:val="21"/>
                <w:color w:val="auto"/>
              </w:rPr>
            </w:pPr>
          </w:p>
        </w:tc>
        <w:tc>
          <w:tcPr>
            <w:tcW w:w="12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CFF0FC"/>
            </w:tcBorders>
            <w:shd w:val="clear" w:color="auto" w:fill="CFF0FC"/>
          </w:tcPr>
          <w:p>
            <w:pPr>
              <w:spacing w:after="0"/>
              <w:rPr>
                <w:sz w:val="21"/>
                <w:szCs w:val="21"/>
                <w:color w:val="auto"/>
              </w:rPr>
            </w:pPr>
          </w:p>
        </w:tc>
        <w:tc>
          <w:tcPr>
            <w:tcW w:w="960" w:type="dxa"/>
            <w:vAlign w:val="bottom"/>
            <w:tcBorders>
              <w:bottom w:val="single" w:sz="8" w:color="CFF0FC"/>
            </w:tcBorders>
            <w:shd w:val="clear" w:color="auto" w:fill="CFF0FC"/>
          </w:tcPr>
          <w:p>
            <w:pPr>
              <w:spacing w:after="0"/>
              <w:rPr>
                <w:sz w:val="21"/>
                <w:szCs w:val="21"/>
                <w:color w:val="auto"/>
              </w:rPr>
            </w:pPr>
          </w:p>
        </w:tc>
        <w:tc>
          <w:tcPr>
            <w:tcW w:w="10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CFF0FC"/>
            </w:tcBorders>
            <w:shd w:val="clear" w:color="auto" w:fill="CFF0FC"/>
          </w:tcPr>
          <w:p>
            <w:pPr>
              <w:spacing w:after="0"/>
              <w:rPr>
                <w:sz w:val="21"/>
                <w:szCs w:val="21"/>
                <w:color w:val="auto"/>
              </w:rPr>
            </w:pPr>
          </w:p>
        </w:tc>
        <w:tc>
          <w:tcPr>
            <w:tcW w:w="960" w:type="dxa"/>
            <w:vAlign w:val="bottom"/>
            <w:tcBorders>
              <w:bottom w:val="single" w:sz="8" w:color="CFF0FC"/>
            </w:tcBorders>
            <w:shd w:val="clear" w:color="auto" w:fill="CFF0FC"/>
          </w:tcPr>
          <w:p>
            <w:pPr>
              <w:spacing w:after="0"/>
              <w:rPr>
                <w:sz w:val="21"/>
                <w:szCs w:val="21"/>
                <w:color w:val="auto"/>
              </w:rPr>
            </w:pPr>
          </w:p>
        </w:tc>
        <w:tc>
          <w:tcPr>
            <w:tcW w:w="10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CFF0FC"/>
            </w:tcBorders>
            <w:shd w:val="clear" w:color="auto" w:fill="CFF0FC"/>
          </w:tcPr>
          <w:p>
            <w:pPr>
              <w:spacing w:after="0"/>
              <w:rPr>
                <w:sz w:val="21"/>
                <w:szCs w:val="21"/>
                <w:color w:val="auto"/>
              </w:rPr>
            </w:pPr>
          </w:p>
        </w:tc>
        <w:tc>
          <w:tcPr>
            <w:tcW w:w="960" w:type="dxa"/>
            <w:vAlign w:val="bottom"/>
            <w:tcBorders>
              <w:bottom w:val="single" w:sz="8" w:color="CFF0FC"/>
            </w:tcBorders>
            <w:shd w:val="clear" w:color="auto" w:fill="CFF0FC"/>
          </w:tcPr>
          <w:p>
            <w:pPr>
              <w:spacing w:after="0"/>
              <w:rPr>
                <w:sz w:val="21"/>
                <w:szCs w:val="21"/>
                <w:color w:val="auto"/>
              </w:rPr>
            </w:pPr>
          </w:p>
        </w:tc>
      </w:tr>
      <w:tr>
        <w:trPr>
          <w:trHeight w:val="243"/>
        </w:trPr>
        <w:tc>
          <w:tcPr>
            <w:tcW w:w="6080" w:type="dxa"/>
            <w:vAlign w:val="bottom"/>
          </w:tcPr>
          <w:p>
            <w:pPr>
              <w:ind w:left="280"/>
              <w:spacing w:after="0"/>
              <w:rPr>
                <w:sz w:val="20"/>
                <w:szCs w:val="20"/>
                <w:color w:val="auto"/>
              </w:rPr>
            </w:pPr>
            <w:r>
              <w:rPr>
                <w:rFonts w:ascii="Arial" w:cs="Arial" w:eastAsia="Arial" w:hAnsi="Arial"/>
                <w:sz w:val="18"/>
                <w:szCs w:val="18"/>
                <w:color w:val="auto"/>
              </w:rPr>
              <w:t>Cost of revenue</w:t>
            </w:r>
          </w:p>
        </w:tc>
        <w:tc>
          <w:tcPr>
            <w:tcW w:w="26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36,744</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ind w:right="31"/>
              <w:spacing w:after="0"/>
              <w:rPr>
                <w:sz w:val="20"/>
                <w:szCs w:val="20"/>
                <w:color w:val="auto"/>
              </w:rPr>
            </w:pPr>
            <w:r>
              <w:rPr>
                <w:rFonts w:ascii="Arial" w:cs="Arial" w:eastAsia="Arial" w:hAnsi="Arial"/>
                <w:sz w:val="18"/>
                <w:szCs w:val="18"/>
                <w:color w:val="auto"/>
              </w:rPr>
              <w:t>31,452</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ind w:right="31"/>
              <w:spacing w:after="0"/>
              <w:rPr>
                <w:sz w:val="20"/>
                <w:szCs w:val="20"/>
                <w:color w:val="auto"/>
              </w:rPr>
            </w:pPr>
            <w:r>
              <w:rPr>
                <w:rFonts w:ascii="Arial" w:cs="Arial" w:eastAsia="Arial" w:hAnsi="Arial"/>
                <w:sz w:val="18"/>
                <w:szCs w:val="18"/>
                <w:color w:val="auto"/>
              </w:rPr>
              <w:t>63,244</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ind w:right="11"/>
              <w:spacing w:after="0"/>
              <w:rPr>
                <w:sz w:val="20"/>
                <w:szCs w:val="20"/>
                <w:color w:val="auto"/>
              </w:rPr>
            </w:pPr>
            <w:r>
              <w:rPr>
                <w:rFonts w:ascii="Arial" w:cs="Arial" w:eastAsia="Arial" w:hAnsi="Arial"/>
                <w:sz w:val="18"/>
                <w:szCs w:val="18"/>
                <w:color w:val="auto"/>
              </w:rPr>
              <w:t>52,576</w:t>
            </w:r>
          </w:p>
        </w:tc>
      </w:tr>
      <w:tr>
        <w:trPr>
          <w:trHeight w:val="27"/>
        </w:trPr>
        <w:tc>
          <w:tcPr>
            <w:tcW w:w="608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608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Store operations</w:t>
            </w:r>
          </w:p>
        </w:tc>
        <w:tc>
          <w:tcPr>
            <w:tcW w:w="260" w:type="dxa"/>
            <w:vAlign w:val="bottom"/>
            <w:tcBorders>
              <w:bottom w:val="single" w:sz="8" w:color="CFF0FC"/>
            </w:tcBorders>
            <w:shd w:val="clear" w:color="auto" w:fill="CFF0FC"/>
          </w:tcPr>
          <w:p>
            <w:pPr>
              <w:spacing w:after="0"/>
              <w:rPr>
                <w:sz w:val="21"/>
                <w:szCs w:val="21"/>
                <w:color w:val="auto"/>
              </w:rPr>
            </w:pPr>
          </w:p>
        </w:tc>
        <w:tc>
          <w:tcPr>
            <w:tcW w:w="98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18,047</w:t>
            </w:r>
          </w:p>
        </w:tc>
        <w:tc>
          <w:tcPr>
            <w:tcW w:w="12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CFF0FC"/>
            </w:tcBorders>
            <w:shd w:val="clear" w:color="auto" w:fill="CFF0FC"/>
          </w:tcPr>
          <w:p>
            <w:pPr>
              <w:spacing w:after="0"/>
              <w:rPr>
                <w:sz w:val="21"/>
                <w:szCs w:val="21"/>
                <w:color w:val="auto"/>
              </w:rPr>
            </w:pPr>
          </w:p>
        </w:tc>
        <w:tc>
          <w:tcPr>
            <w:tcW w:w="960" w:type="dxa"/>
            <w:vAlign w:val="bottom"/>
            <w:tcBorders>
              <w:bottom w:val="single" w:sz="8" w:color="CFF0FC"/>
            </w:tcBorders>
            <w:shd w:val="clear" w:color="auto" w:fill="CFF0FC"/>
          </w:tcPr>
          <w:p>
            <w:pPr>
              <w:jc w:val="right"/>
              <w:ind w:right="31"/>
              <w:spacing w:after="0"/>
              <w:rPr>
                <w:sz w:val="20"/>
                <w:szCs w:val="20"/>
                <w:color w:val="auto"/>
              </w:rPr>
            </w:pPr>
            <w:r>
              <w:rPr>
                <w:rFonts w:ascii="Arial" w:cs="Arial" w:eastAsia="Arial" w:hAnsi="Arial"/>
                <w:sz w:val="18"/>
                <w:szCs w:val="18"/>
                <w:color w:val="auto"/>
              </w:rPr>
              <w:t>14,604</w:t>
            </w:r>
          </w:p>
        </w:tc>
        <w:tc>
          <w:tcPr>
            <w:tcW w:w="10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CFF0FC"/>
            </w:tcBorders>
            <w:shd w:val="clear" w:color="auto" w:fill="CFF0FC"/>
          </w:tcPr>
          <w:p>
            <w:pPr>
              <w:spacing w:after="0"/>
              <w:rPr>
                <w:sz w:val="21"/>
                <w:szCs w:val="21"/>
                <w:color w:val="auto"/>
              </w:rPr>
            </w:pPr>
          </w:p>
        </w:tc>
        <w:tc>
          <w:tcPr>
            <w:tcW w:w="960" w:type="dxa"/>
            <w:vAlign w:val="bottom"/>
            <w:tcBorders>
              <w:bottom w:val="single" w:sz="8" w:color="CFF0FC"/>
            </w:tcBorders>
            <w:shd w:val="clear" w:color="auto" w:fill="CFF0FC"/>
          </w:tcPr>
          <w:p>
            <w:pPr>
              <w:jc w:val="right"/>
              <w:ind w:right="31"/>
              <w:spacing w:after="0"/>
              <w:rPr>
                <w:sz w:val="20"/>
                <w:szCs w:val="20"/>
                <w:color w:val="auto"/>
              </w:rPr>
            </w:pPr>
            <w:r>
              <w:rPr>
                <w:rFonts w:ascii="Arial" w:cs="Arial" w:eastAsia="Arial" w:hAnsi="Arial"/>
                <w:sz w:val="18"/>
                <w:szCs w:val="18"/>
                <w:color w:val="auto"/>
              </w:rPr>
              <w:t>36,403</w:t>
            </w:r>
          </w:p>
        </w:tc>
        <w:tc>
          <w:tcPr>
            <w:tcW w:w="10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CFF0FC"/>
            </w:tcBorders>
            <w:shd w:val="clear" w:color="auto" w:fill="CFF0FC"/>
          </w:tcPr>
          <w:p>
            <w:pPr>
              <w:spacing w:after="0"/>
              <w:rPr>
                <w:sz w:val="21"/>
                <w:szCs w:val="21"/>
                <w:color w:val="auto"/>
              </w:rPr>
            </w:pPr>
          </w:p>
        </w:tc>
        <w:tc>
          <w:tcPr>
            <w:tcW w:w="96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29,788</w:t>
            </w:r>
          </w:p>
        </w:tc>
      </w:tr>
      <w:tr>
        <w:trPr>
          <w:trHeight w:val="243"/>
        </w:trPr>
        <w:tc>
          <w:tcPr>
            <w:tcW w:w="6080" w:type="dxa"/>
            <w:vAlign w:val="bottom"/>
          </w:tcPr>
          <w:p>
            <w:pPr>
              <w:ind w:left="280"/>
              <w:spacing w:after="0"/>
              <w:rPr>
                <w:sz w:val="20"/>
                <w:szCs w:val="20"/>
                <w:color w:val="auto"/>
              </w:rPr>
            </w:pPr>
            <w:r>
              <w:rPr>
                <w:rFonts w:ascii="Arial" w:cs="Arial" w:eastAsia="Arial" w:hAnsi="Arial"/>
                <w:sz w:val="18"/>
                <w:szCs w:val="18"/>
                <w:color w:val="auto"/>
              </w:rPr>
              <w:t>Selling, general and administrative</w:t>
            </w:r>
          </w:p>
        </w:tc>
        <w:tc>
          <w:tcPr>
            <w:tcW w:w="26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17,210</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ind w:right="31"/>
              <w:spacing w:after="0"/>
              <w:rPr>
                <w:sz w:val="20"/>
                <w:szCs w:val="20"/>
                <w:color w:val="auto"/>
              </w:rPr>
            </w:pPr>
            <w:r>
              <w:rPr>
                <w:rFonts w:ascii="Arial" w:cs="Arial" w:eastAsia="Arial" w:hAnsi="Arial"/>
                <w:sz w:val="18"/>
                <w:szCs w:val="18"/>
                <w:color w:val="auto"/>
              </w:rPr>
              <w:t>14,768</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ind w:right="31"/>
              <w:spacing w:after="0"/>
              <w:rPr>
                <w:sz w:val="20"/>
                <w:szCs w:val="20"/>
                <w:color w:val="auto"/>
              </w:rPr>
            </w:pPr>
            <w:r>
              <w:rPr>
                <w:rFonts w:ascii="Arial" w:cs="Arial" w:eastAsia="Arial" w:hAnsi="Arial"/>
                <w:sz w:val="18"/>
                <w:szCs w:val="18"/>
                <w:color w:val="auto"/>
              </w:rPr>
              <w:t>34,831</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ind w:right="11"/>
              <w:spacing w:after="0"/>
              <w:rPr>
                <w:sz w:val="20"/>
                <w:szCs w:val="20"/>
                <w:color w:val="auto"/>
              </w:rPr>
            </w:pPr>
            <w:r>
              <w:rPr>
                <w:rFonts w:ascii="Arial" w:cs="Arial" w:eastAsia="Arial" w:hAnsi="Arial"/>
                <w:sz w:val="18"/>
                <w:szCs w:val="18"/>
                <w:color w:val="auto"/>
              </w:rPr>
              <w:t>28,588</w:t>
            </w:r>
          </w:p>
        </w:tc>
      </w:tr>
      <w:tr>
        <w:trPr>
          <w:trHeight w:val="27"/>
        </w:trPr>
        <w:tc>
          <w:tcPr>
            <w:tcW w:w="608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608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National advertising fund expense</w:t>
            </w:r>
          </w:p>
        </w:tc>
        <w:tc>
          <w:tcPr>
            <w:tcW w:w="260" w:type="dxa"/>
            <w:vAlign w:val="bottom"/>
            <w:tcBorders>
              <w:bottom w:val="single" w:sz="8" w:color="CFF0FC"/>
            </w:tcBorders>
            <w:shd w:val="clear" w:color="auto" w:fill="CFF0FC"/>
          </w:tcPr>
          <w:p>
            <w:pPr>
              <w:spacing w:after="0"/>
              <w:rPr>
                <w:sz w:val="21"/>
                <w:szCs w:val="21"/>
                <w:color w:val="auto"/>
              </w:rPr>
            </w:pPr>
          </w:p>
        </w:tc>
        <w:tc>
          <w:tcPr>
            <w:tcW w:w="98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11,158</w:t>
            </w:r>
          </w:p>
        </w:tc>
        <w:tc>
          <w:tcPr>
            <w:tcW w:w="12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CFF0FC"/>
            </w:tcBorders>
            <w:shd w:val="clear" w:color="auto" w:fill="CFF0FC"/>
          </w:tcPr>
          <w:p>
            <w:pPr>
              <w:spacing w:after="0"/>
              <w:rPr>
                <w:sz w:val="21"/>
                <w:szCs w:val="21"/>
                <w:color w:val="auto"/>
              </w:rPr>
            </w:pPr>
          </w:p>
        </w:tc>
        <w:tc>
          <w:tcPr>
            <w:tcW w:w="1060" w:type="dxa"/>
            <w:vAlign w:val="bottom"/>
            <w:tcBorders>
              <w:bottom w:val="single" w:sz="8" w:color="CFF0FC"/>
            </w:tcBorders>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FF0FC"/>
            </w:tcBorders>
            <w:shd w:val="clear" w:color="auto" w:fill="CFF0FC"/>
          </w:tcPr>
          <w:p>
            <w:pPr>
              <w:spacing w:after="0"/>
              <w:rPr>
                <w:sz w:val="21"/>
                <w:szCs w:val="21"/>
                <w:color w:val="auto"/>
              </w:rPr>
            </w:pPr>
          </w:p>
        </w:tc>
        <w:tc>
          <w:tcPr>
            <w:tcW w:w="960" w:type="dxa"/>
            <w:vAlign w:val="bottom"/>
            <w:tcBorders>
              <w:bottom w:val="single" w:sz="8" w:color="CFF0FC"/>
            </w:tcBorders>
            <w:shd w:val="clear" w:color="auto" w:fill="CFF0FC"/>
          </w:tcPr>
          <w:p>
            <w:pPr>
              <w:jc w:val="right"/>
              <w:ind w:right="31"/>
              <w:spacing w:after="0"/>
              <w:rPr>
                <w:sz w:val="20"/>
                <w:szCs w:val="20"/>
                <w:color w:val="auto"/>
              </w:rPr>
            </w:pPr>
            <w:r>
              <w:rPr>
                <w:rFonts w:ascii="Arial" w:cs="Arial" w:eastAsia="Arial" w:hAnsi="Arial"/>
                <w:sz w:val="18"/>
                <w:szCs w:val="18"/>
                <w:color w:val="auto"/>
              </w:rPr>
              <w:t>21,620</w:t>
            </w:r>
          </w:p>
        </w:tc>
        <w:tc>
          <w:tcPr>
            <w:tcW w:w="10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CFF0FC"/>
            </w:tcBorders>
            <w:shd w:val="clear" w:color="auto" w:fill="CFF0FC"/>
          </w:tcPr>
          <w:p>
            <w:pPr>
              <w:spacing w:after="0"/>
              <w:rPr>
                <w:sz w:val="21"/>
                <w:szCs w:val="21"/>
                <w:color w:val="auto"/>
              </w:rPr>
            </w:pPr>
          </w:p>
        </w:tc>
        <w:tc>
          <w:tcPr>
            <w:tcW w:w="96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w:t>
            </w:r>
          </w:p>
        </w:tc>
      </w:tr>
      <w:tr>
        <w:trPr>
          <w:trHeight w:val="243"/>
        </w:trPr>
        <w:tc>
          <w:tcPr>
            <w:tcW w:w="6080" w:type="dxa"/>
            <w:vAlign w:val="bottom"/>
          </w:tcPr>
          <w:p>
            <w:pPr>
              <w:ind w:left="280"/>
              <w:spacing w:after="0"/>
              <w:rPr>
                <w:sz w:val="20"/>
                <w:szCs w:val="20"/>
                <w:color w:val="auto"/>
              </w:rPr>
            </w:pPr>
            <w:r>
              <w:rPr>
                <w:rFonts w:ascii="Arial" w:cs="Arial" w:eastAsia="Arial" w:hAnsi="Arial"/>
                <w:sz w:val="18"/>
                <w:szCs w:val="18"/>
                <w:color w:val="auto"/>
              </w:rPr>
              <w:t>Depreciation and amortization</w:t>
            </w:r>
          </w:p>
        </w:tc>
        <w:tc>
          <w:tcPr>
            <w:tcW w:w="26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8,619</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ind w:right="31"/>
              <w:spacing w:after="0"/>
              <w:rPr>
                <w:sz w:val="20"/>
                <w:szCs w:val="20"/>
                <w:color w:val="auto"/>
              </w:rPr>
            </w:pPr>
            <w:r>
              <w:rPr>
                <w:rFonts w:ascii="Arial" w:cs="Arial" w:eastAsia="Arial" w:hAnsi="Arial"/>
                <w:sz w:val="18"/>
                <w:szCs w:val="18"/>
                <w:color w:val="auto"/>
              </w:rPr>
              <w:t>7,894</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ind w:right="31"/>
              <w:spacing w:after="0"/>
              <w:rPr>
                <w:sz w:val="20"/>
                <w:szCs w:val="20"/>
                <w:color w:val="auto"/>
              </w:rPr>
            </w:pPr>
            <w:r>
              <w:rPr>
                <w:rFonts w:ascii="Arial" w:cs="Arial" w:eastAsia="Arial" w:hAnsi="Arial"/>
                <w:sz w:val="18"/>
                <w:szCs w:val="18"/>
                <w:color w:val="auto"/>
              </w:rPr>
              <w:t>17,084</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ind w:right="11"/>
              <w:spacing w:after="0"/>
              <w:rPr>
                <w:sz w:val="20"/>
                <w:szCs w:val="20"/>
                <w:color w:val="auto"/>
              </w:rPr>
            </w:pPr>
            <w:r>
              <w:rPr>
                <w:rFonts w:ascii="Arial" w:cs="Arial" w:eastAsia="Arial" w:hAnsi="Arial"/>
                <w:sz w:val="18"/>
                <w:szCs w:val="18"/>
                <w:color w:val="auto"/>
              </w:rPr>
              <w:t>15,845</w:t>
            </w:r>
          </w:p>
        </w:tc>
      </w:tr>
      <w:tr>
        <w:trPr>
          <w:trHeight w:val="27"/>
        </w:trPr>
        <w:tc>
          <w:tcPr>
            <w:tcW w:w="608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70"/>
        </w:trPr>
        <w:tc>
          <w:tcPr>
            <w:tcW w:w="608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Other loss (gain)</w:t>
            </w:r>
          </w:p>
        </w:tc>
        <w:tc>
          <w:tcPr>
            <w:tcW w:w="260" w:type="dxa"/>
            <w:vAlign w:val="bottom"/>
            <w:tcBorders>
              <w:bottom w:val="single" w:sz="8" w:color="CFF0FC"/>
            </w:tcBorders>
            <w:shd w:val="clear" w:color="auto" w:fill="CFF0FC"/>
          </w:tcPr>
          <w:p>
            <w:pPr>
              <w:spacing w:after="0"/>
              <w:rPr>
                <w:sz w:val="23"/>
                <w:szCs w:val="23"/>
                <w:color w:val="auto"/>
              </w:rPr>
            </w:pPr>
          </w:p>
        </w:tc>
        <w:tc>
          <w:tcPr>
            <w:tcW w:w="98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(39)</w:t>
            </w:r>
          </w:p>
        </w:tc>
        <w:tc>
          <w:tcPr>
            <w:tcW w:w="120" w:type="dxa"/>
            <w:vAlign w:val="bottom"/>
            <w:tcBorders>
              <w:bottom w:val="single" w:sz="8" w:color="CFF0FC"/>
            </w:tcBorders>
            <w:shd w:val="clear" w:color="auto" w:fill="CFF0FC"/>
          </w:tcPr>
          <w:p>
            <w:pPr>
              <w:spacing w:after="0"/>
              <w:rPr>
                <w:sz w:val="23"/>
                <w:szCs w:val="23"/>
                <w:color w:val="auto"/>
              </w:rPr>
            </w:pPr>
          </w:p>
        </w:tc>
        <w:tc>
          <w:tcPr>
            <w:tcW w:w="300" w:type="dxa"/>
            <w:vAlign w:val="bottom"/>
            <w:tcBorders>
              <w:bottom w:val="single" w:sz="8" w:color="CFF0FC"/>
            </w:tcBorders>
            <w:shd w:val="clear" w:color="auto" w:fill="CFF0FC"/>
          </w:tcPr>
          <w:p>
            <w:pPr>
              <w:spacing w:after="0"/>
              <w:rPr>
                <w:sz w:val="23"/>
                <w:szCs w:val="23"/>
                <w:color w:val="auto"/>
              </w:rPr>
            </w:pPr>
          </w:p>
        </w:tc>
        <w:tc>
          <w:tcPr>
            <w:tcW w:w="960" w:type="dxa"/>
            <w:vAlign w:val="bottom"/>
            <w:tcBorders>
              <w:bottom w:val="single" w:sz="8" w:color="CFF0FC"/>
            </w:tcBorders>
            <w:shd w:val="clear" w:color="auto" w:fill="CFF0FC"/>
          </w:tcPr>
          <w:p>
            <w:pPr>
              <w:jc w:val="right"/>
              <w:ind w:right="31"/>
              <w:spacing w:after="0"/>
              <w:rPr>
                <w:sz w:val="20"/>
                <w:szCs w:val="20"/>
                <w:color w:val="auto"/>
              </w:rPr>
            </w:pPr>
            <w:r>
              <w:rPr>
                <w:rFonts w:ascii="Arial" w:cs="Arial" w:eastAsia="Arial" w:hAnsi="Arial"/>
                <w:sz w:val="18"/>
                <w:szCs w:val="18"/>
                <w:color w:val="auto"/>
              </w:rPr>
              <w:t>348</w:t>
            </w:r>
          </w:p>
        </w:tc>
        <w:tc>
          <w:tcPr>
            <w:tcW w:w="100" w:type="dxa"/>
            <w:vAlign w:val="bottom"/>
            <w:tcBorders>
              <w:bottom w:val="single" w:sz="8" w:color="CFF0FC"/>
            </w:tcBorders>
            <w:shd w:val="clear" w:color="auto" w:fill="CFF0FC"/>
          </w:tcPr>
          <w:p>
            <w:pPr>
              <w:spacing w:after="0"/>
              <w:rPr>
                <w:sz w:val="23"/>
                <w:szCs w:val="23"/>
                <w:color w:val="auto"/>
              </w:rPr>
            </w:pPr>
          </w:p>
        </w:tc>
        <w:tc>
          <w:tcPr>
            <w:tcW w:w="300" w:type="dxa"/>
            <w:vAlign w:val="bottom"/>
            <w:tcBorders>
              <w:bottom w:val="single" w:sz="8" w:color="CFF0FC"/>
            </w:tcBorders>
            <w:shd w:val="clear" w:color="auto" w:fill="CFF0FC"/>
          </w:tcPr>
          <w:p>
            <w:pPr>
              <w:spacing w:after="0"/>
              <w:rPr>
                <w:sz w:val="23"/>
                <w:szCs w:val="23"/>
                <w:color w:val="auto"/>
              </w:rPr>
            </w:pPr>
          </w:p>
        </w:tc>
        <w:tc>
          <w:tcPr>
            <w:tcW w:w="960" w:type="dxa"/>
            <w:vAlign w:val="bottom"/>
            <w:tcBorders>
              <w:bottom w:val="single" w:sz="8" w:color="CFF0FC"/>
            </w:tcBorders>
            <w:shd w:val="clear" w:color="auto" w:fill="CFF0FC"/>
          </w:tcPr>
          <w:p>
            <w:pPr>
              <w:jc w:val="right"/>
              <w:ind w:right="31"/>
              <w:spacing w:after="0"/>
              <w:rPr>
                <w:sz w:val="20"/>
                <w:szCs w:val="20"/>
                <w:color w:val="auto"/>
              </w:rPr>
            </w:pPr>
            <w:r>
              <w:rPr>
                <w:rFonts w:ascii="Arial" w:cs="Arial" w:eastAsia="Arial" w:hAnsi="Arial"/>
                <w:sz w:val="18"/>
                <w:szCs w:val="18"/>
                <w:color w:val="auto"/>
              </w:rPr>
              <w:t>971</w:t>
            </w:r>
          </w:p>
        </w:tc>
        <w:tc>
          <w:tcPr>
            <w:tcW w:w="100" w:type="dxa"/>
            <w:vAlign w:val="bottom"/>
            <w:tcBorders>
              <w:bottom w:val="single" w:sz="8" w:color="CFF0FC"/>
            </w:tcBorders>
            <w:shd w:val="clear" w:color="auto" w:fill="CFF0FC"/>
          </w:tcPr>
          <w:p>
            <w:pPr>
              <w:spacing w:after="0"/>
              <w:rPr>
                <w:sz w:val="23"/>
                <w:szCs w:val="23"/>
                <w:color w:val="auto"/>
              </w:rPr>
            </w:pPr>
          </w:p>
        </w:tc>
        <w:tc>
          <w:tcPr>
            <w:tcW w:w="300" w:type="dxa"/>
            <w:vAlign w:val="bottom"/>
            <w:tcBorders>
              <w:bottom w:val="single" w:sz="8" w:color="CFF0FC"/>
            </w:tcBorders>
            <w:shd w:val="clear" w:color="auto" w:fill="CFF0FC"/>
          </w:tcPr>
          <w:p>
            <w:pPr>
              <w:spacing w:after="0"/>
              <w:rPr>
                <w:sz w:val="23"/>
                <w:szCs w:val="23"/>
                <w:color w:val="auto"/>
              </w:rPr>
            </w:pPr>
          </w:p>
        </w:tc>
        <w:tc>
          <w:tcPr>
            <w:tcW w:w="96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316</w:t>
            </w:r>
          </w:p>
        </w:tc>
      </w:tr>
      <w:tr>
        <w:trPr>
          <w:trHeight w:val="237"/>
        </w:trPr>
        <w:tc>
          <w:tcPr>
            <w:tcW w:w="6080" w:type="dxa"/>
            <w:vAlign w:val="bottom"/>
          </w:tcPr>
          <w:p>
            <w:pPr>
              <w:ind w:left="720"/>
              <w:spacing w:after="0"/>
              <w:rPr>
                <w:sz w:val="20"/>
                <w:szCs w:val="20"/>
                <w:color w:val="auto"/>
              </w:rPr>
            </w:pPr>
            <w:r>
              <w:rPr>
                <w:rFonts w:ascii="Arial" w:cs="Arial" w:eastAsia="Arial" w:hAnsi="Arial"/>
                <w:sz w:val="18"/>
                <w:szCs w:val="18"/>
                <w:color w:val="auto"/>
              </w:rPr>
              <w:t>Total operating costs and expenses</w:t>
            </w:r>
          </w:p>
        </w:tc>
        <w:tc>
          <w:tcPr>
            <w:tcW w:w="26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91,739</w:t>
            </w:r>
          </w:p>
        </w:tc>
        <w:tc>
          <w:tcPr>
            <w:tcW w:w="12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69,066</w:t>
            </w: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174,153</w:t>
            </w: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127,113</w:t>
            </w:r>
          </w:p>
        </w:tc>
      </w:tr>
      <w:tr>
        <w:trPr>
          <w:trHeight w:val="27"/>
        </w:trPr>
        <w:tc>
          <w:tcPr>
            <w:tcW w:w="6080" w:type="dxa"/>
            <w:vAlign w:val="bottom"/>
            <w:tcBorders>
              <w:bottom w:val="single" w:sz="8" w:color="CFF0FC"/>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64"/>
        </w:trPr>
        <w:tc>
          <w:tcPr>
            <w:tcW w:w="6080" w:type="dxa"/>
            <w:vAlign w:val="bottom"/>
            <w:tcBorders>
              <w:bottom w:val="single" w:sz="8" w:color="CFF0FC"/>
            </w:tcBorders>
            <w:shd w:val="clear" w:color="auto" w:fill="CFF0FC"/>
          </w:tcPr>
          <w:p>
            <w:pPr>
              <w:ind w:left="720"/>
              <w:spacing w:after="0"/>
              <w:rPr>
                <w:sz w:val="20"/>
                <w:szCs w:val="20"/>
                <w:color w:val="auto"/>
              </w:rPr>
            </w:pPr>
            <w:r>
              <w:rPr>
                <w:rFonts w:ascii="Arial" w:cs="Arial" w:eastAsia="Arial" w:hAnsi="Arial"/>
                <w:sz w:val="18"/>
                <w:szCs w:val="18"/>
                <w:color w:val="auto"/>
              </w:rPr>
              <w:t>Income from operations</w:t>
            </w:r>
          </w:p>
        </w:tc>
        <w:tc>
          <w:tcPr>
            <w:tcW w:w="260" w:type="dxa"/>
            <w:vAlign w:val="bottom"/>
            <w:tcBorders>
              <w:bottom w:val="single" w:sz="8" w:color="CFF0FC"/>
            </w:tcBorders>
            <w:shd w:val="clear" w:color="auto" w:fill="CFF0FC"/>
          </w:tcPr>
          <w:p>
            <w:pPr>
              <w:spacing w:after="0"/>
              <w:rPr>
                <w:sz w:val="22"/>
                <w:szCs w:val="22"/>
                <w:color w:val="auto"/>
              </w:rPr>
            </w:pPr>
          </w:p>
        </w:tc>
        <w:tc>
          <w:tcPr>
            <w:tcW w:w="98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48,811</w:t>
            </w:r>
          </w:p>
        </w:tc>
        <w:tc>
          <w:tcPr>
            <w:tcW w:w="120" w:type="dxa"/>
            <w:vAlign w:val="bottom"/>
            <w:tcBorders>
              <w:bottom w:val="single" w:sz="8" w:color="CFF0FC"/>
            </w:tcBorders>
            <w:shd w:val="clear" w:color="auto" w:fill="CFF0FC"/>
          </w:tcPr>
          <w:p>
            <w:pPr>
              <w:spacing w:after="0"/>
              <w:rPr>
                <w:sz w:val="22"/>
                <w:szCs w:val="22"/>
                <w:color w:val="auto"/>
              </w:rPr>
            </w:pPr>
          </w:p>
        </w:tc>
        <w:tc>
          <w:tcPr>
            <w:tcW w:w="300" w:type="dxa"/>
            <w:vAlign w:val="bottom"/>
            <w:tcBorders>
              <w:bottom w:val="single" w:sz="8" w:color="CFF0FC"/>
            </w:tcBorders>
            <w:shd w:val="clear" w:color="auto" w:fill="CFF0FC"/>
          </w:tcPr>
          <w:p>
            <w:pPr>
              <w:spacing w:after="0"/>
              <w:rPr>
                <w:sz w:val="22"/>
                <w:szCs w:val="22"/>
                <w:color w:val="auto"/>
              </w:rPr>
            </w:pPr>
          </w:p>
        </w:tc>
        <w:tc>
          <w:tcPr>
            <w:tcW w:w="960" w:type="dxa"/>
            <w:vAlign w:val="bottom"/>
            <w:tcBorders>
              <w:bottom w:val="single" w:sz="8" w:color="CFF0FC"/>
            </w:tcBorders>
            <w:shd w:val="clear" w:color="auto" w:fill="CFF0FC"/>
          </w:tcPr>
          <w:p>
            <w:pPr>
              <w:jc w:val="right"/>
              <w:ind w:right="31"/>
              <w:spacing w:after="0"/>
              <w:rPr>
                <w:sz w:val="20"/>
                <w:szCs w:val="20"/>
                <w:color w:val="auto"/>
              </w:rPr>
            </w:pPr>
            <w:r>
              <w:rPr>
                <w:rFonts w:ascii="Arial" w:cs="Arial" w:eastAsia="Arial" w:hAnsi="Arial"/>
                <w:sz w:val="18"/>
                <w:szCs w:val="18"/>
                <w:color w:val="auto"/>
              </w:rPr>
              <w:t>38,250</w:t>
            </w:r>
          </w:p>
        </w:tc>
        <w:tc>
          <w:tcPr>
            <w:tcW w:w="100" w:type="dxa"/>
            <w:vAlign w:val="bottom"/>
            <w:tcBorders>
              <w:bottom w:val="single" w:sz="8" w:color="CFF0FC"/>
            </w:tcBorders>
            <w:shd w:val="clear" w:color="auto" w:fill="CFF0FC"/>
          </w:tcPr>
          <w:p>
            <w:pPr>
              <w:spacing w:after="0"/>
              <w:rPr>
                <w:sz w:val="22"/>
                <w:szCs w:val="22"/>
                <w:color w:val="auto"/>
              </w:rPr>
            </w:pPr>
          </w:p>
        </w:tc>
        <w:tc>
          <w:tcPr>
            <w:tcW w:w="300" w:type="dxa"/>
            <w:vAlign w:val="bottom"/>
            <w:tcBorders>
              <w:bottom w:val="single" w:sz="8" w:color="CFF0FC"/>
            </w:tcBorders>
            <w:shd w:val="clear" w:color="auto" w:fill="CFF0FC"/>
          </w:tcPr>
          <w:p>
            <w:pPr>
              <w:spacing w:after="0"/>
              <w:rPr>
                <w:sz w:val="22"/>
                <w:szCs w:val="22"/>
                <w:color w:val="auto"/>
              </w:rPr>
            </w:pPr>
          </w:p>
        </w:tc>
        <w:tc>
          <w:tcPr>
            <w:tcW w:w="960" w:type="dxa"/>
            <w:vAlign w:val="bottom"/>
            <w:tcBorders>
              <w:bottom w:val="single" w:sz="8" w:color="CFF0FC"/>
            </w:tcBorders>
            <w:shd w:val="clear" w:color="auto" w:fill="CFF0FC"/>
          </w:tcPr>
          <w:p>
            <w:pPr>
              <w:jc w:val="right"/>
              <w:ind w:right="31"/>
              <w:spacing w:after="0"/>
              <w:rPr>
                <w:sz w:val="20"/>
                <w:szCs w:val="20"/>
                <w:color w:val="auto"/>
              </w:rPr>
            </w:pPr>
            <w:r>
              <w:rPr>
                <w:rFonts w:ascii="Arial" w:cs="Arial" w:eastAsia="Arial" w:hAnsi="Arial"/>
                <w:sz w:val="18"/>
                <w:szCs w:val="18"/>
                <w:color w:val="auto"/>
              </w:rPr>
              <w:t>87,729</w:t>
            </w:r>
          </w:p>
        </w:tc>
        <w:tc>
          <w:tcPr>
            <w:tcW w:w="100" w:type="dxa"/>
            <w:vAlign w:val="bottom"/>
            <w:tcBorders>
              <w:bottom w:val="single" w:sz="8" w:color="CFF0FC"/>
            </w:tcBorders>
            <w:shd w:val="clear" w:color="auto" w:fill="CFF0FC"/>
          </w:tcPr>
          <w:p>
            <w:pPr>
              <w:spacing w:after="0"/>
              <w:rPr>
                <w:sz w:val="22"/>
                <w:szCs w:val="22"/>
                <w:color w:val="auto"/>
              </w:rPr>
            </w:pPr>
          </w:p>
        </w:tc>
        <w:tc>
          <w:tcPr>
            <w:tcW w:w="300" w:type="dxa"/>
            <w:vAlign w:val="bottom"/>
            <w:tcBorders>
              <w:bottom w:val="single" w:sz="8" w:color="CFF0FC"/>
            </w:tcBorders>
            <w:shd w:val="clear" w:color="auto" w:fill="CFF0FC"/>
          </w:tcPr>
          <w:p>
            <w:pPr>
              <w:spacing w:after="0"/>
              <w:rPr>
                <w:sz w:val="22"/>
                <w:szCs w:val="22"/>
                <w:color w:val="auto"/>
              </w:rPr>
            </w:pPr>
          </w:p>
        </w:tc>
        <w:tc>
          <w:tcPr>
            <w:tcW w:w="96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71,305</w:t>
            </w:r>
          </w:p>
        </w:tc>
      </w:tr>
      <w:tr>
        <w:trPr>
          <w:trHeight w:val="237"/>
        </w:trPr>
        <w:tc>
          <w:tcPr>
            <w:tcW w:w="6080" w:type="dxa"/>
            <w:vAlign w:val="bottom"/>
          </w:tcPr>
          <w:p>
            <w:pPr>
              <w:ind w:left="40"/>
              <w:spacing w:after="0"/>
              <w:rPr>
                <w:sz w:val="20"/>
                <w:szCs w:val="20"/>
                <w:color w:val="auto"/>
              </w:rPr>
            </w:pPr>
            <w:r>
              <w:rPr>
                <w:rFonts w:ascii="Arial" w:cs="Arial" w:eastAsia="Arial" w:hAnsi="Arial"/>
                <w:sz w:val="18"/>
                <w:szCs w:val="18"/>
                <w:color w:val="auto"/>
              </w:rPr>
              <w:t>Other income (expense), net:</w:t>
            </w:r>
          </w:p>
        </w:tc>
        <w:tc>
          <w:tcPr>
            <w:tcW w:w="26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spacing w:after="0"/>
              <w:rPr>
                <w:sz w:val="20"/>
                <w:szCs w:val="20"/>
                <w:color w:val="auto"/>
              </w:rPr>
            </w:pPr>
          </w:p>
        </w:tc>
      </w:tr>
      <w:tr>
        <w:trPr>
          <w:trHeight w:val="27"/>
        </w:trPr>
        <w:tc>
          <w:tcPr>
            <w:tcW w:w="608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608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Interest expense, net</w:t>
            </w:r>
          </w:p>
        </w:tc>
        <w:tc>
          <w:tcPr>
            <w:tcW w:w="260" w:type="dxa"/>
            <w:vAlign w:val="bottom"/>
            <w:tcBorders>
              <w:bottom w:val="single" w:sz="8" w:color="CFF0FC"/>
            </w:tcBorders>
            <w:shd w:val="clear" w:color="auto" w:fill="CFF0FC"/>
          </w:tcPr>
          <w:p>
            <w:pPr>
              <w:spacing w:after="0"/>
              <w:rPr>
                <w:sz w:val="21"/>
                <w:szCs w:val="21"/>
                <w:color w:val="auto"/>
              </w:rPr>
            </w:pPr>
          </w:p>
        </w:tc>
        <w:tc>
          <w:tcPr>
            <w:tcW w:w="98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(8,628)</w:t>
            </w:r>
          </w:p>
        </w:tc>
        <w:tc>
          <w:tcPr>
            <w:tcW w:w="12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CFF0FC"/>
            </w:tcBorders>
            <w:shd w:val="clear" w:color="auto" w:fill="CFF0FC"/>
          </w:tcPr>
          <w:p>
            <w:pPr>
              <w:spacing w:after="0"/>
              <w:rPr>
                <w:sz w:val="21"/>
                <w:szCs w:val="21"/>
                <w:color w:val="auto"/>
              </w:rPr>
            </w:pPr>
          </w:p>
        </w:tc>
        <w:tc>
          <w:tcPr>
            <w:tcW w:w="96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(9,028)</w:t>
            </w:r>
          </w:p>
        </w:tc>
        <w:tc>
          <w:tcPr>
            <w:tcW w:w="10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CFF0FC"/>
            </w:tcBorders>
            <w:shd w:val="clear" w:color="auto" w:fill="CFF0FC"/>
          </w:tcPr>
          <w:p>
            <w:pPr>
              <w:spacing w:after="0"/>
              <w:rPr>
                <w:sz w:val="21"/>
                <w:szCs w:val="21"/>
                <w:color w:val="auto"/>
              </w:rPr>
            </w:pPr>
          </w:p>
        </w:tc>
        <w:tc>
          <w:tcPr>
            <w:tcW w:w="96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(17,361)</w:t>
            </w:r>
          </w:p>
        </w:tc>
        <w:tc>
          <w:tcPr>
            <w:tcW w:w="10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CFF0FC"/>
            </w:tcBorders>
            <w:shd w:val="clear" w:color="auto" w:fill="CFF0FC"/>
          </w:tcPr>
          <w:p>
            <w:pPr>
              <w:spacing w:after="0"/>
              <w:rPr>
                <w:sz w:val="21"/>
                <w:szCs w:val="21"/>
                <w:color w:val="auto"/>
              </w:rPr>
            </w:pPr>
          </w:p>
        </w:tc>
        <w:tc>
          <w:tcPr>
            <w:tcW w:w="96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(17,791)</w:t>
            </w:r>
          </w:p>
        </w:tc>
      </w:tr>
      <w:tr>
        <w:trPr>
          <w:trHeight w:val="243"/>
        </w:trPr>
        <w:tc>
          <w:tcPr>
            <w:tcW w:w="6080" w:type="dxa"/>
            <w:vAlign w:val="bottom"/>
          </w:tcPr>
          <w:p>
            <w:pPr>
              <w:ind w:left="280"/>
              <w:spacing w:after="0"/>
              <w:rPr>
                <w:sz w:val="20"/>
                <w:szCs w:val="20"/>
                <w:color w:val="auto"/>
              </w:rPr>
            </w:pPr>
            <w:r>
              <w:rPr>
                <w:rFonts w:ascii="Arial" w:cs="Arial" w:eastAsia="Arial" w:hAnsi="Arial"/>
                <w:sz w:val="18"/>
                <w:szCs w:val="18"/>
                <w:color w:val="auto"/>
              </w:rPr>
              <w:t>Other expense</w:t>
            </w:r>
          </w:p>
        </w:tc>
        <w:tc>
          <w:tcPr>
            <w:tcW w:w="26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(502)</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(933)</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(310)</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(251)</w:t>
            </w:r>
          </w:p>
        </w:tc>
      </w:tr>
      <w:tr>
        <w:trPr>
          <w:trHeight w:val="27"/>
        </w:trPr>
        <w:tc>
          <w:tcPr>
            <w:tcW w:w="6080" w:type="dxa"/>
            <w:vAlign w:val="bottom"/>
            <w:tcBorders>
              <w:bottom w:val="single" w:sz="8" w:color="CFF0FC"/>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64"/>
        </w:trPr>
        <w:tc>
          <w:tcPr>
            <w:tcW w:w="6080" w:type="dxa"/>
            <w:vAlign w:val="bottom"/>
            <w:tcBorders>
              <w:bottom w:val="single" w:sz="8" w:color="CFF0FC"/>
            </w:tcBorders>
            <w:shd w:val="clear" w:color="auto" w:fill="CFF0FC"/>
          </w:tcPr>
          <w:p>
            <w:pPr>
              <w:ind w:left="720"/>
              <w:spacing w:after="0"/>
              <w:rPr>
                <w:sz w:val="20"/>
                <w:szCs w:val="20"/>
                <w:color w:val="auto"/>
              </w:rPr>
            </w:pPr>
            <w:r>
              <w:rPr>
                <w:rFonts w:ascii="Arial" w:cs="Arial" w:eastAsia="Arial" w:hAnsi="Arial"/>
                <w:sz w:val="18"/>
                <w:szCs w:val="18"/>
                <w:color w:val="auto"/>
              </w:rPr>
              <w:t>Total other expense, net</w:t>
            </w:r>
          </w:p>
        </w:tc>
        <w:tc>
          <w:tcPr>
            <w:tcW w:w="260" w:type="dxa"/>
            <w:vAlign w:val="bottom"/>
            <w:tcBorders>
              <w:bottom w:val="single" w:sz="8" w:color="CFF0FC"/>
            </w:tcBorders>
            <w:shd w:val="clear" w:color="auto" w:fill="CFF0FC"/>
          </w:tcPr>
          <w:p>
            <w:pPr>
              <w:spacing w:after="0"/>
              <w:rPr>
                <w:sz w:val="22"/>
                <w:szCs w:val="22"/>
                <w:color w:val="auto"/>
              </w:rPr>
            </w:pPr>
          </w:p>
        </w:tc>
        <w:tc>
          <w:tcPr>
            <w:tcW w:w="98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(9,130)</w:t>
            </w:r>
          </w:p>
        </w:tc>
        <w:tc>
          <w:tcPr>
            <w:tcW w:w="120" w:type="dxa"/>
            <w:vAlign w:val="bottom"/>
            <w:tcBorders>
              <w:bottom w:val="single" w:sz="8" w:color="CFF0FC"/>
            </w:tcBorders>
            <w:shd w:val="clear" w:color="auto" w:fill="CFF0FC"/>
          </w:tcPr>
          <w:p>
            <w:pPr>
              <w:spacing w:after="0"/>
              <w:rPr>
                <w:sz w:val="22"/>
                <w:szCs w:val="22"/>
                <w:color w:val="auto"/>
              </w:rPr>
            </w:pPr>
          </w:p>
        </w:tc>
        <w:tc>
          <w:tcPr>
            <w:tcW w:w="300" w:type="dxa"/>
            <w:vAlign w:val="bottom"/>
            <w:tcBorders>
              <w:bottom w:val="single" w:sz="8" w:color="CFF0FC"/>
            </w:tcBorders>
            <w:shd w:val="clear" w:color="auto" w:fill="CFF0FC"/>
          </w:tcPr>
          <w:p>
            <w:pPr>
              <w:spacing w:after="0"/>
              <w:rPr>
                <w:sz w:val="22"/>
                <w:szCs w:val="22"/>
                <w:color w:val="auto"/>
              </w:rPr>
            </w:pPr>
          </w:p>
        </w:tc>
        <w:tc>
          <w:tcPr>
            <w:tcW w:w="96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(9,961)</w:t>
            </w:r>
          </w:p>
        </w:tc>
        <w:tc>
          <w:tcPr>
            <w:tcW w:w="100" w:type="dxa"/>
            <w:vAlign w:val="bottom"/>
            <w:tcBorders>
              <w:bottom w:val="single" w:sz="8" w:color="CFF0FC"/>
            </w:tcBorders>
            <w:shd w:val="clear" w:color="auto" w:fill="CFF0FC"/>
          </w:tcPr>
          <w:p>
            <w:pPr>
              <w:spacing w:after="0"/>
              <w:rPr>
                <w:sz w:val="22"/>
                <w:szCs w:val="22"/>
                <w:color w:val="auto"/>
              </w:rPr>
            </w:pPr>
          </w:p>
        </w:tc>
        <w:tc>
          <w:tcPr>
            <w:tcW w:w="300" w:type="dxa"/>
            <w:vAlign w:val="bottom"/>
            <w:tcBorders>
              <w:bottom w:val="single" w:sz="8" w:color="CFF0FC"/>
            </w:tcBorders>
            <w:shd w:val="clear" w:color="auto" w:fill="CFF0FC"/>
          </w:tcPr>
          <w:p>
            <w:pPr>
              <w:spacing w:after="0"/>
              <w:rPr>
                <w:sz w:val="22"/>
                <w:szCs w:val="22"/>
                <w:color w:val="auto"/>
              </w:rPr>
            </w:pPr>
          </w:p>
        </w:tc>
        <w:tc>
          <w:tcPr>
            <w:tcW w:w="96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(17,671)</w:t>
            </w:r>
          </w:p>
        </w:tc>
        <w:tc>
          <w:tcPr>
            <w:tcW w:w="100" w:type="dxa"/>
            <w:vAlign w:val="bottom"/>
            <w:tcBorders>
              <w:bottom w:val="single" w:sz="8" w:color="CFF0FC"/>
            </w:tcBorders>
            <w:shd w:val="clear" w:color="auto" w:fill="CFF0FC"/>
          </w:tcPr>
          <w:p>
            <w:pPr>
              <w:spacing w:after="0"/>
              <w:rPr>
                <w:sz w:val="22"/>
                <w:szCs w:val="22"/>
                <w:color w:val="auto"/>
              </w:rPr>
            </w:pPr>
          </w:p>
        </w:tc>
        <w:tc>
          <w:tcPr>
            <w:tcW w:w="300" w:type="dxa"/>
            <w:vAlign w:val="bottom"/>
            <w:tcBorders>
              <w:bottom w:val="single" w:sz="8" w:color="CFF0FC"/>
            </w:tcBorders>
            <w:shd w:val="clear" w:color="auto" w:fill="CFF0FC"/>
          </w:tcPr>
          <w:p>
            <w:pPr>
              <w:spacing w:after="0"/>
              <w:rPr>
                <w:sz w:val="22"/>
                <w:szCs w:val="22"/>
                <w:color w:val="auto"/>
              </w:rPr>
            </w:pPr>
          </w:p>
        </w:tc>
        <w:tc>
          <w:tcPr>
            <w:tcW w:w="96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(18,042)</w:t>
            </w:r>
          </w:p>
        </w:tc>
      </w:tr>
      <w:tr>
        <w:trPr>
          <w:trHeight w:val="237"/>
        </w:trPr>
        <w:tc>
          <w:tcPr>
            <w:tcW w:w="6080" w:type="dxa"/>
            <w:vAlign w:val="bottom"/>
          </w:tcPr>
          <w:p>
            <w:pPr>
              <w:ind w:left="720"/>
              <w:spacing w:after="0"/>
              <w:rPr>
                <w:sz w:val="20"/>
                <w:szCs w:val="20"/>
                <w:color w:val="auto"/>
              </w:rPr>
            </w:pPr>
            <w:r>
              <w:rPr>
                <w:rFonts w:ascii="Arial" w:cs="Arial" w:eastAsia="Arial" w:hAnsi="Arial"/>
                <w:sz w:val="18"/>
                <w:szCs w:val="18"/>
                <w:color w:val="auto"/>
              </w:rPr>
              <w:t>Income before income taxes</w:t>
            </w:r>
          </w:p>
        </w:tc>
        <w:tc>
          <w:tcPr>
            <w:tcW w:w="26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39,681</w:t>
            </w:r>
          </w:p>
        </w:tc>
        <w:tc>
          <w:tcPr>
            <w:tcW w:w="12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28,289</w:t>
            </w: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70,058</w:t>
            </w: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53,263</w:t>
            </w:r>
          </w:p>
        </w:tc>
      </w:tr>
      <w:tr>
        <w:trPr>
          <w:trHeight w:val="27"/>
        </w:trPr>
        <w:tc>
          <w:tcPr>
            <w:tcW w:w="608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70"/>
        </w:trPr>
        <w:tc>
          <w:tcPr>
            <w:tcW w:w="608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Provision for income taxes</w:t>
            </w:r>
          </w:p>
        </w:tc>
        <w:tc>
          <w:tcPr>
            <w:tcW w:w="260" w:type="dxa"/>
            <w:vAlign w:val="bottom"/>
            <w:tcBorders>
              <w:bottom w:val="single" w:sz="8" w:color="CFF0FC"/>
            </w:tcBorders>
            <w:shd w:val="clear" w:color="auto" w:fill="CFF0FC"/>
          </w:tcPr>
          <w:p>
            <w:pPr>
              <w:spacing w:after="0"/>
              <w:rPr>
                <w:sz w:val="23"/>
                <w:szCs w:val="23"/>
                <w:color w:val="auto"/>
              </w:rPr>
            </w:pPr>
          </w:p>
        </w:tc>
        <w:tc>
          <w:tcPr>
            <w:tcW w:w="98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9,263</w:t>
            </w:r>
          </w:p>
        </w:tc>
        <w:tc>
          <w:tcPr>
            <w:tcW w:w="120" w:type="dxa"/>
            <w:vAlign w:val="bottom"/>
            <w:tcBorders>
              <w:bottom w:val="single" w:sz="8" w:color="CFF0FC"/>
            </w:tcBorders>
            <w:shd w:val="clear" w:color="auto" w:fill="CFF0FC"/>
          </w:tcPr>
          <w:p>
            <w:pPr>
              <w:spacing w:after="0"/>
              <w:rPr>
                <w:sz w:val="23"/>
                <w:szCs w:val="23"/>
                <w:color w:val="auto"/>
              </w:rPr>
            </w:pPr>
          </w:p>
        </w:tc>
        <w:tc>
          <w:tcPr>
            <w:tcW w:w="300" w:type="dxa"/>
            <w:vAlign w:val="bottom"/>
            <w:tcBorders>
              <w:bottom w:val="single" w:sz="8" w:color="CFF0FC"/>
            </w:tcBorders>
            <w:shd w:val="clear" w:color="auto" w:fill="CFF0FC"/>
          </w:tcPr>
          <w:p>
            <w:pPr>
              <w:spacing w:after="0"/>
              <w:rPr>
                <w:sz w:val="23"/>
                <w:szCs w:val="23"/>
                <w:color w:val="auto"/>
              </w:rPr>
            </w:pPr>
          </w:p>
        </w:tc>
        <w:tc>
          <w:tcPr>
            <w:tcW w:w="960" w:type="dxa"/>
            <w:vAlign w:val="bottom"/>
            <w:tcBorders>
              <w:bottom w:val="single" w:sz="8" w:color="CFF0FC"/>
            </w:tcBorders>
            <w:shd w:val="clear" w:color="auto" w:fill="CFF0FC"/>
          </w:tcPr>
          <w:p>
            <w:pPr>
              <w:jc w:val="right"/>
              <w:ind w:right="31"/>
              <w:spacing w:after="0"/>
              <w:rPr>
                <w:sz w:val="20"/>
                <w:szCs w:val="20"/>
                <w:color w:val="auto"/>
              </w:rPr>
            </w:pPr>
            <w:r>
              <w:rPr>
                <w:rFonts w:ascii="Arial" w:cs="Arial" w:eastAsia="Arial" w:hAnsi="Arial"/>
                <w:sz w:val="18"/>
                <w:szCs w:val="18"/>
                <w:color w:val="auto"/>
              </w:rPr>
              <w:t>10,285</w:t>
            </w:r>
          </w:p>
        </w:tc>
        <w:tc>
          <w:tcPr>
            <w:tcW w:w="100" w:type="dxa"/>
            <w:vAlign w:val="bottom"/>
            <w:tcBorders>
              <w:bottom w:val="single" w:sz="8" w:color="CFF0FC"/>
            </w:tcBorders>
            <w:shd w:val="clear" w:color="auto" w:fill="CFF0FC"/>
          </w:tcPr>
          <w:p>
            <w:pPr>
              <w:spacing w:after="0"/>
              <w:rPr>
                <w:sz w:val="23"/>
                <w:szCs w:val="23"/>
                <w:color w:val="auto"/>
              </w:rPr>
            </w:pPr>
          </w:p>
        </w:tc>
        <w:tc>
          <w:tcPr>
            <w:tcW w:w="300" w:type="dxa"/>
            <w:vAlign w:val="bottom"/>
            <w:tcBorders>
              <w:bottom w:val="single" w:sz="8" w:color="CFF0FC"/>
            </w:tcBorders>
            <w:shd w:val="clear" w:color="auto" w:fill="CFF0FC"/>
          </w:tcPr>
          <w:p>
            <w:pPr>
              <w:spacing w:after="0"/>
              <w:rPr>
                <w:sz w:val="23"/>
                <w:szCs w:val="23"/>
                <w:color w:val="auto"/>
              </w:rPr>
            </w:pPr>
          </w:p>
        </w:tc>
        <w:tc>
          <w:tcPr>
            <w:tcW w:w="960" w:type="dxa"/>
            <w:vAlign w:val="bottom"/>
            <w:tcBorders>
              <w:bottom w:val="single" w:sz="8" w:color="CFF0FC"/>
            </w:tcBorders>
            <w:shd w:val="clear" w:color="auto" w:fill="CFF0FC"/>
          </w:tcPr>
          <w:p>
            <w:pPr>
              <w:jc w:val="right"/>
              <w:ind w:right="31"/>
              <w:spacing w:after="0"/>
              <w:rPr>
                <w:sz w:val="20"/>
                <w:szCs w:val="20"/>
                <w:color w:val="auto"/>
              </w:rPr>
            </w:pPr>
            <w:r>
              <w:rPr>
                <w:rFonts w:ascii="Arial" w:cs="Arial" w:eastAsia="Arial" w:hAnsi="Arial"/>
                <w:sz w:val="18"/>
                <w:szCs w:val="18"/>
                <w:color w:val="auto"/>
              </w:rPr>
              <w:t>16,146</w:t>
            </w:r>
          </w:p>
        </w:tc>
        <w:tc>
          <w:tcPr>
            <w:tcW w:w="100" w:type="dxa"/>
            <w:vAlign w:val="bottom"/>
            <w:tcBorders>
              <w:bottom w:val="single" w:sz="8" w:color="CFF0FC"/>
            </w:tcBorders>
            <w:shd w:val="clear" w:color="auto" w:fill="CFF0FC"/>
          </w:tcPr>
          <w:p>
            <w:pPr>
              <w:spacing w:after="0"/>
              <w:rPr>
                <w:sz w:val="23"/>
                <w:szCs w:val="23"/>
                <w:color w:val="auto"/>
              </w:rPr>
            </w:pPr>
          </w:p>
        </w:tc>
        <w:tc>
          <w:tcPr>
            <w:tcW w:w="300" w:type="dxa"/>
            <w:vAlign w:val="bottom"/>
            <w:tcBorders>
              <w:bottom w:val="single" w:sz="8" w:color="CFF0FC"/>
            </w:tcBorders>
            <w:shd w:val="clear" w:color="auto" w:fill="CFF0FC"/>
          </w:tcPr>
          <w:p>
            <w:pPr>
              <w:spacing w:after="0"/>
              <w:rPr>
                <w:sz w:val="23"/>
                <w:szCs w:val="23"/>
                <w:color w:val="auto"/>
              </w:rPr>
            </w:pPr>
          </w:p>
        </w:tc>
        <w:tc>
          <w:tcPr>
            <w:tcW w:w="96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17,393</w:t>
            </w:r>
          </w:p>
        </w:tc>
      </w:tr>
      <w:tr>
        <w:trPr>
          <w:trHeight w:val="237"/>
        </w:trPr>
        <w:tc>
          <w:tcPr>
            <w:tcW w:w="6080" w:type="dxa"/>
            <w:vAlign w:val="bottom"/>
          </w:tcPr>
          <w:p>
            <w:pPr>
              <w:ind w:left="720"/>
              <w:spacing w:after="0"/>
              <w:rPr>
                <w:sz w:val="20"/>
                <w:szCs w:val="20"/>
                <w:color w:val="auto"/>
              </w:rPr>
            </w:pPr>
            <w:r>
              <w:rPr>
                <w:rFonts w:ascii="Arial" w:cs="Arial" w:eastAsia="Arial" w:hAnsi="Arial"/>
                <w:sz w:val="18"/>
                <w:szCs w:val="18"/>
                <w:color w:val="auto"/>
              </w:rPr>
              <w:t>Net income</w:t>
            </w:r>
          </w:p>
        </w:tc>
        <w:tc>
          <w:tcPr>
            <w:tcW w:w="26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30,418</w:t>
            </w:r>
          </w:p>
        </w:tc>
        <w:tc>
          <w:tcPr>
            <w:tcW w:w="12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18,004</w:t>
            </w: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53,912</w:t>
            </w: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35,870</w:t>
            </w:r>
          </w:p>
        </w:tc>
      </w:tr>
      <w:tr>
        <w:trPr>
          <w:trHeight w:val="27"/>
        </w:trPr>
        <w:tc>
          <w:tcPr>
            <w:tcW w:w="608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70"/>
        </w:trPr>
        <w:tc>
          <w:tcPr>
            <w:tcW w:w="608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Less net income attributable to non-controlling interests</w:t>
            </w:r>
          </w:p>
        </w:tc>
        <w:tc>
          <w:tcPr>
            <w:tcW w:w="260" w:type="dxa"/>
            <w:vAlign w:val="bottom"/>
            <w:tcBorders>
              <w:bottom w:val="single" w:sz="8" w:color="CFF0FC"/>
            </w:tcBorders>
            <w:shd w:val="clear" w:color="auto" w:fill="CFF0FC"/>
          </w:tcPr>
          <w:p>
            <w:pPr>
              <w:spacing w:after="0"/>
              <w:rPr>
                <w:sz w:val="23"/>
                <w:szCs w:val="23"/>
                <w:color w:val="auto"/>
              </w:rPr>
            </w:pPr>
          </w:p>
        </w:tc>
        <w:tc>
          <w:tcPr>
            <w:tcW w:w="98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4,544</w:t>
            </w:r>
          </w:p>
        </w:tc>
        <w:tc>
          <w:tcPr>
            <w:tcW w:w="120" w:type="dxa"/>
            <w:vAlign w:val="bottom"/>
            <w:tcBorders>
              <w:bottom w:val="single" w:sz="8" w:color="CFF0FC"/>
            </w:tcBorders>
            <w:shd w:val="clear" w:color="auto" w:fill="CFF0FC"/>
          </w:tcPr>
          <w:p>
            <w:pPr>
              <w:spacing w:after="0"/>
              <w:rPr>
                <w:sz w:val="23"/>
                <w:szCs w:val="23"/>
                <w:color w:val="auto"/>
              </w:rPr>
            </w:pPr>
          </w:p>
        </w:tc>
        <w:tc>
          <w:tcPr>
            <w:tcW w:w="300" w:type="dxa"/>
            <w:vAlign w:val="bottom"/>
            <w:tcBorders>
              <w:bottom w:val="single" w:sz="8" w:color="CFF0FC"/>
            </w:tcBorders>
            <w:shd w:val="clear" w:color="auto" w:fill="CFF0FC"/>
          </w:tcPr>
          <w:p>
            <w:pPr>
              <w:spacing w:after="0"/>
              <w:rPr>
                <w:sz w:val="23"/>
                <w:szCs w:val="23"/>
                <w:color w:val="auto"/>
              </w:rPr>
            </w:pPr>
          </w:p>
        </w:tc>
        <w:tc>
          <w:tcPr>
            <w:tcW w:w="960" w:type="dxa"/>
            <w:vAlign w:val="bottom"/>
            <w:tcBorders>
              <w:bottom w:val="single" w:sz="8" w:color="CFF0FC"/>
            </w:tcBorders>
            <w:shd w:val="clear" w:color="auto" w:fill="CFF0FC"/>
          </w:tcPr>
          <w:p>
            <w:pPr>
              <w:jc w:val="right"/>
              <w:ind w:right="31"/>
              <w:spacing w:after="0"/>
              <w:rPr>
                <w:sz w:val="20"/>
                <w:szCs w:val="20"/>
                <w:color w:val="auto"/>
              </w:rPr>
            </w:pPr>
            <w:r>
              <w:rPr>
                <w:rFonts w:ascii="Arial" w:cs="Arial" w:eastAsia="Arial" w:hAnsi="Arial"/>
                <w:sz w:val="18"/>
                <w:szCs w:val="18"/>
                <w:color w:val="auto"/>
              </w:rPr>
              <w:t>5,592</w:t>
            </w:r>
          </w:p>
        </w:tc>
        <w:tc>
          <w:tcPr>
            <w:tcW w:w="100" w:type="dxa"/>
            <w:vAlign w:val="bottom"/>
            <w:tcBorders>
              <w:bottom w:val="single" w:sz="8" w:color="CFF0FC"/>
            </w:tcBorders>
            <w:shd w:val="clear" w:color="auto" w:fill="CFF0FC"/>
          </w:tcPr>
          <w:p>
            <w:pPr>
              <w:spacing w:after="0"/>
              <w:rPr>
                <w:sz w:val="23"/>
                <w:szCs w:val="23"/>
                <w:color w:val="auto"/>
              </w:rPr>
            </w:pPr>
          </w:p>
        </w:tc>
        <w:tc>
          <w:tcPr>
            <w:tcW w:w="300" w:type="dxa"/>
            <w:vAlign w:val="bottom"/>
            <w:tcBorders>
              <w:bottom w:val="single" w:sz="8" w:color="CFF0FC"/>
            </w:tcBorders>
            <w:shd w:val="clear" w:color="auto" w:fill="CFF0FC"/>
          </w:tcPr>
          <w:p>
            <w:pPr>
              <w:spacing w:after="0"/>
              <w:rPr>
                <w:sz w:val="23"/>
                <w:szCs w:val="23"/>
                <w:color w:val="auto"/>
              </w:rPr>
            </w:pPr>
          </w:p>
        </w:tc>
        <w:tc>
          <w:tcPr>
            <w:tcW w:w="960" w:type="dxa"/>
            <w:vAlign w:val="bottom"/>
            <w:tcBorders>
              <w:bottom w:val="single" w:sz="8" w:color="CFF0FC"/>
            </w:tcBorders>
            <w:shd w:val="clear" w:color="auto" w:fill="CFF0FC"/>
          </w:tcPr>
          <w:p>
            <w:pPr>
              <w:jc w:val="right"/>
              <w:ind w:right="31"/>
              <w:spacing w:after="0"/>
              <w:rPr>
                <w:sz w:val="20"/>
                <w:szCs w:val="20"/>
                <w:color w:val="auto"/>
              </w:rPr>
            </w:pPr>
            <w:r>
              <w:rPr>
                <w:rFonts w:ascii="Arial" w:cs="Arial" w:eastAsia="Arial" w:hAnsi="Arial"/>
                <w:sz w:val="18"/>
                <w:szCs w:val="18"/>
                <w:color w:val="auto"/>
              </w:rPr>
              <w:t>8,157</w:t>
            </w:r>
          </w:p>
        </w:tc>
        <w:tc>
          <w:tcPr>
            <w:tcW w:w="100" w:type="dxa"/>
            <w:vAlign w:val="bottom"/>
            <w:tcBorders>
              <w:bottom w:val="single" w:sz="8" w:color="CFF0FC"/>
            </w:tcBorders>
            <w:shd w:val="clear" w:color="auto" w:fill="CFF0FC"/>
          </w:tcPr>
          <w:p>
            <w:pPr>
              <w:spacing w:after="0"/>
              <w:rPr>
                <w:sz w:val="23"/>
                <w:szCs w:val="23"/>
                <w:color w:val="auto"/>
              </w:rPr>
            </w:pPr>
          </w:p>
        </w:tc>
        <w:tc>
          <w:tcPr>
            <w:tcW w:w="300" w:type="dxa"/>
            <w:vAlign w:val="bottom"/>
            <w:tcBorders>
              <w:bottom w:val="single" w:sz="8" w:color="CFF0FC"/>
            </w:tcBorders>
            <w:shd w:val="clear" w:color="auto" w:fill="CFF0FC"/>
          </w:tcPr>
          <w:p>
            <w:pPr>
              <w:spacing w:after="0"/>
              <w:rPr>
                <w:sz w:val="23"/>
                <w:szCs w:val="23"/>
                <w:color w:val="auto"/>
              </w:rPr>
            </w:pPr>
          </w:p>
        </w:tc>
        <w:tc>
          <w:tcPr>
            <w:tcW w:w="96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14,616</w:t>
            </w:r>
          </w:p>
        </w:tc>
      </w:tr>
      <w:tr>
        <w:trPr>
          <w:trHeight w:val="257"/>
        </w:trPr>
        <w:tc>
          <w:tcPr>
            <w:tcW w:w="6080" w:type="dxa"/>
            <w:vAlign w:val="bottom"/>
          </w:tcPr>
          <w:p>
            <w:pPr>
              <w:ind w:left="720"/>
              <w:spacing w:after="0"/>
              <w:rPr>
                <w:sz w:val="20"/>
                <w:szCs w:val="20"/>
                <w:color w:val="auto"/>
              </w:rPr>
            </w:pPr>
            <w:r>
              <w:rPr>
                <w:rFonts w:ascii="Arial" w:cs="Arial" w:eastAsia="Arial" w:hAnsi="Arial"/>
                <w:sz w:val="18"/>
                <w:szCs w:val="18"/>
                <w:color w:val="auto"/>
              </w:rPr>
              <w:t>Net income attributable to Planet Fitness, Inc.</w:t>
            </w:r>
          </w:p>
        </w:tc>
        <w:tc>
          <w:tcPr>
            <w:tcW w:w="26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25,874</w:t>
            </w:r>
          </w:p>
        </w:tc>
        <w:tc>
          <w:tcPr>
            <w:tcW w:w="120" w:type="dxa"/>
            <w:vAlign w:val="bottom"/>
          </w:tcPr>
          <w:p>
            <w:pPr>
              <w:spacing w:after="0"/>
              <w:rPr>
                <w:sz w:val="22"/>
                <w:szCs w:val="22"/>
                <w:color w:val="auto"/>
              </w:rPr>
            </w:pPr>
          </w:p>
        </w:tc>
        <w:tc>
          <w:tcPr>
            <w:tcW w:w="30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8"/>
                <w:szCs w:val="18"/>
                <w:color w:val="auto"/>
              </w:rPr>
              <w:t>12,412</w:t>
            </w:r>
          </w:p>
        </w:tc>
        <w:tc>
          <w:tcPr>
            <w:tcW w:w="100" w:type="dxa"/>
            <w:vAlign w:val="bottom"/>
          </w:tcPr>
          <w:p>
            <w:pPr>
              <w:spacing w:after="0"/>
              <w:rPr>
                <w:sz w:val="22"/>
                <w:szCs w:val="22"/>
                <w:color w:val="auto"/>
              </w:rPr>
            </w:pPr>
          </w:p>
        </w:tc>
        <w:tc>
          <w:tcPr>
            <w:tcW w:w="30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8"/>
                <w:szCs w:val="18"/>
                <w:color w:val="auto"/>
              </w:rPr>
              <w:t>45,755</w:t>
            </w:r>
          </w:p>
        </w:tc>
        <w:tc>
          <w:tcPr>
            <w:tcW w:w="100" w:type="dxa"/>
            <w:vAlign w:val="bottom"/>
          </w:tcPr>
          <w:p>
            <w:pPr>
              <w:spacing w:after="0"/>
              <w:rPr>
                <w:sz w:val="22"/>
                <w:szCs w:val="22"/>
                <w:color w:val="auto"/>
              </w:rPr>
            </w:pPr>
          </w:p>
        </w:tc>
        <w:tc>
          <w:tcPr>
            <w:tcW w:w="30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21,254</w:t>
            </w:r>
          </w:p>
        </w:tc>
      </w:tr>
      <w:tr>
        <w:trPr>
          <w:trHeight w:val="20"/>
        </w:trPr>
        <w:tc>
          <w:tcPr>
            <w:tcW w:w="60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4520"/>
        <w:spacing w:after="0" w:line="375" w:lineRule="auto"/>
        <w:rPr>
          <w:sz w:val="20"/>
          <w:szCs w:val="20"/>
          <w:color w:val="auto"/>
        </w:rPr>
      </w:pPr>
      <w:r>
        <w:rPr>
          <w:rFonts w:ascii="Arial" w:cs="Arial" w:eastAsia="Arial" w:hAnsi="Arial"/>
          <w:sz w:val="18"/>
          <w:szCs w:val="18"/>
          <w:b w:val="1"/>
          <w:bCs w:val="1"/>
          <w:i w:val="1"/>
          <w:iCs w:val="1"/>
          <w:color w:val="auto"/>
        </w:rPr>
        <w:t xml:space="preserve">Comparison of the three months ended June 30, 2018 and three months ended June 30, 2017 </w:t>
      </w:r>
      <w:r>
        <w:rPr>
          <w:rFonts w:ascii="Arial" w:cs="Arial" w:eastAsia="Arial" w:hAnsi="Arial"/>
          <w:sz w:val="18"/>
          <w:szCs w:val="18"/>
          <w:i w:val="1"/>
          <w:iCs w:val="1"/>
          <w:color w:val="auto"/>
        </w:rPr>
        <w:t>Revenue</w:t>
      </w:r>
    </w:p>
    <w:p>
      <w:pPr>
        <w:spacing w:after="0" w:line="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Total revenues were $140.6 million in the three months ended June 30, 2018, compared to $107.3 million in the three months ended June 30, 2017, an increase of $33.2 million, or 31.0%.</w:t>
      </w:r>
    </w:p>
    <w:p>
      <w:pPr>
        <w:spacing w:after="0" w:line="62"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Franchise segment revenue was $58.2 million in the three months ended June 30, 2018, compared to $37.8 million in the three months ended June 30, 2017, an increase of $20.4 million, or 53.9%.</w:t>
      </w:r>
    </w:p>
    <w:p>
      <w:pPr>
        <w:spacing w:after="0" w:line="62"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Franchise revenue was $45.4 million in the three months ended June 30, 2018 compared to $32.8 million in the three months ended June 30, 2017, an increase of $12.6 million or 38.5%. Included in franchise revenue is royalty revenue of $38.3 million, franchise and other fees of $4.0 million, and placement revenue of $3.1 million for the three months ended June 30, 2018, compared to royalty revenue of $23.6 million, franchise and other fees of $6.3 million, and placement revenue of $2.9 million for the three months ended June 30, 2017. The $14.8 million increase in royalty revenue was primarily driven by $7.2 million due to higher royalty rates on monthly dues and $3.2 million due to higher royalties on annual fees, primarily as a result of the franchise agreements that were amended to increase royalty rates by 1.59% which were offset by a corresponding decrease in franchise and other fees as well as reduced commission income (the "rebate to royalty amendment"). Additionally, $2.4 million was attributable to royalties from new stores in 2018, as well as stores that opened in 2017 that were not included in the same store sales base and $2.0 million attributable to a same store sales increase of 10.4% in franchisee-owned stores. The $2.3 million decrease in franchise and other fees was primarily driven by the 1.59% rebate to royalty amendment mentioned above in the three months ended June 30, 2018 as compared to the three months ended June 30, 2017.</w:t>
      </w:r>
    </w:p>
    <w:p>
      <w:pPr>
        <w:sectPr>
          <w:pgSz w:w="11900" w:h="16838" w:orient="portrait"/>
          <w:cols w:equalWidth="0" w:num="1">
            <w:col w:w="11420"/>
          </w:cols>
          <w:pgMar w:left="240" w:top="233" w:right="239" w:bottom="1440" w:gutter="0" w:footer="0" w:header="0"/>
        </w:sectPr>
      </w:pP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39</w:t>
      </w:r>
    </w:p>
    <w:p>
      <w:pPr>
        <w:sectPr>
          <w:pgSz w:w="11900" w:h="16838" w:orient="portrait"/>
          <w:cols w:equalWidth="0" w:num="1">
            <w:col w:w="11420"/>
          </w:cols>
          <w:pgMar w:left="240" w:top="233" w:right="239" w:bottom="1440" w:gutter="0" w:footer="0" w:header="0"/>
          <w:type w:val="continuous"/>
        </w:sectPr>
      </w:pPr>
    </w:p>
    <w:bookmarkStart w:id="40" w:name="page41"/>
    <w:bookmarkEnd w:id="4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60"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Commission income, which is included in our franchise segment, was $1.6 million in the three months ended June 30, 2018 compared to $5.0 million in the three months ended June 30, 2017. The $3.4 million decrease was primarily attributable to the 1.59% rebate to royalty amendment mentioned above.</w:t>
      </w:r>
    </w:p>
    <w:p>
      <w:pPr>
        <w:spacing w:after="0" w:line="16"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National advertising fund revenue was $11.2 million in the three months ended June 30, 2018, compared to zero in the three months ended June 30, 2017, as a result of the adoption of the new revenue recognition standard ASC 606. This revenue is offset by national advertising fund expenses below. See Note 15 in the notes to the consolidated financial statements.</w:t>
      </w:r>
    </w:p>
    <w:p>
      <w:pPr>
        <w:spacing w:after="0" w:line="73"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Revenue from our corporate-owned stores segment was $34.3 million in the three months ended June 30, 2018, compared to $28.3 million in the three months ended June 30, 2017, an increase of $6.0 million, or 21.1%. The increase was due to higher revenue of $4.0 million from new corporate-owned stores opened and acquired since March 31, 2017, higher same store sales from corporate-owned stores which increased 5.7% in the three months ended June 30, 2018 and contributed incremental revenues of $1.4 million, and higher annual fee revenue of $0.4 million.</w:t>
      </w:r>
    </w:p>
    <w:p>
      <w:pPr>
        <w:spacing w:after="0" w:line="63"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Equipment segment revenue was $48.1 million in the three months ended June 30, 2018, compared to $41.2 million in the three months ended June 30, 2017, an increase of $6.9 million, or 16.8%. The increase was driven by an increase in replacement equipment sales to existing franchisee-owned stores in the three months ended June 30, 2018, as compared to the three months ended June 30, 2017, as well as higher equipment sales to new franchisee-owned stores related to four additional new equipment sales in the three months ended June 30, 2018 compared to the three months ended June 30, 2017.</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Cost of revenue</w:t>
      </w:r>
    </w:p>
    <w:p>
      <w:pPr>
        <w:spacing w:after="0" w:line="11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Cost of revenue was $36.7 million in the three months ended June 30, 2018 compared to $31.5 million in the three months ended June 30, 2017, an increase of $5.3 million, or 16.8%. Cost of revenue, which relates to our equipment segment, increased due to four additional equipment sales to new franchisee-owned stores, in addition to an increase in replacement equipment sales to existing franchisee-owned stores in the three months ended June 30, 2018, as compared to the three months ended June 30, 2017.</w:t>
      </w:r>
    </w:p>
    <w:p>
      <w:pPr>
        <w:spacing w:after="0" w:line="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Store operations</w:t>
      </w:r>
    </w:p>
    <w:p>
      <w:pPr>
        <w:spacing w:after="0" w:line="117"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Store operation expenses, which relate to our corporate-owned stores segment, were $18.0 million in the three months ended June 30, 2018 compared to $14.6 million in the three months ended June 30, 2017, an increase of $3.4 million, or 23.6%. The increase was primarily attributable to the acquisition of six franchisee-owned stores on January 1, 2018, as well as the opening of four new corporate-owned stores in the fourth quarter of 2017.</w:t>
      </w:r>
    </w:p>
    <w:p>
      <w:pPr>
        <w:spacing w:after="0" w:line="5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Selling, general and administrative</w:t>
      </w:r>
    </w:p>
    <w:p>
      <w:pPr>
        <w:spacing w:after="0" w:line="11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Selling, general and administrative expenses were $17.2 million in the three months ended June 30, 2018 compared to $14.8 million in the three months ended June 30, 2017, an increase of $2.4 million, or 16.5%. The $2.4 million increase was primarily due to additional expenses incurred during the three months ended June 30, 2018 to support our growing operations, including additional headcount and equity-based compensation. Partially offsetting this increase was $0.3 million of lower costs incurred in connection with secondary offerings in the three months ended June 30, 2018 as compared to the three months ended June 30, 2017. With respect to our growing operations, we anticipate that our selling, general and administrative expenses will continue to increase as our franchisee-owned store count continues to grow.</w:t>
      </w:r>
    </w:p>
    <w:p>
      <w:pPr>
        <w:spacing w:after="0" w:line="8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National advertising fund expense</w:t>
      </w:r>
    </w:p>
    <w:p>
      <w:pPr>
        <w:spacing w:after="0" w:line="11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National advertising fund expense was $11.2 million in the three months ended June 30, 2018 compared to zero in the three months ended June 30, 2017, as a result of the adoption of the new revenue recognition standard ASC 606. This expense is offset by national advertising fund revenue as described above. See Note 15 in the notes to the consolidated financial statements.</w:t>
      </w:r>
    </w:p>
    <w:p>
      <w:pPr>
        <w:spacing w:after="0" w:line="7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Depreciation and amortization</w:t>
      </w:r>
    </w:p>
    <w:p>
      <w:pPr>
        <w:spacing w:after="0" w:line="117"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Depreciation and amortization expense consists of the depreciation of property and equipment, including leasehold and building improvements and equipment. Amortization expense consists of amortization related to our intangible assets, including customer relationships and non-compete agreements.</w:t>
      </w:r>
    </w:p>
    <w:p>
      <w:pPr>
        <w:spacing w:after="0" w:line="16"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Depreciation and amortization expense was $8.6 million in the three months ended June 30, 2018 compared to $7.9 million in the three months ended June 30, 2017, an increase of $0.7 million, or 9.2%.</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Other loss (gain)</w:t>
      </w:r>
    </w:p>
    <w:p>
      <w:pPr>
        <w:spacing w:after="0" w:line="117" w:lineRule="exact"/>
        <w:rPr>
          <w:sz w:val="20"/>
          <w:szCs w:val="20"/>
          <w:color w:val="auto"/>
        </w:rPr>
      </w:pPr>
    </w:p>
    <w:p>
      <w:pPr>
        <w:spacing w:after="0"/>
        <w:rPr>
          <w:sz w:val="20"/>
          <w:szCs w:val="20"/>
          <w:color w:val="auto"/>
        </w:rPr>
      </w:pPr>
      <w:r>
        <w:rPr>
          <w:rFonts w:ascii="Arial" w:cs="Arial" w:eastAsia="Arial" w:hAnsi="Arial"/>
          <w:sz w:val="17"/>
          <w:szCs w:val="17"/>
          <w:color w:val="auto"/>
        </w:rPr>
        <w:t>Other loss (gain) was zero in the three months ended June 30, 2018 compared to a loss of $0.3 million in the three months ended June 30, 2017.</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expense, net</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Interest expense primarily consists of interest on long-term debt as well as the amortization of deferred financing costs.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420"/>
          </w:cols>
          <w:pgMar w:left="240" w:top="233" w:right="239" w:bottom="1440" w:gutter="0" w:footer="0" w:header="0"/>
        </w:sectPr>
      </w:pPr>
    </w:p>
    <w:bookmarkStart w:id="41" w:name="page42"/>
    <w:bookmarkEnd w:id="4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60" w:lineRule="exact"/>
        <w:rPr>
          <w:sz w:val="20"/>
          <w:szCs w:val="20"/>
          <w:color w:val="auto"/>
        </w:rPr>
      </w:pPr>
    </w:p>
    <w:p>
      <w:pPr>
        <w:ind w:right="860"/>
        <w:spacing w:after="0" w:line="375" w:lineRule="auto"/>
        <w:rPr>
          <w:sz w:val="20"/>
          <w:szCs w:val="20"/>
          <w:color w:val="auto"/>
        </w:rPr>
      </w:pPr>
      <w:r>
        <w:rPr>
          <w:rFonts w:ascii="Arial" w:cs="Arial" w:eastAsia="Arial" w:hAnsi="Arial"/>
          <w:sz w:val="18"/>
          <w:szCs w:val="18"/>
          <w:color w:val="auto"/>
        </w:rPr>
        <w:t xml:space="preserve">Interest expense, net was $8.6 million in the three months ended June 30, 2018 compared to $9.0 million in the three months ended June 30, 2017. </w:t>
      </w:r>
      <w:r>
        <w:rPr>
          <w:rFonts w:ascii="Arial" w:cs="Arial" w:eastAsia="Arial" w:hAnsi="Arial"/>
          <w:sz w:val="18"/>
          <w:szCs w:val="18"/>
          <w:i w:val="1"/>
          <w:iCs w:val="1"/>
          <w:color w:val="auto"/>
        </w:rPr>
        <w:t>Other expense</w:t>
      </w:r>
    </w:p>
    <w:p>
      <w:pPr>
        <w:spacing w:after="0" w:line="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Other expense was $0.5 million in the three months ended June 30, 2018 compared to $0.9 million in the three months ended June 30, 2017, an increase of $0.4 million. In the three months ended June 30, 2018, other expense includes a loss of $0.3 million related to the write-off of an indemnification asset. In the three months ended June 30, 2017, other expense includes $1.0 million of third party fees recorded in connection with the May 2017 amendment of our credit facility, partially offset by a gain of $0.5 million related to the adjustment of our tax benefit arrangements primarily due to changes in our effective tax rate. Other expense also includes the effects of foreign currency gains and losses.</w:t>
      </w:r>
    </w:p>
    <w:p>
      <w:pPr>
        <w:spacing w:after="0" w:line="8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Provision for income taxes</w:t>
      </w:r>
    </w:p>
    <w:p>
      <w:pPr>
        <w:spacing w:after="0" w:line="117"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Income tax expense was $9.3 million in the three months ended June 30, 2018, compared to $10.3 million in the three months ended June 30, 2017, a decrease of $1.0 million. The decrease in the provision for income taxes was primarily attributable to the decrease in the tax rate effective January 1, 2018 as evidenced by our lower effective tax rate of 23.3% for the three months ended June 30, 2018 compared to 36.4% for the three months ended June 30, 2017, partially offset by the Company’s increased pro rata share of income from Pla-Fit Holdings in the three months ended June 30, 2018 compared to the three months ended June 30, 2017 as a result of the exchanges by Continuing LLC Owners of Holdings Units for shares of Class A common stock.</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Segment results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Franchise</w:t>
      </w:r>
    </w:p>
    <w:p>
      <w:pPr>
        <w:spacing w:after="0" w:line="117"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 xml:space="preserve">Segment EBITDA for the franchise segment was $40.0 million in the three months ended June 30, 2018 compared to $32.5 million in the three months ended June 30, 2017, an increase of $7.6 million, or 23.3%. This increase was primarily the result of growth in our franchise segment revenue of $7.2 million due to higher royalty rates on monthly dues and $3.2 million due to higher royalties on annual fees, primarily as a result of the franchise agreements that were amended to increase royalty rates by 1.59%, $2.4 million was attributable to royalties from new stores in 2018, as well as stores that opened in 2017 that were not included in the same store sales base, and $2.0 million attributable to a same store sales increase of 10.4% in franchisee-owned stores. The increase in revenue was partially offset by $3.4 million of lower commission income and $2.3 million of lower franchise and other fee revenue in conjunction with the 1.59% rebate to royalty amendment mentioned above, and $1.6 million of higher franchise-related selling, general, and administrative expense to support our growing franchise operations. Depreciation and amortization was $1.9 million and $2.1 million for the three </w:t>
      </w:r>
      <w:r>
        <w:rPr>
          <w:rFonts w:ascii="Arial" w:cs="Arial" w:eastAsia="Arial" w:hAnsi="Arial"/>
          <w:sz w:val="18"/>
          <w:szCs w:val="18"/>
          <w:color w:val="231F20"/>
        </w:rPr>
        <w:t>months ended</w:t>
      </w:r>
      <w:r>
        <w:rPr>
          <w:rFonts w:ascii="Arial" w:cs="Arial" w:eastAsia="Arial" w:hAnsi="Arial"/>
          <w:sz w:val="18"/>
          <w:szCs w:val="18"/>
          <w:color w:val="auto"/>
        </w:rPr>
        <w:t xml:space="preserve"> June 30, 2018 </w:t>
      </w:r>
      <w:r>
        <w:rPr>
          <w:rFonts w:ascii="Arial" w:cs="Arial" w:eastAsia="Arial" w:hAnsi="Arial"/>
          <w:sz w:val="18"/>
          <w:szCs w:val="18"/>
          <w:color w:val="231F20"/>
        </w:rPr>
        <w:t>and 2017</w:t>
      </w:r>
      <w:r>
        <w:rPr>
          <w:rFonts w:ascii="Arial" w:cs="Arial" w:eastAsia="Arial" w:hAnsi="Arial"/>
          <w:sz w:val="18"/>
          <w:szCs w:val="18"/>
          <w:color w:val="auto"/>
        </w:rPr>
        <w:t>, respectively.</w:t>
      </w:r>
    </w:p>
    <w:p>
      <w:pPr>
        <w:spacing w:after="0" w:line="8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Corporate-owned stores</w:t>
      </w:r>
    </w:p>
    <w:p>
      <w:pPr>
        <w:spacing w:after="0" w:line="11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Segment EBITDA for the corporate-owned stores segment was $14.7 million in the three months ended June 30, 2018 compared to $12.8 million in the three months ended June 30, 2017, an increase of $1.8 million, or 14.2%. Of this increase, $1.1 million related to increased revenues from stores included in our same store sales base in the three months ended June 30, 2018, compared to the three months ended June 30, 2017. An additional $1.5 million increase was attributable to the stores opened and acquired since March 31, 2017. Partially offsetting these increases is $0.5 million of pre-opening expenses for stores that have not yet opened, and the effect of foreign currency losses. Depreciation and amortization was $5.0 million and $3.8 million for the three months ended June 30, 2018 and 2017, respectively.</w:t>
      </w:r>
    </w:p>
    <w:p>
      <w:pPr>
        <w:spacing w:after="0" w:line="8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Equipment</w:t>
      </w:r>
    </w:p>
    <w:p>
      <w:pPr>
        <w:spacing w:after="0" w:line="117"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Segment EBITDA for the equipment segment was $11.5 million in the three months ended June 30, 2018 compared to $9.8 million in the three months ended June 30, 2017, an increase of $1.6 million, or 16.8%, primarily driven by an increase in replacement equipment sales to existing franchisee-owned stores in the three months ended June 30, 2018 compared to the three months ended June 30, 2017, in addition to four additional equipment sales to new franchisee-owned stores in the three months ended June 30, 2018 compared to the three months ended June 30, 2017. Depreciation and amortization was $1.3 million and $1.6 million for the three months ended June 30, 2018 and 2017, respectively.</w:t>
      </w:r>
    </w:p>
    <w:p>
      <w:pPr>
        <w:spacing w:after="0" w:line="173" w:lineRule="exact"/>
        <w:rPr>
          <w:sz w:val="20"/>
          <w:szCs w:val="20"/>
          <w:color w:val="auto"/>
        </w:rPr>
      </w:pPr>
    </w:p>
    <w:p>
      <w:pPr>
        <w:ind w:right="4860"/>
        <w:spacing w:after="0" w:line="375" w:lineRule="auto"/>
        <w:rPr>
          <w:sz w:val="20"/>
          <w:szCs w:val="20"/>
          <w:color w:val="auto"/>
        </w:rPr>
      </w:pPr>
      <w:r>
        <w:rPr>
          <w:rFonts w:ascii="Arial" w:cs="Arial" w:eastAsia="Arial" w:hAnsi="Arial"/>
          <w:sz w:val="18"/>
          <w:szCs w:val="18"/>
          <w:b w:val="1"/>
          <w:bCs w:val="1"/>
          <w:i w:val="1"/>
          <w:iCs w:val="1"/>
          <w:color w:val="auto"/>
        </w:rPr>
        <w:t xml:space="preserve">Comparison of the six months ended June 30, 2018 and six months ended June 30, 2017 </w:t>
      </w:r>
      <w:r>
        <w:rPr>
          <w:rFonts w:ascii="Arial" w:cs="Arial" w:eastAsia="Arial" w:hAnsi="Arial"/>
          <w:sz w:val="18"/>
          <w:szCs w:val="18"/>
          <w:i w:val="1"/>
          <w:iCs w:val="1"/>
          <w:color w:val="auto"/>
        </w:rPr>
        <w:t>Revenue</w:t>
      </w:r>
    </w:p>
    <w:p>
      <w:pPr>
        <w:spacing w:after="0" w:line="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Total revenues were $261.9 million in the six months ended June 30, 2018, compared to $198.4 million in the six months ended June 30, 2017, an increase of $63.5 million, or 32.0%.</w:t>
      </w:r>
    </w:p>
    <w:p>
      <w:pPr>
        <w:spacing w:after="0" w:line="62"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Franchise segment revenue was $112.8 million in the six months ended June 30, 2018, compared to $74.6 million in the six months ended June 30, 2017, an increase of $38.2 million, or 51.2%.</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420"/>
          </w:cols>
          <w:pgMar w:left="240" w:top="233" w:right="239" w:bottom="1440" w:gutter="0" w:footer="0" w:header="0"/>
        </w:sectPr>
      </w:pPr>
    </w:p>
    <w:bookmarkStart w:id="42" w:name="page43"/>
    <w:bookmarkEnd w:id="4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60"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Franchise revenue was $87.6 million in the six months ended June 30, 2018 compared to $63.1 million in the six months ended June 30, 2017, an increase of $24.5 million or 38.9%. Included in franchise revenue is royalty revenue of $72.7 million, franchise and other fees of $9.7 million, and placement revenue of $5.2 million for the six months ended June 30, 2018, compared to royalty revenue of $44.5 million, franchise and other fees of $13.6 million, and placement revenue of $5.0 million for the six months ended June 30, 2017. Of the $28.3 million increase in royalty revenue, $13.7 million was primarily attributable to higher royalty rates on monthly dues and $6.0 million was attributable to higher royalties on annual fees, primarily as a result of the franchise agreements that were amended to increase royalty rates by 1.59% which were offset by a corresponding decrease in franchise and other fees as well as reduced commission income. Additionally, $4.6 million was attributable to royalties from new stores in 2018, as well as stores that opened in 2017 that were not included in the same store sales base, and $4.0 million was attributable to a same store sales increase of 10.8% in franchisee-owned stores. The $4.0 million decrease in franchise and other fees was primarily driven by the 1.59% rebate to royalty amendment mentioned above in the six months ended June 30, 2018 as compared to the six months ended June 30, 2017.</w:t>
      </w:r>
    </w:p>
    <w:p>
      <w:pPr>
        <w:spacing w:after="0" w:line="70"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Commission income, which is included in our franchise segment, was $3.6 million in the six months ended June 30, 2018 compared to $11.5 million in the six months ended June 30, 2017. The $8.0 million decrease was primarily attributable to the 1.59% rebate to royalty amendment mentioned above.</w:t>
      </w:r>
    </w:p>
    <w:p>
      <w:pPr>
        <w:spacing w:after="0" w:line="38"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National advertising fund revenue was $21.6 million in the six months ended June 30, 2018, compared to zero in the six months ended June 30, 2017, as a result of the adoption of the new revenue recognition standard ASC 606. This revenue is offset by national advertising fund expenses below. See Note 15 in the notes to the consolidated financial statements.</w:t>
      </w:r>
    </w:p>
    <w:p>
      <w:pPr>
        <w:spacing w:after="0" w:line="73"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Revenue from our corporate-owned stores segment was $67.0 million in the six months ended June 30, 2018, compared to $55.3 million in the six months ended June 30, 2017, an increase of $11.6 million, or 21.0%. The increase was due to higher revenue of $7.3 million from new corporate-owned stores opened and acquired since January 1, 2017, higher same store sales from corporate-owned stores which increased 5.4% in the six months ended June 30, 2018 and contributed incremental revenues of $2.5 million, and higher annual fees of $1.2 million.</w:t>
      </w:r>
    </w:p>
    <w:p>
      <w:pPr>
        <w:spacing w:after="0" w:line="79"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Equipment segment revenue was $82.2 million in the six months ended June 30, 2018, compared to $68.5 million in the six months ended June 30, 2017, an increase of $13.7 million, or 19.9%. The increase was driven by an increase in replacement equipment sales to existing franchisee-owned stores in the six months ended June 30, 2018, as compared to the six months ended June 30, 2017, as well as higher equipment sales to new franchisee-owned stores related to eight additional new equipment sales in the six months ended June 30, 2018 compared to the six months ended June 30, 2017.</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Cost of revenue</w:t>
      </w:r>
    </w:p>
    <w:p>
      <w:pPr>
        <w:spacing w:after="0" w:line="11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Cost of revenue was $63.2 million in the six months ended June 30, 2018 compared to $52.6 million in the six months ended June 30, 2017, an increase of $10.7 million, or 20.3%. Cost of revenue, which relates to our equipment segment, increased due to eight additional equipment sales to new franchisee-owned stores, in addition to an increase in replacement equipment sales to existing franchisee-owned stores in the six months ended June 30, 2018, as compared to the six months ended June 30, 2017.</w:t>
      </w:r>
    </w:p>
    <w:p>
      <w:pPr>
        <w:spacing w:after="0" w:line="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Store operations</w:t>
      </w:r>
    </w:p>
    <w:p>
      <w:pPr>
        <w:spacing w:after="0" w:line="117"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Store operation expenses, which relate to our corporate-owned stores segment, were $36.4 million in the six months ended June 30, 2018 compared to $29.8 million in the six months ended June 30, 2017, an increase of $6.6 million, or 22.2%. The increase was primarily attributable to the acquisition of six franchisee-owned stores on January 1, 2018, as well as the opening of four new corporate-owned stores in the fourth quarter of 2017.</w:t>
      </w:r>
    </w:p>
    <w:p>
      <w:pPr>
        <w:spacing w:after="0" w:line="5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Selling, general and administrative</w:t>
      </w:r>
    </w:p>
    <w:p>
      <w:pPr>
        <w:spacing w:after="0" w:line="117"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Selling, general and administrative expenses were $34.8 million in the six months ended June 30, 2018 compared to $28.6 million in the six months ended June 30, 2017, an increase of $6.2 million, or 21.8%. The $6.2 million increase was primarily due to additional expenses incurred during the six months ended June 30, 2018 to support our growing operations, including additional headcount, equity-based compensation, and costs related to our franchisee conference which occurs approximately every 18 months. Partially offsetting this increase was $0.9 million of lower costs incurred in connection with secondary offerings in the six months ended June 30, 2018 as compared to the six months ended June 30, 2017. With respect to our growing operations, we anticipate that our selling, general and administrative expenses will continue to increase as our franchisee-owned store count continues to grow.</w:t>
      </w:r>
    </w:p>
    <w:p>
      <w:pPr>
        <w:spacing w:after="0" w:line="5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National advertising fund expense</w:t>
      </w:r>
    </w:p>
    <w:p>
      <w:pPr>
        <w:spacing w:after="0" w:line="11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National advertising fund expense was $21.6 million in the six months ended June 30, 2018 compared to zero in the six months ended June 30, 2017, as a result of the adoption of the new revenue recognition standard ASC 606. This expense is offset by national advertising fund revenue as described above. See Note 15 in the notes to the consolidated financial statements.</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420"/>
          </w:cols>
          <w:pgMar w:left="240" w:top="233" w:right="239" w:bottom="1440" w:gutter="0" w:footer="0" w:header="0"/>
        </w:sectPr>
      </w:pPr>
    </w:p>
    <w:bookmarkStart w:id="43" w:name="page44"/>
    <w:bookmarkEnd w:id="4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6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Depreciation and amortization</w:t>
      </w:r>
    </w:p>
    <w:p>
      <w:pPr>
        <w:spacing w:after="0" w:line="117"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Depreciation and amortization expense consists of the depreciation of property and equipment, including leasehold and building improvements and equipment. Amortization expense consists of amortization related to our intangible assets, including customer relationships and non-compete agreements.</w:t>
      </w:r>
    </w:p>
    <w:p>
      <w:pPr>
        <w:spacing w:after="0" w:line="16"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Depreciation and amortization expense was $17.1 million in the six months ended June 30, 2018 compared to $15.8 million in the six months ended June 30, 2017, an increase of $1.2 million, or 7.8%.</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Other loss</w:t>
      </w:r>
    </w:p>
    <w:p>
      <w:pPr>
        <w:spacing w:after="0" w:line="117"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Other loss was $1.0 million in the six months ended June 30, 2018 compared to $0.3 million in the six months ended June 30, 2017. In the six months ended June 30, 2018, this amount includes $0.6 million due to write off of certain assets that were being tested for possible use across the system and $0.4 million related to the loss on reacquired franchise rights recorded in relation to the acquisition of six franchisee-owned stores on January 1, 2018.</w:t>
      </w:r>
    </w:p>
    <w:p>
      <w:pPr>
        <w:spacing w:after="0" w:line="5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expense, net</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Interest expense primarily consists of interest on long-term debt as well as the amortization of deferred financing costs.</w:t>
      </w:r>
    </w:p>
    <w:p>
      <w:pPr>
        <w:spacing w:after="0" w:line="117" w:lineRule="exact"/>
        <w:rPr>
          <w:sz w:val="20"/>
          <w:szCs w:val="20"/>
          <w:color w:val="auto"/>
        </w:rPr>
      </w:pPr>
    </w:p>
    <w:p>
      <w:pPr>
        <w:spacing w:after="0"/>
        <w:rPr>
          <w:sz w:val="20"/>
          <w:szCs w:val="20"/>
          <w:color w:val="auto"/>
        </w:rPr>
      </w:pPr>
      <w:r>
        <w:rPr>
          <w:rFonts w:ascii="Arial" w:cs="Arial" w:eastAsia="Arial" w:hAnsi="Arial"/>
          <w:sz w:val="17"/>
          <w:szCs w:val="17"/>
          <w:color w:val="auto"/>
        </w:rPr>
        <w:t>Interest expense, net was $17.4 million in the six months ended June 30, 2018 compared to $17.8 million in the six months ended June 30, 2017.</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Other expense</w:t>
      </w:r>
    </w:p>
    <w:p>
      <w:pPr>
        <w:spacing w:after="0" w:line="117"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Other expense was $0.3 million in both the six months ended June 30, 2018 and the six months ended June 30, 2017. Other expense includes a gain of $0.4 million and $0.5 million related to the adjustment of our tax benefit arrangements primarily due to changes in our effective tax rate in the six months ended June 30, 2018 and the six months ended June 30, 2017, respectively. In the six months ended June 30, 2018, other expense includes expense of $0.3 million related to the write-off of an indemnification asset. In the six months ended June 30, 2017, other expense includes $1.0 million of third party fees recorded in connection with the May 2017 amendment of our credit facility. Other expense also includes the effects of foreign currency loss of $0.4 million in the six months ended June 30, 2018 and a gain of $0.2 million in the six months ended June 30, 2017.</w:t>
      </w:r>
    </w:p>
    <w:p>
      <w:pPr>
        <w:spacing w:after="0" w:line="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Provision for income taxes</w:t>
      </w:r>
    </w:p>
    <w:p>
      <w:pPr>
        <w:spacing w:after="0" w:line="117"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Income tax expense was $16.1 million in the six months ended June 30, 2018, compared to $17.4 million in the six months ended June 30, 2017, a decrease of $1.2 million. The decrease in the provision for income taxes was primarily attributable to the decrease in the tax rate effective January 1, 2018 as evidenced by our lower effective tax rate of 23.0% for the six months ended June 30, 2018 compared to 32.7% for the six months ended June 30, 2017, partially offset by the Company’s increased pro rata share of income from Pla-Fit Holdings in the six months ended June 30, 2018 compared to the six months ended June 30, 2017 as a result of the exchanges by Continuing LLC Owners of Holdings Units for shares of Class A common stock.</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Segment results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Franchise</w:t>
      </w:r>
    </w:p>
    <w:p>
      <w:pPr>
        <w:spacing w:after="0" w:line="117"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 xml:space="preserve">Segment EBITDA for the franchise segment was $76.7 million in the six months ended June 30, 2018 compared to $64.5 million in the six months ended June 30, 2017, an increase of $12.2 million, or 18.9%. This increase was primarily the result of growth in our franchise segment revenue of $13.7 million was primarily attributable to higher royalty rates on monthly dues and $6.0 million was attributable to higher royalties on annual fees, primarily as a result of the franchise agreements that were amended to increase royalty rates by 1.59%, $4.6 million was attributable to royalties from new stores in 2018, as well as stores that opened in 2017 that were not included in the same store sales base, and $4.0 million attributable to a same store sales increase of 10.8% in franchisee-owned stores. The increase in revenue was partially offset by $8.0 million of lower commission income and $4.0 million of lower franchise and other fee revenue in conjunction with the 1.59% rebate to royalty amendment mentioned above, and $4.3 million of higher franchise-related selling, general, and administrative expense to support our growing franchise operations. Depreciation and amortization was $3.9 million and $4.3 million for the six </w:t>
      </w:r>
      <w:r>
        <w:rPr>
          <w:rFonts w:ascii="Arial" w:cs="Arial" w:eastAsia="Arial" w:hAnsi="Arial"/>
          <w:sz w:val="17"/>
          <w:szCs w:val="17"/>
          <w:color w:val="231F20"/>
        </w:rPr>
        <w:t>months</w:t>
      </w:r>
      <w:r>
        <w:rPr>
          <w:rFonts w:ascii="Arial" w:cs="Arial" w:eastAsia="Arial" w:hAnsi="Arial"/>
          <w:sz w:val="17"/>
          <w:szCs w:val="17"/>
          <w:color w:val="auto"/>
        </w:rPr>
        <w:t xml:space="preserve"> </w:t>
      </w:r>
      <w:r>
        <w:rPr>
          <w:rFonts w:ascii="Arial" w:cs="Arial" w:eastAsia="Arial" w:hAnsi="Arial"/>
          <w:sz w:val="17"/>
          <w:szCs w:val="17"/>
          <w:color w:val="231F20"/>
        </w:rPr>
        <w:t xml:space="preserve">ended </w:t>
      </w:r>
      <w:r>
        <w:rPr>
          <w:rFonts w:ascii="Arial" w:cs="Arial" w:eastAsia="Arial" w:hAnsi="Arial"/>
          <w:sz w:val="17"/>
          <w:szCs w:val="17"/>
          <w:color w:val="000000"/>
        </w:rPr>
        <w:t>June 30, 2018</w:t>
      </w:r>
      <w:r>
        <w:rPr>
          <w:rFonts w:ascii="Arial" w:cs="Arial" w:eastAsia="Arial" w:hAnsi="Arial"/>
          <w:sz w:val="17"/>
          <w:szCs w:val="17"/>
          <w:color w:val="231F20"/>
        </w:rPr>
        <w:t xml:space="preserve"> and 2017</w:t>
      </w:r>
      <w:r>
        <w:rPr>
          <w:rFonts w:ascii="Arial" w:cs="Arial" w:eastAsia="Arial" w:hAnsi="Arial"/>
          <w:sz w:val="17"/>
          <w:szCs w:val="17"/>
          <w:color w:val="000000"/>
        </w:rPr>
        <w:t>, respectively.</w:t>
      </w:r>
    </w:p>
    <w:p>
      <w:pPr>
        <w:spacing w:after="0" w:line="7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Corporate-owned stores</w:t>
      </w:r>
    </w:p>
    <w:p>
      <w:pPr>
        <w:spacing w:after="0" w:line="117"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Segment EBITDA for the corporate-owned stores segment was $26.8 million in the six months ended June 30, 2018 compared to $23.5 million in the six months ended June 30, 2017, an increase of $3.3 million, or 14.0%. Of this increase, $3.0 million was related to increased revenues from stores included in our same store sales base in the six months ended June 30, 2018, compared to the six months ended June 30, 2017. An additional $2.0 million of the increase is attributable to the stores opened and acquired since January 1, 2017. Partially offsetting these increases is $0.5 million of pre-opening expenses for stores that have not yet opened, and the loss on reacquired franchise rights recorded in connection with the acquisition of six franchisee-owned stores on</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420"/>
          </w:cols>
          <w:pgMar w:left="240" w:top="233" w:right="239" w:bottom="1440" w:gutter="0" w:footer="0" w:header="0"/>
        </w:sectPr>
      </w:pPr>
    </w:p>
    <w:bookmarkStart w:id="44" w:name="page45"/>
    <w:bookmarkEnd w:id="4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6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January 1, 2018 and the effect of foreign currency losses. Depreciation and amortization was $9.7 million and $7.7 million for the six months ended June 30, 2018 and 2017, respectively.</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Equipment</w:t>
      </w:r>
    </w:p>
    <w:p>
      <w:pPr>
        <w:spacing w:after="0" w:line="11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Segment EBITDA for the equipment segment was $18.9 million in the six months ended June 30, 2018 compared to $15.9 million in the six months ended June 30, 2017, an increase of $3.0 million, or 19.0%, primarily driven by an increase in replacement equipment sales to existing franchisee-owned stores in the six months ended June 30, 2018 compared to the six months ended June 30, 2017, in addition to eight additional equipment sales to new franchisee-owned stores in the six months ended June 30, 2018 compared to the six months ended June 30, 2017. Depreciation and amortization was $2.5 million and $3.1 million for the six months ended June 30, 2018 and 2017, respectively.</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2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As of June 30, 2018, we had $147.8 million of cash and cash equivalents. In addition, as of June 30, 2018, we had borrowing capacity of $75.0 million under our revolving credit facility.</w:t>
      </w:r>
    </w:p>
    <w:p>
      <w:pPr>
        <w:spacing w:after="0" w:line="62" w:lineRule="exact"/>
        <w:rPr>
          <w:sz w:val="20"/>
          <w:szCs w:val="20"/>
          <w:color w:val="auto"/>
        </w:rPr>
      </w:pPr>
    </w:p>
    <w:p>
      <w:pPr>
        <w:jc w:val="both"/>
        <w:spacing w:after="0" w:line="288" w:lineRule="auto"/>
        <w:rPr>
          <w:sz w:val="20"/>
          <w:szCs w:val="20"/>
          <w:color w:val="auto"/>
        </w:rPr>
      </w:pPr>
      <w:r>
        <w:rPr>
          <w:rFonts w:ascii="Arial" w:cs="Arial" w:eastAsia="Arial" w:hAnsi="Arial"/>
          <w:sz w:val="16"/>
          <w:szCs w:val="16"/>
          <w:color w:val="auto"/>
        </w:rPr>
        <w:t>We require cash principally to fund day-to-day operations, to finance capital investments, to service our outstanding debt and tax benefit arrangements and to address our working capital needs. Based on our current level of operations and anticipated growth, we believe that with the available cash balance, the cash generated from our operations, and amounts available under our revolving credit facility will be adequate to meet our anticipated debt service requirements and obligations under the tax benefit arrangements, capital expenditures and working capital needs for at least the next 12 months. We believe that we will be able to meet these obligations even if we experience no growth in sales or profits. Our ability to continue to fund these items and continue to reduce debt could be adversely affected by the occurrence of any of the events described under “Risk factors” in the Annual Report and elsewhere in this Quarterly Report on Form 10-Q. There can be no assurance, however, that our business will generate sufficient cash flows from operations or that future borrowings will be available under our revolving credit facility or otherwise to enable us to service our indebtedness, including our senior secured credit facility, or to make anticipated capital expenditures. Our future operating performance and our ability to service, extend or refinance the senior secured credit facility will be subject to future economic conditions and to financial, business and other factors, many of which are beyond our control.</w:t>
      </w:r>
    </w:p>
    <w:p>
      <w:pPr>
        <w:spacing w:after="0" w:line="61"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presents summary cash flow information for the six months ended June 30, 2018 and 2017:</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36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2700" w:type="dxa"/>
            <w:vAlign w:val="bottom"/>
            <w:tcBorders>
              <w:bottom w:val="single" w:sz="8" w:color="auto"/>
            </w:tcBorders>
            <w:gridSpan w:val="4"/>
          </w:tcPr>
          <w:p>
            <w:pPr>
              <w:jc w:val="right"/>
              <w:ind w:right="613"/>
              <w:spacing w:after="0"/>
              <w:rPr>
                <w:sz w:val="20"/>
                <w:szCs w:val="20"/>
                <w:color w:val="auto"/>
              </w:rPr>
            </w:pPr>
            <w:r>
              <w:rPr>
                <w:rFonts w:ascii="Arial" w:cs="Arial" w:eastAsia="Arial" w:hAnsi="Arial"/>
                <w:sz w:val="14"/>
                <w:szCs w:val="14"/>
                <w:b w:val="1"/>
                <w:bCs w:val="1"/>
                <w:color w:val="auto"/>
              </w:rPr>
              <w:t>Six months ended June 30,</w:t>
            </w:r>
          </w:p>
        </w:tc>
      </w:tr>
      <w:tr>
        <w:trPr>
          <w:trHeight w:val="264"/>
        </w:trPr>
        <w:tc>
          <w:tcPr>
            <w:tcW w:w="8360" w:type="dxa"/>
            <w:vAlign w:val="bottom"/>
            <w:tcBorders>
              <w:bottom w:val="single" w:sz="8" w:color="CFF0FC"/>
            </w:tcBorders>
          </w:tcPr>
          <w:p>
            <w:pPr>
              <w:ind w:left="40"/>
              <w:spacing w:after="0"/>
              <w:rPr>
                <w:sz w:val="20"/>
                <w:szCs w:val="20"/>
                <w:color w:val="auto"/>
              </w:rPr>
            </w:pPr>
            <w:r>
              <w:rPr>
                <w:rFonts w:ascii="Arial" w:cs="Arial" w:eastAsia="Arial" w:hAnsi="Arial"/>
                <w:sz w:val="14"/>
                <w:szCs w:val="14"/>
                <w:color w:val="auto"/>
              </w:rPr>
              <w:t>(</w:t>
            </w:r>
            <w:r>
              <w:rPr>
                <w:rFonts w:ascii="Arial" w:cs="Arial" w:eastAsia="Arial" w:hAnsi="Arial"/>
                <w:sz w:val="14"/>
                <w:szCs w:val="14"/>
                <w:b w:val="1"/>
                <w:bCs w:val="1"/>
                <w:color w:val="auto"/>
              </w:rPr>
              <w:t>in thousands</w:t>
            </w:r>
            <w:r>
              <w:rPr>
                <w:rFonts w:ascii="Arial" w:cs="Arial" w:eastAsia="Arial" w:hAnsi="Arial"/>
                <w:sz w:val="14"/>
                <w:szCs w:val="14"/>
                <w:color w:val="auto"/>
              </w:rPr>
              <w:t>)</w:t>
            </w: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5"/>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FF0FC"/>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2017</w:t>
            </w:r>
          </w:p>
        </w:tc>
      </w:tr>
      <w:tr>
        <w:trPr>
          <w:trHeight w:val="250"/>
        </w:trPr>
        <w:tc>
          <w:tcPr>
            <w:tcW w:w="836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Net cash (used in) provided by:</w:t>
            </w:r>
          </w:p>
        </w:tc>
        <w:tc>
          <w:tcPr>
            <w:tcW w:w="360" w:type="dxa"/>
            <w:vAlign w:val="bottom"/>
            <w:tcBorders>
              <w:bottom w:val="single" w:sz="8" w:color="CFF0FC"/>
            </w:tcBorders>
            <w:shd w:val="clear" w:color="auto" w:fill="CFF0FC"/>
          </w:tcPr>
          <w:p>
            <w:pPr>
              <w:spacing w:after="0"/>
              <w:rPr>
                <w:sz w:val="21"/>
                <w:szCs w:val="21"/>
                <w:color w:val="auto"/>
              </w:rPr>
            </w:pPr>
          </w:p>
        </w:tc>
        <w:tc>
          <w:tcPr>
            <w:tcW w:w="1120" w:type="dxa"/>
            <w:vAlign w:val="bottom"/>
            <w:tcBorders>
              <w:bottom w:val="single" w:sz="8" w:color="CFF0FC"/>
            </w:tcBorders>
            <w:shd w:val="clear" w:color="auto" w:fill="CFF0FC"/>
          </w:tcPr>
          <w:p>
            <w:pPr>
              <w:spacing w:after="0"/>
              <w:rPr>
                <w:sz w:val="21"/>
                <w:szCs w:val="21"/>
                <w:color w:val="auto"/>
              </w:rPr>
            </w:pPr>
          </w:p>
        </w:tc>
        <w:tc>
          <w:tcPr>
            <w:tcW w:w="100" w:type="dxa"/>
            <w:vAlign w:val="bottom"/>
            <w:tcBorders>
              <w:bottom w:val="single" w:sz="8" w:color="CFF0FC"/>
            </w:tcBorders>
            <w:shd w:val="clear" w:color="auto" w:fill="CFF0FC"/>
          </w:tcPr>
          <w:p>
            <w:pPr>
              <w:spacing w:after="0"/>
              <w:rPr>
                <w:sz w:val="21"/>
                <w:szCs w:val="21"/>
                <w:color w:val="auto"/>
              </w:rPr>
            </w:pPr>
          </w:p>
        </w:tc>
        <w:tc>
          <w:tcPr>
            <w:tcW w:w="360" w:type="dxa"/>
            <w:vAlign w:val="bottom"/>
            <w:tcBorders>
              <w:bottom w:val="single" w:sz="8" w:color="CFF0FC"/>
            </w:tcBorders>
            <w:shd w:val="clear" w:color="auto" w:fill="CFF0FC"/>
          </w:tcPr>
          <w:p>
            <w:pPr>
              <w:spacing w:after="0"/>
              <w:rPr>
                <w:sz w:val="21"/>
                <w:szCs w:val="21"/>
                <w:color w:val="auto"/>
              </w:rPr>
            </w:pPr>
          </w:p>
        </w:tc>
        <w:tc>
          <w:tcPr>
            <w:tcW w:w="1120" w:type="dxa"/>
            <w:vAlign w:val="bottom"/>
            <w:tcBorders>
              <w:bottom w:val="single" w:sz="8" w:color="CFF0FC"/>
            </w:tcBorders>
            <w:shd w:val="clear" w:color="auto" w:fill="CFF0FC"/>
          </w:tcPr>
          <w:p>
            <w:pPr>
              <w:spacing w:after="0"/>
              <w:rPr>
                <w:sz w:val="21"/>
                <w:szCs w:val="21"/>
                <w:color w:val="auto"/>
              </w:rPr>
            </w:pPr>
          </w:p>
        </w:tc>
      </w:tr>
      <w:tr>
        <w:trPr>
          <w:trHeight w:val="243"/>
        </w:trPr>
        <w:tc>
          <w:tcPr>
            <w:tcW w:w="8360" w:type="dxa"/>
            <w:vAlign w:val="bottom"/>
          </w:tcPr>
          <w:p>
            <w:pPr>
              <w:ind w:left="280"/>
              <w:spacing w:after="0"/>
              <w:rPr>
                <w:sz w:val="20"/>
                <w:szCs w:val="20"/>
                <w:color w:val="auto"/>
              </w:rPr>
            </w:pPr>
            <w:r>
              <w:rPr>
                <w:rFonts w:ascii="Arial" w:cs="Arial" w:eastAsia="Arial" w:hAnsi="Arial"/>
                <w:sz w:val="18"/>
                <w:szCs w:val="18"/>
                <w:color w:val="auto"/>
              </w:rPr>
              <w:t>Operating activities</w:t>
            </w: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5"/>
              <w:spacing w:after="0"/>
              <w:rPr>
                <w:sz w:val="20"/>
                <w:szCs w:val="20"/>
                <w:color w:val="auto"/>
              </w:rPr>
            </w:pPr>
            <w:r>
              <w:rPr>
                <w:rFonts w:ascii="Arial" w:cs="Arial" w:eastAsia="Arial" w:hAnsi="Arial"/>
                <w:sz w:val="18"/>
                <w:szCs w:val="18"/>
                <w:color w:val="auto"/>
              </w:rPr>
              <w:t>78,494</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3"/>
              <w:spacing w:after="0"/>
              <w:rPr>
                <w:sz w:val="20"/>
                <w:szCs w:val="20"/>
                <w:color w:val="auto"/>
              </w:rPr>
            </w:pPr>
            <w:r>
              <w:rPr>
                <w:rFonts w:ascii="Arial" w:cs="Arial" w:eastAsia="Arial" w:hAnsi="Arial"/>
                <w:sz w:val="18"/>
                <w:szCs w:val="18"/>
                <w:color w:val="auto"/>
              </w:rPr>
              <w:t>62,998</w:t>
            </w:r>
          </w:p>
        </w:tc>
      </w:tr>
      <w:tr>
        <w:trPr>
          <w:trHeight w:val="27"/>
        </w:trPr>
        <w:tc>
          <w:tcPr>
            <w:tcW w:w="83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836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Investing activities</w:t>
            </w:r>
          </w:p>
        </w:tc>
        <w:tc>
          <w:tcPr>
            <w:tcW w:w="360" w:type="dxa"/>
            <w:vAlign w:val="bottom"/>
            <w:tcBorders>
              <w:bottom w:val="single" w:sz="8" w:color="CFF0FC"/>
            </w:tcBorders>
            <w:shd w:val="clear" w:color="auto" w:fill="CFF0FC"/>
          </w:tcPr>
          <w:p>
            <w:pPr>
              <w:spacing w:after="0"/>
              <w:rPr>
                <w:sz w:val="21"/>
                <w:szCs w:val="21"/>
                <w:color w:val="auto"/>
              </w:rPr>
            </w:pPr>
          </w:p>
        </w:tc>
        <w:tc>
          <w:tcPr>
            <w:tcW w:w="112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(36,505)</w:t>
            </w:r>
          </w:p>
        </w:tc>
        <w:tc>
          <w:tcPr>
            <w:tcW w:w="100" w:type="dxa"/>
            <w:vAlign w:val="bottom"/>
            <w:tcBorders>
              <w:bottom w:val="single" w:sz="8" w:color="CFF0FC"/>
            </w:tcBorders>
            <w:shd w:val="clear" w:color="auto" w:fill="CFF0FC"/>
          </w:tcPr>
          <w:p>
            <w:pPr>
              <w:spacing w:after="0"/>
              <w:rPr>
                <w:sz w:val="21"/>
                <w:szCs w:val="21"/>
                <w:color w:val="auto"/>
              </w:rPr>
            </w:pPr>
          </w:p>
        </w:tc>
        <w:tc>
          <w:tcPr>
            <w:tcW w:w="360" w:type="dxa"/>
            <w:vAlign w:val="bottom"/>
            <w:tcBorders>
              <w:bottom w:val="single" w:sz="8" w:color="CFF0FC"/>
            </w:tcBorders>
            <w:shd w:val="clear" w:color="auto" w:fill="CFF0FC"/>
          </w:tcPr>
          <w:p>
            <w:pPr>
              <w:spacing w:after="0"/>
              <w:rPr>
                <w:sz w:val="21"/>
                <w:szCs w:val="21"/>
                <w:color w:val="auto"/>
              </w:rPr>
            </w:pPr>
          </w:p>
        </w:tc>
        <w:tc>
          <w:tcPr>
            <w:tcW w:w="112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(14,127)</w:t>
            </w:r>
          </w:p>
        </w:tc>
      </w:tr>
      <w:tr>
        <w:trPr>
          <w:trHeight w:val="243"/>
        </w:trPr>
        <w:tc>
          <w:tcPr>
            <w:tcW w:w="8360" w:type="dxa"/>
            <w:vAlign w:val="bottom"/>
          </w:tcPr>
          <w:p>
            <w:pPr>
              <w:ind w:left="280"/>
              <w:spacing w:after="0"/>
              <w:rPr>
                <w:sz w:val="20"/>
                <w:szCs w:val="20"/>
                <w:color w:val="auto"/>
              </w:rPr>
            </w:pPr>
            <w:r>
              <w:rPr>
                <w:rFonts w:ascii="Arial" w:cs="Arial" w:eastAsia="Arial" w:hAnsi="Arial"/>
                <w:sz w:val="18"/>
                <w:szCs w:val="18"/>
                <w:color w:val="auto"/>
              </w:rPr>
              <w:t>Financing activities</w:t>
            </w: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(6,856)</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(10,941)</w:t>
            </w:r>
          </w:p>
        </w:tc>
      </w:tr>
      <w:tr>
        <w:trPr>
          <w:trHeight w:val="27"/>
        </w:trPr>
        <w:tc>
          <w:tcPr>
            <w:tcW w:w="83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836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Effect of foreign exchange rates on cash</w:t>
            </w:r>
          </w:p>
        </w:tc>
        <w:tc>
          <w:tcPr>
            <w:tcW w:w="360" w:type="dxa"/>
            <w:vAlign w:val="bottom"/>
            <w:tcBorders>
              <w:bottom w:val="single" w:sz="8" w:color="CFF0FC"/>
            </w:tcBorders>
            <w:shd w:val="clear" w:color="auto" w:fill="CFF0FC"/>
          </w:tcPr>
          <w:p>
            <w:pPr>
              <w:spacing w:after="0"/>
              <w:rPr>
                <w:sz w:val="23"/>
                <w:szCs w:val="23"/>
                <w:color w:val="auto"/>
              </w:rPr>
            </w:pPr>
          </w:p>
        </w:tc>
        <w:tc>
          <w:tcPr>
            <w:tcW w:w="112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(429)</w:t>
            </w:r>
          </w:p>
        </w:tc>
        <w:tc>
          <w:tcPr>
            <w:tcW w:w="100" w:type="dxa"/>
            <w:vAlign w:val="bottom"/>
            <w:tcBorders>
              <w:bottom w:val="single" w:sz="8" w:color="CFF0FC"/>
            </w:tcBorders>
            <w:shd w:val="clear" w:color="auto" w:fill="CFF0FC"/>
          </w:tcPr>
          <w:p>
            <w:pPr>
              <w:spacing w:after="0"/>
              <w:rPr>
                <w:sz w:val="23"/>
                <w:szCs w:val="23"/>
                <w:color w:val="auto"/>
              </w:rPr>
            </w:pPr>
          </w:p>
        </w:tc>
        <w:tc>
          <w:tcPr>
            <w:tcW w:w="360" w:type="dxa"/>
            <w:vAlign w:val="bottom"/>
            <w:tcBorders>
              <w:bottom w:val="single" w:sz="8" w:color="CFF0FC"/>
            </w:tcBorders>
            <w:shd w:val="clear" w:color="auto" w:fill="CFF0FC"/>
          </w:tcPr>
          <w:p>
            <w:pPr>
              <w:spacing w:after="0"/>
              <w:rPr>
                <w:sz w:val="23"/>
                <w:szCs w:val="23"/>
                <w:color w:val="auto"/>
              </w:rPr>
            </w:pPr>
          </w:p>
        </w:tc>
        <w:tc>
          <w:tcPr>
            <w:tcW w:w="1120" w:type="dxa"/>
            <w:vAlign w:val="bottom"/>
            <w:tcBorders>
              <w:bottom w:val="single" w:sz="8" w:color="CFF0FC"/>
            </w:tcBorders>
            <w:shd w:val="clear" w:color="auto" w:fill="CFF0FC"/>
          </w:tcPr>
          <w:p>
            <w:pPr>
              <w:jc w:val="right"/>
              <w:ind w:right="13"/>
              <w:spacing w:after="0"/>
              <w:rPr>
                <w:sz w:val="20"/>
                <w:szCs w:val="20"/>
                <w:color w:val="auto"/>
              </w:rPr>
            </w:pPr>
            <w:r>
              <w:rPr>
                <w:rFonts w:ascii="Arial" w:cs="Arial" w:eastAsia="Arial" w:hAnsi="Arial"/>
                <w:sz w:val="18"/>
                <w:szCs w:val="18"/>
                <w:color w:val="auto"/>
              </w:rPr>
              <w:t>198</w:t>
            </w:r>
          </w:p>
        </w:tc>
      </w:tr>
      <w:tr>
        <w:trPr>
          <w:trHeight w:val="257"/>
        </w:trPr>
        <w:tc>
          <w:tcPr>
            <w:tcW w:w="8360" w:type="dxa"/>
            <w:vAlign w:val="bottom"/>
          </w:tcPr>
          <w:p>
            <w:pPr>
              <w:ind w:left="40"/>
              <w:spacing w:after="0"/>
              <w:rPr>
                <w:sz w:val="20"/>
                <w:szCs w:val="20"/>
                <w:color w:val="auto"/>
              </w:rPr>
            </w:pPr>
            <w:r>
              <w:rPr>
                <w:rFonts w:ascii="Arial" w:cs="Arial" w:eastAsia="Arial" w:hAnsi="Arial"/>
                <w:sz w:val="18"/>
                <w:szCs w:val="18"/>
                <w:color w:val="auto"/>
              </w:rPr>
              <w:t>Net increase in cash</w:t>
            </w: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15"/>
              <w:spacing w:after="0"/>
              <w:rPr>
                <w:sz w:val="20"/>
                <w:szCs w:val="20"/>
                <w:color w:val="auto"/>
              </w:rPr>
            </w:pPr>
            <w:r>
              <w:rPr>
                <w:rFonts w:ascii="Arial" w:cs="Arial" w:eastAsia="Arial" w:hAnsi="Arial"/>
                <w:sz w:val="18"/>
                <w:szCs w:val="18"/>
                <w:color w:val="auto"/>
              </w:rPr>
              <w:t>34,704</w:t>
            </w:r>
          </w:p>
        </w:tc>
        <w:tc>
          <w:tcPr>
            <w:tcW w:w="100" w:type="dxa"/>
            <w:vAlign w:val="bottom"/>
          </w:tcPr>
          <w:p>
            <w:pPr>
              <w:spacing w:after="0"/>
              <w:rPr>
                <w:sz w:val="22"/>
                <w:szCs w:val="22"/>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13"/>
              <w:spacing w:after="0"/>
              <w:rPr>
                <w:sz w:val="20"/>
                <w:szCs w:val="20"/>
                <w:color w:val="auto"/>
              </w:rPr>
            </w:pPr>
            <w:r>
              <w:rPr>
                <w:rFonts w:ascii="Arial" w:cs="Arial" w:eastAsia="Arial" w:hAnsi="Arial"/>
                <w:sz w:val="18"/>
                <w:szCs w:val="18"/>
                <w:color w:val="auto"/>
              </w:rPr>
              <w:t>38,128</w:t>
            </w:r>
          </w:p>
        </w:tc>
      </w:tr>
      <w:tr>
        <w:trPr>
          <w:trHeight w:val="20"/>
        </w:trPr>
        <w:tc>
          <w:tcPr>
            <w:tcW w:w="83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Operating activities</w:t>
      </w:r>
    </w:p>
    <w:p>
      <w:pPr>
        <w:spacing w:after="0" w:line="11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For the six months ended June 30, 2018, net cash provided by operating activities was $78.5 million compared to $63.0 million in the six months ended June 30, 2017, an increase of $15.5 million. Of the increase, $19.5 million was due to higher net income after adjustments to reconcile net income to net cash provided by operating activities, partially offset by $4.0 million due to higher cash used for working capital in the six months ended June 30, 2018 as compared to the six months ended June 30, 2017.</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420"/>
          </w:cols>
          <w:pgMar w:left="240" w:top="233" w:right="239" w:bottom="1440" w:gutter="0" w:footer="0" w:header="0"/>
        </w:sectPr>
      </w:pPr>
    </w:p>
    <w:bookmarkStart w:id="45" w:name="page46"/>
    <w:bookmarkEnd w:id="4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6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Investing activities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Cash flow used in investing activities related to the following capital expenditures for the six months ended June 30, 2018 and 2017:</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36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2700" w:type="dxa"/>
            <w:vAlign w:val="bottom"/>
            <w:tcBorders>
              <w:bottom w:val="single" w:sz="8" w:color="auto"/>
            </w:tcBorders>
            <w:gridSpan w:val="4"/>
          </w:tcPr>
          <w:p>
            <w:pPr>
              <w:jc w:val="right"/>
              <w:ind w:right="613"/>
              <w:spacing w:after="0"/>
              <w:rPr>
                <w:sz w:val="20"/>
                <w:szCs w:val="20"/>
                <w:color w:val="auto"/>
              </w:rPr>
            </w:pPr>
            <w:r>
              <w:rPr>
                <w:rFonts w:ascii="Arial" w:cs="Arial" w:eastAsia="Arial" w:hAnsi="Arial"/>
                <w:sz w:val="14"/>
                <w:szCs w:val="14"/>
                <w:b w:val="1"/>
                <w:bCs w:val="1"/>
                <w:color w:val="auto"/>
              </w:rPr>
              <w:t>Six months ended June 30,</w:t>
            </w:r>
          </w:p>
        </w:tc>
      </w:tr>
      <w:tr>
        <w:trPr>
          <w:trHeight w:val="264"/>
        </w:trPr>
        <w:tc>
          <w:tcPr>
            <w:tcW w:w="8360" w:type="dxa"/>
            <w:vAlign w:val="bottom"/>
            <w:tcBorders>
              <w:bottom w:val="single" w:sz="8" w:color="CFF0FC"/>
            </w:tcBorders>
          </w:tcPr>
          <w:p>
            <w:pPr>
              <w:ind w:left="40"/>
              <w:spacing w:after="0"/>
              <w:rPr>
                <w:sz w:val="20"/>
                <w:szCs w:val="20"/>
                <w:color w:val="auto"/>
              </w:rPr>
            </w:pPr>
            <w:r>
              <w:rPr>
                <w:rFonts w:ascii="Arial" w:cs="Arial" w:eastAsia="Arial" w:hAnsi="Arial"/>
                <w:sz w:val="14"/>
                <w:szCs w:val="14"/>
                <w:color w:val="auto"/>
              </w:rPr>
              <w:t>(</w:t>
            </w:r>
            <w:r>
              <w:rPr>
                <w:rFonts w:ascii="Arial" w:cs="Arial" w:eastAsia="Arial" w:hAnsi="Arial"/>
                <w:sz w:val="14"/>
                <w:szCs w:val="14"/>
                <w:b w:val="1"/>
                <w:bCs w:val="1"/>
                <w:color w:val="auto"/>
              </w:rPr>
              <w:t>in thousands</w:t>
            </w:r>
            <w:r>
              <w:rPr>
                <w:rFonts w:ascii="Arial" w:cs="Arial" w:eastAsia="Arial" w:hAnsi="Arial"/>
                <w:sz w:val="14"/>
                <w:szCs w:val="14"/>
                <w:color w:val="auto"/>
              </w:rPr>
              <w:t>)</w:t>
            </w: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5"/>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FF0FC"/>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2017</w:t>
            </w:r>
          </w:p>
        </w:tc>
      </w:tr>
      <w:tr>
        <w:trPr>
          <w:trHeight w:val="250"/>
        </w:trPr>
        <w:tc>
          <w:tcPr>
            <w:tcW w:w="836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New corporate-owned stores and corporate-owned stores not yet opened</w:t>
            </w:r>
          </w:p>
        </w:tc>
        <w:tc>
          <w:tcPr>
            <w:tcW w:w="360" w:type="dxa"/>
            <w:vAlign w:val="bottom"/>
            <w:tcBorders>
              <w:bottom w:val="single" w:sz="8" w:color="CFF0FC"/>
            </w:tcBorders>
            <w:shd w:val="clear" w:color="auto" w:fill="CFF0FC"/>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FF0FC"/>
            </w:tcBorders>
            <w:shd w:val="clear" w:color="auto" w:fill="CFF0FC"/>
          </w:tcPr>
          <w:p>
            <w:pPr>
              <w:jc w:val="right"/>
              <w:ind w:right="15"/>
              <w:spacing w:after="0"/>
              <w:rPr>
                <w:sz w:val="20"/>
                <w:szCs w:val="20"/>
                <w:color w:val="auto"/>
              </w:rPr>
            </w:pPr>
            <w:r>
              <w:rPr>
                <w:rFonts w:ascii="Arial" w:cs="Arial" w:eastAsia="Arial" w:hAnsi="Arial"/>
                <w:sz w:val="18"/>
                <w:szCs w:val="18"/>
                <w:color w:val="auto"/>
              </w:rPr>
              <w:t>2,458</w:t>
            </w:r>
          </w:p>
        </w:tc>
        <w:tc>
          <w:tcPr>
            <w:tcW w:w="100" w:type="dxa"/>
            <w:vAlign w:val="bottom"/>
            <w:tcBorders>
              <w:bottom w:val="single" w:sz="8" w:color="CFF0FC"/>
            </w:tcBorders>
            <w:shd w:val="clear" w:color="auto" w:fill="CFF0FC"/>
          </w:tcPr>
          <w:p>
            <w:pPr>
              <w:spacing w:after="0"/>
              <w:rPr>
                <w:sz w:val="21"/>
                <w:szCs w:val="21"/>
                <w:color w:val="auto"/>
              </w:rPr>
            </w:pPr>
          </w:p>
        </w:tc>
        <w:tc>
          <w:tcPr>
            <w:tcW w:w="360" w:type="dxa"/>
            <w:vAlign w:val="bottom"/>
            <w:tcBorders>
              <w:bottom w:val="single" w:sz="8" w:color="CFF0FC"/>
            </w:tcBorders>
            <w:shd w:val="clear" w:color="auto" w:fill="CFF0FC"/>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FF0FC"/>
            </w:tcBorders>
            <w:shd w:val="clear" w:color="auto" w:fill="CFF0FC"/>
          </w:tcPr>
          <w:p>
            <w:pPr>
              <w:jc w:val="right"/>
              <w:ind w:right="13"/>
              <w:spacing w:after="0"/>
              <w:rPr>
                <w:sz w:val="20"/>
                <w:szCs w:val="20"/>
                <w:color w:val="auto"/>
              </w:rPr>
            </w:pPr>
            <w:r>
              <w:rPr>
                <w:rFonts w:ascii="Arial" w:cs="Arial" w:eastAsia="Arial" w:hAnsi="Arial"/>
                <w:sz w:val="18"/>
                <w:szCs w:val="18"/>
                <w:color w:val="auto"/>
              </w:rPr>
              <w:t>—</w:t>
            </w:r>
          </w:p>
        </w:tc>
      </w:tr>
      <w:tr>
        <w:trPr>
          <w:trHeight w:val="243"/>
        </w:trPr>
        <w:tc>
          <w:tcPr>
            <w:tcW w:w="8360" w:type="dxa"/>
            <w:vAlign w:val="bottom"/>
          </w:tcPr>
          <w:p>
            <w:pPr>
              <w:ind w:left="40"/>
              <w:spacing w:after="0"/>
              <w:rPr>
                <w:sz w:val="20"/>
                <w:szCs w:val="20"/>
                <w:color w:val="auto"/>
              </w:rPr>
            </w:pPr>
            <w:r>
              <w:rPr>
                <w:rFonts w:ascii="Arial" w:cs="Arial" w:eastAsia="Arial" w:hAnsi="Arial"/>
                <w:sz w:val="18"/>
                <w:szCs w:val="18"/>
                <w:color w:val="auto"/>
              </w:rPr>
              <w:t>Existing corporate-owned stores</w:t>
            </w:r>
          </w:p>
        </w:tc>
        <w:tc>
          <w:tcPr>
            <w:tcW w:w="360" w:type="dxa"/>
            <w:vAlign w:val="bottom"/>
          </w:tcPr>
          <w:p>
            <w:pPr>
              <w:spacing w:after="0"/>
              <w:rPr>
                <w:sz w:val="21"/>
                <w:szCs w:val="21"/>
                <w:color w:val="auto"/>
              </w:rPr>
            </w:pPr>
          </w:p>
        </w:tc>
        <w:tc>
          <w:tcPr>
            <w:tcW w:w="1120" w:type="dxa"/>
            <w:vAlign w:val="bottom"/>
          </w:tcPr>
          <w:p>
            <w:pPr>
              <w:jc w:val="right"/>
              <w:ind w:right="15"/>
              <w:spacing w:after="0"/>
              <w:rPr>
                <w:sz w:val="20"/>
                <w:szCs w:val="20"/>
                <w:color w:val="auto"/>
              </w:rPr>
            </w:pPr>
            <w:r>
              <w:rPr>
                <w:rFonts w:ascii="Arial" w:cs="Arial" w:eastAsia="Arial" w:hAnsi="Arial"/>
                <w:sz w:val="18"/>
                <w:szCs w:val="18"/>
                <w:color w:val="auto"/>
              </w:rPr>
              <w:t>4,090</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3"/>
              <w:spacing w:after="0"/>
              <w:rPr>
                <w:sz w:val="20"/>
                <w:szCs w:val="20"/>
                <w:color w:val="auto"/>
              </w:rPr>
            </w:pPr>
            <w:r>
              <w:rPr>
                <w:rFonts w:ascii="Arial" w:cs="Arial" w:eastAsia="Arial" w:hAnsi="Arial"/>
                <w:sz w:val="18"/>
                <w:szCs w:val="18"/>
                <w:color w:val="auto"/>
              </w:rPr>
              <w:t>8,297</w:t>
            </w:r>
          </w:p>
        </w:tc>
      </w:tr>
      <w:tr>
        <w:trPr>
          <w:trHeight w:val="27"/>
        </w:trPr>
        <w:tc>
          <w:tcPr>
            <w:tcW w:w="83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836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Information systems</w:t>
            </w:r>
          </w:p>
        </w:tc>
        <w:tc>
          <w:tcPr>
            <w:tcW w:w="360" w:type="dxa"/>
            <w:vAlign w:val="bottom"/>
            <w:tcBorders>
              <w:bottom w:val="single" w:sz="8" w:color="CFF0FC"/>
            </w:tcBorders>
            <w:shd w:val="clear" w:color="auto" w:fill="CFF0FC"/>
          </w:tcPr>
          <w:p>
            <w:pPr>
              <w:spacing w:after="0"/>
              <w:rPr>
                <w:sz w:val="21"/>
                <w:szCs w:val="21"/>
                <w:color w:val="auto"/>
              </w:rPr>
            </w:pPr>
          </w:p>
        </w:tc>
        <w:tc>
          <w:tcPr>
            <w:tcW w:w="1120" w:type="dxa"/>
            <w:vAlign w:val="bottom"/>
            <w:tcBorders>
              <w:bottom w:val="single" w:sz="8" w:color="CFF0FC"/>
            </w:tcBorders>
            <w:shd w:val="clear" w:color="auto" w:fill="CFF0FC"/>
          </w:tcPr>
          <w:p>
            <w:pPr>
              <w:jc w:val="right"/>
              <w:ind w:right="15"/>
              <w:spacing w:after="0"/>
              <w:rPr>
                <w:sz w:val="20"/>
                <w:szCs w:val="20"/>
                <w:color w:val="auto"/>
              </w:rPr>
            </w:pPr>
            <w:r>
              <w:rPr>
                <w:rFonts w:ascii="Arial" w:cs="Arial" w:eastAsia="Arial" w:hAnsi="Arial"/>
                <w:sz w:val="18"/>
                <w:szCs w:val="18"/>
                <w:color w:val="auto"/>
              </w:rPr>
              <w:t>1,516</w:t>
            </w:r>
          </w:p>
        </w:tc>
        <w:tc>
          <w:tcPr>
            <w:tcW w:w="100" w:type="dxa"/>
            <w:vAlign w:val="bottom"/>
            <w:tcBorders>
              <w:bottom w:val="single" w:sz="8" w:color="CFF0FC"/>
            </w:tcBorders>
            <w:shd w:val="clear" w:color="auto" w:fill="CFF0FC"/>
          </w:tcPr>
          <w:p>
            <w:pPr>
              <w:spacing w:after="0"/>
              <w:rPr>
                <w:sz w:val="21"/>
                <w:szCs w:val="21"/>
                <w:color w:val="auto"/>
              </w:rPr>
            </w:pPr>
          </w:p>
        </w:tc>
        <w:tc>
          <w:tcPr>
            <w:tcW w:w="360" w:type="dxa"/>
            <w:vAlign w:val="bottom"/>
            <w:tcBorders>
              <w:bottom w:val="single" w:sz="8" w:color="CFF0FC"/>
            </w:tcBorders>
            <w:shd w:val="clear" w:color="auto" w:fill="CFF0FC"/>
          </w:tcPr>
          <w:p>
            <w:pPr>
              <w:spacing w:after="0"/>
              <w:rPr>
                <w:sz w:val="21"/>
                <w:szCs w:val="21"/>
                <w:color w:val="auto"/>
              </w:rPr>
            </w:pPr>
          </w:p>
        </w:tc>
        <w:tc>
          <w:tcPr>
            <w:tcW w:w="1120" w:type="dxa"/>
            <w:vAlign w:val="bottom"/>
            <w:tcBorders>
              <w:bottom w:val="single" w:sz="8" w:color="CFF0FC"/>
            </w:tcBorders>
            <w:shd w:val="clear" w:color="auto" w:fill="CFF0FC"/>
          </w:tcPr>
          <w:p>
            <w:pPr>
              <w:jc w:val="right"/>
              <w:ind w:right="13"/>
              <w:spacing w:after="0"/>
              <w:rPr>
                <w:sz w:val="20"/>
                <w:szCs w:val="20"/>
                <w:color w:val="auto"/>
              </w:rPr>
            </w:pPr>
            <w:r>
              <w:rPr>
                <w:rFonts w:ascii="Arial" w:cs="Arial" w:eastAsia="Arial" w:hAnsi="Arial"/>
                <w:sz w:val="18"/>
                <w:szCs w:val="18"/>
                <w:color w:val="auto"/>
              </w:rPr>
              <w:t>384</w:t>
            </w:r>
          </w:p>
        </w:tc>
      </w:tr>
      <w:tr>
        <w:trPr>
          <w:trHeight w:val="243"/>
        </w:trPr>
        <w:tc>
          <w:tcPr>
            <w:tcW w:w="8360" w:type="dxa"/>
            <w:vAlign w:val="bottom"/>
          </w:tcPr>
          <w:p>
            <w:pPr>
              <w:ind w:left="40"/>
              <w:spacing w:after="0"/>
              <w:rPr>
                <w:sz w:val="20"/>
                <w:szCs w:val="20"/>
                <w:color w:val="auto"/>
              </w:rPr>
            </w:pPr>
            <w:r>
              <w:rPr>
                <w:rFonts w:ascii="Arial" w:cs="Arial" w:eastAsia="Arial" w:hAnsi="Arial"/>
                <w:sz w:val="18"/>
                <w:szCs w:val="18"/>
                <w:color w:val="auto"/>
              </w:rPr>
              <w:t>Corporate and all other</w:t>
            </w:r>
          </w:p>
        </w:tc>
        <w:tc>
          <w:tcPr>
            <w:tcW w:w="360" w:type="dxa"/>
            <w:vAlign w:val="bottom"/>
          </w:tcPr>
          <w:p>
            <w:pPr>
              <w:spacing w:after="0"/>
              <w:rPr>
                <w:sz w:val="21"/>
                <w:szCs w:val="21"/>
                <w:color w:val="auto"/>
              </w:rPr>
            </w:pPr>
          </w:p>
        </w:tc>
        <w:tc>
          <w:tcPr>
            <w:tcW w:w="1120" w:type="dxa"/>
            <w:vAlign w:val="bottom"/>
          </w:tcPr>
          <w:p>
            <w:pPr>
              <w:jc w:val="right"/>
              <w:ind w:right="15"/>
              <w:spacing w:after="0"/>
              <w:rPr>
                <w:sz w:val="20"/>
                <w:szCs w:val="20"/>
                <w:color w:val="auto"/>
              </w:rPr>
            </w:pPr>
            <w:r>
              <w:rPr>
                <w:rFonts w:ascii="Arial" w:cs="Arial" w:eastAsia="Arial" w:hAnsi="Arial"/>
                <w:sz w:val="18"/>
                <w:szCs w:val="18"/>
                <w:color w:val="auto"/>
              </w:rPr>
              <w:t>72</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3"/>
              <w:spacing w:after="0"/>
              <w:rPr>
                <w:sz w:val="20"/>
                <w:szCs w:val="20"/>
                <w:color w:val="auto"/>
              </w:rPr>
            </w:pPr>
            <w:r>
              <w:rPr>
                <w:rFonts w:ascii="Arial" w:cs="Arial" w:eastAsia="Arial" w:hAnsi="Arial"/>
                <w:sz w:val="18"/>
                <w:szCs w:val="18"/>
                <w:color w:val="auto"/>
              </w:rPr>
              <w:t>5,446</w:t>
            </w:r>
          </w:p>
        </w:tc>
      </w:tr>
      <w:tr>
        <w:trPr>
          <w:trHeight w:val="27"/>
        </w:trPr>
        <w:tc>
          <w:tcPr>
            <w:tcW w:w="8360" w:type="dxa"/>
            <w:vAlign w:val="bottom"/>
            <w:tcBorders>
              <w:bottom w:val="single" w:sz="8" w:color="CFF0FC"/>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57"/>
        </w:trPr>
        <w:tc>
          <w:tcPr>
            <w:tcW w:w="836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Total capital expenditures</w:t>
            </w:r>
          </w:p>
        </w:tc>
        <w:tc>
          <w:tcPr>
            <w:tcW w:w="360" w:type="dxa"/>
            <w:vAlign w:val="bottom"/>
            <w:tcBorders>
              <w:bottom w:val="single" w:sz="8" w:color="auto"/>
            </w:tcBorders>
            <w:shd w:val="clear" w:color="auto" w:fill="CFF0FC"/>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FF0FC"/>
          </w:tcPr>
          <w:p>
            <w:pPr>
              <w:jc w:val="right"/>
              <w:ind w:right="15"/>
              <w:spacing w:after="0"/>
              <w:rPr>
                <w:sz w:val="20"/>
                <w:szCs w:val="20"/>
                <w:color w:val="auto"/>
              </w:rPr>
            </w:pPr>
            <w:r>
              <w:rPr>
                <w:rFonts w:ascii="Arial" w:cs="Arial" w:eastAsia="Arial" w:hAnsi="Arial"/>
                <w:sz w:val="18"/>
                <w:szCs w:val="18"/>
                <w:color w:val="auto"/>
              </w:rPr>
              <w:t>8,136</w:t>
            </w:r>
          </w:p>
        </w:tc>
        <w:tc>
          <w:tcPr>
            <w:tcW w:w="100" w:type="dxa"/>
            <w:vAlign w:val="bottom"/>
            <w:tcBorders>
              <w:bottom w:val="single" w:sz="8" w:color="CFF0FC"/>
            </w:tcBorders>
            <w:shd w:val="clear" w:color="auto" w:fill="CFF0FC"/>
          </w:tcPr>
          <w:p>
            <w:pPr>
              <w:spacing w:after="0"/>
              <w:rPr>
                <w:sz w:val="22"/>
                <w:szCs w:val="22"/>
                <w:color w:val="auto"/>
              </w:rPr>
            </w:pPr>
          </w:p>
        </w:tc>
        <w:tc>
          <w:tcPr>
            <w:tcW w:w="360" w:type="dxa"/>
            <w:vAlign w:val="bottom"/>
            <w:tcBorders>
              <w:bottom w:val="single" w:sz="8" w:color="auto"/>
            </w:tcBorders>
            <w:shd w:val="clear" w:color="auto" w:fill="CFF0FC"/>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FF0FC"/>
          </w:tcPr>
          <w:p>
            <w:pPr>
              <w:jc w:val="right"/>
              <w:ind w:right="13"/>
              <w:spacing w:after="0"/>
              <w:rPr>
                <w:sz w:val="20"/>
                <w:szCs w:val="20"/>
                <w:color w:val="auto"/>
              </w:rPr>
            </w:pPr>
            <w:r>
              <w:rPr>
                <w:rFonts w:ascii="Arial" w:cs="Arial" w:eastAsia="Arial" w:hAnsi="Arial"/>
                <w:sz w:val="18"/>
                <w:szCs w:val="18"/>
                <w:color w:val="auto"/>
              </w:rPr>
              <w:t>14,127</w:t>
            </w:r>
          </w:p>
        </w:tc>
      </w:tr>
      <w:tr>
        <w:trPr>
          <w:trHeight w:val="20"/>
        </w:trPr>
        <w:tc>
          <w:tcPr>
            <w:tcW w:w="83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For the six months ended June 30, 2018, net cash used in investing activities was $36.5 million compared to $14.1 million in the six months ended June 30, 2017, an increase of $22.4 million, and was primarily related to the acquisition of six franchisee-owned stores on January 1, 2018 for $28.5 million, partially offset by $6.0 million lower cash used for additions to property, plant and equipment.</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Financing activities</w:t>
      </w:r>
    </w:p>
    <w:p>
      <w:pPr>
        <w:spacing w:after="0" w:line="11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For the six months ended June 30, 2018, net cash used in financing activities was $6.9 million compared to $10.9 million in the six months ended June 30, 2017, a decrease of $4.1 million. Continuing LLC Owner distributions were $3.5 million in the six months ended June 30, 2018 compared to $5.6 million in the six months ended June 30, 2017. The six months ended June 30, 2017 included $1.3 million of expenditures on debt-related costs in connection with the May 2017 amendment to our credit facility.</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Credit facility</w:t>
      </w:r>
    </w:p>
    <w:p>
      <w:pPr>
        <w:spacing w:after="0" w:line="67"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On August 1, 2018, Planet Fitness Master Issuer, LLC (the “Master Issuer”), a limited-purpose, bankruptcy remote, wholly-owned indirect subsidiary of Pla-Fit Holdings, LLC, entered into a base indenture and a related supplemental indenture (collectively, the “Indenture”) under which the Master Issuer may issue multiple series of notes. On the same date, the Master Issuer issued Series 2018-1 4.262% Fixed Rate Senior Secured Notes, Class A-2-I (the “Class A-2-I Notes”) with an initial principal amount of $575 million and Series 2018-1 4.666% Fixed Rate Senior Secured Notes, Class A-2-II (the “Class A-2-II Notes” and, together with the Class A-2-I Notes, the “Class A-2 Notes”) with an initial principal amount of $625 million. In connection with the issuance of the Class A-2 Notes, the Master Issuer also entered into a revolving financing facility that allows for the issuance of up to $75 million in Series 2018-1 Variable Funding Senior Notes, Class A-1 (the “</w:t>
      </w:r>
      <w:r>
        <w:rPr>
          <w:rFonts w:ascii="Arial" w:cs="Arial" w:eastAsia="Arial" w:hAnsi="Arial"/>
          <w:sz w:val="17"/>
          <w:szCs w:val="17"/>
          <w:u w:val="single" w:color="auto"/>
          <w:color w:val="auto"/>
        </w:rPr>
        <w:t>Variable Funding Notes</w:t>
      </w:r>
      <w:r>
        <w:rPr>
          <w:rFonts w:ascii="Arial" w:cs="Arial" w:eastAsia="Arial" w:hAnsi="Arial"/>
          <w:sz w:val="17"/>
          <w:szCs w:val="17"/>
          <w:color w:val="auto"/>
        </w:rPr>
        <w:t>”), and certain letters of credit, all of which is currently undrawn. The Notes were issued in a securitization transaction pursuant to which most of the Company’s domestic revenue-generating assets, consisting principally of franchise-related agreements, certain corporate-owned store assets, equipment supply agreements and intellectual property and license agreements for the use of intellectual property, are held by the Master Issuer and certain other limited-purpose, bankruptcy remote, wholly-owned indirect subsidiaries of the Company that act as guarantors of the Notes and that have pledged substantially all of their assets to secure the Notes.</w:t>
      </w:r>
    </w:p>
    <w:p>
      <w:pPr>
        <w:spacing w:after="0" w:line="18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legal final maturity date of the Class A-2 Notes is in August 2048, but it is anticipated that, unless earlier prepaid to the extent permitted under the Indenture, the Class A-2-I Notes will be repaid in August 2022 and the Class A-2-II Notes will be repaid in August 2025.</w:t>
      </w:r>
    </w:p>
    <w:p>
      <w:pPr>
        <w:spacing w:after="0" w:line="170"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A portion of the proceeds of the Notes was used to repay the remaining $705.9 million of principal outstanding on the existing senior secured credit facility. The additional proceeds, net of transaction costs, are being used for general corporate purposes, and may include a return of capital to the Company’s shareholders.</w:t>
      </w:r>
    </w:p>
    <w:p>
      <w:pPr>
        <w:spacing w:after="0" w:line="73"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As of June 30, 2018, we were in compliance with our existing senior secured credit facility financial covenant with a leverage ratio of 3.1 to 1.0 which was calculated for the 12 months ended June 30, 2018 based upon certain adjustments to EBITDA, as provided for under the terms of our senior secured credit facility. For further details about our existing senior secured credit facility, please refer to our annual report on Form 10-K for the year ended December 31, 2017.</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420"/>
          </w:cols>
          <w:pgMar w:left="240" w:top="233" w:right="239" w:bottom="1440" w:gutter="0" w:footer="0" w:header="0"/>
        </w:sectPr>
      </w:pPr>
    </w:p>
    <w:bookmarkStart w:id="46" w:name="page47"/>
    <w:bookmarkEnd w:id="4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5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Share repurchase program</w:t>
      </w:r>
    </w:p>
    <w:p>
      <w:pPr>
        <w:spacing w:after="0" w:line="121"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On August 9, 2018, we announced that our board of directors approved an increase to the total amount of the share repurchase program to $500 million. The timing of the purchases and the amount of stock repurchased is subject to the Company’s discretion and will depend on market and business conditions, the Company’s general working capital needs, stock price, applicable legal requirements and other factors. Our ability to repurchase shares at any particular time is also subject to the terms of the indenture governing our outstanding notes. Purchases may be effected through one or more open market transactions, privately negotiated transactions, transactions structured through investment banking institutions, or a combination of the foregoing. Planet Fitness is not obligated under the program to acquire any particular amount of stock and can suspend or terminate the program at any time.</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12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As of June 30, 2018, our off-balance sheet arrangements consisted of operating leases and certain guarantees. In a limited number of cases, we have guaranteed certain leases and debt agreements of entities related through common ownership. These guarantees relate to leases for operating space, equipment and other operating costs of franchises operated by the related entities. Our maximum total commitment under these agreements is approximately $0.9 million and would only require payment upon default by the primary obligor. The estimated fair value of these guarantees at June 30, 2018 was not material, and no accrual has been recorded for our potential obligation under these arrangements.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use of estimates</w:t>
      </w:r>
    </w:p>
    <w:p>
      <w:pPr>
        <w:spacing w:after="0" w:line="12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There have been no material changes to our critical accounting policies and use of estimates from those described under “Management’s Discussion and Analysis of Financial Condition and Results of Operations” included in our Annual Report.</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Quantitative and Qualitative Disclosure about Market Risk</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231F20"/>
        </w:rPr>
        <w:t>Interest rate risk</w:t>
      </w:r>
    </w:p>
    <w:p>
      <w:pPr>
        <w:spacing w:after="0" w:line="11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231F20"/>
        </w:rPr>
        <w:t>Prior to the securitization and refinancing transactions referred to in Note 16 to our unaudited condensed consolidated interim financial statements elsewhere in this Quarterly Report on Form 10-Q, we were exposed to market risk from changes in interest rates on our senior secured credit facility, which was subject to interest at variable rates and had a U.S. dollar LIBOR floor of 0.75% in respect of the term loans. As of June 30, 2018, we had outstanding borrowings of $705.9 million, and an increase in the effective interest rate applied to those borrowings of 100 basis points would result in a $7.1 million increase in pre-tax interest expense on an annualized basis. We manage our interest rate risk through normal operating and financing activities and, when determined appropriate, through the use of derivative financial instruments. In connection with the securitization and refinancing transactions referred to in Note 16, we repaid in full our senior secured credit facilities.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231F20"/>
        </w:rPr>
        <w:t>Foreign exchange risk</w:t>
      </w:r>
    </w:p>
    <w:p>
      <w:pPr>
        <w:spacing w:after="0" w:line="117"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231F20"/>
        </w:rPr>
        <w:t>We are exposed to fluctuations in exchange rates between the U.S. and Canadian dollar, which is the functional currency of our Canadian entities. Our sales, costs and expenses of our Canadian subsidiaries, when translated into U.S. dollars, can fluctuate due to exchange rate movement. As of June 30, 2018, a 10% increase or decrease in the exchange rate of the U.S. and Canadian dollar would increase or decrease net income by a negligible amount.</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231F20"/>
        </w:rPr>
        <w:t>Inflation risk</w:t>
      </w:r>
    </w:p>
    <w:p>
      <w:pPr>
        <w:spacing w:after="0" w:line="11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231F20"/>
        </w:rPr>
        <w:t>Although we do not believe that inflation has had a material effect on our income from continuing operations, we have a substantial number of hourly employees in our corporate-owned stores that are paid wage rates at or based on the applicable federal or state minimum wage. Any increases in these minimum wages will subsequently increase our labor costs. We may or may not be able to offset cost increases in the future.</w:t>
      </w: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420"/>
          </w:cols>
          <w:pgMar w:left="240" w:top="233" w:right="239" w:bottom="1440" w:gutter="0" w:footer="0" w:header="0"/>
        </w:sectPr>
      </w:pPr>
    </w:p>
    <w:bookmarkStart w:id="47" w:name="page48"/>
    <w:bookmarkEnd w:id="4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Evaluation of disclosure controls and procedures</w:t>
      </w:r>
    </w:p>
    <w:p>
      <w:pPr>
        <w:spacing w:after="0" w:line="12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231F20"/>
        </w:rPr>
        <w:t>Our management, with the participation of our Chief Executive Officer and Chief Financial Officer, has evaluated the effectiveness of our disclosure controls and procedures, as such term is defined in Rules 13a-15(e) and 15d-15(e) under the Exchange Act, as of the end of the period covered by this Quarterly Report on Form 10-Q.</w:t>
      </w:r>
    </w:p>
    <w:p>
      <w:pPr>
        <w:spacing w:after="0" w:line="73"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231F20"/>
        </w:rPr>
        <w:t>There are inherent limitations to the effectiveness of any system of disclosure controls and procedures, including the possibility of human error and the circumvention or overriding of the controls and procedures. Our disclosure controls and procedures are designed to provide reasonable assurance of achieving their control objectives.</w:t>
      </w:r>
    </w:p>
    <w:p>
      <w:pPr>
        <w:spacing w:after="0" w:line="73"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231F20"/>
        </w:rPr>
        <w:t>Based on that evaluation, our Chief Executive Officer and Chief Financial Officer concluded that as of June 30, 2018, our disclosure controls and procedures were effective to provide reasonable assurance that the information required to be disclosed by the Company in the reports it files or submits with the Securities and Exchange Commission is recorded, processed, summarized and reported within the time periods specified in Securities and Exchange Commission rules and forms and is accumulated and communicated to our management, including the principal executive and principal financial officers, or persons performing similar functions, as appropriate to allow timely decisions regarding required disclosure.</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internal control over financial reporting</w:t>
      </w:r>
    </w:p>
    <w:p>
      <w:pPr>
        <w:spacing w:after="0" w:line="12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231F20"/>
        </w:rPr>
        <w:t>There have been no changes in our internal control over financial reporting that occurred during our most recent fiscal quarter that have materially affected, or are reasonably likely to materially affect, our internal control over financial reporting.</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420"/>
          </w:cols>
          <w:pgMar w:left="240" w:top="233" w:right="239" w:bottom="1440" w:gutter="0" w:footer="0" w:header="0"/>
        </w:sectPr>
      </w:pPr>
    </w:p>
    <w:bookmarkStart w:id="48" w:name="page49"/>
    <w:bookmarkEnd w:id="4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II-OTHER INFORMATION</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12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231F20"/>
        </w:rPr>
        <w:t>We are currently involved in various claims and legal actions that arise in the ordinary course of business, most of which are covered by insurance. We do not believe that the ultimate resolution of these actions will have a material adverse effect on our business, financial condition, results of operations, liquidity or capital resources nor do we believe that there is a reasonable possibility that we will incur material loss as a result of such actions. However, a significant increase in the number of these claims or an increase in amounts owing under successful claims could have a material adverse effect on our business, financial condition and results of operations.</w:t>
      </w:r>
    </w:p>
    <w:p>
      <w:pPr>
        <w:spacing w:after="0" w:line="3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121" w:lineRule="exact"/>
        <w:rPr>
          <w:sz w:val="20"/>
          <w:szCs w:val="20"/>
          <w:color w:val="auto"/>
        </w:rPr>
      </w:pPr>
    </w:p>
    <w:p>
      <w:pPr>
        <w:jc w:val="both"/>
        <w:ind w:right="20"/>
        <w:spacing w:after="0" w:line="264" w:lineRule="auto"/>
        <w:rPr>
          <w:sz w:val="20"/>
          <w:szCs w:val="20"/>
          <w:color w:val="auto"/>
        </w:rPr>
      </w:pPr>
      <w:r>
        <w:rPr>
          <w:rFonts w:ascii="Arial" w:cs="Arial" w:eastAsia="Arial" w:hAnsi="Arial"/>
          <w:sz w:val="18"/>
          <w:szCs w:val="18"/>
          <w:color w:val="auto"/>
        </w:rPr>
        <w:t>The following risk factors, which have been updated to reflect the refinancing of our existing senior secured credit facilities with a new financing facility, should be read in conjunction with the risk factors previously disclosed in the Company’s Annual Report on Form 10-K for the fiscal year ended December 31, 2017.</w:t>
      </w:r>
    </w:p>
    <w:p>
      <w:pPr>
        <w:spacing w:after="0" w:line="7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The Company and certain of its subsidiaries are subject to various restrictions, and substantially all of the assets of certain subsidiaries are security, under the terms of a securitization transaction that was completed on August 1, 2018.</w:t>
      </w:r>
    </w:p>
    <w:p>
      <w:pPr>
        <w:spacing w:after="0" w:line="62"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On August 1, 2018, Planet Fitness Master Issuer LLC (the “Master Issuer”), a limited-purpose, bankruptcy-remote, indirect subsidiary of the Company, entered into a base indenture and a related supplemental indenture (collectively, the “Indenture”) under which the Master Issuer issued $575 million in aggregate principal amount of Series 2018-1 4.262% Fixed Rate Senior Secured Notes, Class A-2-I (the “Class A-2-I Notes”) and $625 million in aggregate principal amount of Series 2018-1 4.666% Fixed Rate Senior Secured Notes, Class A-2-II (the “Class A-2-II Notes” and together with the Class A-2-I Notes, the “Class A-2 Notes”) in an offering exempt from registration under the Securities Act of 1933, as amended. In connection with the issuance of the Class A-2 Notes, the Master Issuer also entered into a revolving financing facility that allows for the issuance of up to $75 million in Series 2018-1 Variable Funding Senior Notes, Class A-1 (the “Variable Funding Notes”), and certain letters of credit. The Class A-2 Notes and the Variable Funding Notes are referred to collectively as the “Notes.”</w:t>
      </w:r>
    </w:p>
    <w:p>
      <w:pPr>
        <w:spacing w:after="0" w:line="84"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Notes were issued in a securitization transaction pursuant to which substantially all of the Company’s revenue-generating assets in the United States are held by the Master Issuer and certain other limited-purpose, bankruptcy remote, wholly-owned direct and indirect subsidiaries of the Master Issuer that act as guarantors of the Notes and that have pledged substantially all of their assets to secure the Notes.</w:t>
      </w:r>
    </w:p>
    <w:p>
      <w:pPr>
        <w:spacing w:after="0" w:line="73"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The Notes are subject to a series of covenants and restrictions customary for transactions of this type, including (i) that the Master Issuer maintains specified reserve accounts to be used to make required payments in respect of the Notes, (ii) provisions relating to optional and mandatory prepayments and the related payment of specified amounts, including specified make-whole payments in the case of the Class A-2 Notes under certain circumstances, (iii) certain indemnification payments in the event, among other things, the transfers of the assets pledged as collateral for the Notes are in stated ways defective or ineffective and (iv) covenants relating to recordkeeping, access to information and similar matters. The Notes are also subject to customary rapid amortization events provided for in the Indenture, including events tied to failure to maintain a stated debt service coverage ratio, the sum of system-wide sales being below certain levels on certain measurement dates, certain manager termination events (including in certain cases a change of control of Planet Fitness Holdings, LLC), an event of default and the failure to repay or refinance the Notes on the applicable anticipated repayment date. The Notes are also subject to certain customary events of default, including events relating to non-payment of required interest, principal or other amounts due on or with respect to the Notes, failure to comply with covenants within certain time frames, certain bankruptcy events, breaches of specified representations and warranties, failure of security interests to be effective and certain judgments.</w:t>
      </w:r>
    </w:p>
    <w:p>
      <w:pPr>
        <w:spacing w:after="0" w:line="75"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In the event that a rapid amortization event occurs under the Indenture (including, without limitation, upon an event of default under the Indenture or the failure to repay the securitized debt at the end of the applicable term), the funds available to the Company would be reduced or eliminated, which would in turn reduce our ability to operate or grow our business. If the Company’s subsidiaries are not able to generate sufficient cash flow to service their debt obligations, they may need to refinance or restructure debt, sell assets, reduce or delay capital investments, or seek to raise additional capital. If the Company’s subsidiaries are unable to implement one or more of these alternatives, they may not be able to meet debt payment and other obligations.</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ectPr>
          <w:pgSz w:w="11900" w:h="16838" w:orient="portrait"/>
          <w:cols w:equalWidth="0" w:num="1">
            <w:col w:w="11420"/>
          </w:cols>
          <w:pgMar w:left="240" w:top="233" w:right="239" w:bottom="1440" w:gutter="0" w:footer="0" w:header="0"/>
        </w:sectPr>
      </w:pPr>
    </w:p>
    <w:bookmarkStart w:id="49" w:name="page50"/>
    <w:bookmarkEnd w:id="4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60" w:lineRule="exact"/>
        <w:rPr>
          <w:sz w:val="20"/>
          <w:szCs w:val="20"/>
          <w:color w:val="auto"/>
        </w:rPr>
      </w:pPr>
    </w:p>
    <w:p>
      <w:pPr>
        <w:jc w:val="both"/>
        <w:spacing w:after="0" w:line="264" w:lineRule="auto"/>
        <w:rPr>
          <w:sz w:val="20"/>
          <w:szCs w:val="20"/>
          <w:color w:val="auto"/>
        </w:rPr>
      </w:pPr>
      <w:r>
        <w:rPr>
          <w:rFonts w:ascii="Arial" w:cs="Arial" w:eastAsia="Arial" w:hAnsi="Arial"/>
          <w:sz w:val="18"/>
          <w:szCs w:val="18"/>
          <w:b w:val="1"/>
          <w:bCs w:val="1"/>
          <w:i w:val="1"/>
          <w:iCs w:val="1"/>
          <w:color w:val="auto"/>
        </w:rPr>
        <w:t>The Company has a significant amount of debt outstanding. Such indebtedness, along with the other contractual commitments of its subsidiaries, could adversely affect the Company’s business, financial condition and results of operations, as well as the ability of certain of the Company’s subsidiaries to meet debt payment obligations.</w:t>
      </w:r>
    </w:p>
    <w:p>
      <w:pPr>
        <w:spacing w:after="0" w:line="73"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After giving effect to the closing of the securitization transactions, the Master Issuer has $1.2 billion of outstanding debt. Additionally, the Master Issuer will have issued the Series 2018-1 Class A-1 Notes, which will allow the Master Issuer to borrow amounts from time to time on a revolving basis, up to an aggregate principal amount of $75 million.</w:t>
      </w:r>
    </w:p>
    <w:p>
      <w:pPr>
        <w:spacing w:after="0" w:line="73" w:lineRule="exact"/>
        <w:rPr>
          <w:sz w:val="20"/>
          <w:szCs w:val="20"/>
          <w:color w:val="auto"/>
        </w:rPr>
      </w:pPr>
    </w:p>
    <w:p>
      <w:pPr>
        <w:spacing w:after="0"/>
        <w:rPr>
          <w:sz w:val="20"/>
          <w:szCs w:val="20"/>
          <w:color w:val="auto"/>
        </w:rPr>
      </w:pPr>
      <w:r>
        <w:rPr>
          <w:rFonts w:ascii="Arial" w:cs="Arial" w:eastAsia="Arial" w:hAnsi="Arial"/>
          <w:sz w:val="18"/>
          <w:szCs w:val="18"/>
          <w:color w:val="auto"/>
        </w:rPr>
        <w:t>This level of debt could have significant consequences on the Company’s future operations, including:</w:t>
      </w:r>
    </w:p>
    <w:p>
      <w:pPr>
        <w:spacing w:after="0" w:line="63" w:lineRule="exact"/>
        <w:rPr>
          <w:sz w:val="20"/>
          <w:szCs w:val="20"/>
          <w:color w:val="auto"/>
        </w:rPr>
      </w:pPr>
    </w:p>
    <w:p>
      <w:pPr>
        <w:ind w:left="660" w:right="480" w:hanging="328"/>
        <w:spacing w:after="0" w:line="298" w:lineRule="auto"/>
        <w:tabs>
          <w:tab w:leader="none" w:pos="660" w:val="left"/>
        </w:tabs>
        <w:numPr>
          <w:ilvl w:val="0"/>
          <w:numId w:val="19"/>
        </w:numPr>
        <w:rPr>
          <w:rFonts w:ascii="Arial" w:cs="Arial" w:eastAsia="Arial" w:hAnsi="Arial"/>
          <w:sz w:val="17"/>
          <w:szCs w:val="17"/>
          <w:color w:val="auto"/>
        </w:rPr>
      </w:pPr>
      <w:r>
        <w:rPr>
          <w:rFonts w:ascii="Arial" w:cs="Arial" w:eastAsia="Arial" w:hAnsi="Arial"/>
          <w:sz w:val="17"/>
          <w:szCs w:val="17"/>
          <w:color w:val="auto"/>
        </w:rPr>
        <w:t>resulting in an event of default if the Company’s subsidiaries fail to comply with the financial and other restrictive covenants contained in debt agreements, which event of default could result in all of the Company’s subsidiaries’ debt becoming immediately due and payable;</w:t>
      </w:r>
    </w:p>
    <w:p>
      <w:pPr>
        <w:ind w:left="660" w:right="720" w:hanging="328"/>
        <w:spacing w:after="0" w:line="277" w:lineRule="auto"/>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reducing the availability of the Company’s cash flow to fund working capital, capital expenditures, acquisitions and other general corporate purposes, and limiting the Company’s ability to obtain additional financing for these purposes;</w:t>
      </w:r>
    </w:p>
    <w:p>
      <w:pPr>
        <w:spacing w:after="0" w:line="8" w:lineRule="exact"/>
        <w:rPr>
          <w:rFonts w:ascii="Arial" w:cs="Arial" w:eastAsia="Arial" w:hAnsi="Arial"/>
          <w:sz w:val="18"/>
          <w:szCs w:val="18"/>
          <w:color w:val="auto"/>
        </w:rPr>
      </w:pPr>
    </w:p>
    <w:p>
      <w:pPr>
        <w:ind w:left="660" w:right="60" w:hanging="328"/>
        <w:spacing w:after="0" w:line="277" w:lineRule="auto"/>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limiting the Company’s flexibility in planning for, or reacting to, and increasing its vulnerability to, changes in the Company’s business, the industry in which it operates and the general economy;</w:t>
      </w:r>
    </w:p>
    <w:p>
      <w:pPr>
        <w:spacing w:after="0" w:line="8" w:lineRule="exact"/>
        <w:rPr>
          <w:rFonts w:ascii="Arial" w:cs="Arial" w:eastAsia="Arial" w:hAnsi="Arial"/>
          <w:sz w:val="18"/>
          <w:szCs w:val="18"/>
          <w:color w:val="auto"/>
        </w:rPr>
      </w:pPr>
    </w:p>
    <w:p>
      <w:pPr>
        <w:ind w:left="660" w:hanging="328"/>
        <w:spacing w:after="0"/>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placing the Company at a competitive disadvantage compared to its competitors that are less leveraged; and</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subjecting the Company to the risk of increased sensitivity to interest rate increases on indebtedness with variable interest rates.</w:t>
      </w:r>
    </w:p>
    <w:p>
      <w:pPr>
        <w:spacing w:after="0" w:line="117"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The ability to meet payment and other obligations under the debt instruments of the Company’s subsidiaries depends on our ability to generate significant cash flow in the future. This, to some extent, is subject to general economic, financial, competitive, legislative and regulatory factors, as well as other factors that are beyond the Company’s control. The Company cannot assure you that its business will generate cash flow from operations, or that future borrowings will be available to it under existing or any future credit facilities or otherwise, in an amount sufficient to enable its subsidiaries to meet our debt payment obligations and to fund other liquidity needs. If the Company’s subsidiaries are not able to generate sufficient cash flow to service our debt obligations, they may need to refinance or restructure debt, sell assets, reduce or delay capital investments, or seek to raise additional capital. If the Company’s subsidiaries are unable to implement one or more of these alternatives, they may not be able to meet debt payment and other obligations.</w:t>
      </w:r>
    </w:p>
    <w:p>
      <w:pPr>
        <w:spacing w:after="0" w:line="59" w:lineRule="exact"/>
        <w:rPr>
          <w:sz w:val="20"/>
          <w:szCs w:val="20"/>
          <w:color w:val="auto"/>
        </w:rPr>
      </w:pPr>
    </w:p>
    <w:p>
      <w:pPr>
        <w:ind w:right="340"/>
        <w:spacing w:after="0" w:line="277" w:lineRule="auto"/>
        <w:rPr>
          <w:sz w:val="20"/>
          <w:szCs w:val="20"/>
          <w:color w:val="auto"/>
        </w:rPr>
      </w:pPr>
      <w:r>
        <w:rPr>
          <w:rFonts w:ascii="Arial" w:cs="Arial" w:eastAsia="Arial" w:hAnsi="Arial"/>
          <w:sz w:val="18"/>
          <w:szCs w:val="18"/>
          <w:color w:val="auto"/>
        </w:rPr>
        <w:t>In addition, the Company may incur additional indebtedness in the future. If new debt or other liabilities are added to the Company’s current consolidated debt levels, the related risks that it now faces could intensify.</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securitization transaction documents impose certain restrictions on the activities of the Company and its subsidiaries.</w:t>
      </w:r>
    </w:p>
    <w:p>
      <w:pPr>
        <w:spacing w:after="0" w:line="117"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The Indenture and the management agreement entered into between certain subsidiaries of the Company and the Indenture trustee (the “Management Agreement”) contain various covenants that limit the Company’s and its subsidiaries’ ability to engage in specified types of transactions. For example, the Indenture and the Management Agreement contain covenants that, among other things, restrict, subject to certain exceptions, the ability of certain subsidiaries to:</w:t>
      </w:r>
    </w:p>
    <w:p>
      <w:pPr>
        <w:spacing w:after="0" w:line="25" w:lineRule="exact"/>
        <w:rPr>
          <w:sz w:val="20"/>
          <w:szCs w:val="20"/>
          <w:color w:val="auto"/>
        </w:rPr>
      </w:pPr>
    </w:p>
    <w:p>
      <w:pPr>
        <w:ind w:left="660" w:hanging="328"/>
        <w:spacing w:after="0"/>
        <w:tabs>
          <w:tab w:leader="none" w:pos="6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incur or guarantee additional indebtedness;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sell certain assets;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create or incur liens on certain assets to secure indebtedness; or</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consolidate, merge, sell or otherwise dispose of all or substantially all of our assets.</w:t>
      </w:r>
    </w:p>
    <w:p>
      <w:pPr>
        <w:spacing w:after="0" w:line="117"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color w:val="auto"/>
        </w:rPr>
        <w:t>As a result of these restrictions, the Company may not have adequate resources or flexibility to continue to manage the business and provide for growth of the Planet Fitness system, including product development and marketing for the Planet Fitness brand, which could have a material adverse effect on the Company’s future growth prospects, financial condition, results of operations and liquidity.</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Unregistered Sales of Equity Securities and Use of Proceeds.</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There were no unregistered sales of equity securities by the Company during the three months ended June 30, 2018.</w:t>
      </w:r>
    </w:p>
    <w:p>
      <w:pPr>
        <w:spacing w:after="0" w:line="225"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In connection with our IPO, we and the existing holders of Holdings Units entered into an exchange agreement under which they (or certain permitted transferees) have the right, from time to time and subject to the terms of the exchange agreement, to exchange their Holdings Units, together with a corresponding number of shares of Class B common stock, for shares of our Class A common stock on a one-for-one basis, subject to customary conversion rate adjustments for stock splits, stock dividends, reclassifications and other similar transactions. As an existing holder of Holdings Units exchanges Holdings Units for shares of Class A common stock, the number of Holdings Units held by Planet Fitness, Inc. is correspondingly increased, and a corresponding number of shares of Class B common stock are cancelled.</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49</w:t>
      </w:r>
    </w:p>
    <w:p>
      <w:pPr>
        <w:sectPr>
          <w:pgSz w:w="11900" w:h="16838" w:orient="portrait"/>
          <w:cols w:equalWidth="0" w:num="1">
            <w:col w:w="11420"/>
          </w:cols>
          <w:pgMar w:left="240" w:top="233" w:right="239" w:bottom="1440" w:gutter="0" w:footer="0" w:header="0"/>
        </w:sectPr>
      </w:pPr>
    </w:p>
    <w:bookmarkStart w:id="50" w:name="page51"/>
    <w:bookmarkEnd w:id="5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Defaults Upon Senior Securities.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Mine Safety Disclosures.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Other Information.</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Exhibits</w:t>
      </w: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1080" w:type="dxa"/>
            <w:vAlign w:val="bottom"/>
          </w:tcPr>
          <w:p>
            <w:pPr>
              <w:spacing w:after="0"/>
              <w:rPr>
                <w:sz w:val="16"/>
                <w:szCs w:val="16"/>
                <w:color w:val="auto"/>
              </w:rPr>
            </w:pPr>
          </w:p>
        </w:tc>
        <w:tc>
          <w:tcPr>
            <w:tcW w:w="340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3760" w:type="dxa"/>
            <w:vAlign w:val="bottom"/>
            <w:gridSpan w:val="3"/>
          </w:tcPr>
          <w:p>
            <w:pPr>
              <w:jc w:val="center"/>
              <w:spacing w:after="0"/>
              <w:rPr>
                <w:sz w:val="20"/>
                <w:szCs w:val="20"/>
                <w:color w:val="auto"/>
              </w:rPr>
            </w:pPr>
            <w:r>
              <w:rPr>
                <w:rFonts w:ascii="Arial" w:cs="Arial" w:eastAsia="Arial" w:hAnsi="Arial"/>
                <w:sz w:val="14"/>
                <w:szCs w:val="14"/>
                <w:b w:val="1"/>
                <w:bCs w:val="1"/>
                <w:color w:val="auto"/>
                <w:w w:val="94"/>
              </w:rPr>
              <w:t>Description of Exhibit Incorporated</w:t>
            </w:r>
          </w:p>
        </w:tc>
        <w:tc>
          <w:tcPr>
            <w:tcW w:w="12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76"/>
        </w:trPr>
        <w:tc>
          <w:tcPr>
            <w:tcW w:w="1080" w:type="dxa"/>
            <w:vAlign w:val="bottom"/>
            <w:tcBorders>
              <w:bottom w:val="single" w:sz="8" w:color="auto"/>
            </w:tcBorders>
          </w:tcPr>
          <w:p>
            <w:pPr>
              <w:spacing w:after="0"/>
              <w:rPr>
                <w:sz w:val="24"/>
                <w:szCs w:val="24"/>
                <w:color w:val="auto"/>
              </w:rPr>
            </w:pPr>
          </w:p>
        </w:tc>
        <w:tc>
          <w:tcPr>
            <w:tcW w:w="340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16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Herein by Reference</w:t>
            </w:r>
          </w:p>
        </w:tc>
        <w:tc>
          <w:tcPr>
            <w:tcW w:w="106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1080" w:type="dxa"/>
            <w:vAlign w:val="bottom"/>
          </w:tcPr>
          <w:p>
            <w:pPr>
              <w:ind w:left="40"/>
              <w:spacing w:after="0"/>
              <w:rPr>
                <w:sz w:val="20"/>
                <w:szCs w:val="20"/>
                <w:color w:val="auto"/>
              </w:rPr>
            </w:pPr>
            <w:r>
              <w:rPr>
                <w:rFonts w:ascii="Arial" w:cs="Arial" w:eastAsia="Arial" w:hAnsi="Arial"/>
                <w:sz w:val="14"/>
                <w:szCs w:val="14"/>
                <w:b w:val="1"/>
                <w:bCs w:val="1"/>
                <w:color w:val="auto"/>
              </w:rPr>
              <w:t>Exhibit</w:t>
            </w:r>
          </w:p>
        </w:tc>
        <w:tc>
          <w:tcPr>
            <w:tcW w:w="34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1620" w:type="dxa"/>
            <w:vAlign w:val="bottom"/>
          </w:tcPr>
          <w:p>
            <w:pPr>
              <w:spacing w:after="0"/>
              <w:rPr>
                <w:sz w:val="22"/>
                <w:szCs w:val="22"/>
                <w:color w:val="auto"/>
              </w:rPr>
            </w:pPr>
          </w:p>
        </w:tc>
        <w:tc>
          <w:tcPr>
            <w:tcW w:w="1060" w:type="dxa"/>
            <w:vAlign w:val="bottom"/>
          </w:tcPr>
          <w:p>
            <w:pPr>
              <w:jc w:val="center"/>
              <w:ind w:right="88"/>
              <w:spacing w:after="0"/>
              <w:rPr>
                <w:sz w:val="20"/>
                <w:szCs w:val="20"/>
                <w:color w:val="auto"/>
              </w:rPr>
            </w:pPr>
            <w:r>
              <w:rPr>
                <w:rFonts w:ascii="Arial" w:cs="Arial" w:eastAsia="Arial" w:hAnsi="Arial"/>
                <w:sz w:val="14"/>
                <w:szCs w:val="14"/>
                <w:b w:val="1"/>
                <w:bCs w:val="1"/>
                <w:color w:val="auto"/>
                <w:w w:val="98"/>
              </w:rPr>
              <w:t>Exhibit</w:t>
            </w:r>
          </w:p>
        </w:tc>
        <w:tc>
          <w:tcPr>
            <w:tcW w:w="1200" w:type="dxa"/>
            <w:vAlign w:val="bottom"/>
          </w:tcPr>
          <w:p>
            <w:pPr>
              <w:jc w:val="center"/>
              <w:spacing w:after="0"/>
              <w:rPr>
                <w:sz w:val="20"/>
                <w:szCs w:val="20"/>
                <w:color w:val="auto"/>
              </w:rPr>
            </w:pPr>
            <w:r>
              <w:rPr>
                <w:rFonts w:ascii="Arial" w:cs="Arial" w:eastAsia="Arial" w:hAnsi="Arial"/>
                <w:sz w:val="14"/>
                <w:szCs w:val="14"/>
                <w:b w:val="1"/>
                <w:bCs w:val="1"/>
                <w:color w:val="auto"/>
                <w:w w:val="91"/>
              </w:rPr>
              <w:t>Filed</w:t>
            </w:r>
          </w:p>
        </w:tc>
        <w:tc>
          <w:tcPr>
            <w:tcW w:w="0" w:type="dxa"/>
            <w:vAlign w:val="bottom"/>
          </w:tcPr>
          <w:p>
            <w:pPr>
              <w:spacing w:after="0"/>
              <w:rPr>
                <w:sz w:val="1"/>
                <w:szCs w:val="1"/>
                <w:color w:val="auto"/>
              </w:rPr>
            </w:pPr>
          </w:p>
        </w:tc>
      </w:tr>
      <w:tr>
        <w:trPr>
          <w:trHeight w:val="276"/>
        </w:trPr>
        <w:tc>
          <w:tcPr>
            <w:tcW w:w="108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Number</w:t>
            </w:r>
          </w:p>
        </w:tc>
        <w:tc>
          <w:tcPr>
            <w:tcW w:w="4300" w:type="dxa"/>
            <w:vAlign w:val="bottom"/>
            <w:tcBorders>
              <w:bottom w:val="single" w:sz="8" w:color="auto"/>
            </w:tcBorders>
            <w:gridSpan w:val="4"/>
          </w:tcPr>
          <w:p>
            <w:pPr>
              <w:ind w:left="1420"/>
              <w:spacing w:after="0"/>
              <w:rPr>
                <w:sz w:val="20"/>
                <w:szCs w:val="20"/>
                <w:color w:val="auto"/>
              </w:rPr>
            </w:pPr>
            <w:r>
              <w:rPr>
                <w:rFonts w:ascii="Arial" w:cs="Arial" w:eastAsia="Arial" w:hAnsi="Arial"/>
                <w:sz w:val="14"/>
                <w:szCs w:val="14"/>
                <w:b w:val="1"/>
                <w:bCs w:val="1"/>
                <w:color w:val="auto"/>
              </w:rPr>
              <w:t>Exhibit Description</w:t>
            </w:r>
          </w:p>
        </w:tc>
        <w:tc>
          <w:tcPr>
            <w:tcW w:w="1080" w:type="dxa"/>
            <w:vAlign w:val="bottom"/>
            <w:tcBorders>
              <w:bottom w:val="single" w:sz="8" w:color="auto"/>
            </w:tcBorders>
          </w:tcPr>
          <w:p>
            <w:pPr>
              <w:jc w:val="right"/>
              <w:ind w:right="339"/>
              <w:spacing w:after="0"/>
              <w:rPr>
                <w:sz w:val="20"/>
                <w:szCs w:val="20"/>
                <w:color w:val="auto"/>
              </w:rPr>
            </w:pPr>
            <w:r>
              <w:rPr>
                <w:rFonts w:ascii="Arial" w:cs="Arial" w:eastAsia="Arial" w:hAnsi="Arial"/>
                <w:sz w:val="14"/>
                <w:szCs w:val="14"/>
                <w:b w:val="1"/>
                <w:bCs w:val="1"/>
                <w:color w:val="auto"/>
              </w:rPr>
              <w:t>Form</w:t>
            </w:r>
          </w:p>
        </w:tc>
        <w:tc>
          <w:tcPr>
            <w:tcW w:w="1080" w:type="dxa"/>
            <w:vAlign w:val="bottom"/>
            <w:tcBorders>
              <w:bottom w:val="single" w:sz="8" w:color="auto"/>
            </w:tcBorders>
          </w:tcPr>
          <w:p>
            <w:pPr>
              <w:ind w:left="420"/>
              <w:spacing w:after="0"/>
              <w:rPr>
                <w:sz w:val="20"/>
                <w:szCs w:val="20"/>
                <w:color w:val="auto"/>
              </w:rPr>
            </w:pPr>
            <w:r>
              <w:rPr>
                <w:rFonts w:ascii="Arial" w:cs="Arial" w:eastAsia="Arial" w:hAnsi="Arial"/>
                <w:sz w:val="14"/>
                <w:szCs w:val="14"/>
                <w:b w:val="1"/>
                <w:bCs w:val="1"/>
                <w:color w:val="auto"/>
              </w:rPr>
              <w:t>File No.</w:t>
            </w:r>
          </w:p>
        </w:tc>
        <w:tc>
          <w:tcPr>
            <w:tcW w:w="16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Filing Date</w:t>
            </w:r>
          </w:p>
        </w:tc>
        <w:tc>
          <w:tcPr>
            <w:tcW w:w="1060" w:type="dxa"/>
            <w:vAlign w:val="bottom"/>
            <w:tcBorders>
              <w:bottom w:val="single" w:sz="8" w:color="auto"/>
            </w:tcBorders>
          </w:tcPr>
          <w:p>
            <w:pPr>
              <w:jc w:val="center"/>
              <w:ind w:right="88"/>
              <w:spacing w:after="0"/>
              <w:rPr>
                <w:sz w:val="20"/>
                <w:szCs w:val="20"/>
                <w:color w:val="auto"/>
              </w:rPr>
            </w:pPr>
            <w:r>
              <w:rPr>
                <w:rFonts w:ascii="Arial" w:cs="Arial" w:eastAsia="Arial" w:hAnsi="Arial"/>
                <w:sz w:val="14"/>
                <w:szCs w:val="14"/>
                <w:b w:val="1"/>
                <w:bCs w:val="1"/>
                <w:color w:val="auto"/>
                <w:w w:val="94"/>
              </w:rPr>
              <w:t>Number</w:t>
            </w:r>
          </w:p>
        </w:tc>
        <w:tc>
          <w:tcPr>
            <w:tcW w:w="12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Herewith</w:t>
            </w:r>
          </w:p>
        </w:tc>
        <w:tc>
          <w:tcPr>
            <w:tcW w:w="0" w:type="dxa"/>
            <w:vAlign w:val="bottom"/>
          </w:tcPr>
          <w:p>
            <w:pPr>
              <w:spacing w:after="0"/>
              <w:rPr>
                <w:sz w:val="1"/>
                <w:szCs w:val="1"/>
                <w:color w:val="auto"/>
              </w:rPr>
            </w:pPr>
          </w:p>
        </w:tc>
      </w:tr>
      <w:tr>
        <w:trPr>
          <w:trHeight w:val="472"/>
        </w:trPr>
        <w:tc>
          <w:tcPr>
            <w:tcW w:w="1080" w:type="dxa"/>
            <w:vAlign w:val="bottom"/>
          </w:tcPr>
          <w:p>
            <w:pPr>
              <w:ind w:left="40"/>
              <w:spacing w:after="0"/>
              <w:rPr>
                <w:sz w:val="20"/>
                <w:szCs w:val="20"/>
                <w:color w:val="auto"/>
              </w:rPr>
            </w:pPr>
            <w:r>
              <w:rPr>
                <w:rFonts w:ascii="Arial" w:cs="Arial" w:eastAsia="Arial" w:hAnsi="Arial"/>
                <w:sz w:val="18"/>
                <w:szCs w:val="18"/>
                <w:color w:val="auto"/>
              </w:rPr>
              <w:t>31.1</w:t>
            </w:r>
          </w:p>
        </w:tc>
        <w:tc>
          <w:tcPr>
            <w:tcW w:w="4060" w:type="dxa"/>
            <w:vAlign w:val="bottom"/>
            <w:tcBorders>
              <w:bottom w:val="single" w:sz="8" w:color="0000FF"/>
            </w:tcBorders>
            <w:gridSpan w:val="3"/>
          </w:tcPr>
          <w:p>
            <w:pPr>
              <w:spacing w:after="0"/>
              <w:rPr>
                <w:rFonts w:ascii="Arial" w:cs="Arial" w:eastAsia="Arial" w:hAnsi="Arial"/>
                <w:sz w:val="18"/>
                <w:szCs w:val="18"/>
                <w:color w:val="0000FF"/>
                <w:w w:val="95"/>
              </w:rPr>
            </w:pPr>
            <w:hyperlink w:anchor="page53">
              <w:r>
                <w:rPr>
                  <w:rFonts w:ascii="Arial" w:cs="Arial" w:eastAsia="Arial" w:hAnsi="Arial"/>
                  <w:sz w:val="18"/>
                  <w:szCs w:val="18"/>
                  <w:color w:val="0000FF"/>
                  <w:w w:val="95"/>
                </w:rPr>
                <w:t>Certification of Principal Executive Officer pursuant to</w:t>
              </w:r>
            </w:hyperlink>
          </w:p>
        </w:tc>
        <w:tc>
          <w:tcPr>
            <w:tcW w:w="2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080" w:type="dxa"/>
            <w:vAlign w:val="bottom"/>
          </w:tcPr>
          <w:p>
            <w:pPr>
              <w:spacing w:after="0"/>
              <w:rPr>
                <w:sz w:val="17"/>
                <w:szCs w:val="17"/>
                <w:color w:val="auto"/>
              </w:rPr>
            </w:pPr>
          </w:p>
        </w:tc>
        <w:tc>
          <w:tcPr>
            <w:tcW w:w="4300" w:type="dxa"/>
            <w:vAlign w:val="bottom"/>
            <w:gridSpan w:val="4"/>
          </w:tcPr>
          <w:p>
            <w:pPr>
              <w:spacing w:after="0" w:line="196" w:lineRule="exact"/>
              <w:rPr>
                <w:rFonts w:ascii="Arial" w:cs="Arial" w:eastAsia="Arial" w:hAnsi="Arial"/>
                <w:sz w:val="18"/>
                <w:szCs w:val="18"/>
                <w:color w:val="0000FF"/>
              </w:rPr>
            </w:pPr>
            <w:hyperlink w:anchor="page53">
              <w:r>
                <w:rPr>
                  <w:rFonts w:ascii="Arial" w:cs="Arial" w:eastAsia="Arial" w:hAnsi="Arial"/>
                  <w:sz w:val="18"/>
                  <w:szCs w:val="18"/>
                  <w:color w:val="0000FF"/>
                </w:rPr>
                <w:t>Section 302 of the Sarbanes-Oxley Act of 2002</w:t>
              </w:r>
            </w:hyperlink>
          </w:p>
        </w:tc>
        <w:tc>
          <w:tcPr>
            <w:tcW w:w="108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62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200" w:type="dxa"/>
            <w:vAlign w:val="bottom"/>
          </w:tcPr>
          <w:p>
            <w:pPr>
              <w:jc w:val="center"/>
              <w:spacing w:after="0" w:line="196" w:lineRule="exact"/>
              <w:rPr>
                <w:sz w:val="20"/>
                <w:szCs w:val="20"/>
                <w:color w:val="auto"/>
              </w:rPr>
            </w:pPr>
            <w:r>
              <w:rPr>
                <w:rFonts w:ascii="Arial" w:cs="Arial" w:eastAsia="Arial" w:hAnsi="Arial"/>
                <w:sz w:val="18"/>
                <w:szCs w:val="18"/>
                <w:color w:val="auto"/>
              </w:rPr>
              <w:t>X</w:t>
            </w:r>
          </w:p>
        </w:tc>
        <w:tc>
          <w:tcPr>
            <w:tcW w:w="0" w:type="dxa"/>
            <w:vAlign w:val="bottom"/>
          </w:tcPr>
          <w:p>
            <w:pPr>
              <w:spacing w:after="0"/>
              <w:rPr>
                <w:sz w:val="1"/>
                <w:szCs w:val="1"/>
                <w:color w:val="auto"/>
              </w:rPr>
            </w:pPr>
          </w:p>
        </w:tc>
      </w:tr>
      <w:tr>
        <w:trPr>
          <w:trHeight w:val="20"/>
        </w:trPr>
        <w:tc>
          <w:tcPr>
            <w:tcW w:w="1080" w:type="dxa"/>
            <w:vAlign w:val="bottom"/>
          </w:tcPr>
          <w:p>
            <w:pPr>
              <w:spacing w:after="0" w:line="20" w:lineRule="exact"/>
              <w:rPr>
                <w:sz w:val="1"/>
                <w:szCs w:val="1"/>
                <w:color w:val="auto"/>
              </w:rPr>
            </w:pPr>
          </w:p>
        </w:tc>
        <w:tc>
          <w:tcPr>
            <w:tcW w:w="3400" w:type="dxa"/>
            <w:vAlign w:val="bottom"/>
            <w:shd w:val="clear" w:color="auto" w:fill="0000FF"/>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20"/>
        </w:trPr>
        <w:tc>
          <w:tcPr>
            <w:tcW w:w="1080" w:type="dxa"/>
            <w:vAlign w:val="bottom"/>
          </w:tcPr>
          <w:p>
            <w:pPr>
              <w:ind w:left="40"/>
              <w:spacing w:after="0"/>
              <w:rPr>
                <w:sz w:val="20"/>
                <w:szCs w:val="20"/>
                <w:color w:val="auto"/>
              </w:rPr>
            </w:pPr>
            <w:r>
              <w:rPr>
                <w:rFonts w:ascii="Arial" w:cs="Arial" w:eastAsia="Arial" w:hAnsi="Arial"/>
                <w:sz w:val="18"/>
                <w:szCs w:val="18"/>
                <w:color w:val="auto"/>
              </w:rPr>
              <w:t>31.2</w:t>
            </w:r>
          </w:p>
        </w:tc>
        <w:tc>
          <w:tcPr>
            <w:tcW w:w="4060" w:type="dxa"/>
            <w:vAlign w:val="bottom"/>
            <w:tcBorders>
              <w:bottom w:val="single" w:sz="8" w:color="0000FF"/>
            </w:tcBorders>
            <w:gridSpan w:val="3"/>
          </w:tcPr>
          <w:p>
            <w:pPr>
              <w:spacing w:after="0"/>
              <w:rPr>
                <w:rFonts w:ascii="Arial" w:cs="Arial" w:eastAsia="Arial" w:hAnsi="Arial"/>
                <w:sz w:val="18"/>
                <w:szCs w:val="18"/>
                <w:color w:val="0000FF"/>
                <w:w w:val="96"/>
              </w:rPr>
            </w:pPr>
            <w:hyperlink w:anchor="page54">
              <w:r>
                <w:rPr>
                  <w:rFonts w:ascii="Arial" w:cs="Arial" w:eastAsia="Arial" w:hAnsi="Arial"/>
                  <w:sz w:val="18"/>
                  <w:szCs w:val="18"/>
                  <w:color w:val="0000FF"/>
                  <w:w w:val="96"/>
                </w:rPr>
                <w:t>Certification of Principal Financial Officer pursuant to</w:t>
              </w:r>
            </w:hyperlink>
          </w:p>
        </w:tc>
        <w:tc>
          <w:tcPr>
            <w:tcW w:w="2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080" w:type="dxa"/>
            <w:vAlign w:val="bottom"/>
          </w:tcPr>
          <w:p>
            <w:pPr>
              <w:spacing w:after="0"/>
              <w:rPr>
                <w:sz w:val="17"/>
                <w:szCs w:val="17"/>
                <w:color w:val="auto"/>
              </w:rPr>
            </w:pPr>
          </w:p>
        </w:tc>
        <w:tc>
          <w:tcPr>
            <w:tcW w:w="4300" w:type="dxa"/>
            <w:vAlign w:val="bottom"/>
            <w:gridSpan w:val="4"/>
          </w:tcPr>
          <w:p>
            <w:pPr>
              <w:spacing w:after="0" w:line="196" w:lineRule="exact"/>
              <w:rPr>
                <w:rFonts w:ascii="Arial" w:cs="Arial" w:eastAsia="Arial" w:hAnsi="Arial"/>
                <w:sz w:val="18"/>
                <w:szCs w:val="18"/>
                <w:color w:val="0000FF"/>
              </w:rPr>
            </w:pPr>
            <w:hyperlink w:anchor="page54">
              <w:r>
                <w:rPr>
                  <w:rFonts w:ascii="Arial" w:cs="Arial" w:eastAsia="Arial" w:hAnsi="Arial"/>
                  <w:sz w:val="18"/>
                  <w:szCs w:val="18"/>
                  <w:color w:val="0000FF"/>
                </w:rPr>
                <w:t>Section 302 of the Sarbanes-Oxley Act of 2002</w:t>
              </w:r>
            </w:hyperlink>
          </w:p>
        </w:tc>
        <w:tc>
          <w:tcPr>
            <w:tcW w:w="108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62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200" w:type="dxa"/>
            <w:vAlign w:val="bottom"/>
          </w:tcPr>
          <w:p>
            <w:pPr>
              <w:jc w:val="center"/>
              <w:spacing w:after="0" w:line="196" w:lineRule="exact"/>
              <w:rPr>
                <w:sz w:val="20"/>
                <w:szCs w:val="20"/>
                <w:color w:val="auto"/>
              </w:rPr>
            </w:pPr>
            <w:r>
              <w:rPr>
                <w:rFonts w:ascii="Arial" w:cs="Arial" w:eastAsia="Arial" w:hAnsi="Arial"/>
                <w:sz w:val="18"/>
                <w:szCs w:val="18"/>
                <w:color w:val="auto"/>
              </w:rPr>
              <w:t>X</w:t>
            </w:r>
          </w:p>
        </w:tc>
        <w:tc>
          <w:tcPr>
            <w:tcW w:w="0" w:type="dxa"/>
            <w:vAlign w:val="bottom"/>
          </w:tcPr>
          <w:p>
            <w:pPr>
              <w:spacing w:after="0"/>
              <w:rPr>
                <w:sz w:val="1"/>
                <w:szCs w:val="1"/>
                <w:color w:val="auto"/>
              </w:rPr>
            </w:pPr>
          </w:p>
        </w:tc>
      </w:tr>
      <w:tr>
        <w:trPr>
          <w:trHeight w:val="20"/>
        </w:trPr>
        <w:tc>
          <w:tcPr>
            <w:tcW w:w="1080" w:type="dxa"/>
            <w:vAlign w:val="bottom"/>
          </w:tcPr>
          <w:p>
            <w:pPr>
              <w:spacing w:after="0" w:line="20" w:lineRule="exact"/>
              <w:rPr>
                <w:sz w:val="1"/>
                <w:szCs w:val="1"/>
                <w:color w:val="auto"/>
              </w:rPr>
            </w:pPr>
          </w:p>
        </w:tc>
        <w:tc>
          <w:tcPr>
            <w:tcW w:w="3400" w:type="dxa"/>
            <w:vAlign w:val="bottom"/>
            <w:shd w:val="clear" w:color="auto" w:fill="0000FF"/>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20"/>
        </w:trPr>
        <w:tc>
          <w:tcPr>
            <w:tcW w:w="1080" w:type="dxa"/>
            <w:vAlign w:val="bottom"/>
          </w:tcPr>
          <w:p>
            <w:pPr>
              <w:ind w:left="40"/>
              <w:spacing w:after="0"/>
              <w:rPr>
                <w:sz w:val="20"/>
                <w:szCs w:val="20"/>
                <w:color w:val="auto"/>
              </w:rPr>
            </w:pPr>
            <w:r>
              <w:rPr>
                <w:rFonts w:ascii="Arial" w:cs="Arial" w:eastAsia="Arial" w:hAnsi="Arial"/>
                <w:sz w:val="18"/>
                <w:szCs w:val="18"/>
                <w:color w:val="auto"/>
              </w:rPr>
              <w:t>32.1</w:t>
            </w:r>
          </w:p>
        </w:tc>
        <w:tc>
          <w:tcPr>
            <w:tcW w:w="4060" w:type="dxa"/>
            <w:vAlign w:val="bottom"/>
            <w:tcBorders>
              <w:bottom w:val="single" w:sz="8" w:color="0000FF"/>
            </w:tcBorders>
            <w:gridSpan w:val="3"/>
          </w:tcPr>
          <w:p>
            <w:pPr>
              <w:spacing w:after="0"/>
              <w:rPr>
                <w:rFonts w:ascii="Arial" w:cs="Arial" w:eastAsia="Arial" w:hAnsi="Arial"/>
                <w:sz w:val="18"/>
                <w:szCs w:val="18"/>
                <w:color w:val="0000FF"/>
              </w:rPr>
            </w:pPr>
            <w:hyperlink w:anchor="page55">
              <w:r>
                <w:rPr>
                  <w:rFonts w:ascii="Arial" w:cs="Arial" w:eastAsia="Arial" w:hAnsi="Arial"/>
                  <w:sz w:val="18"/>
                  <w:szCs w:val="18"/>
                  <w:color w:val="0000FF"/>
                </w:rPr>
                <w:t>Certification of Chief Executive Officer pursuant to</w:t>
              </w:r>
            </w:hyperlink>
          </w:p>
        </w:tc>
        <w:tc>
          <w:tcPr>
            <w:tcW w:w="2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080" w:type="dxa"/>
            <w:vAlign w:val="bottom"/>
          </w:tcPr>
          <w:p>
            <w:pPr>
              <w:spacing w:after="0"/>
              <w:rPr>
                <w:sz w:val="17"/>
                <w:szCs w:val="17"/>
                <w:color w:val="auto"/>
              </w:rPr>
            </w:pPr>
          </w:p>
        </w:tc>
        <w:tc>
          <w:tcPr>
            <w:tcW w:w="4300" w:type="dxa"/>
            <w:vAlign w:val="bottom"/>
            <w:gridSpan w:val="4"/>
          </w:tcPr>
          <w:p>
            <w:pPr>
              <w:spacing w:after="0" w:line="196" w:lineRule="exact"/>
              <w:rPr>
                <w:rFonts w:ascii="Arial" w:cs="Arial" w:eastAsia="Arial" w:hAnsi="Arial"/>
                <w:sz w:val="18"/>
                <w:szCs w:val="18"/>
                <w:color w:val="0000FF"/>
              </w:rPr>
            </w:pPr>
            <w:hyperlink w:anchor="page55">
              <w:r>
                <w:rPr>
                  <w:rFonts w:ascii="Arial" w:cs="Arial" w:eastAsia="Arial" w:hAnsi="Arial"/>
                  <w:sz w:val="18"/>
                  <w:szCs w:val="18"/>
                  <w:color w:val="0000FF"/>
                </w:rPr>
                <w:t>Section 906 of the Sarbanes-Oxley Act of 2002</w:t>
              </w:r>
            </w:hyperlink>
          </w:p>
        </w:tc>
        <w:tc>
          <w:tcPr>
            <w:tcW w:w="108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62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200" w:type="dxa"/>
            <w:vAlign w:val="bottom"/>
          </w:tcPr>
          <w:p>
            <w:pPr>
              <w:jc w:val="center"/>
              <w:spacing w:after="0" w:line="196" w:lineRule="exact"/>
              <w:rPr>
                <w:sz w:val="20"/>
                <w:szCs w:val="20"/>
                <w:color w:val="auto"/>
              </w:rPr>
            </w:pPr>
            <w:r>
              <w:rPr>
                <w:rFonts w:ascii="Arial" w:cs="Arial" w:eastAsia="Arial" w:hAnsi="Arial"/>
                <w:sz w:val="18"/>
                <w:szCs w:val="18"/>
                <w:color w:val="auto"/>
              </w:rPr>
              <w:t>X</w:t>
            </w:r>
          </w:p>
        </w:tc>
        <w:tc>
          <w:tcPr>
            <w:tcW w:w="0" w:type="dxa"/>
            <w:vAlign w:val="bottom"/>
          </w:tcPr>
          <w:p>
            <w:pPr>
              <w:spacing w:after="0"/>
              <w:rPr>
                <w:sz w:val="1"/>
                <w:szCs w:val="1"/>
                <w:color w:val="auto"/>
              </w:rPr>
            </w:pPr>
          </w:p>
        </w:tc>
      </w:tr>
      <w:tr>
        <w:trPr>
          <w:trHeight w:val="20"/>
        </w:trPr>
        <w:tc>
          <w:tcPr>
            <w:tcW w:w="1080" w:type="dxa"/>
            <w:vAlign w:val="bottom"/>
          </w:tcPr>
          <w:p>
            <w:pPr>
              <w:spacing w:after="0" w:line="20" w:lineRule="exact"/>
              <w:rPr>
                <w:sz w:val="1"/>
                <w:szCs w:val="1"/>
                <w:color w:val="auto"/>
              </w:rPr>
            </w:pPr>
          </w:p>
        </w:tc>
        <w:tc>
          <w:tcPr>
            <w:tcW w:w="3400" w:type="dxa"/>
            <w:vAlign w:val="bottom"/>
            <w:shd w:val="clear" w:color="auto" w:fill="0000FF"/>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20"/>
        </w:trPr>
        <w:tc>
          <w:tcPr>
            <w:tcW w:w="1080" w:type="dxa"/>
            <w:vAlign w:val="bottom"/>
          </w:tcPr>
          <w:p>
            <w:pPr>
              <w:ind w:left="40"/>
              <w:spacing w:after="0"/>
              <w:rPr>
                <w:sz w:val="20"/>
                <w:szCs w:val="20"/>
                <w:color w:val="auto"/>
              </w:rPr>
            </w:pPr>
            <w:r>
              <w:rPr>
                <w:rFonts w:ascii="Arial" w:cs="Arial" w:eastAsia="Arial" w:hAnsi="Arial"/>
                <w:sz w:val="18"/>
                <w:szCs w:val="18"/>
                <w:color w:val="auto"/>
              </w:rPr>
              <w:t>32.2</w:t>
            </w:r>
          </w:p>
        </w:tc>
        <w:tc>
          <w:tcPr>
            <w:tcW w:w="4300" w:type="dxa"/>
            <w:vAlign w:val="bottom"/>
            <w:gridSpan w:val="4"/>
          </w:tcPr>
          <w:p>
            <w:pPr>
              <w:spacing w:after="0"/>
              <w:rPr>
                <w:rFonts w:ascii="Arial" w:cs="Arial" w:eastAsia="Arial" w:hAnsi="Arial"/>
                <w:sz w:val="18"/>
                <w:szCs w:val="18"/>
                <w:color w:val="0000FF"/>
              </w:rPr>
            </w:pPr>
            <w:hyperlink w:anchor="page56">
              <w:r>
                <w:rPr>
                  <w:rFonts w:ascii="Arial" w:cs="Arial" w:eastAsia="Arial" w:hAnsi="Arial"/>
                  <w:sz w:val="18"/>
                  <w:szCs w:val="18"/>
                  <w:color w:val="0000FF"/>
                </w:rPr>
                <w:t>Certification of Chief Financial Officer pursuant to</w:t>
              </w:r>
            </w:hyperlink>
          </w:p>
        </w:tc>
        <w:tc>
          <w:tcPr>
            <w:tcW w:w="10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080" w:type="dxa"/>
            <w:vAlign w:val="bottom"/>
          </w:tcPr>
          <w:p>
            <w:pPr>
              <w:spacing w:after="0"/>
              <w:rPr>
                <w:sz w:val="17"/>
                <w:szCs w:val="17"/>
                <w:color w:val="auto"/>
              </w:rPr>
            </w:pPr>
          </w:p>
        </w:tc>
        <w:tc>
          <w:tcPr>
            <w:tcW w:w="4040" w:type="dxa"/>
            <w:vAlign w:val="bottom"/>
            <w:tcBorders>
              <w:top w:val="single" w:sz="8" w:color="0000FF"/>
            </w:tcBorders>
            <w:gridSpan w:val="2"/>
          </w:tcPr>
          <w:p>
            <w:pPr>
              <w:spacing w:after="0" w:line="196" w:lineRule="exact"/>
              <w:rPr>
                <w:rFonts w:ascii="Arial" w:cs="Arial" w:eastAsia="Arial" w:hAnsi="Arial"/>
                <w:sz w:val="18"/>
                <w:szCs w:val="18"/>
                <w:color w:val="0000FF"/>
              </w:rPr>
            </w:pPr>
            <w:hyperlink w:anchor="page56">
              <w:r>
                <w:rPr>
                  <w:rFonts w:ascii="Arial" w:cs="Arial" w:eastAsia="Arial" w:hAnsi="Arial"/>
                  <w:sz w:val="18"/>
                  <w:szCs w:val="18"/>
                  <w:color w:val="0000FF"/>
                </w:rPr>
                <w:t>Section 906 of the Sarbanes-Oxley Act of 2002</w:t>
              </w:r>
            </w:hyperlink>
          </w:p>
        </w:tc>
        <w:tc>
          <w:tcPr>
            <w:tcW w:w="260" w:type="dxa"/>
            <w:vAlign w:val="bottom"/>
            <w:gridSpan w:val="2"/>
          </w:tcPr>
          <w:p>
            <w:pPr>
              <w:spacing w:after="0"/>
              <w:rPr>
                <w:sz w:val="17"/>
                <w:szCs w:val="17"/>
                <w:color w:val="auto"/>
              </w:rPr>
            </w:pPr>
          </w:p>
        </w:tc>
        <w:tc>
          <w:tcPr>
            <w:tcW w:w="108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62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200" w:type="dxa"/>
            <w:vAlign w:val="bottom"/>
          </w:tcPr>
          <w:p>
            <w:pPr>
              <w:jc w:val="center"/>
              <w:spacing w:after="0" w:line="196" w:lineRule="exact"/>
              <w:rPr>
                <w:sz w:val="20"/>
                <w:szCs w:val="20"/>
                <w:color w:val="auto"/>
              </w:rPr>
            </w:pPr>
            <w:r>
              <w:rPr>
                <w:rFonts w:ascii="Arial" w:cs="Arial" w:eastAsia="Arial" w:hAnsi="Arial"/>
                <w:sz w:val="18"/>
                <w:szCs w:val="18"/>
                <w:color w:val="auto"/>
              </w:rPr>
              <w:t>X</w:t>
            </w:r>
          </w:p>
        </w:tc>
        <w:tc>
          <w:tcPr>
            <w:tcW w:w="0" w:type="dxa"/>
            <w:vAlign w:val="bottom"/>
          </w:tcPr>
          <w:p>
            <w:pPr>
              <w:spacing w:after="0"/>
              <w:rPr>
                <w:sz w:val="1"/>
                <w:szCs w:val="1"/>
                <w:color w:val="auto"/>
              </w:rPr>
            </w:pPr>
          </w:p>
        </w:tc>
      </w:tr>
      <w:tr>
        <w:trPr>
          <w:trHeight w:val="20"/>
        </w:trPr>
        <w:tc>
          <w:tcPr>
            <w:tcW w:w="1080" w:type="dxa"/>
            <w:vAlign w:val="bottom"/>
            <w:vMerge w:val="restart"/>
          </w:tcPr>
          <w:p>
            <w:pPr>
              <w:ind w:left="40"/>
              <w:spacing w:after="0"/>
              <w:rPr>
                <w:sz w:val="20"/>
                <w:szCs w:val="20"/>
                <w:color w:val="auto"/>
              </w:rPr>
            </w:pPr>
            <w:r>
              <w:rPr>
                <w:rFonts w:ascii="Arial" w:cs="Arial" w:eastAsia="Arial" w:hAnsi="Arial"/>
                <w:sz w:val="18"/>
                <w:szCs w:val="18"/>
                <w:color w:val="auto"/>
              </w:rPr>
              <w:t>101</w:t>
            </w:r>
          </w:p>
        </w:tc>
        <w:tc>
          <w:tcPr>
            <w:tcW w:w="3400" w:type="dxa"/>
            <w:vAlign w:val="bottom"/>
            <w:shd w:val="clear" w:color="auto" w:fill="0000FF"/>
          </w:tcPr>
          <w:p>
            <w:pPr>
              <w:spacing w:after="0" w:line="20" w:lineRule="exact"/>
              <w:rPr>
                <w:sz w:val="1"/>
                <w:szCs w:val="1"/>
                <w:color w:val="auto"/>
              </w:rPr>
            </w:pPr>
          </w:p>
        </w:tc>
        <w:tc>
          <w:tcPr>
            <w:tcW w:w="900" w:type="dxa"/>
            <w:vAlign w:val="bottom"/>
            <w:gridSpan w:val="3"/>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37"/>
        </w:trPr>
        <w:tc>
          <w:tcPr>
            <w:tcW w:w="1080" w:type="dxa"/>
            <w:vAlign w:val="bottom"/>
            <w:vMerge w:val="continue"/>
          </w:tcPr>
          <w:p>
            <w:pPr>
              <w:spacing w:after="0"/>
              <w:rPr>
                <w:sz w:val="24"/>
                <w:szCs w:val="24"/>
                <w:color w:val="auto"/>
              </w:rPr>
            </w:pPr>
          </w:p>
        </w:tc>
        <w:tc>
          <w:tcPr>
            <w:tcW w:w="4300" w:type="dxa"/>
            <w:vAlign w:val="bottom"/>
            <w:gridSpan w:val="4"/>
          </w:tcPr>
          <w:p>
            <w:pPr>
              <w:spacing w:after="0"/>
              <w:rPr>
                <w:sz w:val="20"/>
                <w:szCs w:val="20"/>
                <w:color w:val="auto"/>
              </w:rPr>
            </w:pPr>
            <w:r>
              <w:rPr>
                <w:rFonts w:ascii="Arial" w:cs="Arial" w:eastAsia="Arial" w:hAnsi="Arial"/>
                <w:sz w:val="16"/>
                <w:szCs w:val="16"/>
                <w:color w:val="auto"/>
              </w:rPr>
              <w:t>Interactive Data Files pursuant to Rule 405 of regulation S-T</w:t>
            </w:r>
          </w:p>
        </w:tc>
        <w:tc>
          <w:tcPr>
            <w:tcW w:w="10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200" w:type="dxa"/>
            <w:vAlign w:val="bottom"/>
            <w:vMerge w:val="restart"/>
          </w:tcPr>
          <w:p>
            <w:pPr>
              <w:jc w:val="center"/>
              <w:spacing w:after="0"/>
              <w:rPr>
                <w:sz w:val="20"/>
                <w:szCs w:val="20"/>
                <w:color w:val="auto"/>
              </w:rPr>
            </w:pPr>
            <w:r>
              <w:rPr>
                <w:rFonts w:ascii="Arial" w:cs="Arial" w:eastAsia="Arial" w:hAnsi="Arial"/>
                <w:sz w:val="18"/>
                <w:szCs w:val="18"/>
                <w:color w:val="auto"/>
              </w:rPr>
              <w:t>X</w:t>
            </w:r>
          </w:p>
        </w:tc>
        <w:tc>
          <w:tcPr>
            <w:tcW w:w="0" w:type="dxa"/>
            <w:vAlign w:val="bottom"/>
          </w:tcPr>
          <w:p>
            <w:pPr>
              <w:spacing w:after="0"/>
              <w:rPr>
                <w:sz w:val="1"/>
                <w:szCs w:val="1"/>
                <w:color w:val="auto"/>
              </w:rPr>
            </w:pPr>
          </w:p>
        </w:tc>
      </w:tr>
      <w:tr>
        <w:trPr>
          <w:trHeight w:val="212"/>
        </w:trPr>
        <w:tc>
          <w:tcPr>
            <w:tcW w:w="1080" w:type="dxa"/>
            <w:vAlign w:val="bottom"/>
          </w:tcPr>
          <w:p>
            <w:pPr>
              <w:spacing w:after="0"/>
              <w:rPr>
                <w:sz w:val="18"/>
                <w:szCs w:val="18"/>
                <w:color w:val="auto"/>
              </w:rPr>
            </w:pPr>
          </w:p>
        </w:tc>
        <w:tc>
          <w:tcPr>
            <w:tcW w:w="4300" w:type="dxa"/>
            <w:vAlign w:val="bottom"/>
            <w:gridSpan w:val="4"/>
          </w:tcPr>
          <w:p>
            <w:pPr>
              <w:spacing w:after="0"/>
              <w:rPr>
                <w:sz w:val="20"/>
                <w:szCs w:val="20"/>
                <w:color w:val="auto"/>
              </w:rPr>
            </w:pPr>
            <w:r>
              <w:rPr>
                <w:rFonts w:ascii="Arial" w:cs="Arial" w:eastAsia="Arial" w:hAnsi="Arial"/>
                <w:sz w:val="16"/>
                <w:szCs w:val="16"/>
                <w:color w:val="auto"/>
              </w:rPr>
              <w:t>(XBRL)</w:t>
            </w:r>
          </w:p>
        </w:tc>
        <w:tc>
          <w:tcPr>
            <w:tcW w:w="10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6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702"/>
        </w:trPr>
        <w:tc>
          <w:tcPr>
            <w:tcW w:w="1080" w:type="dxa"/>
            <w:vAlign w:val="bottom"/>
          </w:tcPr>
          <w:p>
            <w:pPr>
              <w:spacing w:after="0"/>
              <w:rPr>
                <w:sz w:val="24"/>
                <w:szCs w:val="24"/>
                <w:color w:val="auto"/>
              </w:rPr>
            </w:pPr>
          </w:p>
        </w:tc>
        <w:tc>
          <w:tcPr>
            <w:tcW w:w="34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80" w:type="dxa"/>
            <w:vAlign w:val="bottom"/>
          </w:tcPr>
          <w:p>
            <w:pPr>
              <w:jc w:val="right"/>
              <w:ind w:right="579"/>
              <w:spacing w:after="0"/>
              <w:rPr>
                <w:sz w:val="20"/>
                <w:szCs w:val="20"/>
                <w:color w:val="auto"/>
              </w:rPr>
            </w:pPr>
            <w:r>
              <w:rPr>
                <w:rFonts w:ascii="Arial" w:cs="Arial" w:eastAsia="Arial" w:hAnsi="Arial"/>
                <w:sz w:val="18"/>
                <w:szCs w:val="18"/>
                <w:color w:val="auto"/>
              </w:rPr>
              <w:t>50</w:t>
            </w:r>
          </w:p>
        </w:tc>
        <w:tc>
          <w:tcPr>
            <w:tcW w:w="108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233" w:right="239" w:bottom="1440" w:gutter="0" w:footer="0" w:header="0"/>
        </w:sectPr>
      </w:pPr>
    </w:p>
    <w:bookmarkStart w:id="51" w:name="page52"/>
    <w:bookmarkEnd w:id="5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400"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Planet Fitness,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4138930</wp:posOffset>
            </wp:positionH>
            <wp:positionV relativeFrom="paragraph">
              <wp:posOffset>31750</wp:posOffset>
            </wp:positionV>
            <wp:extent cx="311277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3112770" cy="8890"/>
                    </a:xfrm>
                    <a:prstGeom prst="rect">
                      <a:avLst/>
                    </a:prstGeom>
                    <a:noFill/>
                  </pic:spPr>
                </pic:pic>
              </a:graphicData>
            </a:graphic>
          </wp:anchor>
        </w:drawing>
      </w:r>
    </w:p>
    <w:p>
      <w:pPr>
        <w:spacing w:after="0" w:line="57"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(Registrant)</w:t>
      </w:r>
    </w:p>
    <w:p>
      <w:pPr>
        <w:spacing w:after="0" w:line="200" w:lineRule="exact"/>
        <w:rPr>
          <w:sz w:val="20"/>
          <w:szCs w:val="20"/>
          <w:color w:val="auto"/>
        </w:rPr>
      </w:pPr>
    </w:p>
    <w:p>
      <w:pPr>
        <w:spacing w:after="0" w:line="390" w:lineRule="exact"/>
        <w:rPr>
          <w:sz w:val="20"/>
          <w:szCs w:val="20"/>
          <w:color w:val="auto"/>
        </w:rPr>
      </w:pPr>
    </w:p>
    <w:p>
      <w:pPr>
        <w:ind w:left="3920"/>
        <w:spacing w:after="0"/>
        <w:tabs>
          <w:tab w:leader="none" w:pos="6520" w:val="left"/>
        </w:tabs>
        <w:rPr>
          <w:sz w:val="20"/>
          <w:szCs w:val="20"/>
          <w:color w:val="auto"/>
        </w:rPr>
      </w:pPr>
      <w:r>
        <w:rPr>
          <w:rFonts w:ascii="Arial" w:cs="Arial" w:eastAsia="Arial" w:hAnsi="Arial"/>
          <w:sz w:val="18"/>
          <w:szCs w:val="18"/>
          <w:color w:val="auto"/>
        </w:rPr>
        <w:t>Date: August 9, 2018</w:t>
      </w:r>
      <w:r>
        <w:rPr>
          <w:sz w:val="20"/>
          <w:szCs w:val="20"/>
          <w:color w:val="auto"/>
        </w:rPr>
        <w:tab/>
      </w:r>
      <w:r>
        <w:rPr>
          <w:rFonts w:ascii="Arial" w:cs="Arial" w:eastAsia="Arial" w:hAnsi="Arial"/>
          <w:sz w:val="17"/>
          <w:szCs w:val="17"/>
          <w:color w:val="auto"/>
        </w:rPr>
        <w:t>/s/ Dorvin Lively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4138930</wp:posOffset>
            </wp:positionH>
            <wp:positionV relativeFrom="paragraph">
              <wp:posOffset>31750</wp:posOffset>
            </wp:positionV>
            <wp:extent cx="311277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3112770" cy="8890"/>
                    </a:xfrm>
                    <a:prstGeom prst="rect">
                      <a:avLst/>
                    </a:prstGeom>
                    <a:noFill/>
                  </pic:spPr>
                </pic:pic>
              </a:graphicData>
            </a:graphic>
          </wp:anchor>
        </w:drawing>
      </w:r>
    </w:p>
    <w:p>
      <w:pPr>
        <w:spacing w:after="0" w:line="57"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Dorvin Lively</w:t>
      </w:r>
    </w:p>
    <w:p>
      <w:pPr>
        <w:spacing w:after="0" w:line="63" w:lineRule="exact"/>
        <w:rPr>
          <w:sz w:val="20"/>
          <w:szCs w:val="20"/>
          <w:color w:val="auto"/>
        </w:rPr>
      </w:pPr>
    </w:p>
    <w:p>
      <w:pPr>
        <w:ind w:left="6540"/>
        <w:spacing w:after="0"/>
        <w:rPr>
          <w:sz w:val="20"/>
          <w:szCs w:val="20"/>
          <w:color w:val="auto"/>
        </w:rPr>
      </w:pPr>
      <w:r>
        <w:rPr>
          <w:rFonts w:ascii="Arial" w:cs="Arial" w:eastAsia="Arial" w:hAnsi="Arial"/>
          <w:sz w:val="18"/>
          <w:szCs w:val="18"/>
          <w:i w:val="1"/>
          <w:iCs w:val="1"/>
          <w:color w:val="auto"/>
        </w:rPr>
        <w:t>President and Chief Financial Officer</w:t>
      </w:r>
    </w:p>
    <w:p>
      <w:pPr>
        <w:spacing w:after="0" w:line="23" w:lineRule="exact"/>
        <w:rPr>
          <w:sz w:val="20"/>
          <w:szCs w:val="20"/>
          <w:color w:val="auto"/>
        </w:rPr>
      </w:pPr>
    </w:p>
    <w:p>
      <w:pPr>
        <w:ind w:left="6540"/>
        <w:spacing w:after="0"/>
        <w:rPr>
          <w:sz w:val="20"/>
          <w:szCs w:val="20"/>
          <w:color w:val="auto"/>
        </w:rPr>
      </w:pPr>
      <w:r>
        <w:rPr>
          <w:rFonts w:ascii="Arial" w:cs="Arial" w:eastAsia="Arial" w:hAnsi="Arial"/>
          <w:sz w:val="17"/>
          <w:szCs w:val="17"/>
          <w:i w:val="1"/>
          <w:iCs w:val="1"/>
          <w:color w:val="auto"/>
        </w:rPr>
        <w:t>(On behalf of the Registrant and as Principal Financial Officer)</w:t>
      </w: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51</w:t>
      </w:r>
    </w:p>
    <w:p>
      <w:pPr>
        <w:sectPr>
          <w:pgSz w:w="11900" w:h="16838" w:orient="portrait"/>
          <w:cols w:equalWidth="0" w:num="1">
            <w:col w:w="11420"/>
          </w:cols>
          <w:pgMar w:left="240" w:top="233" w:right="239" w:bottom="1440" w:gutter="0" w:footer="0" w:header="0"/>
        </w:sectPr>
      </w:pPr>
    </w:p>
    <w:bookmarkStart w:id="52" w:name="page53"/>
    <w:bookmarkEnd w:id="52"/>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PERIODIC REPORT UNDER SECTION 302 OF</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THE SARBANES-OXLEY ACT OF 2002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Chris Rondeau, certify that:</w:t>
      </w:r>
    </w:p>
    <w:p>
      <w:pPr>
        <w:spacing w:after="0" w:line="117" w:lineRule="exact"/>
        <w:rPr>
          <w:sz w:val="20"/>
          <w:szCs w:val="20"/>
          <w:color w:val="auto"/>
        </w:rPr>
      </w:pPr>
    </w:p>
    <w:p>
      <w:pPr>
        <w:ind w:left="180" w:hanging="172"/>
        <w:spacing w:after="0"/>
        <w:tabs>
          <w:tab w:leader="none" w:pos="1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Planet Fitness, Inc. (the “registrant”);</w:t>
      </w:r>
    </w:p>
    <w:p>
      <w:pPr>
        <w:spacing w:after="0" w:line="117" w:lineRule="exact"/>
        <w:rPr>
          <w:rFonts w:ascii="Arial" w:cs="Arial" w:eastAsia="Arial" w:hAnsi="Arial"/>
          <w:sz w:val="18"/>
          <w:szCs w:val="18"/>
          <w:color w:val="auto"/>
        </w:rPr>
      </w:pPr>
    </w:p>
    <w:p>
      <w:pPr>
        <w:ind w:right="440" w:firstLine="8"/>
        <w:spacing w:after="0" w:line="342" w:lineRule="auto"/>
        <w:tabs>
          <w:tab w:leader="none" w:pos="180" w:val="left"/>
        </w:tabs>
        <w:numPr>
          <w:ilvl w:val="0"/>
          <w:numId w:val="21"/>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5" w:lineRule="exact"/>
        <w:rPr>
          <w:rFonts w:ascii="Arial" w:cs="Arial" w:eastAsia="Arial" w:hAnsi="Arial"/>
          <w:sz w:val="16"/>
          <w:szCs w:val="16"/>
          <w:color w:val="auto"/>
        </w:rPr>
      </w:pPr>
    </w:p>
    <w:p>
      <w:pPr>
        <w:ind w:right="60" w:firstLine="8"/>
        <w:spacing w:after="0" w:line="277" w:lineRule="auto"/>
        <w:tabs>
          <w:tab w:leader="none" w:pos="1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62" w:lineRule="exact"/>
        <w:rPr>
          <w:rFonts w:ascii="Arial" w:cs="Arial" w:eastAsia="Arial" w:hAnsi="Arial"/>
          <w:sz w:val="18"/>
          <w:szCs w:val="18"/>
          <w:color w:val="auto"/>
        </w:rPr>
      </w:pPr>
    </w:p>
    <w:p>
      <w:pPr>
        <w:ind w:right="20" w:firstLine="8"/>
        <w:spacing w:after="0" w:line="264" w:lineRule="auto"/>
        <w:tabs>
          <w:tab w:leader="none" w:pos="1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73" w:lineRule="exact"/>
        <w:rPr>
          <w:rFonts w:ascii="Arial" w:cs="Arial" w:eastAsia="Arial" w:hAnsi="Arial"/>
          <w:sz w:val="18"/>
          <w:szCs w:val="18"/>
          <w:color w:val="auto"/>
        </w:rPr>
      </w:pPr>
    </w:p>
    <w:p>
      <w:pPr>
        <w:ind w:left="500" w:right="180" w:hanging="6"/>
        <w:spacing w:after="0" w:line="264" w:lineRule="auto"/>
        <w:tabs>
          <w:tab w:leader="none" w:pos="745" w:val="left"/>
        </w:tabs>
        <w:numPr>
          <w:ilvl w:val="1"/>
          <w:numId w:val="21"/>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73" w:lineRule="exact"/>
        <w:rPr>
          <w:rFonts w:ascii="Arial" w:cs="Arial" w:eastAsia="Arial" w:hAnsi="Arial"/>
          <w:sz w:val="18"/>
          <w:szCs w:val="18"/>
          <w:color w:val="auto"/>
        </w:rPr>
      </w:pPr>
    </w:p>
    <w:p>
      <w:pPr>
        <w:ind w:left="500" w:right="400" w:hanging="6"/>
        <w:spacing w:after="0" w:line="264" w:lineRule="auto"/>
        <w:tabs>
          <w:tab w:leader="none" w:pos="755" w:val="left"/>
        </w:tabs>
        <w:numPr>
          <w:ilvl w:val="1"/>
          <w:numId w:val="21"/>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73" w:lineRule="exact"/>
        <w:rPr>
          <w:rFonts w:ascii="Arial" w:cs="Arial" w:eastAsia="Arial" w:hAnsi="Arial"/>
          <w:sz w:val="18"/>
          <w:szCs w:val="18"/>
          <w:color w:val="auto"/>
        </w:rPr>
      </w:pPr>
    </w:p>
    <w:p>
      <w:pPr>
        <w:ind w:left="500" w:right="980" w:hanging="6"/>
        <w:spacing w:after="0" w:line="342" w:lineRule="auto"/>
        <w:tabs>
          <w:tab w:leader="none" w:pos="745" w:val="left"/>
        </w:tabs>
        <w:numPr>
          <w:ilvl w:val="1"/>
          <w:numId w:val="21"/>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5" w:lineRule="exact"/>
        <w:rPr>
          <w:rFonts w:ascii="Arial" w:cs="Arial" w:eastAsia="Arial" w:hAnsi="Arial"/>
          <w:sz w:val="16"/>
          <w:szCs w:val="16"/>
          <w:color w:val="auto"/>
        </w:rPr>
      </w:pPr>
    </w:p>
    <w:p>
      <w:pPr>
        <w:ind w:left="500" w:right="20" w:hanging="6"/>
        <w:spacing w:after="0" w:line="264" w:lineRule="auto"/>
        <w:tabs>
          <w:tab w:leader="none" w:pos="755" w:val="left"/>
        </w:tabs>
        <w:numPr>
          <w:ilvl w:val="1"/>
          <w:numId w:val="21"/>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73" w:lineRule="exact"/>
        <w:rPr>
          <w:rFonts w:ascii="Arial" w:cs="Arial" w:eastAsia="Arial" w:hAnsi="Arial"/>
          <w:sz w:val="18"/>
          <w:szCs w:val="18"/>
          <w:color w:val="auto"/>
        </w:rPr>
      </w:pPr>
    </w:p>
    <w:p>
      <w:pPr>
        <w:ind w:right="640" w:firstLine="8"/>
        <w:spacing w:after="0" w:line="308" w:lineRule="auto"/>
        <w:tabs>
          <w:tab w:leader="none" w:pos="180" w:val="left"/>
        </w:tabs>
        <w:numPr>
          <w:ilvl w:val="0"/>
          <w:numId w:val="21"/>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38" w:lineRule="exact"/>
        <w:rPr>
          <w:rFonts w:ascii="Arial" w:cs="Arial" w:eastAsia="Arial" w:hAnsi="Arial"/>
          <w:sz w:val="17"/>
          <w:szCs w:val="17"/>
          <w:color w:val="auto"/>
        </w:rPr>
      </w:pPr>
    </w:p>
    <w:p>
      <w:pPr>
        <w:ind w:left="500" w:right="360" w:hanging="6"/>
        <w:spacing w:after="0" w:line="277" w:lineRule="auto"/>
        <w:tabs>
          <w:tab w:leader="none" w:pos="745" w:val="left"/>
        </w:tabs>
        <w:numPr>
          <w:ilvl w:val="1"/>
          <w:numId w:val="21"/>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62" w:lineRule="exact"/>
        <w:rPr>
          <w:rFonts w:ascii="Arial" w:cs="Arial" w:eastAsia="Arial" w:hAnsi="Arial"/>
          <w:sz w:val="18"/>
          <w:szCs w:val="18"/>
          <w:color w:val="auto"/>
        </w:rPr>
      </w:pPr>
    </w:p>
    <w:p>
      <w:pPr>
        <w:ind w:left="500" w:right="320" w:hanging="6"/>
        <w:spacing w:after="0" w:line="277" w:lineRule="auto"/>
        <w:tabs>
          <w:tab w:leader="none" w:pos="755" w:val="left"/>
        </w:tabs>
        <w:numPr>
          <w:ilvl w:val="1"/>
          <w:numId w:val="21"/>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August 9, 2018</w:t>
      </w:r>
    </w:p>
    <w:p>
      <w:pPr>
        <w:spacing w:after="0" w:line="200" w:lineRule="exact"/>
        <w:rPr>
          <w:sz w:val="20"/>
          <w:szCs w:val="20"/>
          <w:color w:val="auto"/>
        </w:rPr>
      </w:pPr>
    </w:p>
    <w:p>
      <w:pPr>
        <w:spacing w:after="0" w:line="228" w:lineRule="exact"/>
        <w:rPr>
          <w:sz w:val="20"/>
          <w:szCs w:val="20"/>
          <w:color w:val="auto"/>
        </w:rPr>
      </w:pPr>
    </w:p>
    <w:p>
      <w:pPr>
        <w:ind w:left="40"/>
        <w:spacing w:after="0"/>
        <w:rPr>
          <w:sz w:val="20"/>
          <w:szCs w:val="20"/>
          <w:color w:val="auto"/>
        </w:rPr>
      </w:pPr>
      <w:r>
        <w:rPr>
          <w:rFonts w:ascii="Arial" w:cs="Arial" w:eastAsia="Arial" w:hAnsi="Arial"/>
          <w:sz w:val="18"/>
          <w:szCs w:val="18"/>
          <w:color w:val="auto"/>
        </w:rPr>
        <w:t>/s/ Chris Rondeau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333629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336290" cy="8890"/>
                    </a:xfrm>
                    <a:prstGeom prst="rect">
                      <a:avLst/>
                    </a:prstGeom>
                    <a:noFill/>
                  </pic:spPr>
                </pic:pic>
              </a:graphicData>
            </a:graphic>
          </wp:anchor>
        </w:drawing>
      </w:r>
    </w:p>
    <w:p>
      <w:pPr>
        <w:spacing w:after="0" w:line="57" w:lineRule="exact"/>
        <w:rPr>
          <w:sz w:val="20"/>
          <w:szCs w:val="20"/>
          <w:color w:val="auto"/>
        </w:rPr>
      </w:pPr>
    </w:p>
    <w:p>
      <w:pPr>
        <w:ind w:left="40"/>
        <w:spacing w:after="0"/>
        <w:rPr>
          <w:sz w:val="20"/>
          <w:szCs w:val="20"/>
          <w:color w:val="auto"/>
        </w:rPr>
      </w:pPr>
      <w:r>
        <w:rPr>
          <w:rFonts w:ascii="Arial" w:cs="Arial" w:eastAsia="Arial" w:hAnsi="Arial"/>
          <w:sz w:val="18"/>
          <w:szCs w:val="18"/>
          <w:color w:val="auto"/>
        </w:rPr>
        <w:t>Chris Rondeau</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i w:val="1"/>
          <w:iCs w:val="1"/>
          <w:color w:val="auto"/>
        </w:rPr>
        <w:t>Chief Executive Officer</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(Principal Executive Officer)</w:t>
      </w:r>
    </w:p>
    <w:p>
      <w:pPr>
        <w:sectPr>
          <w:pgSz w:w="11900" w:h="16838" w:orient="portrait"/>
          <w:cols w:equalWidth="0" w:num="1">
            <w:col w:w="11420"/>
          </w:cols>
          <w:pgMar w:left="240" w:top="580" w:right="239" w:bottom="1440" w:gutter="0" w:footer="0" w:header="0"/>
        </w:sectPr>
      </w:pPr>
    </w:p>
    <w:bookmarkStart w:id="53" w:name="page54"/>
    <w:bookmarkEnd w:id="53"/>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PERIODIC REPORT UNDER SECTION 302 OF</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THE SARBANES-OXLEY ACT OF 2002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Dorvin Lively, certify that:</w:t>
      </w:r>
    </w:p>
    <w:p>
      <w:pPr>
        <w:spacing w:after="0" w:line="117" w:lineRule="exact"/>
        <w:rPr>
          <w:sz w:val="20"/>
          <w:szCs w:val="20"/>
          <w:color w:val="auto"/>
        </w:rPr>
      </w:pPr>
    </w:p>
    <w:p>
      <w:pPr>
        <w:ind w:left="180" w:hanging="172"/>
        <w:spacing w:after="0"/>
        <w:tabs>
          <w:tab w:leader="none" w:pos="1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Planet Fitness, Inc. (the “registrant”);</w:t>
      </w:r>
    </w:p>
    <w:p>
      <w:pPr>
        <w:spacing w:after="0" w:line="117" w:lineRule="exact"/>
        <w:rPr>
          <w:rFonts w:ascii="Arial" w:cs="Arial" w:eastAsia="Arial" w:hAnsi="Arial"/>
          <w:sz w:val="18"/>
          <w:szCs w:val="18"/>
          <w:color w:val="auto"/>
        </w:rPr>
      </w:pPr>
    </w:p>
    <w:p>
      <w:pPr>
        <w:ind w:right="440" w:firstLine="8"/>
        <w:spacing w:after="0" w:line="342" w:lineRule="auto"/>
        <w:tabs>
          <w:tab w:leader="none" w:pos="180" w:val="left"/>
        </w:tabs>
        <w:numPr>
          <w:ilvl w:val="0"/>
          <w:numId w:val="22"/>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5" w:lineRule="exact"/>
        <w:rPr>
          <w:rFonts w:ascii="Arial" w:cs="Arial" w:eastAsia="Arial" w:hAnsi="Arial"/>
          <w:sz w:val="16"/>
          <w:szCs w:val="16"/>
          <w:color w:val="auto"/>
        </w:rPr>
      </w:pPr>
    </w:p>
    <w:p>
      <w:pPr>
        <w:ind w:right="60" w:firstLine="8"/>
        <w:spacing w:after="0" w:line="277" w:lineRule="auto"/>
        <w:tabs>
          <w:tab w:leader="none" w:pos="1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62" w:lineRule="exact"/>
        <w:rPr>
          <w:rFonts w:ascii="Arial" w:cs="Arial" w:eastAsia="Arial" w:hAnsi="Arial"/>
          <w:sz w:val="18"/>
          <w:szCs w:val="18"/>
          <w:color w:val="auto"/>
        </w:rPr>
      </w:pPr>
    </w:p>
    <w:p>
      <w:pPr>
        <w:ind w:right="20" w:firstLine="8"/>
        <w:spacing w:after="0" w:line="264" w:lineRule="auto"/>
        <w:tabs>
          <w:tab w:leader="none" w:pos="1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73" w:lineRule="exact"/>
        <w:rPr>
          <w:rFonts w:ascii="Arial" w:cs="Arial" w:eastAsia="Arial" w:hAnsi="Arial"/>
          <w:sz w:val="18"/>
          <w:szCs w:val="18"/>
          <w:color w:val="auto"/>
        </w:rPr>
      </w:pPr>
    </w:p>
    <w:p>
      <w:pPr>
        <w:ind w:left="500" w:right="180" w:hanging="6"/>
        <w:spacing w:after="0" w:line="264" w:lineRule="auto"/>
        <w:tabs>
          <w:tab w:leader="none" w:pos="745" w:val="left"/>
        </w:tabs>
        <w:numPr>
          <w:ilvl w:val="1"/>
          <w:numId w:val="22"/>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73" w:lineRule="exact"/>
        <w:rPr>
          <w:rFonts w:ascii="Arial" w:cs="Arial" w:eastAsia="Arial" w:hAnsi="Arial"/>
          <w:sz w:val="18"/>
          <w:szCs w:val="18"/>
          <w:color w:val="auto"/>
        </w:rPr>
      </w:pPr>
    </w:p>
    <w:p>
      <w:pPr>
        <w:ind w:left="500" w:right="400" w:hanging="6"/>
        <w:spacing w:after="0" w:line="264" w:lineRule="auto"/>
        <w:tabs>
          <w:tab w:leader="none" w:pos="755" w:val="left"/>
        </w:tabs>
        <w:numPr>
          <w:ilvl w:val="1"/>
          <w:numId w:val="22"/>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73" w:lineRule="exact"/>
        <w:rPr>
          <w:rFonts w:ascii="Arial" w:cs="Arial" w:eastAsia="Arial" w:hAnsi="Arial"/>
          <w:sz w:val="18"/>
          <w:szCs w:val="18"/>
          <w:color w:val="auto"/>
        </w:rPr>
      </w:pPr>
    </w:p>
    <w:p>
      <w:pPr>
        <w:ind w:left="500" w:right="980" w:hanging="6"/>
        <w:spacing w:after="0" w:line="342" w:lineRule="auto"/>
        <w:tabs>
          <w:tab w:leader="none" w:pos="745" w:val="left"/>
        </w:tabs>
        <w:numPr>
          <w:ilvl w:val="1"/>
          <w:numId w:val="22"/>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5" w:lineRule="exact"/>
        <w:rPr>
          <w:rFonts w:ascii="Arial" w:cs="Arial" w:eastAsia="Arial" w:hAnsi="Arial"/>
          <w:sz w:val="16"/>
          <w:szCs w:val="16"/>
          <w:color w:val="auto"/>
        </w:rPr>
      </w:pPr>
    </w:p>
    <w:p>
      <w:pPr>
        <w:ind w:left="500" w:right="20" w:hanging="6"/>
        <w:spacing w:after="0" w:line="264" w:lineRule="auto"/>
        <w:tabs>
          <w:tab w:leader="none" w:pos="755" w:val="left"/>
        </w:tabs>
        <w:numPr>
          <w:ilvl w:val="1"/>
          <w:numId w:val="22"/>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73" w:lineRule="exact"/>
        <w:rPr>
          <w:rFonts w:ascii="Arial" w:cs="Arial" w:eastAsia="Arial" w:hAnsi="Arial"/>
          <w:sz w:val="18"/>
          <w:szCs w:val="18"/>
          <w:color w:val="auto"/>
        </w:rPr>
      </w:pPr>
    </w:p>
    <w:p>
      <w:pPr>
        <w:ind w:right="640" w:firstLine="8"/>
        <w:spacing w:after="0" w:line="308" w:lineRule="auto"/>
        <w:tabs>
          <w:tab w:leader="none" w:pos="180" w:val="left"/>
        </w:tabs>
        <w:numPr>
          <w:ilvl w:val="0"/>
          <w:numId w:val="22"/>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38" w:lineRule="exact"/>
        <w:rPr>
          <w:rFonts w:ascii="Arial" w:cs="Arial" w:eastAsia="Arial" w:hAnsi="Arial"/>
          <w:sz w:val="17"/>
          <w:szCs w:val="17"/>
          <w:color w:val="auto"/>
        </w:rPr>
      </w:pPr>
    </w:p>
    <w:p>
      <w:pPr>
        <w:ind w:left="500" w:right="360" w:hanging="6"/>
        <w:spacing w:after="0" w:line="277" w:lineRule="auto"/>
        <w:tabs>
          <w:tab w:leader="none" w:pos="745" w:val="left"/>
        </w:tabs>
        <w:numPr>
          <w:ilvl w:val="1"/>
          <w:numId w:val="22"/>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62" w:lineRule="exact"/>
        <w:rPr>
          <w:rFonts w:ascii="Arial" w:cs="Arial" w:eastAsia="Arial" w:hAnsi="Arial"/>
          <w:sz w:val="18"/>
          <w:szCs w:val="18"/>
          <w:color w:val="auto"/>
        </w:rPr>
      </w:pPr>
    </w:p>
    <w:p>
      <w:pPr>
        <w:ind w:left="500" w:right="320" w:hanging="6"/>
        <w:spacing w:after="0" w:line="277" w:lineRule="auto"/>
        <w:tabs>
          <w:tab w:leader="none" w:pos="755" w:val="left"/>
        </w:tabs>
        <w:numPr>
          <w:ilvl w:val="1"/>
          <w:numId w:val="22"/>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August 9, 2018</w:t>
      </w:r>
    </w:p>
    <w:p>
      <w:pPr>
        <w:spacing w:after="0" w:line="200" w:lineRule="exact"/>
        <w:rPr>
          <w:sz w:val="20"/>
          <w:szCs w:val="20"/>
          <w:color w:val="auto"/>
        </w:rPr>
      </w:pPr>
    </w:p>
    <w:p>
      <w:pPr>
        <w:spacing w:after="0" w:line="228" w:lineRule="exact"/>
        <w:rPr>
          <w:sz w:val="20"/>
          <w:szCs w:val="20"/>
          <w:color w:val="auto"/>
        </w:rPr>
      </w:pPr>
    </w:p>
    <w:p>
      <w:pPr>
        <w:ind w:left="40"/>
        <w:spacing w:after="0"/>
        <w:rPr>
          <w:sz w:val="20"/>
          <w:szCs w:val="20"/>
          <w:color w:val="auto"/>
        </w:rPr>
      </w:pPr>
      <w:r>
        <w:rPr>
          <w:rFonts w:ascii="Arial" w:cs="Arial" w:eastAsia="Arial" w:hAnsi="Arial"/>
          <w:sz w:val="18"/>
          <w:szCs w:val="18"/>
          <w:color w:val="auto"/>
        </w:rPr>
        <w:t>/s/ Dorvin Lively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3413125"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413125" cy="8890"/>
                    </a:xfrm>
                    <a:prstGeom prst="rect">
                      <a:avLst/>
                    </a:prstGeom>
                    <a:noFill/>
                  </pic:spPr>
                </pic:pic>
              </a:graphicData>
            </a:graphic>
          </wp:anchor>
        </w:drawing>
      </w:r>
    </w:p>
    <w:p>
      <w:pPr>
        <w:spacing w:after="0" w:line="57" w:lineRule="exact"/>
        <w:rPr>
          <w:sz w:val="20"/>
          <w:szCs w:val="20"/>
          <w:color w:val="auto"/>
        </w:rPr>
      </w:pPr>
    </w:p>
    <w:p>
      <w:pPr>
        <w:ind w:left="40"/>
        <w:spacing w:after="0"/>
        <w:rPr>
          <w:sz w:val="20"/>
          <w:szCs w:val="20"/>
          <w:color w:val="auto"/>
        </w:rPr>
      </w:pPr>
      <w:r>
        <w:rPr>
          <w:rFonts w:ascii="Arial" w:cs="Arial" w:eastAsia="Arial" w:hAnsi="Arial"/>
          <w:sz w:val="18"/>
          <w:szCs w:val="18"/>
          <w:color w:val="auto"/>
        </w:rPr>
        <w:t>Dorvin Lively</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i w:val="1"/>
          <w:iCs w:val="1"/>
          <w:color w:val="auto"/>
        </w:rPr>
        <w:t>President and Chief Financial Officer</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(Principal Financial and Accounting Officer)</w:t>
      </w:r>
    </w:p>
    <w:p>
      <w:pPr>
        <w:sectPr>
          <w:pgSz w:w="11900" w:h="16838" w:orient="portrait"/>
          <w:cols w:equalWidth="0" w:num="1">
            <w:col w:w="11420"/>
          </w:cols>
          <w:pgMar w:left="240" w:top="580" w:right="239" w:bottom="1440" w:gutter="0" w:footer="0" w:header="0"/>
        </w:sectPr>
      </w:pPr>
    </w:p>
    <w:bookmarkStart w:id="54" w:name="page55"/>
    <w:bookmarkEnd w:id="54"/>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SARBANES-OXLEY ACT OF 2002</w:t>
      </w:r>
    </w:p>
    <w:p>
      <w:pPr>
        <w:spacing w:after="0" w:line="211" w:lineRule="exact"/>
        <w:rPr>
          <w:sz w:val="20"/>
          <w:szCs w:val="20"/>
          <w:color w:val="auto"/>
        </w:rPr>
      </w:pPr>
    </w:p>
    <w:p>
      <w:pPr>
        <w:ind w:right="280"/>
        <w:spacing w:after="0" w:line="264" w:lineRule="auto"/>
        <w:rPr>
          <w:sz w:val="20"/>
          <w:szCs w:val="20"/>
          <w:color w:val="auto"/>
        </w:rPr>
      </w:pPr>
      <w:r>
        <w:rPr>
          <w:rFonts w:ascii="Arial" w:cs="Arial" w:eastAsia="Arial" w:hAnsi="Arial"/>
          <w:sz w:val="18"/>
          <w:szCs w:val="18"/>
          <w:color w:val="auto"/>
        </w:rPr>
        <w:t>In connection with the quarterly report of Planet Fitness, Inc. (the “Company”) on Form 10-Q for the fiscal quarter ended June 30, 2018 filed with the Securities and Exchange Commission on the date hereof (the “Report”), I, Chris Rondeau, Chief Executive Officer of the Company, certify, pursuant to 18 U.S.C. Section 1350, as adopted pursuant to Section 906 of the Sarbanes-Oxley Act of 2002, that:</w:t>
      </w:r>
    </w:p>
    <w:p>
      <w:pPr>
        <w:spacing w:after="0" w:line="73" w:lineRule="exact"/>
        <w:rPr>
          <w:sz w:val="20"/>
          <w:szCs w:val="20"/>
          <w:color w:val="auto"/>
        </w:rPr>
      </w:pPr>
    </w:p>
    <w:p>
      <w:pPr>
        <w:ind w:left="600" w:hanging="322"/>
        <w:spacing w:after="0"/>
        <w:tabs>
          <w:tab w:leader="none" w:pos="6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117" w:lineRule="exact"/>
        <w:rPr>
          <w:rFonts w:ascii="Arial" w:cs="Arial" w:eastAsia="Arial" w:hAnsi="Arial"/>
          <w:sz w:val="18"/>
          <w:szCs w:val="18"/>
          <w:color w:val="auto"/>
        </w:rPr>
      </w:pPr>
    </w:p>
    <w:p>
      <w:pPr>
        <w:ind w:left="600" w:right="160" w:hanging="322"/>
        <w:spacing w:after="0" w:line="277" w:lineRule="auto"/>
        <w:tabs>
          <w:tab w:leader="none" w:pos="6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 for the periods presented therein.</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August 9, 2018</w:t>
      </w:r>
    </w:p>
    <w:p>
      <w:pPr>
        <w:spacing w:after="0" w:line="200" w:lineRule="exact"/>
        <w:rPr>
          <w:sz w:val="20"/>
          <w:szCs w:val="20"/>
          <w:color w:val="auto"/>
        </w:rPr>
      </w:pPr>
    </w:p>
    <w:p>
      <w:pPr>
        <w:spacing w:after="0" w:line="228" w:lineRule="exact"/>
        <w:rPr>
          <w:sz w:val="20"/>
          <w:szCs w:val="20"/>
          <w:color w:val="auto"/>
        </w:rPr>
      </w:pPr>
    </w:p>
    <w:p>
      <w:pPr>
        <w:ind w:left="40"/>
        <w:spacing w:after="0"/>
        <w:rPr>
          <w:sz w:val="20"/>
          <w:szCs w:val="20"/>
          <w:color w:val="auto"/>
        </w:rPr>
      </w:pPr>
      <w:r>
        <w:rPr>
          <w:rFonts w:ascii="Arial" w:cs="Arial" w:eastAsia="Arial" w:hAnsi="Arial"/>
          <w:sz w:val="18"/>
          <w:szCs w:val="18"/>
          <w:color w:val="auto"/>
        </w:rPr>
        <w:t>/s/ Chris Rondeau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2898775"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57" w:lineRule="exact"/>
        <w:rPr>
          <w:sz w:val="20"/>
          <w:szCs w:val="20"/>
          <w:color w:val="auto"/>
        </w:rPr>
      </w:pPr>
    </w:p>
    <w:p>
      <w:pPr>
        <w:ind w:left="40"/>
        <w:spacing w:after="0"/>
        <w:rPr>
          <w:sz w:val="20"/>
          <w:szCs w:val="20"/>
          <w:color w:val="auto"/>
        </w:rPr>
      </w:pPr>
      <w:r>
        <w:rPr>
          <w:rFonts w:ascii="Arial" w:cs="Arial" w:eastAsia="Arial" w:hAnsi="Arial"/>
          <w:sz w:val="18"/>
          <w:szCs w:val="18"/>
          <w:color w:val="auto"/>
        </w:rPr>
        <w:t>Chris Rondeau</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i w:val="1"/>
          <w:iCs w:val="1"/>
          <w:color w:val="auto"/>
        </w:rPr>
        <w:t>Chief Executive Officer</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(Principal Executive Officer)</w:t>
      </w:r>
    </w:p>
    <w:p>
      <w:pPr>
        <w:sectPr>
          <w:pgSz w:w="11900" w:h="16838" w:orient="portrait"/>
          <w:cols w:equalWidth="0" w:num="1">
            <w:col w:w="11420"/>
          </w:cols>
          <w:pgMar w:left="240" w:top="580" w:right="239" w:bottom="1440" w:gutter="0" w:footer="0" w:header="0"/>
        </w:sectPr>
      </w:pPr>
    </w:p>
    <w:bookmarkStart w:id="55" w:name="page56"/>
    <w:bookmarkEnd w:id="55"/>
    <w:p>
      <w:pPr>
        <w:jc w:val="right"/>
        <w:spacing w:after="0"/>
        <w:rPr>
          <w:sz w:val="20"/>
          <w:szCs w:val="20"/>
          <w:color w:val="auto"/>
        </w:rPr>
      </w:pPr>
      <w:r>
        <w:rPr>
          <w:rFonts w:ascii="Arial" w:cs="Arial" w:eastAsia="Arial" w:hAnsi="Arial"/>
          <w:sz w:val="18"/>
          <w:szCs w:val="18"/>
          <w:b w:val="1"/>
          <w:bCs w:val="1"/>
          <w:color w:val="auto"/>
        </w:rPr>
        <w:t>Exhibit 32.2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SARBANES-OXLEY ACT OF 2002</w:t>
      </w:r>
    </w:p>
    <w:p>
      <w:pPr>
        <w:spacing w:after="0" w:line="211" w:lineRule="exact"/>
        <w:rPr>
          <w:sz w:val="20"/>
          <w:szCs w:val="20"/>
          <w:color w:val="auto"/>
        </w:rPr>
      </w:pPr>
    </w:p>
    <w:p>
      <w:pPr>
        <w:ind w:right="380"/>
        <w:spacing w:after="0" w:line="264" w:lineRule="auto"/>
        <w:rPr>
          <w:sz w:val="20"/>
          <w:szCs w:val="20"/>
          <w:color w:val="auto"/>
        </w:rPr>
      </w:pPr>
      <w:r>
        <w:rPr>
          <w:rFonts w:ascii="Arial" w:cs="Arial" w:eastAsia="Arial" w:hAnsi="Arial"/>
          <w:sz w:val="18"/>
          <w:szCs w:val="18"/>
          <w:color w:val="auto"/>
        </w:rPr>
        <w:t>In connection with the quarterly report of Planet Fitness, Inc. (the “Company”) on Form 10-Q for the fiscal quarter ended June 30, 2018 filed with the Securities and Exchange Commission on the date hereof (the “Report”), I, Dorvin Lively, Chief Financial Officer of the Company, certify, pursuant to 18 U.S.C. Section 1350, as adopted pursuant to Section 906 of the Sarbanes-Oxley Act of 2002, that:</w:t>
      </w:r>
    </w:p>
    <w:p>
      <w:pPr>
        <w:spacing w:after="0" w:line="73" w:lineRule="exact"/>
        <w:rPr>
          <w:sz w:val="20"/>
          <w:szCs w:val="20"/>
          <w:color w:val="auto"/>
        </w:rPr>
      </w:pPr>
    </w:p>
    <w:p>
      <w:pPr>
        <w:ind w:left="600" w:hanging="322"/>
        <w:spacing w:after="0"/>
        <w:tabs>
          <w:tab w:leader="none" w:pos="6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117" w:lineRule="exact"/>
        <w:rPr>
          <w:rFonts w:ascii="Arial" w:cs="Arial" w:eastAsia="Arial" w:hAnsi="Arial"/>
          <w:sz w:val="18"/>
          <w:szCs w:val="18"/>
          <w:color w:val="auto"/>
        </w:rPr>
      </w:pPr>
    </w:p>
    <w:p>
      <w:pPr>
        <w:ind w:left="600" w:right="160" w:hanging="322"/>
        <w:spacing w:after="0" w:line="277" w:lineRule="auto"/>
        <w:tabs>
          <w:tab w:leader="none" w:pos="6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 for the periods presented therein.</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August 9, 2018</w:t>
      </w:r>
    </w:p>
    <w:p>
      <w:pPr>
        <w:spacing w:after="0" w:line="200" w:lineRule="exact"/>
        <w:rPr>
          <w:sz w:val="20"/>
          <w:szCs w:val="20"/>
          <w:color w:val="auto"/>
        </w:rPr>
      </w:pPr>
    </w:p>
    <w:p>
      <w:pPr>
        <w:spacing w:after="0" w:line="228" w:lineRule="exact"/>
        <w:rPr>
          <w:sz w:val="20"/>
          <w:szCs w:val="20"/>
          <w:color w:val="auto"/>
        </w:rPr>
      </w:pPr>
    </w:p>
    <w:p>
      <w:pPr>
        <w:ind w:left="40"/>
        <w:spacing w:after="0"/>
        <w:rPr>
          <w:sz w:val="20"/>
          <w:szCs w:val="20"/>
          <w:color w:val="auto"/>
        </w:rPr>
      </w:pPr>
      <w:r>
        <w:rPr>
          <w:rFonts w:ascii="Arial" w:cs="Arial" w:eastAsia="Arial" w:hAnsi="Arial"/>
          <w:sz w:val="18"/>
          <w:szCs w:val="18"/>
          <w:color w:val="auto"/>
        </w:rPr>
        <w:t>/s/ Dorvin Lively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319024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3190240" cy="8890"/>
                    </a:xfrm>
                    <a:prstGeom prst="rect">
                      <a:avLst/>
                    </a:prstGeom>
                    <a:noFill/>
                  </pic:spPr>
                </pic:pic>
              </a:graphicData>
            </a:graphic>
          </wp:anchor>
        </w:drawing>
      </w:r>
    </w:p>
    <w:p>
      <w:pPr>
        <w:spacing w:after="0" w:line="57" w:lineRule="exact"/>
        <w:rPr>
          <w:sz w:val="20"/>
          <w:szCs w:val="20"/>
          <w:color w:val="auto"/>
        </w:rPr>
      </w:pPr>
    </w:p>
    <w:p>
      <w:pPr>
        <w:ind w:left="40"/>
        <w:spacing w:after="0"/>
        <w:rPr>
          <w:sz w:val="20"/>
          <w:szCs w:val="20"/>
          <w:color w:val="auto"/>
        </w:rPr>
      </w:pPr>
      <w:r>
        <w:rPr>
          <w:rFonts w:ascii="Arial" w:cs="Arial" w:eastAsia="Arial" w:hAnsi="Arial"/>
          <w:sz w:val="18"/>
          <w:szCs w:val="18"/>
          <w:color w:val="auto"/>
        </w:rPr>
        <w:t>Dorvin Lively</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i w:val="1"/>
          <w:iCs w:val="1"/>
          <w:color w:val="auto"/>
        </w:rPr>
        <w:t>President and Chief Financial Officer</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(Principal Financial and Accounting Officer)</w:t>
      </w:r>
    </w:p>
    <w:sectPr>
      <w:pgSz w:w="11900" w:h="16838" w:orient="portrait"/>
      <w:cols w:equalWidth="0" w:num="1">
        <w:col w:w="11420"/>
      </w:cols>
      <w:pgMar w:left="240" w:top="58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40E0F76"/>
    <w:multiLevelType w:val="hybridMultilevel"/>
    <w:lvl w:ilvl="0">
      <w:lvlJc w:val="left"/>
      <w:lvlText w:val="☒"/>
      <w:numFmt w:val="bullet"/>
      <w:start w:val="1"/>
    </w:lvl>
  </w:abstractNum>
  <w:abstractNum w:abstractNumId="1">
    <w:nsid w:val="3352255A"/>
    <w:multiLevelType w:val="hybridMultilevel"/>
    <w:lvl w:ilvl="0">
      <w:lvlJc w:val="left"/>
      <w:lvlText w:val="☐"/>
      <w:numFmt w:val="bullet"/>
      <w:start w:val="1"/>
    </w:lvl>
  </w:abstractNum>
  <w:abstractNum w:abstractNumId="2">
    <w:nsid w:val="109CF92E"/>
    <w:multiLevelType w:val="hybridMultilevel"/>
    <w:lvl w:ilvl="0">
      <w:lvlJc w:val="left"/>
      <w:lvlText w:val="•"/>
      <w:numFmt w:val="bullet"/>
      <w:start w:val="1"/>
    </w:lvl>
  </w:abstractNum>
  <w:abstractNum w:abstractNumId="3">
    <w:nsid w:val="DED7263"/>
    <w:multiLevelType w:val="hybridMultilevel"/>
    <w:lvl w:ilvl="0">
      <w:lvlJc w:val="left"/>
      <w:lvlText w:val="•"/>
      <w:numFmt w:val="bullet"/>
      <w:start w:val="1"/>
    </w:lvl>
  </w:abstractNum>
  <w:abstractNum w:abstractNumId="4">
    <w:nsid w:val="7FDCC233"/>
    <w:multiLevelType w:val="hybridMultilevel"/>
    <w:lvl w:ilvl="0">
      <w:lvlJc w:val="left"/>
      <w:lvlText w:val="•"/>
      <w:numFmt w:val="bullet"/>
      <w:start w:val="1"/>
    </w:lvl>
  </w:abstractNum>
  <w:abstractNum w:abstractNumId="5">
    <w:nsid w:val="1BEFD79F"/>
    <w:multiLevelType w:val="hybridMultilevel"/>
    <w:lvl w:ilvl="0">
      <w:lvlJc w:val="left"/>
      <w:lvlText w:val="(%1)"/>
      <w:numFmt w:val="decimal"/>
      <w:start w:val="9"/>
    </w:lvl>
    <w:lvl w:ilvl="1">
      <w:lvlJc w:val="left"/>
      <w:lvlText w:val="•"/>
      <w:numFmt w:val="bullet"/>
      <w:start w:val="1"/>
    </w:lvl>
  </w:abstractNum>
  <w:abstractNum w:abstractNumId="6">
    <w:nsid w:val="41A7C4C9"/>
    <w:multiLevelType w:val="hybridMultilevel"/>
    <w:lvl w:ilvl="0">
      <w:lvlJc w:val="left"/>
      <w:lvlText w:val="(%1)"/>
      <w:numFmt w:val="decimal"/>
      <w:start w:val="1"/>
    </w:lvl>
  </w:abstractNum>
  <w:abstractNum w:abstractNumId="7">
    <w:nsid w:val="6B68079A"/>
    <w:multiLevelType w:val="hybridMultilevel"/>
    <w:lvl w:ilvl="0">
      <w:lvlJc w:val="left"/>
      <w:lvlText w:val="•"/>
      <w:numFmt w:val="bullet"/>
      <w:start w:val="1"/>
    </w:lvl>
  </w:abstractNum>
  <w:abstractNum w:abstractNumId="8">
    <w:nsid w:val="4E6AFB66"/>
    <w:multiLevelType w:val="hybridMultilevel"/>
    <w:lvl w:ilvl="0">
      <w:lvlJc w:val="left"/>
      <w:lvlText w:val="(%1)"/>
      <w:numFmt w:val="decimal"/>
      <w:start w:val="1"/>
    </w:lvl>
  </w:abstractNum>
  <w:abstractNum w:abstractNumId="9">
    <w:nsid w:val="25E45D32"/>
    <w:multiLevelType w:val="hybridMultilevel"/>
    <w:lvl w:ilvl="0">
      <w:lvlJc w:val="left"/>
      <w:lvlText w:val="(%1)"/>
      <w:numFmt w:val="decimal"/>
      <w:start w:val="1"/>
    </w:lvl>
  </w:abstractNum>
  <w:abstractNum w:abstractNumId="10">
    <w:nsid w:val="519B500D"/>
    <w:multiLevelType w:val="hybridMultilevel"/>
    <w:lvl w:ilvl="0">
      <w:lvlJc w:val="left"/>
      <w:lvlText w:val="(%1)"/>
      <w:numFmt w:val="decimal"/>
      <w:start w:val="1"/>
    </w:lvl>
  </w:abstractNum>
  <w:abstractNum w:abstractNumId="11">
    <w:nsid w:val="431BD7B7"/>
    <w:multiLevelType w:val="hybridMultilevel"/>
    <w:lvl w:ilvl="0">
      <w:lvlJc w:val="left"/>
      <w:lvlText w:val="•"/>
      <w:numFmt w:val="bullet"/>
      <w:start w:val="1"/>
    </w:lvl>
  </w:abstractNum>
  <w:abstractNum w:abstractNumId="12">
    <w:nsid w:val="3F2DBA31"/>
    <w:multiLevelType w:val="hybridMultilevel"/>
    <w:lvl w:ilvl="0">
      <w:lvlJc w:val="left"/>
      <w:lvlText w:val="(%1)"/>
      <w:numFmt w:val="decimal"/>
      <w:start w:val="1"/>
    </w:lvl>
  </w:abstractNum>
  <w:abstractNum w:abstractNumId="13">
    <w:nsid w:val="7C83E458"/>
    <w:multiLevelType w:val="hybridMultilevel"/>
    <w:lvl w:ilvl="0">
      <w:lvlJc w:val="left"/>
      <w:lvlText w:val="(%1)"/>
      <w:numFmt w:val="decimal"/>
      <w:start w:val="9"/>
    </w:lvl>
  </w:abstractNum>
  <w:abstractNum w:abstractNumId="14">
    <w:nsid w:val="257130A3"/>
    <w:multiLevelType w:val="hybridMultilevel"/>
    <w:lvl w:ilvl="0">
      <w:lvlJc w:val="left"/>
      <w:lvlText w:val="(%1)"/>
      <w:numFmt w:val="decimal"/>
      <w:start w:val="1"/>
    </w:lvl>
  </w:abstractNum>
  <w:abstractNum w:abstractNumId="15">
    <w:nsid w:val="62BBD95A"/>
    <w:multiLevelType w:val="hybridMultilevel"/>
    <w:lvl w:ilvl="0">
      <w:lvlJc w:val="left"/>
      <w:lvlText w:val="(%1)"/>
      <w:numFmt w:val="decimal"/>
      <w:start w:val="2"/>
    </w:lvl>
  </w:abstractNum>
  <w:abstractNum w:abstractNumId="16">
    <w:nsid w:val="436C6125"/>
    <w:multiLevelType w:val="hybridMultilevel"/>
    <w:lvl w:ilvl="0">
      <w:lvlJc w:val="left"/>
      <w:lvlText w:val="(%1)"/>
      <w:numFmt w:val="decimal"/>
      <w:start w:val="1"/>
    </w:lvl>
  </w:abstractNum>
  <w:abstractNum w:abstractNumId="17">
    <w:nsid w:val="628C895D"/>
    <w:multiLevelType w:val="hybridMultilevel"/>
    <w:lvl w:ilvl="0">
      <w:lvlJc w:val="left"/>
      <w:lvlText w:val="(%1)"/>
      <w:numFmt w:val="decimal"/>
      <w:start w:val="1"/>
    </w:lvl>
  </w:abstractNum>
  <w:abstractNum w:abstractNumId="18">
    <w:nsid w:val="333AB105"/>
    <w:multiLevelType w:val="hybridMultilevel"/>
    <w:lvl w:ilvl="0">
      <w:lvlJc w:val="left"/>
      <w:lvlText w:val="•"/>
      <w:numFmt w:val="bullet"/>
      <w:start w:val="1"/>
    </w:lvl>
  </w:abstractNum>
  <w:abstractNum w:abstractNumId="19">
    <w:nsid w:val="721DA317"/>
    <w:multiLevelType w:val="hybridMultilevel"/>
    <w:lvl w:ilvl="0">
      <w:lvlJc w:val="left"/>
      <w:lvlText w:val="•"/>
      <w:numFmt w:val="bullet"/>
      <w:start w:val="1"/>
    </w:lvl>
  </w:abstractNum>
  <w:abstractNum w:abstractNumId="20">
    <w:nsid w:val="2443A858"/>
    <w:multiLevelType w:val="hybridMultilevel"/>
    <w:lvl w:ilvl="0">
      <w:lvlJc w:val="left"/>
      <w:lvlText w:val="%1."/>
      <w:numFmt w:val="decimal"/>
      <w:start w:val="1"/>
    </w:lvl>
    <w:lvl w:ilvl="1">
      <w:lvlJc w:val="left"/>
      <w:lvlText w:val="(%2)"/>
      <w:numFmt w:val="lowerLetter"/>
      <w:start w:val="1"/>
    </w:lvl>
  </w:abstractNum>
  <w:abstractNum w:abstractNumId="21">
    <w:nsid w:val="2D1D5AE9"/>
    <w:multiLevelType w:val="hybridMultilevel"/>
    <w:lvl w:ilvl="0">
      <w:lvlJc w:val="left"/>
      <w:lvlText w:val="%1."/>
      <w:numFmt w:val="decimal"/>
      <w:start w:val="1"/>
    </w:lvl>
    <w:lvl w:ilvl="1">
      <w:lvlJc w:val="left"/>
      <w:lvlText w:val="(%2)"/>
      <w:numFmt w:val="lowerLetter"/>
      <w:start w:val="1"/>
    </w:lvl>
  </w:abstractNum>
  <w:abstractNum w:abstractNumId="22">
    <w:nsid w:val="6763845E"/>
    <w:multiLevelType w:val="hybridMultilevel"/>
    <w:lvl w:ilvl="0">
      <w:lvlJc w:val="left"/>
      <w:lvlText w:val="•"/>
      <w:numFmt w:val="bullet"/>
      <w:start w:val="1"/>
    </w:lvl>
  </w:abstractNum>
  <w:abstractNum w:abstractNumId="23">
    <w:nsid w:val="75A2A8D4"/>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2020-01-13T07:22:10Z</dcterms:created>
  <dcterms:modified xsi:type="dcterms:W3CDTF">2020-01-13T07:22:10Z</dcterms:modified>
</cp:coreProperties>
</file>