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10/03/2016</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10/03/2016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3"/>
            <w:vMerge w:val="restart"/>
          </w:tcPr>
          <w:p>
            <w:pPr>
              <w:jc w:val="center"/>
              <w:ind w:left="14"/>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10/03/2016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19.7623</w:t>
            </w:r>
            <w:r>
              <w:rPr>
                <w:rFonts w:ascii="Arial" w:cs="Arial" w:eastAsia="Arial" w:hAnsi="Arial"/>
                <w:sz w:val="21"/>
                <w:szCs w:val="21"/>
                <w:color w:val="008000"/>
                <w:w w:val="88"/>
                <w:vertAlign w:val="superscript"/>
              </w:rPr>
              <w:t>(3)</w:t>
            </w:r>
          </w:p>
        </w:tc>
        <w:tc>
          <w:tcPr>
            <w:tcW w:w="520" w:type="dxa"/>
            <w:vAlign w:val="bottom"/>
          </w:tcPr>
          <w:p>
            <w:pPr>
              <w:spacing w:after="0"/>
              <w:rPr>
                <w:sz w:val="22"/>
                <w:szCs w:val="22"/>
                <w:color w:val="auto"/>
              </w:rPr>
            </w:pPr>
          </w:p>
        </w:tc>
        <w:tc>
          <w:tcPr>
            <w:tcW w:w="700" w:type="dxa"/>
            <w:vAlign w:val="bottom"/>
            <w:vMerge w:val="restart"/>
          </w:tcPr>
          <w:p>
            <w:pPr>
              <w:jc w:val="center"/>
              <w:ind w:right="516"/>
              <w:spacing w:after="0"/>
              <w:rPr>
                <w:sz w:val="20"/>
                <w:szCs w:val="20"/>
                <w:color w:val="auto"/>
              </w:rPr>
            </w:pPr>
            <w:r>
              <w:rPr>
                <w:rFonts w:ascii="Arial" w:cs="Arial" w:eastAsia="Arial" w:hAnsi="Arial"/>
                <w:sz w:val="17"/>
                <w:szCs w:val="17"/>
                <w:color w:val="0000FF"/>
                <w:w w:val="84"/>
              </w:rPr>
              <w:t>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10/03/2016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3"/>
            <w:vMerge w:val="restart"/>
          </w:tcPr>
          <w:p>
            <w:pPr>
              <w:jc w:val="center"/>
              <w:ind w:left="34"/>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10/03/2016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19.7663</w:t>
            </w:r>
            <w:r>
              <w:rPr>
                <w:rFonts w:ascii="Arial" w:cs="Arial" w:eastAsia="Arial" w:hAnsi="Arial"/>
                <w:sz w:val="21"/>
                <w:szCs w:val="21"/>
                <w:color w:val="008000"/>
                <w:w w:val="88"/>
                <w:vertAlign w:val="superscript"/>
              </w:rPr>
              <w:t>(4)</w:t>
            </w:r>
          </w:p>
        </w:tc>
        <w:tc>
          <w:tcPr>
            <w:tcW w:w="520" w:type="dxa"/>
            <w:vAlign w:val="bottom"/>
          </w:tcPr>
          <w:p>
            <w:pPr>
              <w:spacing w:after="0"/>
              <w:rPr>
                <w:sz w:val="22"/>
                <w:szCs w:val="22"/>
                <w:color w:val="auto"/>
              </w:rPr>
            </w:pPr>
          </w:p>
        </w:tc>
        <w:tc>
          <w:tcPr>
            <w:tcW w:w="700" w:type="dxa"/>
            <w:vAlign w:val="bottom"/>
            <w:vMerge w:val="restart"/>
          </w:tcPr>
          <w:p>
            <w:pPr>
              <w:jc w:val="center"/>
              <w:ind w:right="516"/>
              <w:spacing w:after="0"/>
              <w:rPr>
                <w:sz w:val="20"/>
                <w:szCs w:val="20"/>
                <w:color w:val="auto"/>
              </w:rPr>
            </w:pPr>
            <w:r>
              <w:rPr>
                <w:rFonts w:ascii="Arial" w:cs="Arial" w:eastAsia="Arial" w:hAnsi="Arial"/>
                <w:sz w:val="17"/>
                <w:szCs w:val="17"/>
                <w:color w:val="0000FF"/>
                <w:w w:val="84"/>
              </w:rPr>
              <w:t>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(6)</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4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7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00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6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6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6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1000" w:type="dxa"/>
            <w:vAlign w:val="bottom"/>
            <w:gridSpan w:val="2"/>
          </w:tcPr>
          <w:p>
            <w:pPr>
              <w:ind w:left="120"/>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000" w:type="dxa"/>
            <w:vAlign w:val="bottom"/>
            <w:gridSpan w:val="2"/>
            <w:vMerge w:val="restart"/>
          </w:tcPr>
          <w:p>
            <w:pPr>
              <w:ind w:left="120"/>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0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(1)(2)</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(2)</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(2)</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0" w:type="dxa"/>
            <w:vAlign w:val="bottom"/>
            <w:gridSpan w:val="2"/>
            <w:vMerge w:val="restart"/>
          </w:tcPr>
          <w:p>
            <w:pPr>
              <w:ind w:left="200"/>
              <w:spacing w:after="0"/>
              <w:rPr>
                <w:sz w:val="20"/>
                <w:szCs w:val="20"/>
                <w:color w:val="auto"/>
              </w:rPr>
            </w:pPr>
            <w:r>
              <w:rPr>
                <w:rFonts w:ascii="Arial" w:cs="Arial" w:eastAsia="Arial" w:hAnsi="Arial"/>
                <w:sz w:val="13"/>
                <w:szCs w:val="13"/>
                <w:color w:val="0000FF"/>
              </w:rPr>
              <w:t>6,638,147</w:t>
            </w:r>
            <w:r>
              <w:rPr>
                <w:rFonts w:ascii="Arial" w:cs="Arial" w:eastAsia="Arial" w:hAnsi="Arial"/>
                <w:sz w:val="21"/>
                <w:szCs w:val="21"/>
                <w:color w:val="008000"/>
                <w:vertAlign w:val="superscript"/>
              </w:rPr>
              <w:t>(2)</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10/03/2016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6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00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(1)(2)</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(2)</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(2)</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0" w:type="dxa"/>
            <w:vAlign w:val="bottom"/>
            <w:gridSpan w:val="2"/>
            <w:vMerge w:val="restart"/>
          </w:tcPr>
          <w:p>
            <w:pPr>
              <w:ind w:left="200"/>
              <w:spacing w:after="0"/>
              <w:rPr>
                <w:sz w:val="20"/>
                <w:szCs w:val="20"/>
                <w:color w:val="auto"/>
              </w:rPr>
            </w:pPr>
            <w:r>
              <w:rPr>
                <w:rFonts w:ascii="Arial" w:cs="Arial" w:eastAsia="Arial" w:hAnsi="Arial"/>
                <w:sz w:val="13"/>
                <w:szCs w:val="13"/>
                <w:color w:val="0000FF"/>
              </w:rPr>
              <w:t>1,930,163</w:t>
            </w:r>
            <w:r>
              <w:rPr>
                <w:rFonts w:ascii="Arial" w:cs="Arial" w:eastAsia="Arial" w:hAnsi="Arial"/>
                <w:sz w:val="21"/>
                <w:szCs w:val="21"/>
                <w:color w:val="008000"/>
                <w:vertAlign w:val="superscript"/>
              </w:rPr>
              <w:t>(2)</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10/03/2016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6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00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220" w:firstLine="5"/>
        <w:spacing w:after="0" w:line="267" w:lineRule="auto"/>
        <w:tabs>
          <w:tab w:leader="none" w:pos="172"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The Holding Units do not expire and the holders thereof are not required to pay an exercise price in connection with exchanges.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8" w:lineRule="exact"/>
        <w:rPr>
          <w:rFonts w:ascii="Arial" w:cs="Arial" w:eastAsia="Arial" w:hAnsi="Arial"/>
          <w:sz w:val="12"/>
          <w:szCs w:val="12"/>
          <w:color w:val="008000"/>
        </w:rPr>
      </w:pPr>
    </w:p>
    <w:p>
      <w:pPr>
        <w:ind w:left="40" w:right="240" w:firstLine="5"/>
        <w:spacing w:after="0" w:line="324" w:lineRule="auto"/>
        <w:tabs>
          <w:tab w:leader="none" w:pos="172" w:val="left"/>
        </w:tabs>
        <w:numPr>
          <w:ilvl w:val="0"/>
          <w:numId w:val="2"/>
        </w:numPr>
        <w:rPr>
          <w:rFonts w:ascii="Arial" w:cs="Arial" w:eastAsia="Arial" w:hAnsi="Arial"/>
          <w:sz w:val="11"/>
          <w:szCs w:val="11"/>
          <w:color w:val="008000"/>
        </w:rPr>
      </w:pPr>
      <w:r>
        <w:rPr>
          <w:rFonts w:ascii="Arial" w:cs="Arial" w:eastAsia="Arial" w:hAnsi="Arial"/>
          <w:sz w:val="11"/>
          <w:szCs w:val="11"/>
          <w:color w:val="008000"/>
        </w:rPr>
        <w:t>The price reported in Column 4 is a weighted average price. The shares were sold in multiple transactions at prices ranging from $19.57 to $19.95, inclusive. Mr. Rondeau undertakes to provide to the Issuer, any security holder of the Issuer, or the staff of the Securities and Exchange Commission, upon request, full information regarding the number of shares sold at each separate price within the ranges set forth herein.</w:t>
      </w:r>
    </w:p>
    <w:p>
      <w:pPr>
        <w:ind w:left="40" w:right="180" w:firstLine="5"/>
        <w:spacing w:after="0" w:line="324" w:lineRule="auto"/>
        <w:tabs>
          <w:tab w:leader="none" w:pos="172" w:val="left"/>
        </w:tabs>
        <w:numPr>
          <w:ilvl w:val="0"/>
          <w:numId w:val="2"/>
        </w:numPr>
        <w:rPr>
          <w:rFonts w:ascii="Arial" w:cs="Arial" w:eastAsia="Arial" w:hAnsi="Arial"/>
          <w:sz w:val="11"/>
          <w:szCs w:val="11"/>
          <w:color w:val="008000"/>
        </w:rPr>
      </w:pPr>
      <w:r>
        <w:rPr>
          <w:rFonts w:ascii="Arial" w:cs="Arial" w:eastAsia="Arial" w:hAnsi="Arial"/>
          <w:sz w:val="11"/>
          <w:szCs w:val="11"/>
          <w:color w:val="008000"/>
        </w:rPr>
        <w:t>The price reported in Column 4 is a weighted average price. The shares were sold in multiple transactions at prices ranging from $19.60 to $19.955, inclusive. Mr. Rondeau undertakes to provide to the Issuer, any security holder of the Issuer, or the staff of the Securities and Exchange Commission, upon request, full information regarding the number of shares sold at each separate price within the ranges set forth herein.</w:t>
      </w: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6,638,147 Holdings Units and corresponding shares of Class B common stock.</w:t>
      </w:r>
    </w:p>
    <w:p>
      <w:pPr>
        <w:spacing w:after="0" w:line="59" w:lineRule="exact"/>
        <w:rPr>
          <w:rFonts w:ascii="Arial" w:cs="Arial" w:eastAsia="Arial" w:hAnsi="Arial"/>
          <w:sz w:val="12"/>
          <w:szCs w:val="12"/>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1,930,163 Holdings Units and corresponding shares of Class B common stock. Mr. Rondeau disclaims beneficial ownership of such securities except to the extent of his pecuniary interest therein.</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10/05/2016</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2020-01-19T09:38:17Z</dcterms:created>
  <dcterms:modified xsi:type="dcterms:W3CDTF">2020-01-19T09:38:17Z</dcterms:modified>
</cp:coreProperties>
</file>