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8671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86715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Spinelli Stephen JR</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720" w:type="dxa"/>
            <w:vAlign w:val="bottom"/>
            <w:tcBorders>
              <w:top w:val="single" w:sz="8" w:color="0000EE"/>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08/06/2015</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2"/>
          <w:szCs w:val="12"/>
          <w:color w:val="auto"/>
        </w:rPr>
        <w:t xml:space="preserve">3.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p>
      <w:pPr>
        <w:spacing w:after="0" w:line="24" w:lineRule="exact"/>
        <w:rPr>
          <w:sz w:val="24"/>
          <w:szCs w:val="24"/>
          <w:color w:val="auto"/>
        </w:rPr>
      </w:pPr>
    </w:p>
    <w:p>
      <w:pPr>
        <w:spacing w:after="0"/>
        <w:rPr>
          <w:rFonts w:ascii="Arial" w:cs="Arial" w:eastAsia="Arial" w:hAnsi="Arial"/>
          <w:sz w:val="22"/>
          <w:szCs w:val="22"/>
          <w:color w:val="0000EE"/>
        </w:rPr>
      </w:pPr>
      <w:hyperlink r:id="rId12">
        <w:r>
          <w:rPr>
            <w:rFonts w:ascii="Arial" w:cs="Arial" w:eastAsia="Arial" w:hAnsi="Arial"/>
            <w:sz w:val="22"/>
            <w:szCs w:val="22"/>
            <w:u w:val="single" w:color="auto"/>
            <w:color w:val="0000EE"/>
          </w:rPr>
          <w:t>Planet Fitness,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PLNT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30"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68"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4"/>
                <w:szCs w:val="14"/>
                <w:color w:val="auto"/>
              </w:rPr>
              <w:t>(Last)</w:t>
            </w:r>
          </w:p>
        </w:tc>
        <w:tc>
          <w:tcPr>
            <w:tcW w:w="1100" w:type="dxa"/>
            <w:vAlign w:val="bottom"/>
          </w:tcPr>
          <w:p>
            <w:pPr>
              <w:ind w:left="340"/>
              <w:spacing w:after="0"/>
              <w:rPr>
                <w:sz w:val="20"/>
                <w:szCs w:val="20"/>
                <w:color w:val="auto"/>
              </w:rPr>
            </w:pPr>
            <w:r>
              <w:rPr>
                <w:rFonts w:ascii="Arial" w:cs="Arial" w:eastAsia="Arial" w:hAnsi="Arial"/>
                <w:sz w:val="14"/>
                <w:szCs w:val="14"/>
                <w:color w:val="auto"/>
              </w:rPr>
              <w:t>(First)</w:t>
            </w:r>
          </w:p>
        </w:tc>
        <w:tc>
          <w:tcPr>
            <w:tcW w:w="1360" w:type="dxa"/>
            <w:vAlign w:val="bottom"/>
          </w:tcPr>
          <w:p>
            <w:pPr>
              <w:ind w:left="32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C/O PLANET FITNESS, INC.</w:t>
            </w:r>
          </w:p>
        </w:tc>
      </w:tr>
      <w:tr>
        <w:trPr>
          <w:trHeight w:val="270"/>
        </w:trPr>
        <w:tc>
          <w:tcPr>
            <w:tcW w:w="20" w:type="dxa"/>
            <w:vAlign w:val="bottom"/>
          </w:tcPr>
          <w:p>
            <w:pPr>
              <w:spacing w:after="0"/>
              <w:rPr>
                <w:sz w:val="23"/>
                <w:szCs w:val="23"/>
                <w:color w:val="auto"/>
              </w:rPr>
            </w:pPr>
          </w:p>
        </w:tc>
        <w:tc>
          <w:tcPr>
            <w:tcW w:w="1880" w:type="dxa"/>
            <w:vAlign w:val="bottom"/>
            <w:gridSpan w:val="2"/>
          </w:tcPr>
          <w:p>
            <w:pPr>
              <w:ind w:left="20"/>
              <w:spacing w:after="0"/>
              <w:rPr>
                <w:sz w:val="20"/>
                <w:szCs w:val="20"/>
                <w:color w:val="auto"/>
              </w:rPr>
            </w:pPr>
            <w:r>
              <w:rPr>
                <w:rFonts w:ascii="Arial" w:cs="Arial" w:eastAsia="Arial" w:hAnsi="Arial"/>
                <w:sz w:val="18"/>
                <w:szCs w:val="18"/>
                <w:color w:val="0000FF"/>
              </w:rPr>
              <w:t>26 FOX RUN ROAD</w:t>
            </w:r>
          </w:p>
        </w:tc>
        <w:tc>
          <w:tcPr>
            <w:tcW w:w="1360" w:type="dxa"/>
            <w:vAlign w:val="bottom"/>
          </w:tcPr>
          <w:p>
            <w:pPr>
              <w:spacing w:after="0"/>
              <w:rPr>
                <w:sz w:val="23"/>
                <w:szCs w:val="23"/>
                <w:color w:val="auto"/>
              </w:rPr>
            </w:pPr>
          </w:p>
        </w:tc>
      </w:tr>
      <w:tr>
        <w:trPr>
          <w:trHeight w:val="158"/>
        </w:trPr>
        <w:tc>
          <w:tcPr>
            <w:tcW w:w="20" w:type="dxa"/>
            <w:vAlign w:val="bottom"/>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360" w:type="dxa"/>
            <w:vAlign w:val="bottom"/>
            <w:tcBorders>
              <w:bottom w:val="single" w:sz="8" w:color="9A9A9A"/>
            </w:tcBorders>
          </w:tcPr>
          <w:p>
            <w:pPr>
              <w:spacing w:after="0"/>
              <w:rPr>
                <w:sz w:val="13"/>
                <w:szCs w:val="13"/>
                <w:color w:val="auto"/>
              </w:rPr>
            </w:pPr>
          </w:p>
        </w:tc>
      </w:tr>
      <w:tr>
        <w:trPr>
          <w:trHeight w:val="270"/>
        </w:trPr>
        <w:tc>
          <w:tcPr>
            <w:tcW w:w="80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23"/>
                <w:szCs w:val="23"/>
                <w:color w:val="auto"/>
              </w:rPr>
            </w:pPr>
          </w:p>
        </w:tc>
        <w:tc>
          <w:tcPr>
            <w:tcW w:w="136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1880" w:type="dxa"/>
            <w:vAlign w:val="bottom"/>
            <w:gridSpan w:val="2"/>
          </w:tcPr>
          <w:p>
            <w:pPr>
              <w:ind w:left="20"/>
              <w:spacing w:after="0"/>
              <w:rPr>
                <w:sz w:val="20"/>
                <w:szCs w:val="20"/>
                <w:color w:val="auto"/>
              </w:rPr>
            </w:pPr>
            <w:r>
              <w:rPr>
                <w:rFonts w:ascii="Arial" w:cs="Arial" w:eastAsia="Arial" w:hAnsi="Arial"/>
                <w:sz w:val="18"/>
                <w:szCs w:val="18"/>
                <w:color w:val="0000FF"/>
              </w:rPr>
              <w:t>NEWINGTON NH</w:t>
            </w:r>
          </w:p>
        </w:tc>
        <w:tc>
          <w:tcPr>
            <w:tcW w:w="1360" w:type="dxa"/>
            <w:vAlign w:val="bottom"/>
          </w:tcPr>
          <w:p>
            <w:pPr>
              <w:ind w:left="320"/>
              <w:spacing w:after="0"/>
              <w:rPr>
                <w:sz w:val="20"/>
                <w:szCs w:val="20"/>
                <w:color w:val="auto"/>
              </w:rPr>
            </w:pPr>
            <w:r>
              <w:rPr>
                <w:rFonts w:ascii="Arial" w:cs="Arial" w:eastAsia="Arial" w:hAnsi="Arial"/>
                <w:sz w:val="18"/>
                <w:szCs w:val="18"/>
                <w:color w:val="0000FF"/>
              </w:rPr>
              <w:t>03801</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97"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00"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71"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3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98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0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98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0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9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0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338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940" w:type="dxa"/>
            <w:vAlign w:val="bottom"/>
            <w:tcBorders>
              <w:bottom w:val="single" w:sz="8" w:color="2C2C2C"/>
            </w:tcBorders>
          </w:tcPr>
          <w:p>
            <w:pPr>
              <w:spacing w:after="0"/>
              <w:rPr>
                <w:sz w:val="6"/>
                <w:szCs w:val="6"/>
                <w:color w:val="auto"/>
              </w:rPr>
            </w:pPr>
          </w:p>
        </w:tc>
        <w:tc>
          <w:tcPr>
            <w:tcW w:w="1040" w:type="dxa"/>
            <w:vAlign w:val="bottom"/>
            <w:tcBorders>
              <w:bottom w:val="single" w:sz="8" w:color="2C2C2C"/>
            </w:tcBorders>
          </w:tcPr>
          <w:p>
            <w:pPr>
              <w:spacing w:after="0"/>
              <w:rPr>
                <w:sz w:val="6"/>
                <w:szCs w:val="6"/>
                <w:color w:val="auto"/>
              </w:rPr>
            </w:pPr>
          </w:p>
        </w:tc>
        <w:tc>
          <w:tcPr>
            <w:tcW w:w="880" w:type="dxa"/>
            <w:vAlign w:val="bottom"/>
            <w:vMerge w:val="restart"/>
          </w:tcPr>
          <w:p>
            <w:pPr>
              <w:ind w:left="6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5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3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940" w:type="dxa"/>
            <w:vAlign w:val="bottom"/>
          </w:tcPr>
          <w:p>
            <w:pPr>
              <w:spacing w:after="0"/>
              <w:rPr>
                <w:sz w:val="4"/>
                <w:szCs w:val="4"/>
                <w:color w:val="auto"/>
              </w:rPr>
            </w:pPr>
          </w:p>
        </w:tc>
        <w:tc>
          <w:tcPr>
            <w:tcW w:w="104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Amount or</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5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3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880" w:type="dxa"/>
            <w:vAlign w:val="bottom"/>
          </w:tcPr>
          <w:p>
            <w:pPr>
              <w:ind w:left="6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8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94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Title</w:t>
            </w:r>
          </w:p>
        </w:tc>
        <w:tc>
          <w:tcPr>
            <w:tcW w:w="1040" w:type="dxa"/>
            <w:vAlign w:val="bottom"/>
          </w:tcPr>
          <w:p>
            <w:pPr>
              <w:ind w:left="140"/>
              <w:spacing w:after="0" w:line="149" w:lineRule="exact"/>
              <w:rPr>
                <w:sz w:val="20"/>
                <w:szCs w:val="20"/>
                <w:color w:val="auto"/>
              </w:rPr>
            </w:pPr>
            <w:r>
              <w:rPr>
                <w:rFonts w:ascii="Arial" w:cs="Arial" w:eastAsia="Arial" w:hAnsi="Arial"/>
                <w:sz w:val="14"/>
                <w:szCs w:val="14"/>
                <w:b w:val="1"/>
                <w:bCs w:val="1"/>
                <w:color w:val="auto"/>
              </w:rPr>
              <w:t>Number of</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338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940" w:type="dxa"/>
            <w:vAlign w:val="bottom"/>
            <w:vMerge w:val="continue"/>
          </w:tcPr>
          <w:p>
            <w:pPr>
              <w:spacing w:after="0"/>
              <w:rPr>
                <w:sz w:val="15"/>
                <w:szCs w:val="15"/>
                <w:color w:val="auto"/>
              </w:rPr>
            </w:pPr>
          </w:p>
        </w:tc>
        <w:tc>
          <w:tcPr>
            <w:tcW w:w="1040" w:type="dxa"/>
            <w:vAlign w:val="bottom"/>
          </w:tcPr>
          <w:p>
            <w:pPr>
              <w:ind w:left="14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5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33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9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31"/>
        </w:trPr>
        <w:tc>
          <w:tcPr>
            <w:tcW w:w="20" w:type="dxa"/>
            <w:vAlign w:val="bottom"/>
            <w:tcBorders>
              <w:bottom w:val="single" w:sz="8" w:color="2C2C2C"/>
            </w:tcBorders>
          </w:tcPr>
          <w:p>
            <w:pPr>
              <w:spacing w:after="0"/>
              <w:rPr>
                <w:sz w:val="24"/>
                <w:szCs w:val="24"/>
                <w:color w:val="auto"/>
              </w:rPr>
            </w:pPr>
          </w:p>
        </w:tc>
        <w:tc>
          <w:tcPr>
            <w:tcW w:w="338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w w:val="99"/>
              </w:rPr>
              <w:t>Holding Units and Class B common stock</w:t>
            </w:r>
          </w:p>
        </w:tc>
        <w:tc>
          <w:tcPr>
            <w:tcW w:w="880" w:type="dxa"/>
            <w:vAlign w:val="bottom"/>
            <w:tcBorders>
              <w:bottom w:val="single" w:sz="8" w:color="2C2C2C"/>
            </w:tcBorders>
          </w:tcPr>
          <w:p>
            <w:pPr>
              <w:ind w:left="240"/>
              <w:spacing w:after="0"/>
              <w:rPr>
                <w:sz w:val="20"/>
                <w:szCs w:val="20"/>
                <w:color w:val="auto"/>
              </w:rPr>
            </w:pPr>
            <w:r>
              <w:rPr>
                <w:rFonts w:ascii="Arial" w:cs="Arial" w:eastAsia="Arial" w:hAnsi="Arial"/>
                <w:sz w:val="11"/>
                <w:szCs w:val="11"/>
                <w:color w:val="008000"/>
              </w:rPr>
              <w:t>(1)(2)(3)</w:t>
            </w:r>
          </w:p>
        </w:tc>
        <w:tc>
          <w:tcPr>
            <w:tcW w:w="800" w:type="dxa"/>
            <w:vAlign w:val="bottom"/>
            <w:tcBorders>
              <w:bottom w:val="single" w:sz="8" w:color="2C2C2C"/>
            </w:tcBorders>
          </w:tcPr>
          <w:p>
            <w:pPr>
              <w:jc w:val="right"/>
              <w:ind w:right="196"/>
              <w:spacing w:after="0"/>
              <w:rPr>
                <w:sz w:val="20"/>
                <w:szCs w:val="20"/>
                <w:color w:val="auto"/>
              </w:rPr>
            </w:pPr>
            <w:r>
              <w:rPr>
                <w:rFonts w:ascii="Arial" w:cs="Arial" w:eastAsia="Arial" w:hAnsi="Arial"/>
                <w:sz w:val="11"/>
                <w:szCs w:val="11"/>
                <w:color w:val="008000"/>
              </w:rPr>
              <w:t>(2)(3)</w:t>
            </w:r>
          </w:p>
        </w:tc>
        <w:tc>
          <w:tcPr>
            <w:tcW w:w="194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w w:val="93"/>
              </w:rPr>
              <w:t>Class A common stock</w:t>
            </w:r>
          </w:p>
        </w:tc>
        <w:tc>
          <w:tcPr>
            <w:tcW w:w="1040" w:type="dxa"/>
            <w:vAlign w:val="bottom"/>
            <w:tcBorders>
              <w:bottom w:val="single" w:sz="8" w:color="2C2C2C"/>
            </w:tcBorders>
          </w:tcPr>
          <w:p>
            <w:pPr>
              <w:ind w:left="140"/>
              <w:spacing w:after="0"/>
              <w:rPr>
                <w:sz w:val="20"/>
                <w:szCs w:val="20"/>
                <w:color w:val="auto"/>
              </w:rPr>
            </w:pPr>
            <w:r>
              <w:rPr>
                <w:rFonts w:ascii="Arial" w:cs="Arial" w:eastAsia="Arial" w:hAnsi="Arial"/>
                <w:sz w:val="18"/>
                <w:szCs w:val="18"/>
                <w:color w:val="0000FF"/>
                <w:w w:val="87"/>
              </w:rPr>
              <w:t>149,052</w:t>
            </w:r>
            <w:r>
              <w:rPr>
                <w:rFonts w:ascii="Arial" w:cs="Arial" w:eastAsia="Arial" w:hAnsi="Arial"/>
                <w:sz w:val="22"/>
                <w:szCs w:val="22"/>
                <w:color w:val="008000"/>
                <w:w w:val="87"/>
                <w:vertAlign w:val="superscript"/>
              </w:rPr>
              <w:t>(1)(2)</w:t>
            </w:r>
          </w:p>
        </w:tc>
        <w:tc>
          <w:tcPr>
            <w:tcW w:w="880" w:type="dxa"/>
            <w:vAlign w:val="bottom"/>
            <w:tcBorders>
              <w:bottom w:val="single" w:sz="8" w:color="2C2C2C"/>
            </w:tcBorders>
          </w:tcPr>
          <w:p>
            <w:pPr>
              <w:ind w:left="380"/>
              <w:spacing w:after="0"/>
              <w:rPr>
                <w:sz w:val="20"/>
                <w:szCs w:val="20"/>
                <w:color w:val="auto"/>
              </w:rPr>
            </w:pPr>
            <w:r>
              <w:rPr>
                <w:rFonts w:ascii="Arial" w:cs="Arial" w:eastAsia="Arial" w:hAnsi="Arial"/>
                <w:sz w:val="11"/>
                <w:szCs w:val="11"/>
                <w:color w:val="008000"/>
              </w:rPr>
              <w:t>(3)</w:t>
            </w:r>
          </w:p>
        </w:tc>
        <w:tc>
          <w:tcPr>
            <w:tcW w:w="88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D</w:t>
            </w:r>
          </w:p>
        </w:tc>
        <w:tc>
          <w:tcPr>
            <w:tcW w:w="15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3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40" w:right="80" w:firstLine="9"/>
        <w:spacing w:after="0" w:line="239" w:lineRule="auto"/>
        <w:tabs>
          <w:tab w:leader="none" w:pos="175"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The Common Units of Pla-Fit Holdings, LLC ("Holding Units") and shares of Class B common stock of Planet Fitness, Inc. (the "Company") reported herein were issued pursuant to a reclassification of Pla-Fit Holdings, LLC on August 5, 2015. Mr. Spinelli holds an aggregate of 149,052 Holding Units and 149,052 shares of Class B common stock of the Company.</w:t>
      </w:r>
    </w:p>
    <w:p>
      <w:pPr>
        <w:spacing w:after="0" w:line="30" w:lineRule="exact"/>
        <w:rPr>
          <w:rFonts w:ascii="Arial" w:cs="Arial" w:eastAsia="Arial" w:hAnsi="Arial"/>
          <w:sz w:val="14"/>
          <w:szCs w:val="14"/>
          <w:color w:val="008000"/>
        </w:rPr>
      </w:pPr>
    </w:p>
    <w:p>
      <w:pPr>
        <w:ind w:left="40" w:right="140" w:firstLine="9"/>
        <w:spacing w:after="0" w:line="233" w:lineRule="auto"/>
        <w:tabs>
          <w:tab w:leader="none" w:pos="175"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Represents an equity award granted to Mr. Spinelli on April 30, 2013 under the Pla-Fit Holdings, LLC 2013 Equity Incentive Plan that was converted into Holding Units in connection with the reclassification of Pla-Fit Holdings, LLC described above. Eighty percent of the award vests annually in equal installments over five years from a specified vesting date, and twenty percent vests in connection with the Company's initial public offering, subject generally to remaining in service on the applicable vesting date.</w:t>
      </w:r>
    </w:p>
    <w:p>
      <w:pPr>
        <w:spacing w:after="0" w:line="30" w:lineRule="exact"/>
        <w:rPr>
          <w:rFonts w:ascii="Arial" w:cs="Arial" w:eastAsia="Arial" w:hAnsi="Arial"/>
          <w:sz w:val="14"/>
          <w:szCs w:val="14"/>
          <w:color w:val="008000"/>
        </w:rPr>
      </w:pPr>
    </w:p>
    <w:p>
      <w:pPr>
        <w:ind w:left="40" w:right="40" w:firstLine="9"/>
        <w:spacing w:after="0" w:line="273" w:lineRule="auto"/>
        <w:tabs>
          <w:tab w:leader="none" w:pos="175" w:val="left"/>
        </w:tabs>
        <w:numPr>
          <w:ilvl w:val="0"/>
          <w:numId w:val="4"/>
        </w:numPr>
        <w:rPr>
          <w:rFonts w:ascii="Arial" w:cs="Arial" w:eastAsia="Arial" w:hAnsi="Arial"/>
          <w:sz w:val="12"/>
          <w:szCs w:val="12"/>
          <w:color w:val="008000"/>
        </w:rPr>
      </w:pPr>
      <w:r>
        <w:rPr>
          <w:rFonts w:ascii="Arial" w:cs="Arial" w:eastAsia="Arial" w:hAnsi="Arial"/>
          <w:sz w:val="12"/>
          <w:szCs w:val="12"/>
          <w:color w:val="008000"/>
        </w:rPr>
        <w:t>Pursuant to the terms of the Exchange Agreement dated as of August 5, 2015 by and among the Company, Pla-Fit Holdings, LLC and the holders from time to time of Holding Units and shares of Class B common stock, Mr. Spinelli may exchange all or a portion of his vested Holding Units along with an equal number of his shares of Class B common stock for shares of Class A common stock of the Company on a one-to-one basis (one vested Holding Unit and one share of Class B common stock together exchangeable for one share of Class A common stock). The Holding Units will expire on April 30, 2023 and the holders thereof are not required to pay an exercise price in connection with any such exchange.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Justin Vartanian is signing on behalf of Stephen Spinelli pursuant to a Power of Attorney dated July 29, 2015, which is attached hereto as an exhibit.</w:t>
      </w:r>
    </w:p>
    <w:p>
      <w:pPr>
        <w:spacing w:after="0" w:line="48" w:lineRule="exact"/>
        <w:rPr>
          <w:sz w:val="24"/>
          <w:szCs w:val="24"/>
          <w:color w:val="auto"/>
        </w:rPr>
      </w:pPr>
    </w:p>
    <w:tbl>
      <w:tblPr>
        <w:tblLayout w:type="fixed"/>
        <w:tblInd w:w="40" w:type="dxa"/>
        <w:tblCellMar>
          <w:top w:w="0" w:type="dxa"/>
          <w:left w:w="0" w:type="dxa"/>
          <w:bottom w:w="0" w:type="dxa"/>
          <w:right w:w="0" w:type="dxa"/>
        </w:tblCellMar>
      </w:tblPr>
      <w:tr>
        <w:trPr>
          <w:trHeight w:val="207"/>
        </w:trPr>
        <w:tc>
          <w:tcPr>
            <w:tcW w:w="6820" w:type="dxa"/>
            <w:vAlign w:val="bottom"/>
          </w:tcPr>
          <w:p>
            <w:pPr>
              <w:spacing w:after="0"/>
              <w:rPr>
                <w:sz w:val="18"/>
                <w:szCs w:val="18"/>
                <w:color w:val="auto"/>
              </w:rPr>
            </w:pPr>
          </w:p>
        </w:tc>
        <w:tc>
          <w:tcPr>
            <w:tcW w:w="2180" w:type="dxa"/>
            <w:vAlign w:val="bottom"/>
            <w:gridSpan w:val="3"/>
          </w:tcPr>
          <w:p>
            <w:pPr>
              <w:spacing w:after="0"/>
              <w:rPr>
                <w:sz w:val="20"/>
                <w:szCs w:val="20"/>
                <w:color w:val="auto"/>
              </w:rPr>
            </w:pPr>
            <w:r>
              <w:rPr>
                <w:rFonts w:ascii="Arial" w:cs="Arial" w:eastAsia="Arial" w:hAnsi="Arial"/>
                <w:sz w:val="18"/>
                <w:szCs w:val="18"/>
                <w:color w:val="0000FF"/>
                <w:w w:val="92"/>
              </w:rPr>
              <w:t>/s/ Justin Vartanian, attorney-</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08/06/2015</w:t>
            </w:r>
          </w:p>
        </w:tc>
        <w:tc>
          <w:tcPr>
            <w:tcW w:w="0" w:type="dxa"/>
            <w:vAlign w:val="bottom"/>
          </w:tcPr>
          <w:p>
            <w:pPr>
              <w:spacing w:after="0"/>
              <w:rPr>
                <w:sz w:val="1"/>
                <w:szCs w:val="1"/>
                <w:color w:val="auto"/>
              </w:rPr>
            </w:pPr>
          </w:p>
        </w:tc>
      </w:tr>
      <w:tr>
        <w:trPr>
          <w:trHeight w:val="88"/>
        </w:trPr>
        <w:tc>
          <w:tcPr>
            <w:tcW w:w="6820" w:type="dxa"/>
            <w:vAlign w:val="bottom"/>
          </w:tcPr>
          <w:p>
            <w:pPr>
              <w:spacing w:after="0"/>
              <w:rPr>
                <w:sz w:val="7"/>
                <w:szCs w:val="7"/>
                <w:color w:val="auto"/>
              </w:rPr>
            </w:pPr>
          </w:p>
        </w:tc>
        <w:tc>
          <w:tcPr>
            <w:tcW w:w="206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6820" w:type="dxa"/>
            <w:vAlign w:val="bottom"/>
          </w:tcPr>
          <w:p>
            <w:pPr>
              <w:spacing w:after="0"/>
              <w:rPr>
                <w:sz w:val="7"/>
                <w:szCs w:val="7"/>
                <w:color w:val="auto"/>
              </w:rPr>
            </w:pPr>
          </w:p>
        </w:tc>
        <w:tc>
          <w:tcPr>
            <w:tcW w:w="2060" w:type="dxa"/>
            <w:vAlign w:val="bottom"/>
            <w:tcBorders>
              <w:top w:val="single" w:sz="8" w:color="auto"/>
            </w:tcBorders>
            <w:gridSpan w:val="2"/>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68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7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6820" w:type="dxa"/>
            <w:vAlign w:val="bottom"/>
          </w:tcPr>
          <w:p>
            <w:pPr>
              <w:spacing w:after="0"/>
              <w:rPr>
                <w:sz w:val="20"/>
                <w:szCs w:val="20"/>
                <w:color w:val="auto"/>
              </w:rPr>
            </w:pPr>
          </w:p>
        </w:tc>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r>
        <w:trPr>
          <w:trHeight w:val="203"/>
        </w:trPr>
        <w:tc>
          <w:tcPr>
            <w:tcW w:w="9000" w:type="dxa"/>
            <w:vAlign w:val="bottom"/>
            <w:gridSpan w:val="4"/>
          </w:tcPr>
          <w:p>
            <w:pPr>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9000" w:type="dxa"/>
            <w:vAlign w:val="bottom"/>
            <w:gridSpan w:val="4"/>
          </w:tcPr>
          <w:p>
            <w:pPr>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6" w:lineRule="exact"/>
        <w:rPr>
          <w:sz w:val="24"/>
          <w:szCs w:val="24"/>
          <w:color w:val="auto"/>
        </w:rPr>
      </w:pPr>
    </w:p>
    <w:p>
      <w:pPr>
        <w:jc w:val="both"/>
        <w:ind w:left="40" w:right="3580" w:firstLine="9"/>
        <w:spacing w:after="0" w:line="350" w:lineRule="auto"/>
        <w:tabs>
          <w:tab w:leader="none" w:pos="183" w:val="left"/>
        </w:tabs>
        <w:numPr>
          <w:ilvl w:val="0"/>
          <w:numId w:val="5"/>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999" w:firstLine="843"/>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 Richard Moore, and Justin Vartanian, with full power of substitution, as the undersigned's true and lawful attorney-in-fact to:</w:t>
      </w:r>
    </w:p>
    <w:p>
      <w:pPr>
        <w:spacing w:after="0" w:line="209" w:lineRule="exact"/>
        <w:rPr>
          <w:sz w:val="20"/>
          <w:szCs w:val="20"/>
          <w:color w:val="auto"/>
        </w:rPr>
      </w:pPr>
    </w:p>
    <w:p>
      <w:pPr>
        <w:ind w:left="1700" w:right="1779" w:hanging="849"/>
        <w:spacing w:after="0" w:line="237" w:lineRule="auto"/>
        <w:tabs>
          <w:tab w:leader="none" w:pos="170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12" w:lineRule="exact"/>
        <w:rPr>
          <w:rFonts w:ascii="Courier New" w:cs="Courier New" w:eastAsia="Courier New" w:hAnsi="Courier New"/>
          <w:sz w:val="18"/>
          <w:szCs w:val="18"/>
          <w:color w:val="auto"/>
        </w:rPr>
      </w:pPr>
    </w:p>
    <w:p>
      <w:pPr>
        <w:ind w:left="1700" w:right="1999" w:hanging="849"/>
        <w:spacing w:after="0" w:line="237" w:lineRule="auto"/>
        <w:tabs>
          <w:tab w:leader="none" w:pos="170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779" w:hanging="849"/>
        <w:spacing w:after="0" w:line="271" w:lineRule="auto"/>
        <w:tabs>
          <w:tab w:leader="none" w:pos="170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29, 2015.</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Stephen Spinelli, Jr.</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Stephen Spinelli, Jr.</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361944" TargetMode="External"/><Relationship Id="rId12"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2020-01-22T09:55:22Z</dcterms:created>
  <dcterms:modified xsi:type="dcterms:W3CDTF">2020-01-22T09:55:22Z</dcterms:modified>
</cp:coreProperties>
</file>