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04/06/2017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00"/>
              <w:spacing w:after="0" w:line="129"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1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60" w:type="dxa"/>
            <w:vAlign w:val="bottom"/>
            <w:gridSpan w:val="2"/>
          </w:tcPr>
          <w:p>
            <w:pPr>
              <w:ind w:left="70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9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60"/>
              <w:spacing w:after="0" w:line="132" w:lineRule="exact"/>
              <w:rPr>
                <w:sz w:val="20"/>
                <w:szCs w:val="20"/>
                <w:color w:val="auto"/>
              </w:rPr>
            </w:pPr>
            <w:r>
              <w:rPr>
                <w:rFonts w:ascii="Arial" w:cs="Arial" w:eastAsia="Arial" w:hAnsi="Arial"/>
                <w:sz w:val="12"/>
                <w:szCs w:val="12"/>
                <w:b w:val="1"/>
                <w:bCs w:val="1"/>
                <w:color w:val="auto"/>
              </w:rPr>
              <w:t>(A) or</w:t>
            </w: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04/06/2017</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12"/>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04/06/2017</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12"/>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19.272</w:t>
            </w:r>
            <w:r>
              <w:rPr>
                <w:rFonts w:ascii="Arial" w:cs="Arial" w:eastAsia="Arial" w:hAnsi="Arial"/>
                <w:sz w:val="21"/>
                <w:szCs w:val="21"/>
                <w:color w:val="008000"/>
                <w:w w:val="89"/>
                <w:vertAlign w:val="superscript"/>
              </w:rPr>
              <w:t>(3)</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04/06/2017</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0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60" w:type="dxa"/>
            <w:vAlign w:val="bottom"/>
            <w:vMerge w:val="restart"/>
          </w:tcPr>
          <w:p>
            <w:pPr>
              <w:jc w:val="center"/>
              <w:ind w:left="12"/>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14,000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04/06/2017</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jc w:val="center"/>
              <w:ind w:left="12"/>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ind w:left="280"/>
              <w:spacing w:after="0"/>
              <w:rPr>
                <w:sz w:val="20"/>
                <w:szCs w:val="20"/>
                <w:color w:val="auto"/>
              </w:rPr>
            </w:pPr>
            <w:r>
              <w:rPr>
                <w:rFonts w:ascii="Arial" w:cs="Arial" w:eastAsia="Arial" w:hAnsi="Arial"/>
                <w:sz w:val="17"/>
                <w:szCs w:val="17"/>
                <w:color w:val="0000FF"/>
              </w:rPr>
              <w:t>D</w:t>
            </w:r>
          </w:p>
        </w:tc>
        <w:tc>
          <w:tcPr>
            <w:tcW w:w="780" w:type="dxa"/>
            <w:vAlign w:val="bottom"/>
            <w:gridSpan w:val="2"/>
            <w:vMerge w:val="restart"/>
          </w:tcPr>
          <w:p>
            <w:pPr>
              <w:jc w:val="center"/>
              <w:ind w:left="5"/>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19.272</w:t>
            </w:r>
            <w:r>
              <w:rPr>
                <w:rFonts w:ascii="Arial" w:cs="Arial" w:eastAsia="Arial" w:hAnsi="Arial"/>
                <w:sz w:val="21"/>
                <w:szCs w:val="21"/>
                <w:color w:val="008000"/>
                <w:w w:val="89"/>
                <w:vertAlign w:val="superscript"/>
              </w:rPr>
              <w:t>(3)</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860" w:type="dxa"/>
            <w:vAlign w:val="bottom"/>
            <w:gridSpan w:val="3"/>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9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8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Expiration Date</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(5)</w:t>
            </w:r>
          </w:p>
        </w:tc>
        <w:tc>
          <w:tcPr>
            <w:tcW w:w="580" w:type="dxa"/>
            <w:vAlign w:val="bottom"/>
          </w:tcPr>
          <w:p>
            <w:pPr>
              <w:ind w:left="80"/>
              <w:spacing w:after="0" w:line="145" w:lineRule="exact"/>
              <w:rPr>
                <w:sz w:val="20"/>
                <w:szCs w:val="20"/>
                <w:color w:val="auto"/>
              </w:rPr>
            </w:pPr>
            <w:r>
              <w:rPr>
                <w:rFonts w:ascii="Arial" w:cs="Arial" w:eastAsia="Arial" w:hAnsi="Arial"/>
                <w:sz w:val="13"/>
                <w:szCs w:val="13"/>
                <w:color w:val="0000FF"/>
              </w:rPr>
              <w:t>Class A</w:t>
            </w:r>
          </w:p>
        </w:tc>
        <w:tc>
          <w:tcPr>
            <w:tcW w:w="74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1,750,163</w:t>
            </w:r>
            <w:r>
              <w:rPr>
                <w:rFonts w:ascii="Arial" w:cs="Arial" w:eastAsia="Arial" w:hAnsi="Arial"/>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04/06/2017</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ind w:left="140"/>
              <w:spacing w:after="0" w:line="145" w:lineRule="exact"/>
              <w:rPr>
                <w:sz w:val="20"/>
                <w:szCs w:val="20"/>
                <w:color w:val="auto"/>
              </w:rPr>
            </w:pPr>
            <w:r>
              <w:rPr>
                <w:rFonts w:ascii="Arial" w:cs="Arial" w:eastAsia="Arial" w:hAnsi="Arial"/>
                <w:sz w:val="13"/>
                <w:szCs w:val="13"/>
                <w:color w:val="0000FF"/>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(5)</w:t>
            </w:r>
          </w:p>
        </w:tc>
        <w:tc>
          <w:tcPr>
            <w:tcW w:w="580" w:type="dxa"/>
            <w:vAlign w:val="bottom"/>
          </w:tcPr>
          <w:p>
            <w:pPr>
              <w:ind w:left="80"/>
              <w:spacing w:after="0" w:line="145" w:lineRule="exact"/>
              <w:rPr>
                <w:sz w:val="20"/>
                <w:szCs w:val="20"/>
                <w:color w:val="auto"/>
              </w:rPr>
            </w:pPr>
            <w:r>
              <w:rPr>
                <w:rFonts w:ascii="Arial" w:cs="Arial" w:eastAsia="Arial" w:hAnsi="Arial"/>
                <w:sz w:val="13"/>
                <w:szCs w:val="13"/>
                <w:color w:val="0000FF"/>
              </w:rPr>
              <w:t>Class A</w:t>
            </w:r>
          </w:p>
        </w:tc>
        <w:tc>
          <w:tcPr>
            <w:tcW w:w="740" w:type="dxa"/>
            <w:vAlign w:val="bottom"/>
            <w:vMerge w:val="restart"/>
          </w:tcPr>
          <w:p>
            <w:pPr>
              <w:jc w:val="center"/>
              <w:spacing w:after="0"/>
              <w:rPr>
                <w:sz w:val="20"/>
                <w:szCs w:val="20"/>
                <w:color w:val="auto"/>
              </w:rPr>
            </w:pPr>
            <w:r>
              <w:rPr>
                <w:rFonts w:ascii="Arial" w:cs="Arial" w:eastAsia="Arial" w:hAnsi="Arial"/>
                <w:sz w:val="17"/>
                <w:szCs w:val="17"/>
                <w:color w:val="0000FF"/>
                <w:w w:val="92"/>
              </w:rPr>
              <w:t>14,000</w:t>
            </w:r>
            <w:r>
              <w:rPr>
                <w:rFonts w:ascii="Arial" w:cs="Arial" w:eastAsia="Arial" w:hAnsi="Arial"/>
                <w:sz w:val="21"/>
                <w:szCs w:val="21"/>
                <w:color w:val="008000"/>
                <w:w w:val="92"/>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6,218,147</w:t>
            </w:r>
            <w:r>
              <w:rPr>
                <w:rFonts w:ascii="Arial" w:cs="Arial" w:eastAsia="Arial" w:hAnsi="Arial"/>
                <w:sz w:val="21"/>
                <w:szCs w:val="21"/>
                <w:color w:val="008000"/>
                <w:vertAlign w:val="superscript"/>
              </w:rPr>
              <w:t>(5)</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04/06/2017</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80" w:type="dxa"/>
            <w:vAlign w:val="bottom"/>
          </w:tcPr>
          <w:p>
            <w:pPr>
              <w:ind w:left="140"/>
              <w:spacing w:after="0"/>
              <w:rPr>
                <w:sz w:val="20"/>
                <w:szCs w:val="20"/>
                <w:color w:val="auto"/>
              </w:rPr>
            </w:pPr>
            <w:r>
              <w:rPr>
                <w:rFonts w:ascii="Arial" w:cs="Arial" w:eastAsia="Arial" w:hAnsi="Arial"/>
                <w:sz w:val="13"/>
                <w:szCs w:val="13"/>
                <w:color w:val="0000FF"/>
              </w:rPr>
              <w:t>stock</w:t>
            </w: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1,750,163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jc w:val="both"/>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$19.125 to $19.37,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6,218,147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04/07/2017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2020-01-16T02:03:18Z</dcterms:created>
  <dcterms:modified xsi:type="dcterms:W3CDTF">2020-01-16T02:03:18Z</dcterms:modified>
</cp:coreProperties>
</file>